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jc w:val="center"/>
        <w:outlineLvl w:val="0"/>
        <w:rPr>
          <w:rFonts w:hint="eastAsia" w:ascii="方正小标宋_GBK" w:eastAsia="方正小标宋_GBK"/>
          <w:bCs/>
          <w:sz w:val="72"/>
          <w:szCs w:val="72"/>
        </w:rPr>
      </w:pP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（生态影响类）</w:t>
      </w:r>
    </w:p>
    <w:p>
      <w:pPr>
        <w:ind w:firstLine="1040"/>
        <w:rPr>
          <w:rFonts w:eastAsia="仿宋"/>
          <w:sz w:val="44"/>
          <w:szCs w:val="44"/>
        </w:rPr>
      </w:pPr>
      <w:bookmarkStart w:id="0" w:name="_Hlk57883728"/>
    </w:p>
    <w:p>
      <w:pPr>
        <w:pStyle w:val="13"/>
        <w:rPr>
          <w:rFonts w:eastAsia="仿宋"/>
          <w:sz w:val="44"/>
          <w:szCs w:val="44"/>
        </w:rPr>
      </w:pPr>
    </w:p>
    <w:p>
      <w:pPr>
        <w:rPr>
          <w:rFonts w:eastAsia="仿宋"/>
          <w:sz w:val="44"/>
          <w:szCs w:val="44"/>
        </w:rPr>
      </w:pPr>
    </w:p>
    <w:p>
      <w:pPr>
        <w:pStyle w:val="13"/>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bookmarkEnd w:id="0"/>
    <w:p>
      <w:pPr>
        <w:adjustRightInd w:val="0"/>
        <w:snapToGrid w:val="0"/>
        <w:spacing w:line="288" w:lineRule="auto"/>
        <w:ind w:firstLine="1040"/>
        <w:rPr>
          <w:rFonts w:hint="eastAsia"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沂源县</w:t>
      </w:r>
      <w:r>
        <w:rPr>
          <w:rFonts w:hint="eastAsia" w:ascii="仿宋_GB2312" w:eastAsia="仿宋_GB2312"/>
          <w:sz w:val="36"/>
          <w:szCs w:val="36"/>
          <w:u w:val="single"/>
          <w:lang w:eastAsia="zh-CN"/>
        </w:rPr>
        <w:t>五井石河</w:t>
      </w:r>
      <w:r>
        <w:rPr>
          <w:rFonts w:hint="eastAsia" w:ascii="仿宋_GB2312" w:eastAsia="仿宋_GB2312"/>
          <w:sz w:val="36"/>
          <w:szCs w:val="36"/>
          <w:u w:val="single"/>
        </w:rPr>
        <w:t xml:space="preserve">防洪治理工程  </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沂源县河湖长制保障服务中心</w:t>
      </w:r>
    </w:p>
    <w:p>
      <w:pPr>
        <w:adjustRightInd w:val="0"/>
        <w:snapToGrid w:val="0"/>
        <w:spacing w:line="288" w:lineRule="auto"/>
        <w:ind w:firstLine="1040"/>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2024年3月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jc w:val="center"/>
        <w:rPr>
          <w:rFonts w:ascii="楷体_GB2312" w:eastAsia="楷体_GB2312"/>
          <w:sz w:val="36"/>
          <w:szCs w:val="36"/>
        </w:rPr>
      </w:pPr>
    </w:p>
    <w:p>
      <w:pPr>
        <w:adjustRightInd w:val="0"/>
        <w:snapToGrid w:val="0"/>
        <w:spacing w:line="288" w:lineRule="auto"/>
        <w:ind w:firstLine="1040"/>
        <w:rPr>
          <w:rFonts w:ascii="仿宋_GB2312" w:eastAsia="仿宋_GB2312"/>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pStyle w:val="11"/>
        <w:snapToGrid/>
        <w:spacing w:before="312" w:beforeLines="100" w:beforeAutospacing="0" w:after="156" w:afterLines="50" w:afterAutospacing="0" w:line="360" w:lineRule="auto"/>
        <w:ind w:left="0" w:leftChars="0" w:right="0" w:rightChars="0" w:firstLine="0" w:firstLineChars="0"/>
        <w:jc w:val="left"/>
        <w:outlineLvl w:val="0"/>
        <w:rPr>
          <w:rFonts w:ascii="Times New Roman" w:hAnsi="黑体" w:eastAsia="宋体"/>
          <w:b/>
          <w:snapToGrid w:val="0"/>
          <w:sz w:val="32"/>
          <w:szCs w:val="30"/>
        </w:rPr>
      </w:pPr>
      <w:r>
        <w:rPr>
          <w:rFonts w:hint="eastAsia" w:ascii="Times New Roman" w:hAnsi="黑体" w:eastAsia="宋体"/>
          <w:b/>
          <w:snapToGrid w:val="0"/>
          <w:sz w:val="32"/>
          <w:szCs w:val="30"/>
        </w:rPr>
        <w:t>一、建设项目基本情况</w:t>
      </w:r>
    </w:p>
    <w:tbl>
      <w:tblPr>
        <w:tblStyle w:val="14"/>
        <w:tblW w:w="8870"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32"/>
        <w:gridCol w:w="3045"/>
        <w:gridCol w:w="2166"/>
        <w:gridCol w:w="30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32"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建设项目名称</w:t>
            </w:r>
          </w:p>
        </w:tc>
        <w:tc>
          <w:tcPr>
            <w:tcW w:w="8238" w:type="dxa"/>
            <w:gridSpan w:val="3"/>
            <w:noWrap w:val="0"/>
            <w:vAlign w:val="center"/>
          </w:tcPr>
          <w:p>
            <w:pPr>
              <w:adjustRightInd w:val="0"/>
              <w:snapToGrid w:val="0"/>
              <w:jc w:val="center"/>
              <w:rPr>
                <w:rFonts w:ascii="宋体" w:hAnsi="宋体" w:cs="宋体"/>
                <w:sz w:val="24"/>
                <w:szCs w:val="24"/>
              </w:rPr>
            </w:pPr>
            <w:r>
              <w:rPr>
                <w:rFonts w:hint="eastAsia"/>
                <w:sz w:val="24"/>
                <w:szCs w:val="24"/>
              </w:rPr>
              <w:t>沂源县五井石河防洪治理工程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632"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项目代码</w:t>
            </w:r>
          </w:p>
        </w:tc>
        <w:tc>
          <w:tcPr>
            <w:tcW w:w="8238" w:type="dxa"/>
            <w:gridSpan w:val="3"/>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2309-370323-04-01-743823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4" w:hRule="atLeast"/>
        </w:trPr>
        <w:tc>
          <w:tcPr>
            <w:tcW w:w="632"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建设单位联系人</w:t>
            </w:r>
          </w:p>
        </w:tc>
        <w:tc>
          <w:tcPr>
            <w:tcW w:w="3045"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唐本哲</w:t>
            </w:r>
          </w:p>
        </w:tc>
        <w:tc>
          <w:tcPr>
            <w:tcW w:w="2166"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联系方式</w:t>
            </w:r>
          </w:p>
        </w:tc>
        <w:tc>
          <w:tcPr>
            <w:tcW w:w="3027"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13573390669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632"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建设地点</w:t>
            </w:r>
          </w:p>
        </w:tc>
        <w:tc>
          <w:tcPr>
            <w:tcW w:w="8238" w:type="dxa"/>
            <w:gridSpan w:val="3"/>
            <w:noWrap w:val="0"/>
            <w:vAlign w:val="center"/>
          </w:tcPr>
          <w:p>
            <w:pPr>
              <w:adjustRightInd w:val="0"/>
              <w:snapToGrid w:val="0"/>
              <w:jc w:val="center"/>
              <w:rPr>
                <w:rFonts w:hint="eastAsia"/>
                <w:color w:val="auto"/>
                <w:spacing w:val="-10"/>
                <w:sz w:val="24"/>
                <w:highlight w:val="none"/>
                <w:u w:val="none"/>
              </w:rPr>
            </w:pPr>
            <w:r>
              <w:rPr>
                <w:rFonts w:hint="eastAsia"/>
                <w:color w:val="auto"/>
                <w:spacing w:val="-10"/>
                <w:sz w:val="24"/>
                <w:highlight w:val="none"/>
                <w:u w:val="none"/>
                <w:lang w:eastAsia="zh-CN"/>
              </w:rPr>
              <w:t>起点</w:t>
            </w:r>
            <w:r>
              <w:rPr>
                <w:rFonts w:hint="eastAsia"/>
                <w:color w:val="auto"/>
                <w:spacing w:val="-10"/>
                <w:sz w:val="24"/>
                <w:highlight w:val="none"/>
                <w:u w:val="none"/>
              </w:rPr>
              <w:t>位于山东省淄博市沂源县南鲁山镇车场村南桥（桩号44+550），</w:t>
            </w:r>
          </w:p>
          <w:p>
            <w:pPr>
              <w:adjustRightInd w:val="0"/>
              <w:snapToGrid w:val="0"/>
              <w:jc w:val="center"/>
              <w:rPr>
                <w:rFonts w:ascii="宋体" w:hAnsi="宋体" w:cs="宋体"/>
                <w:color w:val="FF0000"/>
                <w:sz w:val="24"/>
                <w:szCs w:val="24"/>
                <w:highlight w:val="none"/>
              </w:rPr>
            </w:pPr>
            <w:r>
              <w:rPr>
                <w:rFonts w:hint="eastAsia"/>
                <w:color w:val="auto"/>
                <w:spacing w:val="-10"/>
                <w:sz w:val="24"/>
                <w:highlight w:val="none"/>
                <w:u w:val="none"/>
              </w:rPr>
              <w:t>终点为沂源县县界（桩号30+420）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632"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地理坐标</w:t>
            </w:r>
          </w:p>
        </w:tc>
        <w:tc>
          <w:tcPr>
            <w:tcW w:w="8238" w:type="dxa"/>
            <w:gridSpan w:val="3"/>
            <w:noWrap w:val="0"/>
            <w:vAlign w:val="center"/>
          </w:tcPr>
          <w:p>
            <w:pPr>
              <w:bidi w:val="0"/>
              <w:jc w:val="center"/>
            </w:pPr>
            <w:r>
              <w:t>起点（E11</w:t>
            </w:r>
            <w:r>
              <w:rPr>
                <w:rFonts w:hint="eastAsia"/>
                <w:lang w:val="en-US" w:eastAsia="zh-CN"/>
              </w:rPr>
              <w:t>8</w:t>
            </w:r>
            <w:r>
              <w:t>度</w:t>
            </w:r>
            <w:r>
              <w:rPr>
                <w:rFonts w:hint="eastAsia"/>
                <w:lang w:val="en-US" w:eastAsia="zh-CN"/>
              </w:rPr>
              <w:t>11</w:t>
            </w:r>
            <w:r>
              <w:t>分</w:t>
            </w:r>
            <w:r>
              <w:rPr>
                <w:rFonts w:hint="eastAsia"/>
              </w:rPr>
              <w:t>32.141</w:t>
            </w:r>
            <w:r>
              <w:t>秒，N3</w:t>
            </w:r>
            <w:r>
              <w:rPr>
                <w:rFonts w:hint="eastAsia"/>
                <w:lang w:val="en-US" w:eastAsia="zh-CN"/>
              </w:rPr>
              <w:t>6</w:t>
            </w:r>
            <w:r>
              <w:t>度</w:t>
            </w:r>
            <w:r>
              <w:rPr>
                <w:rFonts w:hint="eastAsia"/>
                <w:lang w:val="en-US" w:eastAsia="zh-CN"/>
              </w:rPr>
              <w:t>15</w:t>
            </w:r>
            <w:r>
              <w:t>分</w:t>
            </w:r>
            <w:r>
              <w:rPr>
                <w:rFonts w:hint="eastAsia"/>
              </w:rPr>
              <w:t>36.132</w:t>
            </w:r>
            <w:r>
              <w:t>秒）</w:t>
            </w:r>
          </w:p>
          <w:p>
            <w:pPr>
              <w:adjustRightInd w:val="0"/>
              <w:snapToGrid w:val="0"/>
              <w:jc w:val="center"/>
              <w:rPr>
                <w:rFonts w:ascii="宋体" w:hAnsi="宋体" w:cs="宋体"/>
                <w:color w:val="FF0000"/>
                <w:sz w:val="24"/>
                <w:szCs w:val="24"/>
                <w:highlight w:val="none"/>
              </w:rPr>
            </w:pPr>
            <w:r>
              <w:rPr>
                <w:sz w:val="24"/>
              </w:rPr>
              <w:t>终点（</w:t>
            </w:r>
            <w:r>
              <w:rPr>
                <w:rFonts w:ascii="Times New Roman" w:eastAsia="Times New Roman"/>
                <w:sz w:val="24"/>
              </w:rPr>
              <w:t>E</w:t>
            </w:r>
            <w:r>
              <w:rPr>
                <w:rFonts w:ascii="Times New Roman" w:eastAsia="Times New Roman"/>
                <w:sz w:val="24"/>
                <w:u w:val="single"/>
              </w:rPr>
              <w:t>11</w:t>
            </w:r>
            <w:r>
              <w:rPr>
                <w:rFonts w:hint="eastAsia" w:ascii="Times New Roman" w:eastAsia="宋体"/>
                <w:sz w:val="24"/>
                <w:u w:val="single"/>
                <w:lang w:val="en-US" w:eastAsia="zh-CN"/>
              </w:rPr>
              <w:t>8</w:t>
            </w:r>
            <w:r>
              <w:rPr>
                <w:spacing w:val="-30"/>
                <w:sz w:val="24"/>
              </w:rPr>
              <w:t>度</w:t>
            </w:r>
            <w:r>
              <w:rPr>
                <w:rFonts w:hint="eastAsia" w:ascii="Times New Roman" w:eastAsia="宋体"/>
                <w:sz w:val="24"/>
                <w:u w:val="single"/>
                <w:lang w:val="en-US" w:eastAsia="zh-CN"/>
              </w:rPr>
              <w:t>16</w:t>
            </w:r>
            <w:r>
              <w:rPr>
                <w:spacing w:val="-30"/>
                <w:sz w:val="24"/>
              </w:rPr>
              <w:t>分</w:t>
            </w:r>
            <w:r>
              <w:rPr>
                <w:rFonts w:hint="eastAsia" w:ascii="Times New Roman" w:eastAsia="Times New Roman"/>
                <w:sz w:val="24"/>
                <w:u w:val="single"/>
              </w:rPr>
              <w:t>25.763</w:t>
            </w:r>
            <w:r>
              <w:rPr>
                <w:sz w:val="24"/>
              </w:rPr>
              <w:t>秒，</w:t>
            </w:r>
            <w:r>
              <w:rPr>
                <w:rFonts w:ascii="Times New Roman" w:eastAsia="Times New Roman"/>
                <w:sz w:val="24"/>
              </w:rPr>
              <w:t>N</w:t>
            </w:r>
            <w:r>
              <w:rPr>
                <w:rFonts w:ascii="Times New Roman" w:eastAsia="Times New Roman"/>
                <w:sz w:val="24"/>
                <w:u w:val="single"/>
              </w:rPr>
              <w:t>3</w:t>
            </w:r>
            <w:r>
              <w:rPr>
                <w:rFonts w:hint="eastAsia" w:ascii="Times New Roman" w:eastAsia="宋体"/>
                <w:sz w:val="24"/>
                <w:u w:val="single"/>
                <w:lang w:val="en-US" w:eastAsia="zh-CN"/>
              </w:rPr>
              <w:t>6</w:t>
            </w:r>
            <w:r>
              <w:rPr>
                <w:spacing w:val="-30"/>
                <w:sz w:val="24"/>
              </w:rPr>
              <w:t>度</w:t>
            </w:r>
            <w:r>
              <w:rPr>
                <w:rFonts w:hint="eastAsia" w:ascii="Times New Roman" w:eastAsia="宋体"/>
                <w:sz w:val="24"/>
                <w:u w:val="single"/>
                <w:lang w:val="en-US" w:eastAsia="zh-CN"/>
              </w:rPr>
              <w:t>20</w:t>
            </w:r>
            <w:r>
              <w:rPr>
                <w:spacing w:val="-30"/>
                <w:sz w:val="24"/>
              </w:rPr>
              <w:t>分</w:t>
            </w:r>
            <w:r>
              <w:rPr>
                <w:rFonts w:hint="eastAsia" w:ascii="Times New Roman" w:eastAsia="Times New Roman"/>
                <w:sz w:val="24"/>
                <w:u w:val="single"/>
              </w:rPr>
              <w:t>34.084</w:t>
            </w:r>
            <w:r>
              <w:rPr>
                <w:sz w:val="24"/>
              </w:rPr>
              <w:t>秒</w:t>
            </w:r>
            <w:r>
              <w:rPr>
                <w:spacing w:val="-1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46" w:hRule="atLeast"/>
        </w:trPr>
        <w:tc>
          <w:tcPr>
            <w:tcW w:w="632"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建设项目</w:t>
            </w:r>
          </w:p>
          <w:p>
            <w:pPr>
              <w:adjustRightInd w:val="0"/>
              <w:snapToGrid w:val="0"/>
              <w:jc w:val="center"/>
              <w:rPr>
                <w:rFonts w:ascii="宋体" w:hAnsi="宋体" w:cs="宋体"/>
                <w:sz w:val="24"/>
                <w:szCs w:val="24"/>
              </w:rPr>
            </w:pPr>
            <w:r>
              <w:rPr>
                <w:rFonts w:hint="eastAsia" w:ascii="宋体" w:hAnsi="宋体" w:cs="宋体"/>
                <w:sz w:val="24"/>
                <w:szCs w:val="24"/>
              </w:rPr>
              <w:t>行业类别</w:t>
            </w:r>
          </w:p>
        </w:tc>
        <w:tc>
          <w:tcPr>
            <w:tcW w:w="3045" w:type="dxa"/>
            <w:noWrap w:val="0"/>
            <w:vAlign w:val="center"/>
          </w:tcPr>
          <w:p>
            <w:pPr>
              <w:bidi w:val="0"/>
              <w:jc w:val="center"/>
              <w:rPr>
                <w:rFonts w:ascii="宋体" w:hAnsi="宋体" w:cs="宋体"/>
                <w:szCs w:val="24"/>
              </w:rPr>
            </w:pPr>
            <w:r>
              <w:t>五十一、水利 127防洪治涝工程</w:t>
            </w:r>
            <w:r>
              <w:rPr>
                <w:rFonts w:hint="eastAsia"/>
                <w:lang w:val="en-US" w:eastAsia="zh-CN"/>
              </w:rPr>
              <w:t xml:space="preserve"> </w:t>
            </w:r>
            <w:r>
              <w:t>其他（</w:t>
            </w:r>
            <w:r>
              <w:rPr>
                <w:rFonts w:hint="eastAsia"/>
                <w:lang w:eastAsia="zh-CN"/>
              </w:rPr>
              <w:t>建设规模是</w:t>
            </w:r>
            <w:r>
              <w:rPr>
                <w:rFonts w:hint="eastAsia"/>
                <w:sz w:val="24"/>
              </w:rPr>
              <w:t>小（</w:t>
            </w:r>
            <w:r>
              <w:rPr>
                <w:sz w:val="24"/>
              </w:rPr>
              <w:t>2</w:t>
            </w:r>
            <w:r>
              <w:rPr>
                <w:rFonts w:hint="eastAsia"/>
                <w:sz w:val="24"/>
              </w:rPr>
              <w:t>）</w:t>
            </w:r>
            <w:r>
              <w:rPr>
                <w:rFonts w:hint="eastAsia"/>
                <w:lang w:eastAsia="zh-CN"/>
              </w:rPr>
              <w:t>型</w:t>
            </w:r>
            <w:r>
              <w:t>）</w:t>
            </w:r>
          </w:p>
        </w:tc>
        <w:tc>
          <w:tcPr>
            <w:tcW w:w="2166" w:type="dxa"/>
            <w:noWrap w:val="0"/>
            <w:vAlign w:val="center"/>
          </w:tcPr>
          <w:p>
            <w:pPr>
              <w:adjustRightInd w:val="0"/>
              <w:snapToGrid w:val="0"/>
              <w:jc w:val="center"/>
              <w:rPr>
                <w:rFonts w:ascii="宋体" w:hAnsi="宋体" w:cs="宋体"/>
                <w:color w:val="auto"/>
                <w:sz w:val="24"/>
                <w:szCs w:val="24"/>
              </w:rPr>
            </w:pPr>
            <w:r>
              <w:rPr>
                <w:rFonts w:hint="eastAsia" w:ascii="宋体" w:hAnsi="宋体" w:cs="宋体"/>
                <w:sz w:val="24"/>
                <w:szCs w:val="24"/>
              </w:rPr>
              <w:t>用地（用海）面积（m</w:t>
            </w:r>
            <w:r>
              <w:rPr>
                <w:rFonts w:hint="eastAsia" w:ascii="宋体" w:hAnsi="宋体" w:cs="宋体"/>
                <w:sz w:val="24"/>
                <w:szCs w:val="24"/>
                <w:vertAlign w:val="superscript"/>
              </w:rPr>
              <w:t>2</w:t>
            </w:r>
            <w:r>
              <w:rPr>
                <w:rFonts w:hint="eastAsia" w:ascii="宋体" w:hAnsi="宋体" w:cs="宋体"/>
                <w:sz w:val="24"/>
                <w:szCs w:val="24"/>
              </w:rPr>
              <w:t>）/长度（km</w:t>
            </w:r>
            <w:r>
              <w:rPr>
                <w:color w:val="auto"/>
                <w:spacing w:val="-12"/>
                <w:sz w:val="24"/>
                <w:vertAlign w:val="baseline"/>
              </w:rPr>
              <w:t>）</w:t>
            </w:r>
          </w:p>
        </w:tc>
        <w:tc>
          <w:tcPr>
            <w:tcW w:w="3027" w:type="dxa"/>
            <w:noWrap w:val="0"/>
            <w:vAlign w:val="center"/>
          </w:tcPr>
          <w:p>
            <w:pPr>
              <w:bidi w:val="0"/>
              <w:jc w:val="center"/>
              <w:rPr>
                <w:rFonts w:hint="eastAsia" w:ascii="宋体" w:hAnsi="宋体" w:eastAsia="宋体" w:cs="宋体"/>
                <w:color w:val="auto"/>
                <w:sz w:val="24"/>
                <w:szCs w:val="24"/>
                <w:vertAlign w:val="baseline"/>
                <w:lang w:val="en-US" w:eastAsia="zh-CN"/>
              </w:rPr>
            </w:pPr>
            <w:r>
              <w:rPr>
                <w:rFonts w:hint="eastAsia"/>
                <w:color w:val="auto"/>
                <w:lang w:eastAsia="zh-CN"/>
              </w:rPr>
              <w:t>14.13km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632"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建设性质</w:t>
            </w:r>
          </w:p>
        </w:tc>
        <w:tc>
          <w:tcPr>
            <w:tcW w:w="3045"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新建（迁建）</w:t>
            </w:r>
          </w:p>
          <w:p>
            <w:pPr>
              <w:adjustRightInd w:val="0"/>
              <w:snapToGrid w:val="0"/>
              <w:jc w:val="center"/>
              <w:rPr>
                <w:rFonts w:ascii="宋体" w:hAnsi="宋体" w:cs="宋体"/>
                <w:sz w:val="24"/>
                <w:szCs w:val="24"/>
              </w:rPr>
            </w:pPr>
            <w:r>
              <w:rPr>
                <w:rFonts w:hint="eastAsia" w:ascii="宋体" w:hAnsi="宋体" w:cs="宋体"/>
                <w:sz w:val="24"/>
                <w:szCs w:val="24"/>
              </w:rPr>
              <w:t>□改建</w:t>
            </w:r>
          </w:p>
          <w:p>
            <w:pPr>
              <w:adjustRightInd w:val="0"/>
              <w:snapToGrid w:val="0"/>
              <w:jc w:val="center"/>
              <w:rPr>
                <w:rFonts w:ascii="宋体" w:hAnsi="宋体" w:cs="宋体"/>
                <w:sz w:val="24"/>
                <w:szCs w:val="24"/>
              </w:rPr>
            </w:pPr>
            <w:r>
              <w:rPr>
                <w:rFonts w:hint="eastAsia" w:ascii="宋体" w:hAnsi="宋体" w:cs="宋体"/>
                <w:sz w:val="24"/>
                <w:szCs w:val="24"/>
              </w:rPr>
              <w:t>□扩建</w:t>
            </w:r>
          </w:p>
          <w:p>
            <w:pPr>
              <w:adjustRightInd w:val="0"/>
              <w:snapToGrid w:val="0"/>
              <w:jc w:val="center"/>
              <w:rPr>
                <w:rFonts w:ascii="宋体" w:hAnsi="宋体" w:cs="宋体"/>
                <w:sz w:val="24"/>
                <w:szCs w:val="24"/>
              </w:rPr>
            </w:pPr>
            <w:r>
              <w:rPr>
                <w:rFonts w:hint="eastAsia" w:ascii="宋体" w:hAnsi="宋体" w:cs="宋体"/>
                <w:sz w:val="24"/>
                <w:szCs w:val="24"/>
              </w:rPr>
              <w:t>□技术改造</w:t>
            </w:r>
          </w:p>
        </w:tc>
        <w:tc>
          <w:tcPr>
            <w:tcW w:w="2166"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建设项目</w:t>
            </w:r>
          </w:p>
          <w:p>
            <w:pPr>
              <w:adjustRightInd w:val="0"/>
              <w:snapToGrid w:val="0"/>
              <w:jc w:val="center"/>
              <w:rPr>
                <w:rFonts w:ascii="宋体" w:hAnsi="宋体" w:cs="宋体"/>
                <w:sz w:val="24"/>
                <w:szCs w:val="24"/>
              </w:rPr>
            </w:pPr>
            <w:r>
              <w:rPr>
                <w:rFonts w:hint="eastAsia" w:ascii="宋体" w:hAnsi="宋体" w:cs="宋体"/>
                <w:sz w:val="24"/>
                <w:szCs w:val="24"/>
              </w:rPr>
              <w:t>申报情形</w:t>
            </w:r>
          </w:p>
        </w:tc>
        <w:tc>
          <w:tcPr>
            <w:tcW w:w="3027"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首次申报项目</w:t>
            </w:r>
          </w:p>
          <w:p>
            <w:pPr>
              <w:adjustRightInd w:val="0"/>
              <w:snapToGrid w:val="0"/>
              <w:jc w:val="center"/>
              <w:rPr>
                <w:rFonts w:ascii="宋体" w:hAnsi="宋体" w:cs="宋体"/>
                <w:sz w:val="24"/>
                <w:szCs w:val="24"/>
              </w:rPr>
            </w:pPr>
            <w:r>
              <w:rPr>
                <w:rFonts w:hint="eastAsia" w:ascii="宋体" w:hAnsi="宋体" w:cs="宋体"/>
                <w:sz w:val="24"/>
                <w:szCs w:val="24"/>
              </w:rPr>
              <w:t>□不予批准后再次申报项目</w:t>
            </w:r>
          </w:p>
          <w:p>
            <w:pPr>
              <w:adjustRightInd w:val="0"/>
              <w:snapToGrid w:val="0"/>
              <w:jc w:val="center"/>
              <w:rPr>
                <w:rFonts w:ascii="宋体" w:hAnsi="宋体" w:cs="宋体"/>
                <w:sz w:val="24"/>
                <w:szCs w:val="24"/>
              </w:rPr>
            </w:pPr>
            <w:r>
              <w:rPr>
                <w:rFonts w:hint="eastAsia" w:ascii="宋体" w:hAnsi="宋体" w:cs="宋体"/>
                <w:sz w:val="24"/>
                <w:szCs w:val="24"/>
              </w:rPr>
              <w:t>□超五年重新审核项目</w:t>
            </w:r>
          </w:p>
          <w:p>
            <w:pPr>
              <w:adjustRightInd w:val="0"/>
              <w:snapToGrid w:val="0"/>
              <w:jc w:val="center"/>
              <w:rPr>
                <w:rFonts w:ascii="宋体" w:hAnsi="宋体" w:cs="宋体"/>
                <w:sz w:val="24"/>
                <w:szCs w:val="24"/>
              </w:rPr>
            </w:pPr>
            <w:r>
              <w:rPr>
                <w:rFonts w:hint="eastAsia" w:ascii="宋体" w:hAnsi="宋体" w:cs="宋体"/>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32"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项目审批部门（选填）</w:t>
            </w:r>
          </w:p>
        </w:tc>
        <w:tc>
          <w:tcPr>
            <w:tcW w:w="3045"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沂源县发展和改革局</w:t>
            </w:r>
          </w:p>
        </w:tc>
        <w:tc>
          <w:tcPr>
            <w:tcW w:w="2166"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项目审批（核准</w:t>
            </w:r>
            <w:r>
              <w:rPr>
                <w:rFonts w:ascii="宋体" w:hAnsi="宋体" w:cs="宋体"/>
                <w:sz w:val="24"/>
                <w:szCs w:val="24"/>
              </w:rPr>
              <w:t>/</w:t>
            </w:r>
          </w:p>
          <w:p>
            <w:pPr>
              <w:adjustRightInd w:val="0"/>
              <w:snapToGrid w:val="0"/>
              <w:jc w:val="center"/>
              <w:rPr>
                <w:rFonts w:ascii="宋体" w:hAnsi="宋体" w:cs="宋体"/>
                <w:sz w:val="24"/>
                <w:szCs w:val="24"/>
              </w:rPr>
            </w:pPr>
            <w:r>
              <w:rPr>
                <w:rFonts w:hint="eastAsia" w:ascii="宋体" w:hAnsi="宋体" w:cs="宋体"/>
                <w:sz w:val="24"/>
                <w:szCs w:val="24"/>
              </w:rPr>
              <w:t>备案）文号（选填）</w:t>
            </w:r>
          </w:p>
        </w:tc>
        <w:tc>
          <w:tcPr>
            <w:tcW w:w="3027"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源发改项审[2023]</w:t>
            </w:r>
            <w:r>
              <w:rPr>
                <w:rFonts w:hint="eastAsia" w:ascii="宋体" w:hAnsi="宋体" w:cs="宋体"/>
                <w:sz w:val="24"/>
                <w:szCs w:val="24"/>
                <w:lang w:val="en-US" w:eastAsia="zh-CN"/>
              </w:rPr>
              <w:t>24</w:t>
            </w:r>
            <w:r>
              <w:rPr>
                <w:rFonts w:hint="eastAsia" w:ascii="宋体" w:hAnsi="宋体" w:cs="宋体"/>
                <w:sz w:val="24"/>
                <w:szCs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7" w:hRule="atLeast"/>
        </w:trPr>
        <w:tc>
          <w:tcPr>
            <w:tcW w:w="632"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总投资（万元）</w:t>
            </w:r>
          </w:p>
        </w:tc>
        <w:tc>
          <w:tcPr>
            <w:tcW w:w="3045" w:type="dxa"/>
            <w:noWrap w:val="0"/>
            <w:vAlign w:val="center"/>
          </w:tcPr>
          <w:p>
            <w:pPr>
              <w:bidi w:val="0"/>
              <w:jc w:val="center"/>
            </w:pPr>
            <w:r>
              <w:rPr>
                <w:rFonts w:hint="eastAsia"/>
              </w:rPr>
              <w:t>48</w:t>
            </w:r>
            <w:r>
              <w:rPr>
                <w:rFonts w:hint="eastAsia"/>
                <w:lang w:val="en-US" w:eastAsia="zh-CN"/>
              </w:rPr>
              <w:t>00.</w:t>
            </w:r>
            <w:r>
              <w:rPr>
                <w:rFonts w:hint="eastAsia"/>
              </w:rPr>
              <w:t>00</w:t>
            </w:r>
          </w:p>
        </w:tc>
        <w:tc>
          <w:tcPr>
            <w:tcW w:w="2166" w:type="dxa"/>
            <w:noWrap w:val="0"/>
            <w:tcMar>
              <w:top w:w="16" w:type="dxa"/>
              <w:left w:w="16" w:type="dxa"/>
              <w:right w:w="16" w:type="dxa"/>
            </w:tcMar>
            <w:vAlign w:val="center"/>
          </w:tcPr>
          <w:p>
            <w:pPr>
              <w:bidi w:val="0"/>
              <w:jc w:val="center"/>
            </w:pPr>
            <w:r>
              <w:t>环保投资（万元）</w:t>
            </w:r>
          </w:p>
        </w:tc>
        <w:tc>
          <w:tcPr>
            <w:tcW w:w="3027" w:type="dxa"/>
            <w:noWrap w:val="0"/>
            <w:vAlign w:val="center"/>
          </w:tcPr>
          <w:p>
            <w:pPr>
              <w:bidi w:val="0"/>
              <w:jc w:val="center"/>
              <w:rPr>
                <w:rFonts w:hint="default"/>
                <w:lang w:val="en-US" w:eastAsia="zh-CN"/>
              </w:rPr>
            </w:pPr>
            <w:r>
              <w:rPr>
                <w:rFonts w:hint="eastAsia"/>
                <w:lang w:val="en-US" w:eastAsia="zh-CN"/>
              </w:rPr>
              <w:t>242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8" w:hRule="atLeast"/>
        </w:trPr>
        <w:tc>
          <w:tcPr>
            <w:tcW w:w="632"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环保投资占比（</w:t>
            </w:r>
            <w:r>
              <w:rPr>
                <w:rFonts w:ascii="宋体" w:hAnsi="宋体" w:cs="宋体"/>
                <w:sz w:val="24"/>
                <w:szCs w:val="24"/>
              </w:rPr>
              <w:t>%</w:t>
            </w:r>
            <w:r>
              <w:rPr>
                <w:rFonts w:hint="eastAsia" w:ascii="宋体" w:hAnsi="宋体" w:cs="宋体"/>
                <w:sz w:val="24"/>
                <w:szCs w:val="24"/>
              </w:rPr>
              <w:t>）</w:t>
            </w:r>
          </w:p>
        </w:tc>
        <w:tc>
          <w:tcPr>
            <w:tcW w:w="3045" w:type="dxa"/>
            <w:noWrap w:val="0"/>
            <w:vAlign w:val="center"/>
          </w:tcPr>
          <w:p>
            <w:pPr>
              <w:bidi w:val="0"/>
              <w:jc w:val="center"/>
              <w:rPr>
                <w:rFonts w:hint="default"/>
                <w:lang w:val="en-US" w:eastAsia="zh-CN"/>
              </w:rPr>
            </w:pPr>
            <w:r>
              <w:rPr>
                <w:rFonts w:hint="eastAsia"/>
                <w:lang w:val="en-US" w:eastAsia="zh-CN"/>
              </w:rPr>
              <w:t>5.04</w:t>
            </w:r>
          </w:p>
        </w:tc>
        <w:tc>
          <w:tcPr>
            <w:tcW w:w="2166" w:type="dxa"/>
            <w:noWrap w:val="0"/>
            <w:tcMar>
              <w:top w:w="16" w:type="dxa"/>
              <w:left w:w="16" w:type="dxa"/>
              <w:right w:w="16" w:type="dxa"/>
            </w:tcMar>
            <w:vAlign w:val="center"/>
          </w:tcPr>
          <w:p>
            <w:pPr>
              <w:bidi w:val="0"/>
              <w:jc w:val="center"/>
            </w:pPr>
            <w:r>
              <w:t>施工工期</w:t>
            </w:r>
          </w:p>
        </w:tc>
        <w:tc>
          <w:tcPr>
            <w:tcW w:w="3027" w:type="dxa"/>
            <w:noWrap w:val="0"/>
            <w:vAlign w:val="center"/>
          </w:tcPr>
          <w:p>
            <w:pPr>
              <w:bidi w:val="0"/>
              <w:jc w:val="center"/>
            </w:pPr>
            <w:r>
              <w:rPr>
                <w:rFonts w:hint="eastAsia"/>
                <w:color w:val="FF0000"/>
                <w:lang w:val="en-US" w:eastAsia="zh-CN"/>
              </w:rPr>
              <w:t>14个月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632" w:type="dxa"/>
            <w:noWrap w:val="0"/>
            <w:tcMar>
              <w:top w:w="16" w:type="dxa"/>
              <w:left w:w="16" w:type="dxa"/>
              <w:right w:w="16" w:type="dxa"/>
            </w:tcMar>
            <w:vAlign w:val="center"/>
          </w:tcPr>
          <w:p>
            <w:pPr>
              <w:adjustRightInd w:val="0"/>
              <w:snapToGrid w:val="0"/>
              <w:jc w:val="center"/>
              <w:rPr>
                <w:rFonts w:ascii="宋体" w:hAnsi="宋体" w:cs="宋体"/>
                <w:sz w:val="24"/>
                <w:szCs w:val="24"/>
              </w:rPr>
            </w:pPr>
            <w:r>
              <w:rPr>
                <w:rFonts w:hint="eastAsia" w:ascii="宋体" w:hAnsi="宋体" w:cs="宋体"/>
                <w:sz w:val="24"/>
                <w:szCs w:val="24"/>
              </w:rPr>
              <w:t>是否开工建设</w:t>
            </w:r>
          </w:p>
        </w:tc>
        <w:tc>
          <w:tcPr>
            <w:tcW w:w="8238" w:type="dxa"/>
            <w:gridSpan w:val="3"/>
            <w:noWrap w:val="0"/>
            <w:vAlign w:val="center"/>
          </w:tcPr>
          <w:p>
            <w:pPr>
              <w:adjustRightInd w:val="0"/>
              <w:snapToGrid w:val="0"/>
              <w:ind w:firstLine="105"/>
              <w:jc w:val="center"/>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rPr>
              <w:t>否</w:t>
            </w:r>
          </w:p>
          <w:p>
            <w:pPr>
              <w:adjustRightInd w:val="0"/>
              <w:snapToGrid w:val="0"/>
              <w:ind w:firstLine="92"/>
              <w:jc w:val="center"/>
              <w:rPr>
                <w:rFonts w:ascii="宋体" w:hAnsi="宋体" w:cs="宋体"/>
                <w:sz w:val="24"/>
                <w:szCs w:val="24"/>
              </w:rPr>
            </w:pPr>
            <w:r>
              <w:rPr>
                <w:rFonts w:hint="eastAsia" w:ascii="宋体" w:hAnsi="宋体" w:cs="宋体"/>
                <w:sz w:val="24"/>
                <w:szCs w:val="24"/>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44" w:hRule="atLeast"/>
        </w:trPr>
        <w:tc>
          <w:tcPr>
            <w:tcW w:w="632" w:type="dxa"/>
            <w:noWrap w:val="0"/>
            <w:tcMar>
              <w:top w:w="16" w:type="dxa"/>
              <w:left w:w="16" w:type="dxa"/>
              <w:right w:w="16" w:type="dxa"/>
            </w:tcMar>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专项评价设置情况</w:t>
            </w:r>
          </w:p>
        </w:tc>
        <w:tc>
          <w:tcPr>
            <w:tcW w:w="8238" w:type="dxa"/>
            <w:gridSpan w:val="3"/>
            <w:noWrap w:val="0"/>
            <w:tcMar>
              <w:top w:w="16" w:type="dxa"/>
              <w:left w:w="16" w:type="dxa"/>
              <w:right w:w="16" w:type="dxa"/>
            </w:tcMar>
            <w:vAlign w:val="center"/>
          </w:tcPr>
          <w:p>
            <w:pPr>
              <w:widowControl/>
              <w:spacing w:line="240" w:lineRule="auto"/>
              <w:ind w:firstLine="422"/>
              <w:jc w:val="center"/>
              <w:rPr>
                <w:rFonts w:hint="eastAsia" w:ascii="Times New Roman" w:hAnsi="Times New Roman" w:eastAsia="宋体" w:cs="Times New Roman"/>
                <w:b/>
                <w:bCs/>
                <w:kern w:val="0"/>
                <w:sz w:val="21"/>
                <w:szCs w:val="21"/>
                <w:lang w:eastAsia="zh-CN"/>
              </w:rPr>
            </w:pPr>
            <w:r>
              <w:rPr>
                <w:rFonts w:hint="default" w:ascii="Times New Roman" w:hAnsi="Times New Roman" w:cs="Times New Roman"/>
                <w:b/>
                <w:bCs/>
                <w:kern w:val="0"/>
                <w:sz w:val="21"/>
                <w:szCs w:val="21"/>
              </w:rPr>
              <w:t xml:space="preserve">表1-1   </w:t>
            </w:r>
            <w:r>
              <w:rPr>
                <w:rFonts w:hint="eastAsia" w:ascii="Times New Roman" w:hAnsi="Times New Roman" w:cs="Times New Roman"/>
                <w:b/>
                <w:bCs/>
                <w:kern w:val="0"/>
                <w:sz w:val="21"/>
                <w:szCs w:val="21"/>
                <w:lang w:eastAsia="zh-CN"/>
              </w:rPr>
              <w:t>本</w:t>
            </w:r>
            <w:r>
              <w:rPr>
                <w:rFonts w:hint="default" w:ascii="Times New Roman" w:hAnsi="Times New Roman" w:cs="Times New Roman"/>
                <w:b/>
                <w:bCs/>
                <w:kern w:val="0"/>
                <w:sz w:val="21"/>
                <w:szCs w:val="21"/>
              </w:rPr>
              <w:t>项目专项评价设置情况</w:t>
            </w:r>
            <w:r>
              <w:rPr>
                <w:rFonts w:hint="eastAsia" w:ascii="Times New Roman" w:hAnsi="Times New Roman" w:cs="Times New Roman"/>
                <w:b/>
                <w:bCs/>
                <w:kern w:val="0"/>
                <w:sz w:val="21"/>
                <w:szCs w:val="21"/>
                <w:lang w:eastAsia="zh-CN"/>
              </w:rPr>
              <w:t>汇总表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3162"/>
              <w:gridCol w:w="2827"/>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17"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default" w:ascii="Times New Roman" w:hAnsi="Times New Roman" w:eastAsia="宋体" w:cs="Times New Roman"/>
                      <w:b/>
                      <w:bCs w:val="0"/>
                      <w:kern w:val="0"/>
                      <w:sz w:val="21"/>
                      <w:szCs w:val="21"/>
                      <w:lang w:val="en-US" w:eastAsia="zh-CN" w:bidi="en-US"/>
                    </w:rPr>
                  </w:pPr>
                  <w:r>
                    <w:rPr>
                      <w:rFonts w:hint="eastAsia" w:ascii="Times New Roman" w:hAnsi="Times New Roman" w:eastAsia="宋体" w:cs="Times New Roman"/>
                      <w:b/>
                      <w:bCs w:val="0"/>
                      <w:kern w:val="0"/>
                      <w:sz w:val="21"/>
                      <w:szCs w:val="21"/>
                      <w:lang w:val="en-US" w:eastAsia="zh-CN" w:bidi="en-US"/>
                    </w:rPr>
                    <w:t>专项评价的类别</w:t>
                  </w:r>
                </w:p>
              </w:tc>
              <w:tc>
                <w:tcPr>
                  <w:tcW w:w="1930"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
                      <w:bCs w:val="0"/>
                      <w:kern w:val="0"/>
                      <w:sz w:val="21"/>
                      <w:szCs w:val="21"/>
                      <w:lang w:val="en-US" w:eastAsia="zh-CN" w:bidi="en-US"/>
                    </w:rPr>
                  </w:pPr>
                  <w:r>
                    <w:rPr>
                      <w:rFonts w:hint="eastAsia" w:ascii="Times New Roman" w:hAnsi="Times New Roman" w:eastAsia="宋体" w:cs="Times New Roman"/>
                      <w:b/>
                      <w:bCs w:val="0"/>
                      <w:kern w:val="0"/>
                      <w:sz w:val="21"/>
                      <w:szCs w:val="21"/>
                      <w:lang w:val="en-US" w:eastAsia="zh-CN" w:bidi="en-US"/>
                    </w:rPr>
                    <w:t>涉及项目类别</w:t>
                  </w:r>
                </w:p>
              </w:tc>
              <w:tc>
                <w:tcPr>
                  <w:tcW w:w="1725"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
                      <w:bCs w:val="0"/>
                      <w:kern w:val="0"/>
                      <w:sz w:val="21"/>
                      <w:szCs w:val="21"/>
                      <w:lang w:val="en-US" w:eastAsia="zh-CN" w:bidi="en-US"/>
                    </w:rPr>
                  </w:pPr>
                  <w:r>
                    <w:rPr>
                      <w:rFonts w:hint="eastAsia" w:ascii="Times New Roman" w:hAnsi="Times New Roman" w:eastAsia="宋体" w:cs="Times New Roman"/>
                      <w:b/>
                      <w:bCs w:val="0"/>
                      <w:kern w:val="0"/>
                      <w:sz w:val="21"/>
                      <w:szCs w:val="21"/>
                      <w:lang w:val="en-US" w:eastAsia="zh-CN" w:bidi="en-US"/>
                    </w:rPr>
                    <w:t>本项目情况</w:t>
                  </w:r>
                </w:p>
              </w:tc>
              <w:tc>
                <w:tcPr>
                  <w:tcW w:w="72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
                      <w:bCs w:val="0"/>
                      <w:kern w:val="0"/>
                      <w:sz w:val="21"/>
                      <w:szCs w:val="21"/>
                      <w:lang w:val="en-US" w:eastAsia="zh-CN" w:bidi="en-US"/>
                    </w:rPr>
                  </w:pPr>
                  <w:r>
                    <w:rPr>
                      <w:rFonts w:hint="eastAsia" w:ascii="Times New Roman" w:hAnsi="Times New Roman" w:eastAsia="宋体" w:cs="Times New Roman"/>
                      <w:b/>
                      <w:bCs w:val="0"/>
                      <w:kern w:val="0"/>
                      <w:sz w:val="21"/>
                      <w:szCs w:val="21"/>
                      <w:lang w:val="en-US" w:eastAsia="zh-CN" w:bidi="en-US"/>
                    </w:rPr>
                    <w:t>是否涉及该类别专项评价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617"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p>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地表水</w:t>
                  </w:r>
                </w:p>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p>
              </w:tc>
              <w:tc>
                <w:tcPr>
                  <w:tcW w:w="1930"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both"/>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1725"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both"/>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本项目属于防洪除涝工程，工程不包含水库；清淤属于河湖治理，但</w:t>
                  </w:r>
                  <w:r>
                    <w:rPr>
                      <w:rFonts w:hint="eastAsia" w:cs="Times New Roman"/>
                      <w:bCs/>
                      <w:kern w:val="0"/>
                      <w:sz w:val="21"/>
                      <w:szCs w:val="21"/>
                      <w:lang w:val="en-US" w:eastAsia="zh-CN" w:bidi="en-US"/>
                    </w:rPr>
                    <w:t>项目为</w:t>
                  </w:r>
                  <w:r>
                    <w:rPr>
                      <w:rFonts w:hint="eastAsia" w:ascii="Times New Roman" w:hAnsi="Times New Roman" w:eastAsia="宋体" w:cs="Times New Roman"/>
                      <w:bCs/>
                      <w:kern w:val="0"/>
                      <w:sz w:val="21"/>
                      <w:szCs w:val="21"/>
                      <w:lang w:val="en-US" w:eastAsia="zh-CN" w:bidi="en-US"/>
                    </w:rPr>
                    <w:t>天然河流，无工业废水和生活污水排入，不涉及底泥存在重金属污染，因此本项目不需设置地表水专项评价。</w:t>
                  </w:r>
                </w:p>
              </w:tc>
              <w:tc>
                <w:tcPr>
                  <w:tcW w:w="72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617"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p>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地下水</w:t>
                  </w:r>
                </w:p>
              </w:tc>
              <w:tc>
                <w:tcPr>
                  <w:tcW w:w="1930"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both"/>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陆地石油和天然气开采：全部；地下水（含矿泉水）开采：全部；水利、水电、交通等：含穿越可溶岩地层隧道的项目</w:t>
                  </w:r>
                </w:p>
              </w:tc>
              <w:tc>
                <w:tcPr>
                  <w:tcW w:w="1725"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both"/>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本项目属于防洪除涝工程，不属于陆地石油和天然气开采、地下水开采项目，同时本项目不涉及穿越可溶岩地层隧道。</w:t>
                  </w:r>
                </w:p>
              </w:tc>
              <w:tc>
                <w:tcPr>
                  <w:tcW w:w="72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p>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3" w:hRule="atLeast"/>
              </w:trPr>
              <w:tc>
                <w:tcPr>
                  <w:tcW w:w="617"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Cs/>
                      <w:color w:val="auto"/>
                      <w:kern w:val="0"/>
                      <w:sz w:val="21"/>
                      <w:szCs w:val="21"/>
                      <w:lang w:val="en-US" w:eastAsia="zh-CN" w:bidi="en-US"/>
                    </w:rPr>
                  </w:pPr>
                </w:p>
                <w:p>
                  <w:pPr>
                    <w:widowControl/>
                    <w:snapToGrid w:val="0"/>
                    <w:spacing w:line="240" w:lineRule="auto"/>
                    <w:ind w:right="-72" w:rightChars="-30"/>
                    <w:jc w:val="center"/>
                    <w:textAlignment w:val="baseline"/>
                    <w:rPr>
                      <w:rFonts w:hint="eastAsia"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生态</w:t>
                  </w:r>
                </w:p>
              </w:tc>
              <w:tc>
                <w:tcPr>
                  <w:tcW w:w="1930"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both"/>
                    <w:textAlignment w:val="baseline"/>
                    <w:rPr>
                      <w:rFonts w:hint="eastAsia"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涉及环境敏感区（不包括饮用水水源保护区，以居住、医疗卫生、文化教育、科研、行政办公为主要功能的区域，以及文物保护单位）的项目</w:t>
                  </w:r>
                </w:p>
              </w:tc>
              <w:tc>
                <w:tcPr>
                  <w:tcW w:w="1725"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both"/>
                    <w:textAlignment w:val="baseline"/>
                    <w:rPr>
                      <w:rFonts w:hint="eastAsia"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本项目不</w:t>
                  </w:r>
                  <w:r>
                    <w:rPr>
                      <w:rFonts w:hint="eastAsia" w:cs="Times New Roman"/>
                      <w:bCs/>
                      <w:color w:val="auto"/>
                      <w:kern w:val="0"/>
                      <w:sz w:val="21"/>
                      <w:szCs w:val="21"/>
                      <w:lang w:val="en-US" w:eastAsia="zh-CN" w:bidi="en-US"/>
                    </w:rPr>
                    <w:t>涉及环境敏感区</w:t>
                  </w:r>
                  <w:r>
                    <w:rPr>
                      <w:rFonts w:hint="eastAsia" w:ascii="Times New Roman" w:hAnsi="Times New Roman" w:eastAsia="宋体" w:cs="Times New Roman"/>
                      <w:bCs/>
                      <w:kern w:val="0"/>
                      <w:sz w:val="21"/>
                      <w:szCs w:val="21"/>
                      <w:lang w:val="en-US" w:eastAsia="zh-CN" w:bidi="en-US"/>
                    </w:rPr>
                    <w:t>。</w:t>
                  </w:r>
                </w:p>
              </w:tc>
              <w:tc>
                <w:tcPr>
                  <w:tcW w:w="72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Cs/>
                      <w:color w:val="auto"/>
                      <w:kern w:val="0"/>
                      <w:sz w:val="21"/>
                      <w:szCs w:val="21"/>
                      <w:lang w:val="en-US" w:eastAsia="zh-CN" w:bidi="en-US"/>
                    </w:rPr>
                  </w:pPr>
                </w:p>
                <w:p>
                  <w:pPr>
                    <w:widowControl/>
                    <w:snapToGrid w:val="0"/>
                    <w:spacing w:line="240" w:lineRule="auto"/>
                    <w:ind w:right="-72" w:rightChars="-30"/>
                    <w:jc w:val="center"/>
                    <w:textAlignment w:val="baseline"/>
                    <w:rPr>
                      <w:rFonts w:hint="eastAsia" w:ascii="Times New Roman" w:hAnsi="Times New Roman" w:eastAsia="宋体" w:cs="Times New Roman"/>
                      <w:bCs/>
                      <w:color w:val="auto"/>
                      <w:kern w:val="0"/>
                      <w:sz w:val="21"/>
                      <w:szCs w:val="21"/>
                      <w:lang w:val="en-US" w:eastAsia="zh-CN" w:bidi="en-US"/>
                    </w:rPr>
                  </w:pPr>
                  <w:r>
                    <w:rPr>
                      <w:rFonts w:hint="eastAsia" w:cs="Times New Roman"/>
                      <w:bCs/>
                      <w:color w:val="auto"/>
                      <w:kern w:val="0"/>
                      <w:sz w:val="21"/>
                      <w:szCs w:val="21"/>
                      <w:lang w:val="en-US" w:eastAsia="zh-CN" w:bidi="en-US"/>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617"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p>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大气</w:t>
                  </w:r>
                </w:p>
              </w:tc>
              <w:tc>
                <w:tcPr>
                  <w:tcW w:w="1930"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both"/>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油气、液体化工码头：全部；干散货（含煤炭、矿石）、件杂、多用途、通用码头：涉及粉尘、挥发性有机物排放的项目</w:t>
                  </w:r>
                </w:p>
              </w:tc>
              <w:tc>
                <w:tcPr>
                  <w:tcW w:w="1725"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both"/>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本项目属于防洪除涝工程，不属于码头项目。不涉及粉尘、挥发性有机物的排放。</w:t>
                  </w:r>
                </w:p>
              </w:tc>
              <w:tc>
                <w:tcPr>
                  <w:tcW w:w="72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p>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617"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p>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噪声</w:t>
                  </w:r>
                </w:p>
              </w:tc>
              <w:tc>
                <w:tcPr>
                  <w:tcW w:w="1930"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both"/>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公路、铁路、机场等交通运输业涉及环境敏感区（以居住、医疗卫生、文化教育、科研、行政办公为主要功能的区域）的项目；城市道路（不含维护，不含支路、人行天桥、人行地道）：全部</w:t>
                  </w:r>
                </w:p>
              </w:tc>
              <w:tc>
                <w:tcPr>
                  <w:tcW w:w="1725"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both"/>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本项目属于防洪除涝工程，不属于道路项目。</w:t>
                  </w:r>
                </w:p>
              </w:tc>
              <w:tc>
                <w:tcPr>
                  <w:tcW w:w="72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p>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trPr>
              <w:tc>
                <w:tcPr>
                  <w:tcW w:w="617"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p>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环境风险</w:t>
                  </w:r>
                </w:p>
              </w:tc>
              <w:tc>
                <w:tcPr>
                  <w:tcW w:w="1930"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both"/>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石油和天然气开采：全部；油气、液体化工码头：全部原油、成品油、天然气管线（不含城镇天然气管线、企业厂区内管线），危险化学品输送管线（不含企业厂区内管线）全部</w:t>
                  </w:r>
                </w:p>
              </w:tc>
              <w:tc>
                <w:tcPr>
                  <w:tcW w:w="1725"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both"/>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本项目属于防洪除涝工程，不属于石油和天然气开采、码头、原油、成品油、天然气管线项目。</w:t>
                  </w:r>
                </w:p>
              </w:tc>
              <w:tc>
                <w:tcPr>
                  <w:tcW w:w="726" w:type="pc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p>
                <w:p>
                  <w:pPr>
                    <w:widowControl/>
                    <w:snapToGrid w:val="0"/>
                    <w:spacing w:line="240" w:lineRule="auto"/>
                    <w:ind w:right="-72" w:rightChars="-3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ind w:right="-72" w:rightChars="-30"/>
                    <w:jc w:val="left"/>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注</w:t>
                  </w:r>
                  <w:r>
                    <w:rPr>
                      <w:rFonts w:hint="eastAsia" w:cs="Times New Roman"/>
                      <w:bCs/>
                      <w:kern w:val="0"/>
                      <w:sz w:val="21"/>
                      <w:szCs w:val="21"/>
                      <w:lang w:val="en-US" w:eastAsia="zh-CN" w:bidi="en-US"/>
                    </w:rPr>
                    <w:t>：</w:t>
                  </w:r>
                  <w:r>
                    <w:rPr>
                      <w:rFonts w:hint="default" w:ascii="Times New Roman" w:hAnsi="Times New Roman" w:eastAsia="宋体" w:cs="Times New Roman"/>
                      <w:bCs/>
                      <w:kern w:val="0"/>
                      <w:sz w:val="21"/>
                      <w:szCs w:val="21"/>
                      <w:lang w:val="en-US" w:eastAsia="zh-CN" w:bidi="en-US"/>
                    </w:rPr>
                    <w:t>“涉及环境敏感区”是指建立工程位于、穿</w:t>
                  </w:r>
                  <w:r>
                    <w:rPr>
                      <w:rFonts w:hint="eastAsia" w:cs="Times New Roman"/>
                      <w:bCs/>
                      <w:kern w:val="0"/>
                      <w:sz w:val="21"/>
                      <w:szCs w:val="21"/>
                      <w:lang w:val="en-US" w:eastAsia="zh-CN" w:bidi="en-US"/>
                    </w:rPr>
                    <w:t>（</w:t>
                  </w:r>
                  <w:r>
                    <w:rPr>
                      <w:rFonts w:hint="default" w:ascii="Times New Roman" w:hAnsi="Times New Roman" w:eastAsia="宋体" w:cs="Times New Roman"/>
                      <w:bCs/>
                      <w:kern w:val="0"/>
                      <w:sz w:val="21"/>
                      <w:szCs w:val="21"/>
                      <w:lang w:val="en-US" w:eastAsia="zh-CN" w:bidi="en-US"/>
                    </w:rPr>
                    <w:t>跨</w:t>
                  </w:r>
                  <w:r>
                    <w:rPr>
                      <w:rFonts w:hint="eastAsia" w:cs="Times New Roman"/>
                      <w:bCs/>
                      <w:kern w:val="0"/>
                      <w:sz w:val="21"/>
                      <w:szCs w:val="21"/>
                      <w:lang w:val="en-US" w:eastAsia="zh-CN" w:bidi="en-US"/>
                    </w:rPr>
                    <w:t>）</w:t>
                  </w:r>
                  <w:r>
                    <w:rPr>
                      <w:rFonts w:hint="default" w:ascii="Times New Roman" w:hAnsi="Times New Roman" w:eastAsia="宋体" w:cs="Times New Roman"/>
                      <w:bCs/>
                      <w:kern w:val="0"/>
                      <w:sz w:val="21"/>
                      <w:szCs w:val="21"/>
                      <w:lang w:val="en-US" w:eastAsia="zh-CN" w:bidi="en-US"/>
                    </w:rPr>
                    <w:t>越</w:t>
                  </w:r>
                  <w:r>
                    <w:rPr>
                      <w:rFonts w:hint="eastAsia" w:cs="Times New Roman"/>
                      <w:bCs/>
                      <w:kern w:val="0"/>
                      <w:sz w:val="21"/>
                      <w:szCs w:val="21"/>
                      <w:lang w:val="en-US" w:eastAsia="zh-CN" w:bidi="en-US"/>
                    </w:rPr>
                    <w:t>（</w:t>
                  </w:r>
                  <w:r>
                    <w:rPr>
                      <w:rFonts w:hint="default" w:ascii="Times New Roman" w:hAnsi="Times New Roman" w:eastAsia="宋体" w:cs="Times New Roman"/>
                      <w:bCs/>
                      <w:kern w:val="0"/>
                      <w:sz w:val="21"/>
                      <w:szCs w:val="21"/>
                      <w:lang w:val="en-US" w:eastAsia="zh-CN" w:bidi="en-US"/>
                    </w:rPr>
                    <w:t>无害化通过的除外</w:t>
                  </w:r>
                  <w:r>
                    <w:rPr>
                      <w:rFonts w:hint="eastAsia" w:cs="Times New Roman"/>
                      <w:bCs/>
                      <w:kern w:val="0"/>
                      <w:sz w:val="21"/>
                      <w:szCs w:val="21"/>
                      <w:lang w:val="en-US" w:eastAsia="zh-CN" w:bidi="en-US"/>
                    </w:rPr>
                    <w:t>）</w:t>
                  </w:r>
                  <w:r>
                    <w:rPr>
                      <w:rFonts w:hint="default" w:ascii="Times New Roman" w:hAnsi="Times New Roman" w:eastAsia="宋体" w:cs="Times New Roman"/>
                      <w:bCs/>
                      <w:kern w:val="0"/>
                      <w:sz w:val="21"/>
                      <w:szCs w:val="21"/>
                      <w:lang w:val="en-US" w:eastAsia="zh-CN" w:bidi="en-US"/>
                    </w:rPr>
                    <w:t>环境敏感区，</w:t>
                  </w:r>
                  <w:r>
                    <w:rPr>
                      <w:rFonts w:hint="eastAsia" w:cs="Times New Roman"/>
                      <w:bCs/>
                      <w:kern w:val="0"/>
                      <w:sz w:val="21"/>
                      <w:szCs w:val="21"/>
                      <w:lang w:val="en-US" w:eastAsia="zh-CN" w:bidi="en-US"/>
                    </w:rPr>
                    <w:t>或环境</w:t>
                  </w:r>
                  <w:r>
                    <w:rPr>
                      <w:rFonts w:hint="default" w:ascii="Times New Roman" w:hAnsi="Times New Roman" w:eastAsia="宋体" w:cs="Times New Roman"/>
                      <w:bCs/>
                      <w:kern w:val="0"/>
                      <w:sz w:val="21"/>
                      <w:szCs w:val="21"/>
                      <w:lang w:val="en-US" w:eastAsia="zh-CN" w:bidi="en-US"/>
                    </w:rPr>
                    <w:t>影响范围涵盖环境敏感区。环境敏感区是指《建立工程环境影响评价分类治理名录》中针对该类工程所列的敏感区。</w:t>
                  </w:r>
                </w:p>
              </w:tc>
            </w:tr>
          </w:tbl>
          <w:p>
            <w:pPr>
              <w:autoSpaceDE w:val="0"/>
              <w:autoSpaceDN w:val="0"/>
              <w:adjustRightInd w:val="0"/>
              <w:snapToGrid w:val="0"/>
              <w:ind w:firstLine="472" w:firstLineChars="200"/>
              <w:jc w:val="left"/>
              <w:rPr>
                <w:rFonts w:hint="eastAsia"/>
                <w:color w:val="auto"/>
                <w:spacing w:val="-2"/>
                <w:sz w:val="24"/>
              </w:rPr>
            </w:pPr>
            <w:r>
              <w:rPr>
                <w:rFonts w:hint="eastAsia"/>
                <w:color w:val="auto"/>
                <w:spacing w:val="-2"/>
                <w:sz w:val="24"/>
              </w:rPr>
              <w:t>根据《建设项目环境影响报告表编制技术指南（生态影响类）》（试行）表1专项评价设置原则表，本项目属于防洪除涝工程，工程不包含水库；项目工程包含河道清淤扩挖，其目的是增强河道行洪能力，清淤属于河湖治理，</w:t>
            </w:r>
            <w:r>
              <w:rPr>
                <w:rFonts w:hint="eastAsia"/>
                <w:color w:val="auto"/>
                <w:spacing w:val="-2"/>
                <w:sz w:val="24"/>
                <w:lang w:eastAsia="zh-CN"/>
              </w:rPr>
              <w:t>而五井石河是</w:t>
            </w:r>
            <w:r>
              <w:rPr>
                <w:rFonts w:hint="eastAsia"/>
                <w:color w:val="auto"/>
                <w:spacing w:val="-2"/>
                <w:sz w:val="24"/>
              </w:rPr>
              <w:t>天然河流，无工业废水和生活污水排入，不涉及底泥存在重金属污染，因此不需设置地表水专项评价。</w:t>
            </w:r>
          </w:p>
          <w:p>
            <w:pPr>
              <w:autoSpaceDE w:val="0"/>
              <w:autoSpaceDN w:val="0"/>
              <w:adjustRightInd w:val="0"/>
              <w:snapToGrid w:val="0"/>
              <w:ind w:firstLine="472" w:firstLineChars="200"/>
              <w:jc w:val="left"/>
              <w:rPr>
                <w:rFonts w:ascii="宋体" w:hAnsi="宋体" w:cs="宋体"/>
                <w:kern w:val="0"/>
                <w:szCs w:val="21"/>
              </w:rPr>
            </w:pPr>
            <w:r>
              <w:rPr>
                <w:rFonts w:hint="eastAsia"/>
                <w:color w:val="auto"/>
                <w:spacing w:val="-2"/>
                <w:sz w:val="24"/>
                <w:lang w:eastAsia="zh-CN"/>
              </w:rPr>
              <w:t>综上所述，</w:t>
            </w:r>
            <w:r>
              <w:rPr>
                <w:rFonts w:hint="eastAsia"/>
                <w:color w:val="auto"/>
                <w:spacing w:val="-2"/>
                <w:sz w:val="24"/>
              </w:rPr>
              <w:t>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632" w:type="dxa"/>
            <w:noWrap w:val="0"/>
            <w:tcMar>
              <w:top w:w="16" w:type="dxa"/>
              <w:left w:w="16" w:type="dxa"/>
              <w:right w:w="16" w:type="dxa"/>
            </w:tcMar>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sz w:val="24"/>
                <w:szCs w:val="24"/>
              </w:rPr>
              <w:t>规划情况</w:t>
            </w:r>
          </w:p>
        </w:tc>
        <w:tc>
          <w:tcPr>
            <w:tcW w:w="8238" w:type="dxa"/>
            <w:gridSpan w:val="3"/>
            <w:noWrap w:val="0"/>
            <w:tcMar>
              <w:top w:w="16" w:type="dxa"/>
              <w:left w:w="16" w:type="dxa"/>
              <w:right w:w="16" w:type="dxa"/>
            </w:tcMar>
            <w:vAlign w:val="center"/>
          </w:tcPr>
          <w:p>
            <w:pPr>
              <w:autoSpaceDE w:val="0"/>
              <w:autoSpaceDN w:val="0"/>
              <w:adjustRightInd w:val="0"/>
              <w:snapToGrid w:val="0"/>
              <w:jc w:val="center"/>
              <w:rPr>
                <w:rFonts w:hint="eastAsia" w:ascii="Times New Roman" w:hAnsi="Times New Roman" w:eastAsia="宋体" w:cs="Times New Roman"/>
                <w:color w:val="auto"/>
                <w:spacing w:val="-2"/>
                <w:sz w:val="24"/>
                <w:lang w:eastAsia="zh-CN"/>
              </w:rPr>
            </w:pPr>
            <w:r>
              <w:rPr>
                <w:rFonts w:hint="eastAsia" w:ascii="Times New Roman" w:hAnsi="Times New Roman" w:eastAsia="宋体" w:cs="Times New Roman"/>
                <w:color w:val="auto"/>
                <w:spacing w:val="-2"/>
                <w:sz w:val="24"/>
                <w:lang w:eastAsia="zh-CN"/>
              </w:rPr>
              <w:t>《淄博市水利发展“十四五”规划》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9" w:hRule="atLeast"/>
        </w:trPr>
        <w:tc>
          <w:tcPr>
            <w:tcW w:w="632" w:type="dxa"/>
            <w:noWrap w:val="0"/>
            <w:tcMar>
              <w:top w:w="16" w:type="dxa"/>
              <w:left w:w="16" w:type="dxa"/>
              <w:right w:w="16" w:type="dxa"/>
            </w:tcMar>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sz w:val="24"/>
                <w:szCs w:val="24"/>
              </w:rPr>
              <w:t>规划环境影响评价情况</w:t>
            </w:r>
          </w:p>
        </w:tc>
        <w:tc>
          <w:tcPr>
            <w:tcW w:w="8238" w:type="dxa"/>
            <w:gridSpan w:val="3"/>
            <w:noWrap w:val="0"/>
            <w:tcMar>
              <w:top w:w="16" w:type="dxa"/>
              <w:left w:w="16" w:type="dxa"/>
              <w:right w:w="16" w:type="dxa"/>
            </w:tcMar>
            <w:vAlign w:val="center"/>
          </w:tcPr>
          <w:p>
            <w:pPr>
              <w:autoSpaceDE w:val="0"/>
              <w:autoSpaceDN w:val="0"/>
              <w:adjustRightInd w:val="0"/>
              <w:snapToGrid w:val="0"/>
              <w:jc w:val="center"/>
              <w:rPr>
                <w:rFonts w:hint="eastAsia" w:ascii="Times New Roman" w:hAnsi="Times New Roman" w:eastAsia="宋体" w:cs="Times New Roman"/>
                <w:color w:val="auto"/>
                <w:spacing w:val="-2"/>
                <w:sz w:val="24"/>
                <w:lang w:eastAsia="zh-CN"/>
              </w:rPr>
            </w:pPr>
            <w:r>
              <w:rPr>
                <w:rFonts w:hint="eastAsia" w:ascii="Times New Roman" w:hAnsi="Times New Roman" w:eastAsia="宋体" w:cs="Times New Roman"/>
                <w:color w:val="auto"/>
                <w:spacing w:val="-2"/>
                <w:sz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23" w:hRule="atLeast"/>
        </w:trPr>
        <w:tc>
          <w:tcPr>
            <w:tcW w:w="632" w:type="dxa"/>
            <w:noWrap w:val="0"/>
            <w:tcMar>
              <w:top w:w="16" w:type="dxa"/>
              <w:left w:w="16" w:type="dxa"/>
              <w:right w:w="16" w:type="dxa"/>
            </w:tcMar>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规划及</w:t>
            </w:r>
            <w:r>
              <w:rPr>
                <w:rFonts w:hint="eastAsia" w:ascii="宋体" w:hAnsi="宋体" w:cs="宋体"/>
                <w:sz w:val="24"/>
                <w:szCs w:val="24"/>
              </w:rPr>
              <w:t>规划环境影响评价</w:t>
            </w:r>
            <w:r>
              <w:rPr>
                <w:rFonts w:hint="eastAsia" w:ascii="宋体" w:hAnsi="宋体" w:cs="宋体"/>
                <w:kern w:val="0"/>
                <w:sz w:val="24"/>
                <w:szCs w:val="24"/>
              </w:rPr>
              <w:t>符合性分析</w:t>
            </w:r>
          </w:p>
        </w:tc>
        <w:tc>
          <w:tcPr>
            <w:tcW w:w="8238" w:type="dxa"/>
            <w:gridSpan w:val="3"/>
            <w:noWrap w:val="0"/>
            <w:tcMar>
              <w:top w:w="16" w:type="dxa"/>
              <w:left w:w="16" w:type="dxa"/>
              <w:right w:w="16" w:type="dxa"/>
            </w:tcMar>
            <w:vAlign w:val="center"/>
          </w:tcPr>
          <w:p>
            <w:pPr>
              <w:autoSpaceDE w:val="0"/>
              <w:autoSpaceDN w:val="0"/>
              <w:adjustRightInd w:val="0"/>
              <w:snapToGrid w:val="0"/>
              <w:ind w:firstLine="472" w:firstLineChars="200"/>
              <w:jc w:val="both"/>
              <w:rPr>
                <w:rFonts w:hint="eastAsia" w:ascii="Times New Roman" w:hAnsi="Times New Roman" w:eastAsia="宋体" w:cs="Times New Roman"/>
                <w:color w:val="auto"/>
                <w:spacing w:val="-2"/>
                <w:sz w:val="24"/>
                <w:lang w:eastAsia="zh-CN"/>
              </w:rPr>
            </w:pPr>
            <w:r>
              <w:rPr>
                <w:rFonts w:hint="eastAsia" w:ascii="Times New Roman" w:hAnsi="Times New Roman" w:eastAsia="宋体" w:cs="Times New Roman"/>
                <w:color w:val="auto"/>
                <w:spacing w:val="-2"/>
                <w:sz w:val="24"/>
                <w:lang w:eastAsia="zh-CN"/>
              </w:rPr>
              <w:t>根据淄博市政府以“淄政号[2022]110号”《关于印发淄博市水利发展“十四五”规划的通知》</w:t>
            </w:r>
            <w:r>
              <w:rPr>
                <w:rFonts w:hint="eastAsia" w:cs="Times New Roman"/>
                <w:color w:val="auto"/>
                <w:spacing w:val="-2"/>
                <w:sz w:val="24"/>
                <w:lang w:eastAsia="zh-CN"/>
              </w:rPr>
              <w:t>，</w:t>
            </w:r>
            <w:r>
              <w:rPr>
                <w:rFonts w:hint="eastAsia" w:ascii="Times New Roman" w:hAnsi="Times New Roman" w:eastAsia="宋体" w:cs="Times New Roman"/>
                <w:color w:val="auto"/>
                <w:spacing w:val="-2"/>
                <w:sz w:val="24"/>
                <w:lang w:eastAsia="zh-CN"/>
              </w:rPr>
              <w:t>按照国家和省统一部署，推进南水北调东线二期地方配套工程论证，适时推进工程建设。开展“引水入沂、引沂入太互通”及“引水入太”等工程的前期论证工作。推进实施“三河相通、两库相连”引太入萌工程维修加固，适时论证实施高青县大芦湖水库提升改造工程；完善配套客水输配水工程设施，适时启动客水入淄川、博山等引调水工程的论证工作；加快推进实施淄博市中部调水工程、萌山水库供水保障工程、高新区中水回用工程等重大输配水项目。构建完善的市、区县两级水网工程体系，以区外水补区内水，以丰年水补枯年水，以余区水补缺区水。</w:t>
            </w:r>
          </w:p>
          <w:p>
            <w:pPr>
              <w:autoSpaceDE w:val="0"/>
              <w:autoSpaceDN w:val="0"/>
              <w:adjustRightInd w:val="0"/>
              <w:snapToGrid w:val="0"/>
              <w:ind w:firstLine="472" w:firstLineChars="200"/>
              <w:jc w:val="both"/>
              <w:rPr>
                <w:rFonts w:hint="eastAsia" w:ascii="Times New Roman" w:hAnsi="Times New Roman" w:eastAsia="宋体" w:cs="Times New Roman"/>
                <w:color w:val="auto"/>
                <w:spacing w:val="-2"/>
                <w:sz w:val="24"/>
                <w:lang w:eastAsia="zh-CN"/>
              </w:rPr>
            </w:pPr>
            <w:r>
              <w:rPr>
                <w:rFonts w:hint="eastAsia" w:ascii="Times New Roman" w:hAnsi="Times New Roman" w:eastAsia="宋体" w:cs="Times New Roman"/>
                <w:color w:val="auto"/>
                <w:spacing w:val="-2"/>
                <w:sz w:val="24"/>
                <w:lang w:eastAsia="zh-CN"/>
              </w:rPr>
              <w:t>可见，本项目的实施，可以实现精准调度、科学决策，提升河道管理水平。与《淄博市水利发展“十四五”规划》完全符合。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246" w:hRule="atLeast"/>
        </w:trPr>
        <w:tc>
          <w:tcPr>
            <w:tcW w:w="632" w:type="dxa"/>
            <w:noWrap w:val="0"/>
            <w:tcMar>
              <w:top w:w="16" w:type="dxa"/>
              <w:left w:w="16" w:type="dxa"/>
              <w:right w:w="16" w:type="dxa"/>
            </w:tcMar>
            <w:vAlign w:val="center"/>
          </w:tcPr>
          <w:p>
            <w:pPr>
              <w:autoSpaceDE w:val="0"/>
              <w:autoSpaceDN w:val="0"/>
              <w:adjustRightInd w:val="0"/>
              <w:snapToGrid w:val="0"/>
              <w:jc w:val="center"/>
              <w:rPr>
                <w:rFonts w:ascii="宋体" w:hAnsi="宋体" w:cs="宋体"/>
                <w:kern w:val="0"/>
                <w:sz w:val="24"/>
                <w:szCs w:val="24"/>
              </w:rPr>
            </w:pPr>
            <w:bookmarkStart w:id="1" w:name="_Hlk56690880"/>
            <w:r>
              <w:rPr>
                <w:rFonts w:hint="eastAsia" w:ascii="宋体" w:hAnsi="宋体" w:cs="宋体"/>
                <w:kern w:val="0"/>
                <w:sz w:val="24"/>
                <w:szCs w:val="24"/>
              </w:rPr>
              <w:t>其他符合性分析</w:t>
            </w:r>
            <w:bookmarkEnd w:id="1"/>
          </w:p>
        </w:tc>
        <w:tc>
          <w:tcPr>
            <w:tcW w:w="8238" w:type="dxa"/>
            <w:gridSpan w:val="3"/>
            <w:noWrap w:val="0"/>
            <w:tcMar>
              <w:top w:w="16" w:type="dxa"/>
              <w:left w:w="16" w:type="dxa"/>
              <w:right w:w="16" w:type="dxa"/>
            </w:tcMar>
            <w:vAlign w:val="center"/>
          </w:tcPr>
          <w:p>
            <w:pPr>
              <w:autoSpaceDE w:val="0"/>
              <w:autoSpaceDN w:val="0"/>
              <w:adjustRightInd w:val="0"/>
              <w:snapToGrid w:val="0"/>
              <w:jc w:val="left"/>
              <w:rPr>
                <w:rFonts w:hint="eastAsia" w:ascii="Times New Roman" w:hAnsi="Times New Roman" w:eastAsia="宋体" w:cs="Times New Roman"/>
                <w:b/>
                <w:bCs/>
                <w:color w:val="auto"/>
                <w:spacing w:val="-2"/>
                <w:sz w:val="24"/>
                <w:lang w:eastAsia="zh-CN"/>
              </w:rPr>
            </w:pPr>
            <w:r>
              <w:rPr>
                <w:rFonts w:hint="eastAsia" w:ascii="Times New Roman" w:hAnsi="Times New Roman" w:eastAsia="宋体" w:cs="Times New Roman"/>
                <w:b/>
                <w:bCs/>
                <w:color w:val="auto"/>
                <w:spacing w:val="-2"/>
                <w:sz w:val="24"/>
                <w:lang w:eastAsia="zh-CN"/>
              </w:rPr>
              <w:t>1、产业政策及规划符合性分析</w:t>
            </w:r>
          </w:p>
          <w:p>
            <w:pPr>
              <w:autoSpaceDE w:val="0"/>
              <w:autoSpaceDN w:val="0"/>
              <w:adjustRightInd w:val="0"/>
              <w:snapToGrid w:val="0"/>
              <w:ind w:firstLine="472" w:firstLineChars="200"/>
              <w:jc w:val="left"/>
              <w:rPr>
                <w:rFonts w:hint="eastAsia" w:ascii="Times New Roman" w:hAnsi="Times New Roman" w:eastAsia="宋体" w:cs="Times New Roman"/>
                <w:color w:val="auto"/>
                <w:spacing w:val="-2"/>
                <w:sz w:val="24"/>
                <w:lang w:eastAsia="zh-CN"/>
              </w:rPr>
            </w:pPr>
            <w:r>
              <w:rPr>
                <w:rFonts w:hint="eastAsia" w:ascii="Times New Roman" w:hAnsi="Times New Roman" w:eastAsia="宋体" w:cs="Times New Roman"/>
                <w:color w:val="auto"/>
                <w:spacing w:val="-2"/>
                <w:sz w:val="24"/>
                <w:lang w:eastAsia="zh-CN"/>
              </w:rPr>
              <w:t>根据《产业结构调整指导目录（20</w:t>
            </w:r>
            <w:r>
              <w:rPr>
                <w:rFonts w:hint="eastAsia" w:cs="Times New Roman"/>
                <w:color w:val="auto"/>
                <w:spacing w:val="-2"/>
                <w:sz w:val="24"/>
                <w:lang w:val="en-US" w:eastAsia="zh-CN"/>
              </w:rPr>
              <w:t>24</w:t>
            </w:r>
            <w:r>
              <w:rPr>
                <w:rFonts w:hint="eastAsia" w:ascii="Times New Roman" w:hAnsi="Times New Roman" w:eastAsia="宋体" w:cs="Times New Roman"/>
                <w:color w:val="auto"/>
                <w:spacing w:val="-2"/>
                <w:sz w:val="24"/>
                <w:lang w:eastAsia="zh-CN"/>
              </w:rPr>
              <w:t>年本）》，该项目属于鼓励类第二项“水利”第1条“江河湖海堤防建设及河道治理工程”、第6条“江河湖库清淤疏浚工程”，符合国家产业政策。</w:t>
            </w:r>
          </w:p>
          <w:p>
            <w:pPr>
              <w:numPr>
                <w:ilvl w:val="0"/>
                <w:numId w:val="0"/>
              </w:numPr>
              <w:autoSpaceDE w:val="0"/>
              <w:autoSpaceDN w:val="0"/>
              <w:adjustRightInd w:val="0"/>
              <w:snapToGrid w:val="0"/>
              <w:jc w:val="left"/>
              <w:rPr>
                <w:rFonts w:hint="eastAsia" w:ascii="Times New Roman" w:hAnsi="Times New Roman" w:eastAsia="宋体" w:cs="Times New Roman"/>
                <w:b/>
                <w:bCs/>
                <w:color w:val="auto"/>
                <w:spacing w:val="-2"/>
                <w:sz w:val="24"/>
                <w:lang w:eastAsia="zh-CN"/>
              </w:rPr>
            </w:pPr>
            <w:r>
              <w:rPr>
                <w:rFonts w:hint="eastAsia" w:ascii="Times New Roman" w:hAnsi="Times New Roman" w:eastAsia="宋体" w:cs="Times New Roman"/>
                <w:b/>
                <w:bCs/>
                <w:color w:val="auto"/>
                <w:spacing w:val="-2"/>
                <w:kern w:val="2"/>
                <w:sz w:val="24"/>
                <w:szCs w:val="24"/>
                <w:lang w:val="en-US" w:eastAsia="zh-CN" w:bidi="ar-SA"/>
              </w:rPr>
              <w:t>2、</w:t>
            </w:r>
            <w:r>
              <w:rPr>
                <w:rFonts w:hint="eastAsia" w:ascii="Times New Roman" w:hAnsi="Times New Roman" w:eastAsia="宋体" w:cs="Times New Roman"/>
                <w:b/>
                <w:bCs/>
                <w:color w:val="auto"/>
                <w:spacing w:val="-2"/>
                <w:sz w:val="24"/>
                <w:lang w:eastAsia="zh-CN"/>
              </w:rPr>
              <w:t>与“三区三线”符合性分析</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（1）与“三区三线”符合性分析</w:t>
            </w:r>
          </w:p>
          <w:p>
            <w:pPr>
              <w:snapToGrid w:val="0"/>
              <w:spacing w:line="360" w:lineRule="auto"/>
              <w:ind w:firstLine="488" w:firstLineChars="200"/>
              <w:rPr>
                <w:rFonts w:hint="eastAsia"/>
                <w:spacing w:val="2"/>
                <w:sz w:val="24"/>
              </w:rPr>
            </w:pPr>
            <w:r>
              <w:rPr>
                <w:spacing w:val="2"/>
                <w:sz w:val="24"/>
              </w:rPr>
              <w:t>2022</w:t>
            </w:r>
            <w:r>
              <w:rPr>
                <w:rFonts w:hint="eastAsia"/>
                <w:spacing w:val="2"/>
                <w:sz w:val="24"/>
              </w:rPr>
              <w:t>年</w:t>
            </w:r>
            <w:r>
              <w:rPr>
                <w:spacing w:val="2"/>
                <w:sz w:val="24"/>
              </w:rPr>
              <w:t>10</w:t>
            </w:r>
            <w:r>
              <w:rPr>
                <w:rFonts w:hint="eastAsia"/>
                <w:spacing w:val="2"/>
                <w:sz w:val="24"/>
              </w:rPr>
              <w:t>月14日，自然资源部办公厅发布了《关于北京等省</w:t>
            </w:r>
            <w:r>
              <w:rPr>
                <w:rFonts w:hint="eastAsia"/>
                <w:spacing w:val="2"/>
                <w:sz w:val="24"/>
                <w:lang w:eastAsia="zh-CN"/>
              </w:rPr>
              <w:t>（</w:t>
            </w:r>
            <w:r>
              <w:rPr>
                <w:rFonts w:hint="eastAsia"/>
                <w:spacing w:val="2"/>
                <w:sz w:val="24"/>
              </w:rPr>
              <w:t>区、市</w:t>
            </w:r>
            <w:r>
              <w:rPr>
                <w:rFonts w:hint="eastAsia"/>
                <w:spacing w:val="2"/>
                <w:sz w:val="24"/>
                <w:lang w:eastAsia="zh-CN"/>
              </w:rPr>
              <w:t>）</w:t>
            </w:r>
            <w:r>
              <w:rPr>
                <w:rFonts w:hint="eastAsia"/>
                <w:spacing w:val="2"/>
                <w:sz w:val="24"/>
              </w:rPr>
              <w:t>启用</w:t>
            </w:r>
            <w:r>
              <w:rPr>
                <w:spacing w:val="2"/>
                <w:sz w:val="24"/>
              </w:rPr>
              <w:t>“</w:t>
            </w:r>
            <w:r>
              <w:rPr>
                <w:rFonts w:hint="eastAsia"/>
                <w:spacing w:val="2"/>
                <w:sz w:val="24"/>
              </w:rPr>
              <w:t>三区三线</w:t>
            </w:r>
            <w:r>
              <w:rPr>
                <w:spacing w:val="2"/>
                <w:sz w:val="24"/>
              </w:rPr>
              <w:t>”</w:t>
            </w:r>
            <w:r>
              <w:rPr>
                <w:rFonts w:hint="eastAsia"/>
                <w:spacing w:val="2"/>
                <w:sz w:val="24"/>
              </w:rPr>
              <w:t>划定成果作为报批建设项目用地用海依据的函》。文件内容显示</w:t>
            </w:r>
            <w:r>
              <w:rPr>
                <w:spacing w:val="2"/>
                <w:sz w:val="24"/>
              </w:rPr>
              <w:t>“</w:t>
            </w:r>
            <w:r>
              <w:rPr>
                <w:rFonts w:hint="eastAsia"/>
                <w:spacing w:val="2"/>
                <w:sz w:val="24"/>
              </w:rPr>
              <w:t>北京、河北江苏、福建、江西、山东、广东、广西、海南、云南</w:t>
            </w:r>
            <w:r>
              <w:rPr>
                <w:spacing w:val="2"/>
                <w:sz w:val="24"/>
              </w:rPr>
              <w:t>10</w:t>
            </w:r>
            <w:r>
              <w:rPr>
                <w:rFonts w:hint="eastAsia"/>
                <w:spacing w:val="2"/>
                <w:sz w:val="24"/>
              </w:rPr>
              <w:t>个省</w:t>
            </w:r>
            <w:r>
              <w:rPr>
                <w:rFonts w:hint="eastAsia"/>
                <w:spacing w:val="2"/>
                <w:sz w:val="24"/>
                <w:lang w:eastAsia="zh-CN"/>
              </w:rPr>
              <w:t>（</w:t>
            </w:r>
            <w:r>
              <w:rPr>
                <w:rFonts w:hint="eastAsia"/>
                <w:spacing w:val="2"/>
                <w:sz w:val="24"/>
              </w:rPr>
              <w:t>区、市</w:t>
            </w:r>
            <w:r>
              <w:rPr>
                <w:rFonts w:hint="eastAsia"/>
                <w:spacing w:val="2"/>
                <w:sz w:val="24"/>
                <w:lang w:eastAsia="zh-CN"/>
              </w:rPr>
              <w:t>）</w:t>
            </w:r>
            <w:r>
              <w:rPr>
                <w:rFonts w:hint="eastAsia"/>
                <w:spacing w:val="2"/>
                <w:sz w:val="24"/>
              </w:rPr>
              <w:t>人民政府办公厅，按照《全国国土空间规划纲要</w:t>
            </w:r>
            <w:r>
              <w:rPr>
                <w:rFonts w:hint="eastAsia"/>
                <w:spacing w:val="2"/>
                <w:sz w:val="24"/>
                <w:lang w:eastAsia="zh-CN"/>
              </w:rPr>
              <w:t>（</w:t>
            </w:r>
            <w:r>
              <w:rPr>
                <w:spacing w:val="2"/>
                <w:sz w:val="24"/>
              </w:rPr>
              <w:t>2021-2035</w:t>
            </w:r>
            <w:r>
              <w:rPr>
                <w:rFonts w:hint="eastAsia"/>
                <w:spacing w:val="2"/>
                <w:sz w:val="24"/>
              </w:rPr>
              <w:t>年</w:t>
            </w:r>
            <w:r>
              <w:rPr>
                <w:rFonts w:hint="eastAsia"/>
                <w:spacing w:val="2"/>
                <w:sz w:val="24"/>
                <w:lang w:eastAsia="zh-CN"/>
              </w:rPr>
              <w:t>）</w:t>
            </w:r>
            <w:r>
              <w:rPr>
                <w:rFonts w:hint="eastAsia"/>
                <w:spacing w:val="2"/>
                <w:sz w:val="24"/>
              </w:rPr>
              <w:t>》确定的耕地和永久基本农田保护红线任务和《全国</w:t>
            </w:r>
            <w:r>
              <w:rPr>
                <w:spacing w:val="2"/>
                <w:sz w:val="24"/>
              </w:rPr>
              <w:t>“</w:t>
            </w:r>
            <w:r>
              <w:rPr>
                <w:rFonts w:hint="eastAsia"/>
                <w:spacing w:val="2"/>
                <w:sz w:val="24"/>
              </w:rPr>
              <w:t>三区三线</w:t>
            </w:r>
            <w:r>
              <w:rPr>
                <w:spacing w:val="2"/>
                <w:sz w:val="24"/>
              </w:rPr>
              <w:t>”</w:t>
            </w:r>
            <w:r>
              <w:rPr>
                <w:rFonts w:hint="eastAsia"/>
                <w:spacing w:val="2"/>
                <w:sz w:val="24"/>
              </w:rPr>
              <w:t>划定规则》，作为建设项目</w:t>
            </w:r>
            <w:r>
              <w:rPr>
                <w:rFonts w:hint="eastAsia"/>
                <w:spacing w:val="2"/>
                <w:sz w:val="24"/>
                <w:lang w:eastAsia="zh-CN"/>
              </w:rPr>
              <w:t>用地</w:t>
            </w:r>
            <w:r>
              <w:rPr>
                <w:rFonts w:hint="eastAsia"/>
                <w:spacing w:val="2"/>
                <w:sz w:val="24"/>
              </w:rPr>
              <w:t>报批的依据。</w:t>
            </w:r>
          </w:p>
          <w:p>
            <w:pPr>
              <w:snapToGrid w:val="0"/>
              <w:spacing w:line="360" w:lineRule="auto"/>
              <w:ind w:firstLine="488" w:firstLineChars="200"/>
              <w:rPr>
                <w:rFonts w:hint="eastAsia"/>
                <w:spacing w:val="2"/>
                <w:sz w:val="24"/>
              </w:rPr>
            </w:pPr>
            <w:r>
              <w:rPr>
                <w:spacing w:val="2"/>
                <w:sz w:val="24"/>
              </w:rPr>
              <w:t>“</w:t>
            </w:r>
            <w:r>
              <w:rPr>
                <w:rFonts w:hint="eastAsia"/>
                <w:spacing w:val="2"/>
                <w:sz w:val="24"/>
              </w:rPr>
              <w:t>三区三线</w:t>
            </w:r>
            <w:r>
              <w:rPr>
                <w:spacing w:val="2"/>
                <w:sz w:val="24"/>
              </w:rPr>
              <w:t>”</w:t>
            </w:r>
            <w:r>
              <w:rPr>
                <w:rFonts w:hint="eastAsia"/>
                <w:spacing w:val="2"/>
                <w:sz w:val="24"/>
              </w:rPr>
              <w:t xml:space="preserve">是根据城镇空间、农业空间、生态空间三种类型的空间，分别对应划定的城镇开发边界、永久基本农田保护红线、生态保护红线三条控制线。 </w:t>
            </w:r>
          </w:p>
          <w:p>
            <w:pPr>
              <w:keepNext w:val="0"/>
              <w:keepLines w:val="0"/>
              <w:widowControl/>
              <w:suppressLineNumbers w:val="0"/>
              <w:jc w:val="center"/>
              <w:rPr>
                <w:rFonts w:hint="eastAsia" w:ascii="宋体" w:hAnsi="宋体" w:eastAsia="宋体" w:cs="宋体"/>
                <w:snapToGrid w:val="0"/>
                <w:color w:val="auto"/>
                <w:spacing w:val="-2"/>
                <w:kern w:val="0"/>
                <w:sz w:val="24"/>
                <w:lang w:eastAsia="zh-CN"/>
              </w:rPr>
            </w:pPr>
            <w:r>
              <w:rPr>
                <w:rFonts w:hint="eastAsia" w:ascii="宋体" w:hAnsi="宋体" w:cs="宋体"/>
                <w:snapToGrid w:val="0"/>
                <w:color w:val="auto"/>
                <w:spacing w:val="-3"/>
                <w:kern w:val="0"/>
                <w:sz w:val="24"/>
                <w:lang w:eastAsia="zh-CN"/>
              </w:rPr>
              <w:t>本</w:t>
            </w:r>
            <w:r>
              <w:rPr>
                <w:rFonts w:ascii="宋体" w:hAnsi="宋体" w:cs="宋体"/>
                <w:snapToGrid w:val="0"/>
                <w:color w:val="auto"/>
                <w:spacing w:val="-3"/>
                <w:kern w:val="0"/>
                <w:sz w:val="24"/>
              </w:rPr>
              <w:t>项目位于淄博市沂源</w:t>
            </w:r>
            <w:r>
              <w:rPr>
                <w:rFonts w:hint="eastAsia" w:ascii="宋体" w:hAnsi="宋体" w:cs="宋体"/>
                <w:snapToGrid w:val="0"/>
                <w:color w:val="auto"/>
                <w:spacing w:val="-3"/>
                <w:kern w:val="0"/>
                <w:sz w:val="24"/>
              </w:rPr>
              <w:t>县南鲁山镇</w:t>
            </w:r>
            <w:r>
              <w:rPr>
                <w:rFonts w:ascii="宋体" w:hAnsi="宋体" w:cs="宋体"/>
                <w:snapToGrid w:val="0"/>
                <w:color w:val="auto"/>
                <w:spacing w:val="-3"/>
                <w:kern w:val="0"/>
                <w:sz w:val="24"/>
              </w:rPr>
              <w:t>，属于沂源县</w:t>
            </w:r>
            <w:r>
              <w:rPr>
                <w:rFonts w:eastAsia="Times New Roman"/>
                <w:snapToGrid w:val="0"/>
                <w:color w:val="auto"/>
                <w:spacing w:val="-3"/>
                <w:kern w:val="0"/>
                <w:sz w:val="24"/>
              </w:rPr>
              <w:t>“</w:t>
            </w:r>
            <w:r>
              <w:rPr>
                <w:rFonts w:ascii="宋体" w:hAnsi="宋体" w:cs="宋体"/>
                <w:snapToGrid w:val="0"/>
                <w:color w:val="auto"/>
                <w:spacing w:val="-3"/>
                <w:kern w:val="0"/>
                <w:sz w:val="24"/>
              </w:rPr>
              <w:t>三区三线</w:t>
            </w:r>
            <w:r>
              <w:rPr>
                <w:rFonts w:eastAsia="Times New Roman"/>
                <w:snapToGrid w:val="0"/>
                <w:color w:val="auto"/>
                <w:spacing w:val="-3"/>
                <w:kern w:val="0"/>
                <w:sz w:val="24"/>
              </w:rPr>
              <w:t>”</w:t>
            </w:r>
            <w:r>
              <w:rPr>
                <w:rFonts w:ascii="宋体" w:hAnsi="宋体" w:cs="宋体"/>
                <w:snapToGrid w:val="0"/>
                <w:color w:val="auto"/>
                <w:spacing w:val="-3"/>
                <w:kern w:val="0"/>
                <w:sz w:val="24"/>
              </w:rPr>
              <w:t>规划中的城市开发边界内，不属于调整后的生态保护红线范围内，</w:t>
            </w:r>
            <w:r>
              <w:rPr>
                <w:rFonts w:hint="eastAsia" w:ascii="宋体" w:hAnsi="宋体" w:cs="宋体"/>
                <w:snapToGrid w:val="0"/>
                <w:color w:val="auto"/>
                <w:spacing w:val="-3"/>
                <w:kern w:val="0"/>
                <w:sz w:val="24"/>
                <w:lang w:eastAsia="zh-CN"/>
              </w:rPr>
              <w:t>部分河道位于</w:t>
            </w:r>
            <w:r>
              <w:rPr>
                <w:rFonts w:ascii="宋体" w:hAnsi="宋体" w:cs="宋体"/>
                <w:snapToGrid w:val="0"/>
                <w:color w:val="auto"/>
                <w:spacing w:val="-3"/>
                <w:kern w:val="0"/>
                <w:sz w:val="24"/>
              </w:rPr>
              <w:t>永久基</w:t>
            </w:r>
            <w:r>
              <w:rPr>
                <w:rFonts w:ascii="宋体" w:hAnsi="宋体" w:cs="宋体"/>
                <w:snapToGrid w:val="0"/>
                <w:color w:val="auto"/>
                <w:spacing w:val="-4"/>
                <w:kern w:val="0"/>
                <w:sz w:val="24"/>
              </w:rPr>
              <w:t>本保护农</w:t>
            </w:r>
            <w:r>
              <w:rPr>
                <w:rFonts w:ascii="宋体" w:hAnsi="宋体" w:cs="宋体"/>
                <w:snapToGrid w:val="0"/>
                <w:color w:val="auto"/>
                <w:spacing w:val="-1"/>
                <w:kern w:val="0"/>
                <w:sz w:val="24"/>
              </w:rPr>
              <w:t>田范围内，</w:t>
            </w:r>
            <w:r>
              <w:rPr>
                <w:rFonts w:hint="eastAsia" w:ascii="宋体" w:hAnsi="宋体" w:cs="宋体"/>
                <w:snapToGrid w:val="0"/>
                <w:color w:val="auto"/>
                <w:spacing w:val="-1"/>
                <w:kern w:val="0"/>
                <w:sz w:val="24"/>
                <w:lang w:eastAsia="zh-CN"/>
              </w:rPr>
              <w:t>但本项目是对现有河道进行清淤扩挖，不新增永久占地。</w:t>
            </w:r>
            <w:r>
              <w:rPr>
                <w:rFonts w:ascii="宋体" w:hAnsi="宋体" w:cs="宋体"/>
                <w:snapToGrid w:val="0"/>
                <w:color w:val="auto"/>
                <w:spacing w:val="-1"/>
                <w:kern w:val="0"/>
                <w:sz w:val="24"/>
              </w:rPr>
              <w:t>项目选址符合沂源县</w:t>
            </w:r>
            <w:r>
              <w:rPr>
                <w:rFonts w:eastAsia="Times New Roman"/>
                <w:snapToGrid w:val="0"/>
                <w:color w:val="auto"/>
                <w:spacing w:val="-1"/>
                <w:kern w:val="0"/>
                <w:sz w:val="24"/>
              </w:rPr>
              <w:t>“</w:t>
            </w:r>
            <w:r>
              <w:rPr>
                <w:rFonts w:ascii="宋体" w:hAnsi="宋体" w:cs="宋体"/>
                <w:snapToGrid w:val="0"/>
                <w:color w:val="auto"/>
                <w:spacing w:val="-1"/>
                <w:kern w:val="0"/>
                <w:sz w:val="24"/>
              </w:rPr>
              <w:t>三区三线</w:t>
            </w:r>
            <w:r>
              <w:rPr>
                <w:rFonts w:eastAsia="Times New Roman"/>
                <w:snapToGrid w:val="0"/>
                <w:color w:val="auto"/>
                <w:spacing w:val="-2"/>
                <w:kern w:val="0"/>
                <w:sz w:val="24"/>
              </w:rPr>
              <w:t>”</w:t>
            </w:r>
            <w:r>
              <w:rPr>
                <w:rFonts w:ascii="宋体" w:hAnsi="宋体" w:cs="宋体"/>
                <w:snapToGrid w:val="0"/>
                <w:color w:val="auto"/>
                <w:spacing w:val="-2"/>
                <w:kern w:val="0"/>
                <w:sz w:val="24"/>
              </w:rPr>
              <w:t>规划。</w:t>
            </w:r>
            <w:r>
              <w:rPr>
                <w:rFonts w:hint="eastAsia" w:ascii="宋体" w:hAnsi="宋体" w:cs="宋体"/>
                <w:snapToGrid w:val="0"/>
                <w:color w:val="auto"/>
                <w:spacing w:val="-2"/>
                <w:kern w:val="0"/>
                <w:sz w:val="24"/>
              </w:rPr>
              <w:t>项目与沂源县“三区三线”分布图位置关系见</w:t>
            </w:r>
            <w:r>
              <w:rPr>
                <w:rFonts w:hint="eastAsia" w:ascii="宋体" w:hAnsi="宋体" w:cs="宋体"/>
                <w:snapToGrid w:val="0"/>
                <w:color w:val="auto"/>
                <w:spacing w:val="-2"/>
                <w:kern w:val="0"/>
                <w:sz w:val="24"/>
                <w:lang w:eastAsia="zh-CN"/>
              </w:rPr>
              <w:t>下图</w:t>
            </w:r>
            <w:r>
              <w:rPr>
                <w:rFonts w:hint="eastAsia" w:ascii="宋体" w:hAnsi="宋体" w:cs="宋体"/>
                <w:snapToGrid w:val="0"/>
                <w:color w:val="auto"/>
                <w:spacing w:val="-2"/>
                <w:kern w:val="0"/>
                <w:sz w:val="24"/>
              </w:rPr>
              <w:t>。</w:t>
            </w:r>
            <w:r>
              <w:rPr>
                <w:rFonts w:hint="default" w:ascii="Times New Roman" w:hAnsi="Times New Roman" w:eastAsia="宋体" w:cs="Times New Roman"/>
                <w:b/>
                <w:bCs/>
                <w:kern w:val="0"/>
                <w:sz w:val="21"/>
                <w:szCs w:val="21"/>
              </w:rPr>
              <w:drawing>
                <wp:inline distT="0" distB="0" distL="114300" distR="114300">
                  <wp:extent cx="5153025" cy="2758440"/>
                  <wp:effectExtent l="0" t="0" r="9525" b="3810"/>
                  <wp:docPr id="40" name="图片 40" descr="171159523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11595234365"/>
                          <pic:cNvPicPr>
                            <a:picLocks noChangeAspect="1"/>
                          </pic:cNvPicPr>
                        </pic:nvPicPr>
                        <pic:blipFill>
                          <a:blip r:embed="rId9"/>
                          <a:stretch>
                            <a:fillRect/>
                          </a:stretch>
                        </pic:blipFill>
                        <pic:spPr>
                          <a:xfrm>
                            <a:off x="0" y="0"/>
                            <a:ext cx="5153025" cy="2758440"/>
                          </a:xfrm>
                          <a:prstGeom prst="rect">
                            <a:avLst/>
                          </a:prstGeom>
                        </pic:spPr>
                      </pic:pic>
                    </a:graphicData>
                  </a:graphic>
                </wp:inline>
              </w:drawing>
            </w:r>
            <w:r>
              <w:rPr>
                <w:rFonts w:hint="eastAsia" w:cs="Times New Roman"/>
                <w:b/>
                <w:bCs/>
                <w:kern w:val="0"/>
                <w:sz w:val="21"/>
                <w:szCs w:val="21"/>
                <w:lang w:eastAsia="zh-CN"/>
              </w:rPr>
              <w:t>图</w:t>
            </w:r>
            <w:r>
              <w:rPr>
                <w:rFonts w:hint="eastAsia" w:cs="Times New Roman"/>
                <w:b/>
                <w:bCs/>
                <w:kern w:val="0"/>
                <w:sz w:val="21"/>
                <w:szCs w:val="21"/>
                <w:lang w:val="en-US" w:eastAsia="zh-CN"/>
              </w:rPr>
              <w:t>1-1</w:t>
            </w:r>
            <w:r>
              <w:rPr>
                <w:rFonts w:hint="default" w:ascii="Times New Roman" w:hAnsi="Times New Roman" w:eastAsia="宋体" w:cs="Times New Roman"/>
                <w:b/>
                <w:bCs/>
                <w:kern w:val="0"/>
                <w:sz w:val="21"/>
                <w:szCs w:val="21"/>
              </w:rPr>
              <w:t>项目与三区三线位置关系图</w:t>
            </w:r>
          </w:p>
          <w:p>
            <w:pPr>
              <w:keepNext w:val="0"/>
              <w:keepLines w:val="0"/>
              <w:widowControl/>
              <w:suppressLineNumbers w:val="0"/>
              <w:jc w:val="left"/>
              <w:rPr>
                <w:rFonts w:hint="eastAsia" w:ascii="Times New Roman" w:hAnsi="Times New Roman" w:eastAsia="宋体" w:cs="Times New Roman"/>
                <w:color w:val="auto"/>
                <w:spacing w:val="-2"/>
                <w:sz w:val="24"/>
                <w:lang w:eastAsia="zh-CN"/>
              </w:rPr>
            </w:pP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w:t>
            </w:r>
            <w:r>
              <w:rPr>
                <w:rFonts w:hint="eastAsia" w:ascii="Times New Roman" w:hAnsi="Times New Roman" w:eastAsia="宋体" w:cs="Times New Roman"/>
                <w:color w:val="auto"/>
                <w:spacing w:val="-2"/>
                <w:sz w:val="24"/>
                <w:lang w:eastAsia="zh-CN"/>
              </w:rPr>
              <w:t>与《关于以改善环境质量为核心加强环境影响评价管理的通知》（环环评[2016]150号）符合性分析</w:t>
            </w:r>
          </w:p>
          <w:p>
            <w:pPr>
              <w:numPr>
                <w:ilvl w:val="0"/>
                <w:numId w:val="0"/>
              </w:numPr>
              <w:autoSpaceDE w:val="0"/>
              <w:autoSpaceDN w:val="0"/>
              <w:adjustRightInd w:val="0"/>
              <w:snapToGrid w:val="0"/>
              <w:jc w:val="center"/>
              <w:rPr>
                <w:rFonts w:hint="eastAsia"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rPr>
              <w:t>表</w:t>
            </w:r>
            <w:r>
              <w:rPr>
                <w:rFonts w:hint="eastAsia" w:ascii="Times New Roman" w:hAnsi="Times New Roman" w:eastAsia="宋体" w:cs="Times New Roman"/>
                <w:b/>
                <w:bCs/>
                <w:kern w:val="0"/>
                <w:sz w:val="21"/>
                <w:szCs w:val="21"/>
                <w:lang w:val="en-US" w:eastAsia="zh-CN"/>
              </w:rPr>
              <w:t>1-2</w:t>
            </w:r>
            <w:r>
              <w:rPr>
                <w:rFonts w:hint="default" w:ascii="Times New Roman" w:hAnsi="Times New Roman" w:eastAsia="宋体" w:cs="Times New Roman"/>
                <w:b/>
                <w:bCs/>
                <w:kern w:val="0"/>
                <w:sz w:val="21"/>
                <w:szCs w:val="21"/>
              </w:rPr>
              <w:t xml:space="preserve"> 与“环环评[2016]150号”符合性</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3029"/>
              <w:gridCol w:w="3273"/>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项目</w:t>
                  </w:r>
                </w:p>
              </w:tc>
              <w:tc>
                <w:tcPr>
                  <w:tcW w:w="1848"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基本内涵</w:t>
                  </w:r>
                </w:p>
              </w:tc>
              <w:tc>
                <w:tcPr>
                  <w:tcW w:w="1997"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本项目情况</w:t>
                  </w:r>
                </w:p>
              </w:tc>
              <w:tc>
                <w:tcPr>
                  <w:tcW w:w="438"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生态保护红线</w:t>
                  </w:r>
                </w:p>
              </w:tc>
              <w:tc>
                <w:tcPr>
                  <w:tcW w:w="1848"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color w:val="auto"/>
                      <w:kern w:val="0"/>
                      <w:sz w:val="21"/>
                      <w:szCs w:val="21"/>
                      <w:lang w:val="en-US" w:eastAsia="zh-CN" w:bidi="en-US"/>
                    </w:rPr>
                  </w:pPr>
                  <w:r>
                    <w:rPr>
                      <w:rFonts w:hint="default" w:ascii="Times New Roman" w:hAnsi="Times New Roman" w:eastAsia="宋体" w:cs="Times New Roman"/>
                      <w:bCs/>
                      <w:color w:val="auto"/>
                      <w:kern w:val="0"/>
                      <w:sz w:val="21"/>
                      <w:szCs w:val="21"/>
                      <w:lang w:val="en-US" w:eastAsia="zh-CN" w:bidi="en-US"/>
                    </w:rPr>
                    <w:t>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997"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color w:val="auto"/>
                      <w:kern w:val="0"/>
                      <w:sz w:val="21"/>
                      <w:szCs w:val="21"/>
                      <w:lang w:val="en-US" w:eastAsia="zh-CN" w:bidi="en-US"/>
                    </w:rPr>
                  </w:pPr>
                  <w:r>
                    <w:rPr>
                      <w:rFonts w:hint="eastAsia" w:ascii="Times New Roman" w:hAnsi="Times New Roman" w:eastAsia="宋体" w:cs="Times New Roman"/>
                      <w:bCs/>
                      <w:color w:val="auto"/>
                      <w:kern w:val="0"/>
                      <w:sz w:val="21"/>
                      <w:szCs w:val="21"/>
                      <w:lang w:val="en-US" w:eastAsia="zh-CN" w:bidi="en-US"/>
                    </w:rPr>
                    <w:t>本项目不属于调整后的生态保护红线范围</w:t>
                  </w:r>
                  <w:r>
                    <w:rPr>
                      <w:rFonts w:hint="eastAsia" w:cs="Times New Roman"/>
                      <w:bCs/>
                      <w:color w:val="auto"/>
                      <w:kern w:val="0"/>
                      <w:sz w:val="21"/>
                      <w:szCs w:val="21"/>
                      <w:lang w:val="en-US" w:eastAsia="zh-CN" w:bidi="en-US"/>
                    </w:rPr>
                    <w:t>，</w:t>
                  </w:r>
                  <w:r>
                    <w:rPr>
                      <w:rFonts w:hint="eastAsia" w:ascii="Times New Roman" w:hAnsi="Times New Roman" w:eastAsia="宋体" w:cs="Times New Roman"/>
                      <w:bCs/>
                      <w:color w:val="auto"/>
                      <w:kern w:val="0"/>
                      <w:sz w:val="21"/>
                      <w:szCs w:val="21"/>
                      <w:lang w:val="en-US" w:eastAsia="zh-CN" w:bidi="en-US"/>
                    </w:rPr>
                    <w:t>实施后有利于提高河道的行洪标准，增加过水能力，有利于河道自净能力的恢复，提升河道及周边环境的生态系统稳定性，有利于生态保护红线区生态环境功能的维持和改善，</w:t>
                  </w:r>
                  <w:r>
                    <w:rPr>
                      <w:rFonts w:hint="eastAsia" w:cs="Times New Roman"/>
                      <w:bCs/>
                      <w:color w:val="auto"/>
                      <w:kern w:val="0"/>
                      <w:sz w:val="21"/>
                      <w:szCs w:val="21"/>
                      <w:lang w:val="en-US" w:eastAsia="zh-CN" w:bidi="en-US"/>
                    </w:rPr>
                    <w:t>项目</w:t>
                  </w:r>
                  <w:r>
                    <w:rPr>
                      <w:rFonts w:hint="eastAsia" w:ascii="Times New Roman" w:hAnsi="Times New Roman" w:eastAsia="宋体" w:cs="Times New Roman"/>
                      <w:bCs/>
                      <w:color w:val="auto"/>
                      <w:kern w:val="0"/>
                      <w:sz w:val="21"/>
                      <w:szCs w:val="21"/>
                      <w:lang w:val="en-US" w:eastAsia="zh-CN" w:bidi="en-US"/>
                    </w:rPr>
                    <w:t>实施符合生态保护红线要求。</w:t>
                  </w:r>
                </w:p>
              </w:tc>
              <w:tc>
                <w:tcPr>
                  <w:tcW w:w="43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环境质量底线</w:t>
                  </w:r>
                </w:p>
              </w:tc>
              <w:tc>
                <w:tcPr>
                  <w:tcW w:w="1848"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tc>
              <w:tc>
                <w:tcPr>
                  <w:tcW w:w="1997"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根据淄博市生态环境局公布的《202</w:t>
                  </w:r>
                  <w:r>
                    <w:rPr>
                      <w:rFonts w:hint="eastAsia" w:cs="Times New Roman"/>
                      <w:bCs/>
                      <w:kern w:val="0"/>
                      <w:sz w:val="21"/>
                      <w:szCs w:val="21"/>
                      <w:lang w:val="en-US" w:eastAsia="zh-CN" w:bidi="en-US"/>
                    </w:rPr>
                    <w:t>4</w:t>
                  </w:r>
                  <w:r>
                    <w:rPr>
                      <w:rFonts w:hint="default" w:ascii="Times New Roman" w:hAnsi="Times New Roman" w:eastAsia="宋体" w:cs="Times New Roman"/>
                      <w:bCs/>
                      <w:kern w:val="0"/>
                      <w:sz w:val="21"/>
                      <w:szCs w:val="21"/>
                      <w:lang w:val="en-US" w:eastAsia="zh-CN" w:bidi="en-US"/>
                    </w:rPr>
                    <w:t>年</w:t>
                  </w:r>
                  <w:r>
                    <w:rPr>
                      <w:rFonts w:hint="eastAsia" w:cs="Times New Roman"/>
                      <w:bCs/>
                      <w:kern w:val="0"/>
                      <w:sz w:val="21"/>
                      <w:szCs w:val="21"/>
                      <w:lang w:val="en-US" w:eastAsia="zh-CN" w:bidi="en-US"/>
                    </w:rPr>
                    <w:t>1</w:t>
                  </w:r>
                  <w:r>
                    <w:rPr>
                      <w:rFonts w:hint="default" w:ascii="Times New Roman" w:hAnsi="Times New Roman" w:eastAsia="宋体" w:cs="Times New Roman"/>
                      <w:bCs/>
                      <w:kern w:val="0"/>
                      <w:sz w:val="21"/>
                      <w:szCs w:val="21"/>
                      <w:lang w:val="en-US" w:eastAsia="zh-CN" w:bidi="en-US"/>
                    </w:rPr>
                    <w:t>月份及全年质量情况通报》，202</w:t>
                  </w:r>
                  <w:r>
                    <w:rPr>
                      <w:rFonts w:hint="eastAsia" w:cs="Times New Roman"/>
                      <w:bCs/>
                      <w:kern w:val="0"/>
                      <w:sz w:val="21"/>
                      <w:szCs w:val="21"/>
                      <w:lang w:val="en-US" w:eastAsia="zh-CN" w:bidi="en-US"/>
                    </w:rPr>
                    <w:t>4</w:t>
                  </w:r>
                  <w:r>
                    <w:rPr>
                      <w:rFonts w:hint="default" w:ascii="Times New Roman" w:hAnsi="Times New Roman" w:eastAsia="宋体" w:cs="Times New Roman"/>
                      <w:bCs/>
                      <w:kern w:val="0"/>
                      <w:sz w:val="21"/>
                      <w:szCs w:val="21"/>
                      <w:lang w:val="en-US" w:eastAsia="zh-CN" w:bidi="en-US"/>
                    </w:rPr>
                    <w:t>年</w:t>
                  </w:r>
                  <w:r>
                    <w:rPr>
                      <w:rFonts w:hint="eastAsia" w:cs="Times New Roman"/>
                      <w:bCs/>
                      <w:kern w:val="0"/>
                      <w:sz w:val="21"/>
                      <w:szCs w:val="21"/>
                      <w:lang w:val="en-US" w:eastAsia="zh-CN" w:bidi="en-US"/>
                    </w:rPr>
                    <w:t>1</w:t>
                  </w:r>
                  <w:r>
                    <w:rPr>
                      <w:rFonts w:hint="default" w:ascii="Times New Roman" w:hAnsi="Times New Roman" w:eastAsia="宋体" w:cs="Times New Roman"/>
                      <w:bCs/>
                      <w:kern w:val="0"/>
                      <w:sz w:val="21"/>
                      <w:szCs w:val="21"/>
                      <w:lang w:val="en-US" w:eastAsia="zh-CN" w:bidi="en-US"/>
                    </w:rPr>
                    <w:t>月份淄博市环境空气SO</w:t>
                  </w:r>
                  <w:r>
                    <w:rPr>
                      <w:rFonts w:hint="default" w:ascii="Times New Roman" w:hAnsi="Times New Roman" w:eastAsia="宋体" w:cs="Times New Roman"/>
                      <w:bCs/>
                      <w:kern w:val="0"/>
                      <w:sz w:val="21"/>
                      <w:szCs w:val="21"/>
                      <w:vertAlign w:val="subscript"/>
                      <w:lang w:val="en-US" w:eastAsia="zh-CN" w:bidi="en-US"/>
                    </w:rPr>
                    <w:t>2</w:t>
                  </w:r>
                  <w:r>
                    <w:rPr>
                      <w:rFonts w:hint="default" w:ascii="Times New Roman" w:hAnsi="Times New Roman" w:eastAsia="宋体" w:cs="Times New Roman"/>
                      <w:bCs/>
                      <w:kern w:val="0"/>
                      <w:sz w:val="21"/>
                      <w:szCs w:val="21"/>
                      <w:lang w:val="en-US" w:eastAsia="zh-CN" w:bidi="en-US"/>
                    </w:rPr>
                    <w:t>、NO</w:t>
                  </w:r>
                  <w:r>
                    <w:rPr>
                      <w:rFonts w:hint="default" w:ascii="Times New Roman" w:hAnsi="Times New Roman" w:eastAsia="宋体" w:cs="Times New Roman"/>
                      <w:bCs/>
                      <w:kern w:val="0"/>
                      <w:sz w:val="21"/>
                      <w:szCs w:val="21"/>
                      <w:vertAlign w:val="subscript"/>
                      <w:lang w:val="en-US" w:eastAsia="zh-CN" w:bidi="en-US"/>
                    </w:rPr>
                    <w:t>2</w:t>
                  </w:r>
                  <w:r>
                    <w:rPr>
                      <w:rFonts w:hint="default" w:ascii="Times New Roman" w:hAnsi="Times New Roman" w:eastAsia="宋体" w:cs="Times New Roman"/>
                      <w:bCs/>
                      <w:kern w:val="0"/>
                      <w:sz w:val="21"/>
                      <w:szCs w:val="21"/>
                      <w:lang w:val="en-US" w:eastAsia="zh-CN" w:bidi="en-US"/>
                    </w:rPr>
                    <w:t>、PM</w:t>
                  </w:r>
                  <w:r>
                    <w:rPr>
                      <w:rFonts w:hint="default" w:ascii="Times New Roman" w:hAnsi="Times New Roman" w:eastAsia="宋体" w:cs="Times New Roman"/>
                      <w:bCs/>
                      <w:kern w:val="0"/>
                      <w:sz w:val="21"/>
                      <w:szCs w:val="21"/>
                      <w:vertAlign w:val="subscript"/>
                      <w:lang w:val="en-US" w:eastAsia="zh-CN" w:bidi="en-US"/>
                    </w:rPr>
                    <w:t>10</w:t>
                  </w:r>
                  <w:r>
                    <w:rPr>
                      <w:rFonts w:hint="default" w:ascii="Times New Roman" w:hAnsi="Times New Roman" w:eastAsia="宋体" w:cs="Times New Roman"/>
                      <w:bCs/>
                      <w:kern w:val="0"/>
                      <w:sz w:val="21"/>
                      <w:szCs w:val="21"/>
                      <w:lang w:val="en-US" w:eastAsia="zh-CN" w:bidi="en-US"/>
                    </w:rPr>
                    <w:t>、PM</w:t>
                  </w:r>
                  <w:r>
                    <w:rPr>
                      <w:rFonts w:hint="default" w:ascii="Times New Roman" w:hAnsi="Times New Roman" w:eastAsia="宋体" w:cs="Times New Roman"/>
                      <w:bCs/>
                      <w:kern w:val="0"/>
                      <w:sz w:val="21"/>
                      <w:szCs w:val="21"/>
                      <w:vertAlign w:val="subscript"/>
                      <w:lang w:val="en-US" w:eastAsia="zh-CN" w:bidi="en-US"/>
                    </w:rPr>
                    <w:t>2.5</w:t>
                  </w:r>
                  <w:r>
                    <w:rPr>
                      <w:rFonts w:hint="default" w:ascii="Times New Roman" w:hAnsi="Times New Roman" w:eastAsia="宋体" w:cs="Times New Roman"/>
                      <w:bCs/>
                      <w:kern w:val="0"/>
                      <w:sz w:val="21"/>
                      <w:szCs w:val="21"/>
                      <w:lang w:val="en-US" w:eastAsia="zh-CN" w:bidi="en-US"/>
                    </w:rPr>
                    <w:t>均值分别为</w:t>
                  </w:r>
                  <w:r>
                    <w:rPr>
                      <w:rFonts w:hint="eastAsia" w:cs="Times New Roman"/>
                      <w:bCs/>
                      <w:kern w:val="0"/>
                      <w:sz w:val="21"/>
                      <w:szCs w:val="21"/>
                      <w:lang w:val="en-US" w:eastAsia="zh-CN" w:bidi="en-US"/>
                    </w:rPr>
                    <w:t>15</w:t>
                  </w:r>
                  <w:r>
                    <w:rPr>
                      <w:rFonts w:hint="default" w:ascii="Times New Roman" w:hAnsi="Times New Roman" w:eastAsia="宋体" w:cs="Times New Roman"/>
                      <w:bCs/>
                      <w:kern w:val="0"/>
                      <w:sz w:val="21"/>
                      <w:szCs w:val="21"/>
                      <w:lang w:val="en-US" w:eastAsia="zh-CN" w:bidi="en-US"/>
                    </w:rPr>
                    <w:t>μg/m³、</w:t>
                  </w:r>
                  <w:r>
                    <w:rPr>
                      <w:rFonts w:hint="eastAsia" w:cs="Times New Roman"/>
                      <w:bCs/>
                      <w:kern w:val="0"/>
                      <w:sz w:val="21"/>
                      <w:szCs w:val="21"/>
                      <w:lang w:val="en-US" w:eastAsia="zh-CN" w:bidi="en-US"/>
                    </w:rPr>
                    <w:t>51</w:t>
                  </w:r>
                  <w:r>
                    <w:rPr>
                      <w:rFonts w:hint="default" w:ascii="Times New Roman" w:hAnsi="Times New Roman" w:eastAsia="宋体" w:cs="Times New Roman"/>
                      <w:bCs/>
                      <w:kern w:val="0"/>
                      <w:sz w:val="21"/>
                      <w:szCs w:val="21"/>
                      <w:lang w:val="en-US" w:eastAsia="zh-CN" w:bidi="en-US"/>
                    </w:rPr>
                    <w:t>μg/m³、</w:t>
                  </w:r>
                  <w:r>
                    <w:rPr>
                      <w:rFonts w:hint="eastAsia" w:cs="Times New Roman"/>
                      <w:bCs/>
                      <w:kern w:val="0"/>
                      <w:sz w:val="21"/>
                      <w:szCs w:val="21"/>
                      <w:lang w:val="en-US" w:eastAsia="zh-CN" w:bidi="en-US"/>
                    </w:rPr>
                    <w:t>110</w:t>
                  </w:r>
                  <w:r>
                    <w:rPr>
                      <w:rFonts w:hint="default" w:ascii="Times New Roman" w:hAnsi="Times New Roman" w:eastAsia="宋体" w:cs="Times New Roman"/>
                      <w:bCs/>
                      <w:kern w:val="0"/>
                      <w:sz w:val="21"/>
                      <w:szCs w:val="21"/>
                      <w:lang w:val="en-US" w:eastAsia="zh-CN" w:bidi="en-US"/>
                    </w:rPr>
                    <w:t>μg/m³、</w:t>
                  </w:r>
                  <w:r>
                    <w:rPr>
                      <w:rFonts w:hint="eastAsia" w:cs="Times New Roman"/>
                      <w:bCs/>
                      <w:kern w:val="0"/>
                      <w:sz w:val="21"/>
                      <w:szCs w:val="21"/>
                      <w:lang w:val="en-US" w:eastAsia="zh-CN" w:bidi="en-US"/>
                    </w:rPr>
                    <w:t>73</w:t>
                  </w:r>
                  <w:r>
                    <w:rPr>
                      <w:rFonts w:hint="default" w:ascii="Times New Roman" w:hAnsi="Times New Roman" w:eastAsia="宋体" w:cs="Times New Roman"/>
                      <w:bCs/>
                      <w:kern w:val="0"/>
                      <w:sz w:val="21"/>
                      <w:szCs w:val="21"/>
                      <w:lang w:val="en-US" w:eastAsia="zh-CN" w:bidi="en-US"/>
                    </w:rPr>
                    <w:t>μg/m³。项目区域环境空气中PM</w:t>
                  </w:r>
                  <w:r>
                    <w:rPr>
                      <w:rFonts w:hint="default" w:ascii="Times New Roman" w:hAnsi="Times New Roman" w:eastAsia="宋体" w:cs="Times New Roman"/>
                      <w:bCs/>
                      <w:kern w:val="0"/>
                      <w:sz w:val="21"/>
                      <w:szCs w:val="21"/>
                      <w:vertAlign w:val="subscript"/>
                      <w:lang w:val="en-US" w:eastAsia="zh-CN" w:bidi="en-US"/>
                    </w:rPr>
                    <w:t>10</w:t>
                  </w:r>
                  <w:r>
                    <w:rPr>
                      <w:rFonts w:hint="eastAsia" w:cs="Times New Roman"/>
                      <w:bCs/>
                      <w:kern w:val="0"/>
                      <w:sz w:val="21"/>
                      <w:szCs w:val="21"/>
                      <w:vertAlign w:val="baseline"/>
                      <w:lang w:val="en-US" w:eastAsia="zh-CN" w:bidi="en-US"/>
                    </w:rPr>
                    <w:t>、</w:t>
                  </w:r>
                  <w:r>
                    <w:rPr>
                      <w:rFonts w:hint="default" w:ascii="Times New Roman" w:hAnsi="Times New Roman" w:eastAsia="宋体" w:cs="Times New Roman"/>
                      <w:bCs/>
                      <w:kern w:val="0"/>
                      <w:sz w:val="21"/>
                      <w:szCs w:val="21"/>
                      <w:lang w:val="en-US" w:eastAsia="zh-CN" w:bidi="en-US"/>
                    </w:rPr>
                    <w:t>PM</w:t>
                  </w:r>
                  <w:r>
                    <w:rPr>
                      <w:rFonts w:hint="default" w:ascii="Times New Roman" w:hAnsi="Times New Roman" w:eastAsia="宋体" w:cs="Times New Roman"/>
                      <w:bCs/>
                      <w:kern w:val="0"/>
                      <w:sz w:val="21"/>
                      <w:szCs w:val="21"/>
                      <w:vertAlign w:val="subscript"/>
                      <w:lang w:val="en-US" w:eastAsia="zh-CN" w:bidi="en-US"/>
                    </w:rPr>
                    <w:t>2.5</w:t>
                  </w:r>
                  <w:r>
                    <w:rPr>
                      <w:rFonts w:hint="default" w:ascii="Times New Roman" w:hAnsi="Times New Roman" w:eastAsia="宋体" w:cs="Times New Roman"/>
                      <w:bCs/>
                      <w:kern w:val="0"/>
                      <w:sz w:val="21"/>
                      <w:szCs w:val="21"/>
                      <w:lang w:val="en-US" w:eastAsia="zh-CN" w:bidi="en-US"/>
                    </w:rPr>
                    <w:t>浓度超标。</w:t>
                  </w:r>
                  <w:r>
                    <w:rPr>
                      <w:rFonts w:hint="eastAsia" w:cs="Times New Roman"/>
                      <w:bCs/>
                      <w:kern w:val="0"/>
                      <w:sz w:val="21"/>
                      <w:szCs w:val="21"/>
                      <w:lang w:val="en-US" w:eastAsia="zh-CN" w:bidi="en-US"/>
                    </w:rPr>
                    <w:t>本项目</w:t>
                  </w:r>
                  <w:r>
                    <w:rPr>
                      <w:rFonts w:hint="default" w:ascii="Times New Roman" w:hAnsi="Times New Roman" w:eastAsia="宋体" w:cs="Times New Roman"/>
                      <w:bCs/>
                      <w:color w:val="auto"/>
                      <w:kern w:val="0"/>
                      <w:sz w:val="21"/>
                      <w:szCs w:val="21"/>
                      <w:lang w:val="en-US" w:eastAsia="zh-CN" w:bidi="en-US"/>
                    </w:rPr>
                    <w:t>施工期严格按照《淄博市建设领域扬尘污染专项治理实施方案》要求落实施工扬尘管理；淤泥随产随清，用于</w:t>
                  </w:r>
                  <w:r>
                    <w:rPr>
                      <w:rFonts w:hint="eastAsia" w:ascii="Times New Roman" w:hAnsi="Times New Roman" w:eastAsia="宋体" w:cs="Times New Roman"/>
                      <w:bCs/>
                      <w:color w:val="auto"/>
                      <w:kern w:val="0"/>
                      <w:sz w:val="21"/>
                      <w:szCs w:val="21"/>
                      <w:lang w:val="en-US" w:eastAsia="zh-CN" w:bidi="en-US"/>
                    </w:rPr>
                    <w:t>五井石</w:t>
                  </w:r>
                  <w:r>
                    <w:rPr>
                      <w:rFonts w:hint="default" w:ascii="Times New Roman" w:hAnsi="Times New Roman" w:eastAsia="宋体" w:cs="Times New Roman"/>
                      <w:bCs/>
                      <w:color w:val="auto"/>
                      <w:kern w:val="0"/>
                      <w:sz w:val="21"/>
                      <w:szCs w:val="21"/>
                      <w:lang w:val="en-US" w:eastAsia="zh-CN" w:bidi="en-US"/>
                    </w:rPr>
                    <w:t>河治理工程；施工废水由沉淀池处理后回用；施工期生活污水经依托租用民居的化粪池处理，由当地环卫部门清运处置；合理</w:t>
                  </w:r>
                  <w:r>
                    <w:rPr>
                      <w:rFonts w:hint="default" w:ascii="Times New Roman" w:hAnsi="Times New Roman" w:eastAsia="宋体" w:cs="Times New Roman"/>
                      <w:bCs/>
                      <w:kern w:val="0"/>
                      <w:sz w:val="21"/>
                      <w:szCs w:val="21"/>
                      <w:lang w:val="en-US" w:eastAsia="zh-CN" w:bidi="en-US"/>
                    </w:rPr>
                    <w:t>安排施工时间，高噪声施工时间尽量安排在昼间；优先选用低噪声施工工艺和施工机械。本项目运营期无废气、废水污染物排放，运营期对区域环境质量无影响</w:t>
                  </w:r>
                  <w:r>
                    <w:rPr>
                      <w:rFonts w:hint="eastAsia" w:ascii="Times New Roman" w:hAnsi="Times New Roman" w:eastAsia="宋体" w:cs="Times New Roman"/>
                      <w:bCs/>
                      <w:kern w:val="0"/>
                      <w:sz w:val="21"/>
                      <w:szCs w:val="21"/>
                      <w:lang w:val="en-US" w:eastAsia="zh-CN" w:bidi="en-US"/>
                    </w:rPr>
                    <w:t>。本项目不会影响区域环境质量目标的实现，不违背环境质量底线原则。</w:t>
                  </w:r>
                </w:p>
              </w:tc>
              <w:tc>
                <w:tcPr>
                  <w:tcW w:w="438"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资源利用上线</w:t>
                  </w:r>
                </w:p>
              </w:tc>
              <w:tc>
                <w:tcPr>
                  <w:tcW w:w="1848"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资源是环境的载体，资源利用上线是各地区能源、水、土地等资源消耗不得突破的“天花板”。</w:t>
                  </w:r>
                </w:p>
              </w:tc>
              <w:tc>
                <w:tcPr>
                  <w:tcW w:w="1997"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本项目运营期资源利用，符合资源利用上线的要求。</w:t>
                  </w:r>
                </w:p>
              </w:tc>
              <w:tc>
                <w:tcPr>
                  <w:tcW w:w="43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715"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环境准入负面清单</w:t>
                  </w:r>
                </w:p>
              </w:tc>
              <w:tc>
                <w:tcPr>
                  <w:tcW w:w="1848"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环境准入负面清单是基于生态保护红线、环境质量底线和资源利用上线，以清单方式列出的禁止、限制等差别化环境准入条件和要求。</w:t>
                  </w:r>
                </w:p>
              </w:tc>
              <w:tc>
                <w:tcPr>
                  <w:tcW w:w="1997"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项目属于《产业结构调整指导目录（20</w:t>
                  </w:r>
                  <w:r>
                    <w:rPr>
                      <w:rFonts w:hint="eastAsia" w:cs="Times New Roman"/>
                      <w:bCs/>
                      <w:kern w:val="0"/>
                      <w:sz w:val="21"/>
                      <w:szCs w:val="21"/>
                      <w:lang w:val="en-US" w:eastAsia="zh-CN" w:bidi="en-US"/>
                    </w:rPr>
                    <w:t>24</w:t>
                  </w:r>
                  <w:r>
                    <w:rPr>
                      <w:rFonts w:hint="default" w:ascii="Times New Roman" w:hAnsi="Times New Roman" w:eastAsia="宋体" w:cs="Times New Roman"/>
                      <w:bCs/>
                      <w:kern w:val="0"/>
                      <w:sz w:val="21"/>
                      <w:szCs w:val="21"/>
                      <w:lang w:val="en-US" w:eastAsia="zh-CN" w:bidi="en-US"/>
                    </w:rPr>
                    <w:t>年本）》中的“鼓励类”项目；项目位于南鲁山镇（ZH37032310011），属于优先保护单元，符合国家当前产业政策。</w:t>
                  </w:r>
                </w:p>
              </w:tc>
              <w:tc>
                <w:tcPr>
                  <w:tcW w:w="43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符合</w:t>
                  </w:r>
                </w:p>
              </w:tc>
            </w:tr>
          </w:tbl>
          <w:p>
            <w:pPr>
              <w:bidi w:val="0"/>
              <w:ind w:firstLine="488" w:firstLineChars="200"/>
              <w:jc w:val="left"/>
            </w:pPr>
            <w:r>
              <w:rPr>
                <w:spacing w:val="2"/>
              </w:rPr>
              <w:t>由上表可知，本项目的建设符合《关于以改善环境质量为</w:t>
            </w:r>
            <w:r>
              <w:rPr>
                <w:spacing w:val="1"/>
              </w:rPr>
              <w:t>核心加强环境影响评价管理的通知》（环环评</w:t>
            </w:r>
            <w:r>
              <w:rPr>
                <w:rFonts w:ascii="Times New Roman" w:hAnsi="Times New Roman" w:eastAsia="Times New Roman" w:cs="Times New Roman"/>
                <w:spacing w:val="1"/>
              </w:rPr>
              <w:t>[2016]150</w:t>
            </w:r>
            <w:r>
              <w:rPr>
                <w:spacing w:val="1"/>
              </w:rPr>
              <w:t>号）的要求，符合审批条件，其建设是可行</w:t>
            </w:r>
            <w:r>
              <w:rPr>
                <w:spacing w:val="-16"/>
              </w:rPr>
              <w:t>的。</w:t>
            </w:r>
          </w:p>
          <w:p>
            <w:pPr>
              <w:bidi w:val="0"/>
              <w:jc w:val="left"/>
              <w:rPr>
                <w:rFonts w:hint="eastAsia" w:ascii="Times New Roman" w:hAnsi="Times New Roman" w:eastAsia="宋体" w:cs="Times New Roman"/>
                <w:spacing w:val="2"/>
                <w:lang w:val="en-US" w:eastAsia="zh-CN"/>
              </w:rPr>
            </w:pPr>
            <w:r>
              <w:rPr>
                <w:rFonts w:hint="eastAsia" w:ascii="Times New Roman" w:hAnsi="Times New Roman" w:eastAsia="宋体" w:cs="Times New Roman"/>
                <w:spacing w:val="2"/>
                <w:lang w:val="en-US" w:eastAsia="zh-CN"/>
              </w:rPr>
              <w:t>（3）与分区管控要求符合性分析</w:t>
            </w:r>
          </w:p>
          <w:p>
            <w:pPr>
              <w:bidi w:val="0"/>
              <w:ind w:firstLine="488" w:firstLineChars="200"/>
              <w:jc w:val="left"/>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spacing w:val="2"/>
                <w:lang w:val="en-US" w:eastAsia="zh-CN"/>
              </w:rPr>
              <w:t>根据《淄博市人民政府关于印发淄博市“三线一单”生态环境分区管控方案的通知》（淄政字〔2021〕49号）及淄博市生态环境委员会办公室关于印发《淄博市“三线一单”生态环境准入清单（动态更新版）》的通知（2023年4月7日）内划定的生态环境分区范围可知，本项目位于行政区域划分属于沂源县南鲁山镇，管控单元分类属于优先保护单元，环境管控单元编码：ZH37032310011。</w:t>
            </w:r>
          </w:p>
          <w:p>
            <w:pPr>
              <w:numPr>
                <w:ilvl w:val="0"/>
                <w:numId w:val="0"/>
              </w:numPr>
              <w:autoSpaceDE w:val="0"/>
              <w:autoSpaceDN w:val="0"/>
              <w:adjustRightInd w:val="0"/>
              <w:snapToGrid w:val="0"/>
              <w:jc w:val="center"/>
              <w:rPr>
                <w:rFonts w:hint="eastAsia" w:ascii="Times New Roman" w:hAnsi="Times New Roman" w:eastAsia="宋体" w:cs="Times New Roman"/>
                <w:b/>
                <w:bCs/>
                <w:kern w:val="0"/>
                <w:sz w:val="21"/>
                <w:szCs w:val="21"/>
                <w:lang w:eastAsia="zh-CN"/>
              </w:rPr>
            </w:pPr>
            <w:r>
              <w:rPr>
                <w:rFonts w:hint="eastAsia" w:ascii="Times New Roman" w:hAnsi="Times New Roman" w:eastAsia="宋体" w:cs="Times New Roman"/>
                <w:b/>
                <w:bCs/>
                <w:kern w:val="0"/>
                <w:sz w:val="21"/>
                <w:szCs w:val="21"/>
                <w:lang w:eastAsia="zh-CN"/>
              </w:rPr>
              <w:t>表</w:t>
            </w:r>
            <w:r>
              <w:rPr>
                <w:rFonts w:hint="eastAsia" w:ascii="Times New Roman" w:hAnsi="Times New Roman" w:eastAsia="宋体" w:cs="Times New Roman"/>
                <w:b/>
                <w:bCs/>
                <w:kern w:val="0"/>
                <w:sz w:val="21"/>
                <w:szCs w:val="21"/>
                <w:lang w:val="en-US" w:eastAsia="zh-CN"/>
              </w:rPr>
              <w:t xml:space="preserve">1-4 </w:t>
            </w:r>
            <w:r>
              <w:rPr>
                <w:rFonts w:hint="eastAsia" w:ascii="Times New Roman" w:hAnsi="Times New Roman" w:eastAsia="宋体" w:cs="Times New Roman"/>
                <w:b/>
                <w:bCs/>
                <w:kern w:val="0"/>
                <w:sz w:val="21"/>
                <w:szCs w:val="21"/>
                <w:lang w:eastAsia="zh-CN"/>
              </w:rPr>
              <w:t>与《淄博市“三线一单”生态环境准入清单》（动态更新版）的符合性分析一览表</w:t>
            </w:r>
          </w:p>
          <w:tbl>
            <w:tblPr>
              <w:tblStyle w:val="15"/>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485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管控维度</w:t>
                  </w:r>
                </w:p>
              </w:tc>
              <w:tc>
                <w:tcPr>
                  <w:tcW w:w="485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管控要求</w:t>
                  </w:r>
                </w:p>
              </w:tc>
              <w:tc>
                <w:tcPr>
                  <w:tcW w:w="211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3" w:type="dxa"/>
                  <w:gridSpan w:val="3"/>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南鲁山镇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空间布局约束</w:t>
                  </w:r>
                </w:p>
              </w:tc>
              <w:tc>
                <w:tcPr>
                  <w:tcW w:w="4853" w:type="dxa"/>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1.禁止新建、扩建《产业结构调整指导目录》（现行）明确的淘汰类项目和引入《市场准入负面清单》（现行）禁止准入类事项；鼓励对列入《产业结构调整指导目录》的限制类、淘汰类工业项目进行淘汰和提升改造。</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2.生态保护红线内禁止城镇化和工业化活动，严禁开展不符合主体功能定位的各类开发活动。对生态保护红线内鲁山省级自然保护区、沂源猿人遗址溶洞群省级风景名胜区、沂源县鲁山省级森林公园、沂河源省级湿地公园、鲁山国家地质公园、芝芳饮用水水源保护区的管理，严格按照《关于在国土空间规划中统筹划定落实三条控制线的指导意见》（2019年11月）、《关于划定并严守生态保护红线的若干意见》《自然生态空间用途管制办法（试行）》（国土资发〔2017〕33号）等相关要求管控。</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3.生态保护红线外的生态空间，依法依规以保护为主，严格限制大规模、高强度的区域开发，并根据其主导生态功能进行分类管控。</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4.按《土壤污染防治行动计划》的要求管理：严格控制在优先保护类耕地集中区域新建有色金属冶炼、石油加工、化工、焦化、电镀、制革等行业企业。对永久基本农田实行严格保护，确保其面积不减少、土壤环境质量不下降，除法律规定的重点建设项目选址确实无法避让外，其他任何建设不得占用。</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5.按照《沂河（跋山水库以上段）岸线利用管理规划》等要求管理沂河岸线。</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6.沂河上游需限制污染企业建设，在岸线保护区内仅允许生态湿地、绿化等水质改善项目及取水口、堤顶道路及其他水利工程类设施建设。严格执行禁养区制度，依法关闭或搬迁禁养区内的畜禽养殖场（小区）和养殖专业户。在沂河上游补给区禁止新建或改扩建各类高能耗、高排放水污染严重或环境风险大的建设项目耗水量大的行业。</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7.污水处理设施不健全、未正常运行或污水管网未覆盖的地区，未配套污水处理设施的项目不得建设。</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8.新建有污染物排放的工业项目，除在安全生产等方面有特殊要求的以外，应当进入工业园区或工业聚集区。</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9.按照省市要求，严格控制“两高”项目，新建“两高”项目实行“五个减量替代”。</w:t>
                  </w:r>
                </w:p>
              </w:tc>
              <w:tc>
                <w:tcPr>
                  <w:tcW w:w="2115" w:type="dxa"/>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本项目属于防洪治理的基础设施建设，项目的建设不新增占地，不属于工业生产项目。</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cs="Times New Roman"/>
                      <w:bCs/>
                      <w:kern w:val="0"/>
                      <w:sz w:val="21"/>
                      <w:szCs w:val="21"/>
                      <w:lang w:val="en-US" w:eastAsia="zh-CN" w:bidi="en-US"/>
                    </w:rPr>
                    <w:t>项目不属于调整后的生态保护红线范围，</w:t>
                  </w:r>
                  <w:r>
                    <w:rPr>
                      <w:rFonts w:hint="default" w:ascii="Times New Roman" w:hAnsi="Times New Roman" w:eastAsia="宋体" w:cs="Times New Roman"/>
                      <w:bCs/>
                      <w:kern w:val="0"/>
                      <w:sz w:val="21"/>
                      <w:szCs w:val="21"/>
                      <w:lang w:val="en-US" w:eastAsia="zh-CN" w:bidi="en-US"/>
                    </w:rPr>
                    <w:t>项目不涉及鲁山省级自然保护区、沂源猿人遗址溶洞群省级风景名胜区、沂源县鲁山省级森林公园、沂河源省级湿地公园、鲁山国家地质公园、芝芳饮用水水源保护区。</w:t>
                  </w:r>
                </w:p>
                <w:p>
                  <w:pPr>
                    <w:widowControl/>
                    <w:snapToGrid w:val="0"/>
                    <w:spacing w:line="240" w:lineRule="auto"/>
                    <w:ind w:left="-72" w:leftChars="-30" w:right="-72" w:rightChars="-30" w:firstLine="0" w:firstLineChars="0"/>
                    <w:jc w:val="center"/>
                    <w:textAlignment w:val="baseline"/>
                    <w:rPr>
                      <w:rFonts w:hint="eastAsia" w:cs="Times New Roman"/>
                      <w:bCs/>
                      <w:kern w:val="0"/>
                      <w:sz w:val="21"/>
                      <w:szCs w:val="21"/>
                      <w:lang w:val="en-US" w:eastAsia="zh-CN" w:bidi="en-US"/>
                    </w:rPr>
                  </w:pPr>
                  <w:r>
                    <w:rPr>
                      <w:rFonts w:hint="eastAsia" w:cs="Times New Roman"/>
                      <w:bCs/>
                      <w:kern w:val="0"/>
                      <w:sz w:val="21"/>
                      <w:szCs w:val="21"/>
                      <w:lang w:val="en-US" w:eastAsia="zh-CN" w:bidi="en-US"/>
                    </w:rPr>
                    <w:t>项目不属于沂河岸线。</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项目不属于</w:t>
                  </w:r>
                  <w:r>
                    <w:rPr>
                      <w:rFonts w:hint="eastAsia" w:ascii="Times New Roman" w:hAnsi="Times New Roman" w:eastAsia="宋体" w:cs="Times New Roman"/>
                      <w:bCs/>
                      <w:kern w:val="0"/>
                      <w:sz w:val="21"/>
                      <w:szCs w:val="21"/>
                      <w:lang w:val="en-US" w:eastAsia="zh-CN" w:bidi="en-US"/>
                    </w:rPr>
                    <w:t>工业</w:t>
                  </w:r>
                  <w:r>
                    <w:rPr>
                      <w:rFonts w:hint="default" w:ascii="Times New Roman" w:hAnsi="Times New Roman" w:eastAsia="宋体" w:cs="Times New Roman"/>
                      <w:bCs/>
                      <w:kern w:val="0"/>
                      <w:sz w:val="21"/>
                      <w:szCs w:val="21"/>
                      <w:lang w:val="en-US" w:eastAsia="zh-CN" w:bidi="en-US"/>
                    </w:rPr>
                    <w:t>项目</w:t>
                  </w:r>
                  <w:r>
                    <w:rPr>
                      <w:rFonts w:hint="eastAsia" w:ascii="Times New Roman" w:hAnsi="Times New Roman" w:eastAsia="宋体" w:cs="Times New Roman"/>
                      <w:bCs/>
                      <w:kern w:val="0"/>
                      <w:sz w:val="21"/>
                      <w:szCs w:val="21"/>
                      <w:lang w:val="en-US" w:eastAsia="zh-CN" w:bidi="en-US"/>
                    </w:rPr>
                    <w:t>。</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项目不属于“两高”项目</w:t>
                  </w:r>
                  <w:r>
                    <w:rPr>
                      <w:rFonts w:hint="eastAsia" w:ascii="Times New Roman" w:hAnsi="Times New Roman" w:eastAsia="宋体" w:cs="Times New Roman"/>
                      <w:bCs/>
                      <w:kern w:val="0"/>
                      <w:sz w:val="21"/>
                      <w:szCs w:val="21"/>
                      <w:lang w:val="en-US" w:eastAsia="zh-CN" w:bidi="en-US"/>
                    </w:rPr>
                    <w:t>。</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符合空间布局约束要求。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污染物排放管控</w:t>
                  </w:r>
                </w:p>
              </w:tc>
              <w:tc>
                <w:tcPr>
                  <w:tcW w:w="4853" w:type="dxa"/>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1.涉“两高”项目企业应当积极实施节能改造提升，提高能源使用效率，推进节能减排。</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2.落实主要污染物总量替代要求，按照山东省生态环境厅《关于印发山东省建设项目主要大气污染物排放总量替代指标核算及管理办法的通知》，实施动态管控替代。</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3.废水应当按照要求进行预处理，达到行业排放标准</w:t>
                  </w:r>
                  <w:r>
                    <w:rPr>
                      <w:rFonts w:hint="eastAsia" w:cs="Times New Roman"/>
                      <w:bCs/>
                      <w:kern w:val="0"/>
                      <w:sz w:val="21"/>
                      <w:szCs w:val="21"/>
                      <w:lang w:val="en-US" w:eastAsia="zh-CN" w:bidi="en-US"/>
                    </w:rPr>
                    <w:t>或</w:t>
                  </w:r>
                  <w:r>
                    <w:rPr>
                      <w:rFonts w:hint="default" w:ascii="Times New Roman" w:hAnsi="Times New Roman" w:eastAsia="宋体" w:cs="Times New Roman"/>
                      <w:bCs/>
                      <w:kern w:val="0"/>
                      <w:sz w:val="21"/>
                      <w:szCs w:val="21"/>
                      <w:lang w:val="en-US" w:eastAsia="zh-CN" w:bidi="en-US"/>
                    </w:rPr>
                    <w:t>综合排放标准后方可排放。</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4.禁止工业废水和生活污水未经处理直排环境；原则上除工业污水集中处理设施、城镇污水处理厂外不得新建入河排污口。</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5.表面涂装、铸造、建材、塑料加工等严格按照淄博市行业环境管控要求，实施源头替代，建立健全治理设施，确保污染物稳定达标排放，做到持证排污。</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6.严格控制化肥农药施用量，鼓励使用有机肥、缓释肥等高效肥料，加强农业面源污染治理，逐步削减农业面源污染物排放量。实施环境激素类化学品淘汰、限制、替代制度。</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7.规模养殖场（小区）粪污处理设施装备配套率达到100%。通过管网截污、小型污水处理站和氧化塘、人工湿地等方式因地制宜处理处置农村生活污水，解决农村污水直排问题。</w:t>
                  </w:r>
                </w:p>
              </w:tc>
              <w:tc>
                <w:tcPr>
                  <w:tcW w:w="211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项目运营期不产生、不排放二氧化硫、氮氧化物、烟粉尘和挥发性有机物，对区域排放量无影响。项目的实施，有利于防洪防汛调度，有利于当地水环境治理。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环境风险防控</w:t>
                  </w:r>
                </w:p>
              </w:tc>
              <w:tc>
                <w:tcPr>
                  <w:tcW w:w="4853" w:type="dxa"/>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1.建立生态保护红线常态化日常巡护。</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2.加强农田土壤、灌溉水的监测，对周边区域环境风险源进行评估。</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3.企业事业单位按照《企业事业单位突发环境事件应急预案备案管理办法（试行）》等要求，依法依规编制环境应急预案并定期开展演练。</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4.建立各企业危险废物的贮存、申报、经营许可（无废城市建设豁免的除外）、转移及处置管理制度，并负责对危废相应活动的全程监管和环境安全保障。</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5.按照省市要求，做好清洁取暖改造工作。</w:t>
                  </w:r>
                </w:p>
              </w:tc>
              <w:tc>
                <w:tcPr>
                  <w:tcW w:w="2115" w:type="dxa"/>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项目建立生态保护红线常态化日常巡护</w:t>
                  </w:r>
                  <w:r>
                    <w:rPr>
                      <w:rFonts w:hint="eastAsia" w:cs="Times New Roman"/>
                      <w:bCs/>
                      <w:kern w:val="0"/>
                      <w:sz w:val="21"/>
                      <w:szCs w:val="21"/>
                      <w:lang w:val="en-US" w:eastAsia="zh-CN" w:bidi="en-US"/>
                    </w:rPr>
                    <w:t>。</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项目运营期不产生废气、废水污染物，对区域环境无影响。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91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资源开发效率要求</w:t>
                  </w:r>
                </w:p>
              </w:tc>
              <w:tc>
                <w:tcPr>
                  <w:tcW w:w="485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1.加强农业节水，提高水资源使用效率。</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2.提升土地集约化水平。</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3.调整能源利用结构，控制煤炭消费量，实现减量化，鼓励使用清洁能源、新能源和可再生能源。</w:t>
                  </w:r>
                </w:p>
              </w:tc>
              <w:tc>
                <w:tcPr>
                  <w:tcW w:w="211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运营期使用少量电能，占区域能源消耗比例低，对区域能源利用影响不大</w:t>
                  </w:r>
                </w:p>
              </w:tc>
            </w:tr>
          </w:tbl>
          <w:p>
            <w:pPr>
              <w:numPr>
                <w:ilvl w:val="0"/>
                <w:numId w:val="0"/>
              </w:numPr>
              <w:autoSpaceDE w:val="0"/>
              <w:autoSpaceDN w:val="0"/>
              <w:adjustRightInd w:val="0"/>
              <w:snapToGrid w:val="0"/>
              <w:jc w:val="left"/>
              <w:rPr>
                <w:rFonts w:hint="eastAsia" w:ascii="Times New Roman" w:hAnsi="Times New Roman" w:eastAsia="宋体" w:cs="Times New Roman"/>
                <w:b/>
                <w:bCs/>
                <w:color w:val="auto"/>
                <w:spacing w:val="-2"/>
                <w:kern w:val="2"/>
                <w:sz w:val="24"/>
                <w:szCs w:val="24"/>
                <w:lang w:val="en-US" w:eastAsia="zh-CN" w:bidi="ar-SA"/>
              </w:rPr>
            </w:pPr>
            <w:r>
              <w:rPr>
                <w:rFonts w:hint="eastAsia" w:ascii="Times New Roman" w:hAnsi="Times New Roman" w:eastAsia="宋体" w:cs="Times New Roman"/>
                <w:b/>
                <w:bCs/>
                <w:color w:val="auto"/>
                <w:spacing w:val="-2"/>
                <w:kern w:val="2"/>
                <w:sz w:val="24"/>
                <w:szCs w:val="24"/>
                <w:lang w:val="en-US" w:eastAsia="zh-CN" w:bidi="ar-SA"/>
              </w:rPr>
              <mc:AlternateContent>
                <mc:Choice Requires="wps">
                  <w:drawing>
                    <wp:anchor distT="0" distB="0" distL="114300" distR="114300" simplePos="0" relativeHeight="251659264" behindDoc="0" locked="0" layoutInCell="1" allowOverlap="1">
                      <wp:simplePos x="0" y="0"/>
                      <wp:positionH relativeFrom="page">
                        <wp:posOffset>-290195</wp:posOffset>
                      </wp:positionH>
                      <wp:positionV relativeFrom="page">
                        <wp:posOffset>28575</wp:posOffset>
                      </wp:positionV>
                      <wp:extent cx="6350" cy="8799830"/>
                      <wp:effectExtent l="0" t="0" r="12700" b="1270"/>
                      <wp:wrapNone/>
                      <wp:docPr id="1" name="矩形 4"/>
                      <wp:cNvGraphicFramePr/>
                      <a:graphic xmlns:a="http://schemas.openxmlformats.org/drawingml/2006/main">
                        <a:graphicData uri="http://schemas.microsoft.com/office/word/2010/wordprocessingShape">
                          <wps:wsp>
                            <wps:cNvSpPr/>
                            <wps:spPr>
                              <a:xfrm>
                                <a:off x="0" y="0"/>
                                <a:ext cx="6350" cy="8799830"/>
                              </a:xfrm>
                              <a:prstGeom prst="rect">
                                <a:avLst/>
                              </a:prstGeom>
                              <a:solidFill>
                                <a:srgbClr val="000000"/>
                              </a:solidFill>
                              <a:ln>
                                <a:noFill/>
                              </a:ln>
                            </wps:spPr>
                            <wps:bodyPr wrap="square" upright="1"/>
                          </wps:wsp>
                        </a:graphicData>
                      </a:graphic>
                    </wp:anchor>
                  </w:drawing>
                </mc:Choice>
                <mc:Fallback>
                  <w:pict>
                    <v:rect id="矩形 4" o:spid="_x0000_s1026" o:spt="1" style="position:absolute;left:0pt;margin-left:-22.85pt;margin-top:2.25pt;height:692.9pt;width:0.5pt;mso-position-horizontal-relative:page;mso-position-vertical-relative:page;z-index:251659264;mso-width-relative:page;mso-height-relative:page;" fillcolor="#000000" filled="t" stroked="f" coordsize="21600,21600" o:gfxdata="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Yk5+dkAAAAKAQAADwAAAAAAAAABACAAAAAiAAAAZHJzL2Rvd25yZXYueG1sUEsB&#10;AhQAFAAAAAgAh07iQDKlvQK7AQAAawMAAA4AAAAAAAAAAQAgAAAAKAEAAGRycy9lMm9Eb2MueG1s&#10;UEsFBgAAAAAGAAYAWQEAAFUFAAAAAA==&#10;">
                      <v:fill on="t" focussize="0,0"/>
                      <v:stroke on="f"/>
                      <v:imagedata o:title=""/>
                      <o:lock v:ext="edit" aspectratio="f"/>
                    </v:rect>
                  </w:pict>
                </mc:Fallback>
              </mc:AlternateContent>
            </w:r>
            <w:r>
              <w:rPr>
                <w:rFonts w:hint="eastAsia" w:ascii="Times New Roman" w:hAnsi="Times New Roman" w:eastAsia="宋体" w:cs="Times New Roman"/>
                <w:b/>
                <w:bCs/>
                <w:color w:val="auto"/>
                <w:spacing w:val="-2"/>
                <w:kern w:val="2"/>
                <w:sz w:val="24"/>
                <w:szCs w:val="24"/>
                <w:lang w:val="en-US" w:eastAsia="zh-CN" w:bidi="ar-SA"/>
              </w:rPr>
              <w:t>3、与相关政策的符合性分析</w:t>
            </w:r>
          </w:p>
          <w:p>
            <w:pPr>
              <w:bidi w:val="0"/>
              <w:jc w:val="left"/>
              <w:rPr>
                <w:rFonts w:hint="eastAsia"/>
              </w:rPr>
            </w:pPr>
            <w:r>
              <w:rPr>
                <w:rFonts w:hint="eastAsia"/>
              </w:rPr>
              <w:t>（</w:t>
            </w:r>
            <w:r>
              <w:rPr>
                <w:rFonts w:hint="eastAsia"/>
                <w:lang w:val="en-US" w:eastAsia="zh-CN"/>
              </w:rPr>
              <w:t>1</w:t>
            </w:r>
            <w:r>
              <w:rPr>
                <w:rFonts w:hint="eastAsia"/>
              </w:rPr>
              <w:t>）项目与《水利建设项目（河湖整治与防洪除涝工程）环境影响评价文件审批原则（试行）》</w:t>
            </w:r>
            <w:r>
              <w:rPr>
                <w:rFonts w:hint="eastAsia"/>
                <w:lang w:eastAsia="zh-CN"/>
              </w:rPr>
              <w:t>的</w:t>
            </w:r>
            <w:r>
              <w:rPr>
                <w:rFonts w:hint="eastAsia"/>
              </w:rPr>
              <w:t>符合性分析</w:t>
            </w:r>
          </w:p>
          <w:p>
            <w:pPr>
              <w:pStyle w:val="39"/>
              <w:widowControl/>
              <w:kinsoku w:val="0"/>
              <w:autoSpaceDE w:val="0"/>
              <w:autoSpaceDN w:val="0"/>
              <w:adjustRightInd w:val="0"/>
              <w:spacing w:before="182" w:line="360" w:lineRule="auto"/>
              <w:ind w:left="-143" w:leftChars="-208" w:hanging="356" w:hangingChars="169"/>
              <w:contextualSpacing/>
              <w:jc w:val="center"/>
              <w:textAlignment w:val="baseline"/>
              <w:rPr>
                <w:b/>
                <w:snapToGrid w:val="0"/>
                <w:color w:val="000000"/>
                <w:spacing w:val="-1"/>
                <w:kern w:val="0"/>
                <w:lang w:eastAsia="zh-CN"/>
              </w:rPr>
            </w:pPr>
            <w:r>
              <w:rPr>
                <w:rFonts w:hint="eastAsia" w:ascii="Times New Roman" w:hAnsi="Times New Roman" w:eastAsia="宋体" w:cs="Times New Roman"/>
                <w:b/>
                <w:bCs/>
                <w:kern w:val="0"/>
                <w:sz w:val="21"/>
                <w:szCs w:val="21"/>
                <w:lang w:eastAsia="zh-CN"/>
              </w:rPr>
              <w:t>表</w:t>
            </w:r>
            <w:r>
              <w:rPr>
                <w:rFonts w:hint="eastAsia" w:ascii="Times New Roman" w:hAnsi="Times New Roman" w:eastAsia="宋体" w:cs="Times New Roman"/>
                <w:b/>
                <w:bCs/>
                <w:kern w:val="0"/>
                <w:sz w:val="21"/>
                <w:szCs w:val="21"/>
                <w:lang w:val="en-US" w:eastAsia="zh-CN"/>
              </w:rPr>
              <w:t>1-5</w:t>
            </w:r>
            <w:r>
              <w:rPr>
                <w:rFonts w:hint="eastAsia" w:ascii="Times New Roman" w:hAnsi="Times New Roman" w:cs="Times New Roman"/>
                <w:b/>
                <w:bCs/>
                <w:kern w:val="0"/>
                <w:sz w:val="21"/>
                <w:szCs w:val="21"/>
                <w:lang w:val="en-US" w:eastAsia="zh-CN"/>
              </w:rPr>
              <w:t xml:space="preserve"> </w:t>
            </w:r>
            <w:r>
              <w:rPr>
                <w:rFonts w:hint="eastAsia" w:ascii="Times New Roman" w:hAnsi="Times New Roman" w:eastAsia="宋体" w:cs="Times New Roman"/>
                <w:b/>
                <w:bCs/>
                <w:kern w:val="0"/>
                <w:sz w:val="21"/>
                <w:szCs w:val="21"/>
                <w:lang w:val="en-US" w:eastAsia="zh-CN" w:bidi="ar-SA"/>
              </w:rPr>
              <w:t>符合性分析一览表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4127"/>
              <w:gridCol w:w="3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72" w:type="pct"/>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bCs w:val="0"/>
                      <w:kern w:val="0"/>
                      <w:sz w:val="21"/>
                      <w:szCs w:val="21"/>
                      <w:lang w:val="en-US" w:eastAsia="zh-CN" w:bidi="en-US"/>
                    </w:rPr>
                  </w:pPr>
                  <w:r>
                    <w:rPr>
                      <w:rFonts w:hint="eastAsia" w:ascii="Times New Roman" w:hAnsi="Times New Roman" w:eastAsia="宋体" w:cs="Times New Roman"/>
                      <w:b/>
                      <w:bCs w:val="0"/>
                      <w:kern w:val="0"/>
                      <w:sz w:val="21"/>
                      <w:szCs w:val="21"/>
                      <w:lang w:val="en-US" w:eastAsia="zh-CN" w:bidi="en-US"/>
                    </w:rPr>
                    <w:t>序号</w:t>
                  </w:r>
                </w:p>
              </w:tc>
              <w:tc>
                <w:tcPr>
                  <w:tcW w:w="2518" w:type="pct"/>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文件要求</w:t>
                  </w:r>
                </w:p>
              </w:tc>
              <w:tc>
                <w:tcPr>
                  <w:tcW w:w="2109" w:type="pct"/>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7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1</w:t>
                  </w:r>
                </w:p>
              </w:tc>
              <w:tc>
                <w:tcPr>
                  <w:tcW w:w="251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与主体功能区规划、生态功能区划、水环境功能区划、水功能区划、生态环境保护规划、流域综合规划、防洪规划等相协调。工程涉及岸线调整（治导线变化）、裁弯取直、围垦水面和占用河湖滩地等建设内容的，</w:t>
                  </w:r>
                  <w:r>
                    <w:rPr>
                      <w:rFonts w:hint="eastAsia" w:ascii="Times New Roman" w:hAnsi="Times New Roman" w:eastAsia="宋体" w:cs="Times New Roman"/>
                      <w:bCs/>
                      <w:kern w:val="0"/>
                      <w:sz w:val="21"/>
                      <w:szCs w:val="21"/>
                      <w:lang w:val="en-US" w:eastAsia="zh-CN" w:bidi="en-US"/>
                    </w:rPr>
                    <w:t>应</w:t>
                  </w:r>
                  <w:r>
                    <w:rPr>
                      <w:rFonts w:hint="default" w:ascii="Times New Roman" w:hAnsi="Times New Roman" w:eastAsia="宋体" w:cs="Times New Roman"/>
                      <w:bCs/>
                      <w:kern w:val="0"/>
                      <w:sz w:val="21"/>
                      <w:szCs w:val="21"/>
                      <w:lang w:val="en-US" w:eastAsia="zh-CN" w:bidi="en-US"/>
                    </w:rPr>
                    <w:t>充分论证方案环境可行性，最大程度保持河湖自然形态，最大限度维护了河湖健康、生态系统功能和生物多样性。</w:t>
                  </w:r>
                </w:p>
              </w:tc>
              <w:tc>
                <w:tcPr>
                  <w:tcW w:w="2109"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w:t>
                  </w:r>
                  <w:r>
                    <w:rPr>
                      <w:rFonts w:hint="eastAsia" w:ascii="Times New Roman" w:hAnsi="Times New Roman" w:eastAsia="宋体" w:cs="Times New Roman"/>
                      <w:bCs/>
                      <w:kern w:val="0"/>
                      <w:sz w:val="21"/>
                      <w:szCs w:val="21"/>
                      <w:lang w:val="en-US" w:eastAsia="zh-CN" w:bidi="en-US"/>
                    </w:rPr>
                    <w:t>的</w:t>
                  </w:r>
                  <w:r>
                    <w:rPr>
                      <w:rFonts w:hint="default" w:ascii="Times New Roman" w:hAnsi="Times New Roman" w:eastAsia="宋体" w:cs="Times New Roman"/>
                      <w:bCs/>
                      <w:kern w:val="0"/>
                      <w:sz w:val="21"/>
                      <w:szCs w:val="21"/>
                      <w:lang w:val="en-US" w:eastAsia="zh-CN" w:bidi="en-US"/>
                    </w:rPr>
                    <w:t>建设符合《淄博市水利发展“十四五”规划</w:t>
                  </w:r>
                  <w:r>
                    <w:rPr>
                      <w:rFonts w:hint="eastAsia" w:cs="Times New Roman"/>
                      <w:bCs/>
                      <w:kern w:val="0"/>
                      <w:sz w:val="21"/>
                      <w:szCs w:val="21"/>
                      <w:lang w:val="en-US" w:eastAsia="zh-CN" w:bidi="en-US"/>
                    </w:rPr>
                    <w:t>》《</w:t>
                  </w:r>
                  <w:r>
                    <w:rPr>
                      <w:rFonts w:hint="eastAsia" w:ascii="Times New Roman" w:hAnsi="Times New Roman" w:eastAsia="宋体" w:cs="Times New Roman"/>
                      <w:bCs/>
                      <w:kern w:val="0"/>
                      <w:sz w:val="21"/>
                      <w:szCs w:val="21"/>
                      <w:lang w:val="en-US" w:eastAsia="zh-CN" w:bidi="en-US"/>
                    </w:rPr>
                    <w:t>淄博市</w:t>
                  </w:r>
                  <w:r>
                    <w:rPr>
                      <w:rFonts w:hint="default" w:ascii="Times New Roman" w:hAnsi="Times New Roman" w:eastAsia="宋体" w:cs="Times New Roman"/>
                      <w:bCs/>
                      <w:kern w:val="0"/>
                      <w:sz w:val="21"/>
                      <w:szCs w:val="21"/>
                      <w:lang w:val="en-US" w:eastAsia="zh-CN" w:bidi="en-US"/>
                    </w:rPr>
                    <w:t>“十四五”生态环境保护规划</w:t>
                  </w:r>
                  <w:r>
                    <w:rPr>
                      <w:rFonts w:hint="eastAsia" w:cs="Times New Roman"/>
                      <w:bCs/>
                      <w:kern w:val="0"/>
                      <w:sz w:val="21"/>
                      <w:szCs w:val="21"/>
                      <w:lang w:val="en-US" w:eastAsia="zh-CN" w:bidi="en-US"/>
                    </w:rPr>
                    <w:t>》《</w:t>
                  </w:r>
                  <w:r>
                    <w:rPr>
                      <w:rFonts w:hint="default" w:ascii="Times New Roman" w:hAnsi="Times New Roman" w:eastAsia="宋体" w:cs="Times New Roman"/>
                      <w:bCs/>
                      <w:kern w:val="0"/>
                      <w:sz w:val="21"/>
                      <w:szCs w:val="21"/>
                      <w:lang w:val="en-US" w:eastAsia="zh-CN" w:bidi="en-US"/>
                    </w:rPr>
                    <w:t>淄博市水功能区划</w:t>
                  </w:r>
                  <w:r>
                    <w:rPr>
                      <w:rFonts w:hint="eastAsia" w:cs="Times New Roman"/>
                      <w:bCs/>
                      <w:kern w:val="0"/>
                      <w:sz w:val="21"/>
                      <w:szCs w:val="21"/>
                      <w:lang w:val="en-US" w:eastAsia="zh-CN" w:bidi="en-US"/>
                    </w:rPr>
                    <w:t>》《</w:t>
                  </w:r>
                  <w:r>
                    <w:rPr>
                      <w:rFonts w:hint="default" w:ascii="Times New Roman" w:hAnsi="Times New Roman" w:eastAsia="宋体" w:cs="Times New Roman"/>
                      <w:bCs/>
                      <w:kern w:val="0"/>
                      <w:sz w:val="21"/>
                      <w:szCs w:val="21"/>
                      <w:lang w:val="en-US" w:eastAsia="zh-CN" w:bidi="en-US"/>
                    </w:rPr>
                    <w:t>淄博市沂源县水功能区划</w:t>
                  </w:r>
                  <w:r>
                    <w:rPr>
                      <w:rFonts w:hint="eastAsia" w:cs="Times New Roman"/>
                      <w:bCs/>
                      <w:kern w:val="0"/>
                      <w:sz w:val="21"/>
                      <w:szCs w:val="21"/>
                      <w:lang w:val="en-US" w:eastAsia="zh-CN" w:bidi="en-US"/>
                    </w:rPr>
                    <w:t>》《</w:t>
                  </w:r>
                  <w:r>
                    <w:rPr>
                      <w:rFonts w:hint="eastAsia" w:ascii="Times New Roman" w:hAnsi="Times New Roman" w:eastAsia="宋体" w:cs="Times New Roman"/>
                      <w:bCs/>
                      <w:kern w:val="0"/>
                      <w:sz w:val="21"/>
                      <w:szCs w:val="21"/>
                      <w:lang w:val="en-US" w:eastAsia="zh-CN" w:bidi="en-US"/>
                    </w:rPr>
                    <w:t>沂源</w:t>
                  </w:r>
                  <w:r>
                    <w:rPr>
                      <w:rFonts w:hint="default" w:ascii="Times New Roman" w:hAnsi="Times New Roman" w:eastAsia="宋体" w:cs="Times New Roman"/>
                      <w:bCs/>
                      <w:kern w:val="0"/>
                      <w:sz w:val="21"/>
                      <w:szCs w:val="21"/>
                      <w:lang w:val="en-US" w:eastAsia="zh-CN" w:bidi="en-US"/>
                    </w:rPr>
                    <w:t>县国土空间总体规划（</w:t>
                  </w:r>
                  <w:r>
                    <w:rPr>
                      <w:rFonts w:hint="eastAsia" w:ascii="Times New Roman" w:hAnsi="Times New Roman" w:eastAsia="宋体" w:cs="Times New Roman"/>
                      <w:bCs/>
                      <w:kern w:val="0"/>
                      <w:sz w:val="21"/>
                      <w:szCs w:val="21"/>
                      <w:lang w:val="en-US" w:eastAsia="zh-CN" w:bidi="en-US"/>
                    </w:rPr>
                    <w:t>2021-2035）</w:t>
                  </w:r>
                  <w:r>
                    <w:rPr>
                      <w:rFonts w:hint="default" w:ascii="Times New Roman" w:hAnsi="Times New Roman" w:eastAsia="宋体" w:cs="Times New Roman"/>
                      <w:bCs/>
                      <w:kern w:val="0"/>
                      <w:sz w:val="21"/>
                      <w:szCs w:val="21"/>
                      <w:lang w:val="en-US" w:eastAsia="zh-CN" w:bidi="en-US"/>
                    </w:rPr>
                    <w:t>》。工程</w:t>
                  </w:r>
                  <w:r>
                    <w:rPr>
                      <w:rFonts w:hint="eastAsia" w:ascii="Times New Roman" w:hAnsi="Times New Roman" w:eastAsia="宋体" w:cs="Times New Roman"/>
                      <w:bCs/>
                      <w:kern w:val="0"/>
                      <w:sz w:val="21"/>
                      <w:szCs w:val="21"/>
                      <w:lang w:val="en-US" w:eastAsia="zh-CN" w:bidi="en-US"/>
                    </w:rPr>
                    <w:t>不</w:t>
                  </w:r>
                  <w:r>
                    <w:rPr>
                      <w:rFonts w:hint="default" w:ascii="Times New Roman" w:hAnsi="Times New Roman" w:eastAsia="宋体" w:cs="Times New Roman"/>
                      <w:bCs/>
                      <w:kern w:val="0"/>
                      <w:sz w:val="21"/>
                      <w:szCs w:val="21"/>
                      <w:lang w:val="en-US" w:eastAsia="zh-CN" w:bidi="en-US"/>
                    </w:rPr>
                    <w:t>涉及岸线调整、裁弯取直、围垦水面和占用河湖滩地等建设内容</w:t>
                  </w:r>
                  <w:r>
                    <w:rPr>
                      <w:rFonts w:hint="eastAsia" w:ascii="Times New Roman" w:hAnsi="Times New Roman" w:eastAsia="宋体" w:cs="Times New Roman"/>
                      <w:bCs/>
                      <w:kern w:val="0"/>
                      <w:sz w:val="21"/>
                      <w:szCs w:val="21"/>
                      <w:lang w:val="en-US" w:eastAsia="zh-CN" w:bidi="en-US"/>
                    </w:rPr>
                    <w:t>，</w:t>
                  </w:r>
                  <w:r>
                    <w:rPr>
                      <w:rFonts w:hint="default" w:ascii="Times New Roman" w:hAnsi="Times New Roman" w:eastAsia="宋体" w:cs="Times New Roman"/>
                      <w:bCs/>
                      <w:kern w:val="0"/>
                      <w:sz w:val="21"/>
                      <w:szCs w:val="21"/>
                      <w:lang w:val="en-US" w:eastAsia="zh-CN" w:bidi="en-US"/>
                    </w:rPr>
                    <w:t>施工中最大程度保持河湖自然形态，最大限度维护了河湖健康、生态系统功能和生物多样性。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5" w:hRule="atLeast"/>
                <w:jc w:val="center"/>
              </w:trPr>
              <w:tc>
                <w:tcPr>
                  <w:tcW w:w="37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2</w:t>
                  </w:r>
                </w:p>
              </w:tc>
              <w:tc>
                <w:tcPr>
                  <w:tcW w:w="251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2109"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本项目不涉及沂河源湿地公园、织女湖湿地公园等湿地公园，不涉及自然保护区以及其他生态保护红线等环境敏感区中法律法规禁止占用的区域，不涉及芝芳饮用水水源保护区、响泉－龙洞泉水源保护区、钓鱼台水源保护区等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jc w:val="center"/>
              </w:trPr>
              <w:tc>
                <w:tcPr>
                  <w:tcW w:w="37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3</w:t>
                  </w:r>
                </w:p>
              </w:tc>
              <w:tc>
                <w:tcPr>
                  <w:tcW w:w="251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项目实施改变水动力条件或水文过程且对水质产生不利影响的，</w:t>
                  </w:r>
                  <w:r>
                    <w:rPr>
                      <w:rFonts w:hint="eastAsia" w:ascii="Times New Roman" w:hAnsi="Times New Roman" w:eastAsia="宋体" w:cs="Times New Roman"/>
                      <w:bCs/>
                      <w:kern w:val="0"/>
                      <w:sz w:val="21"/>
                      <w:szCs w:val="21"/>
                      <w:lang w:val="en-US" w:eastAsia="zh-CN" w:bidi="en-US"/>
                    </w:rPr>
                    <w:t>应</w:t>
                  </w:r>
                  <w:r>
                    <w:rPr>
                      <w:rFonts w:hint="default" w:ascii="Times New Roman" w:hAnsi="Times New Roman" w:eastAsia="宋体" w:cs="Times New Roman"/>
                      <w:bCs/>
                      <w:kern w:val="0"/>
                      <w:sz w:val="21"/>
                      <w:szCs w:val="21"/>
                      <w:lang w:val="en-US" w:eastAsia="zh-CN" w:bidi="en-US"/>
                    </w:rPr>
                    <w:t>提出工程优化调整、科学调度、实施区域流域水污染防治等措施。对地下水环境产生不利影响或次生环境影响的，</w:t>
                  </w:r>
                  <w:r>
                    <w:rPr>
                      <w:rFonts w:hint="eastAsia" w:ascii="Times New Roman" w:hAnsi="Times New Roman" w:eastAsia="宋体" w:cs="Times New Roman"/>
                      <w:bCs/>
                      <w:kern w:val="0"/>
                      <w:sz w:val="21"/>
                      <w:szCs w:val="21"/>
                      <w:lang w:val="en-US" w:eastAsia="zh-CN" w:bidi="en-US"/>
                    </w:rPr>
                    <w:t>应</w:t>
                  </w:r>
                  <w:r>
                    <w:rPr>
                      <w:rFonts w:hint="default" w:ascii="Times New Roman" w:hAnsi="Times New Roman" w:eastAsia="宋体" w:cs="Times New Roman"/>
                      <w:bCs/>
                      <w:kern w:val="0"/>
                      <w:sz w:val="21"/>
                      <w:szCs w:val="21"/>
                      <w:lang w:val="en-US" w:eastAsia="zh-CN" w:bidi="en-US"/>
                    </w:rPr>
                    <w:t>提出优化工程设计、导排、防护等针对性的防治措施。</w:t>
                  </w:r>
                </w:p>
              </w:tc>
              <w:tc>
                <w:tcPr>
                  <w:tcW w:w="2109"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cs="Times New Roman"/>
                      <w:bCs/>
                      <w:kern w:val="0"/>
                      <w:sz w:val="21"/>
                      <w:szCs w:val="21"/>
                      <w:lang w:val="en-US" w:eastAsia="zh-CN" w:bidi="en-US"/>
                    </w:rPr>
                    <w:t>五井石河属于季节性河流，项目枯水期施工，</w:t>
                  </w:r>
                  <w:r>
                    <w:rPr>
                      <w:rFonts w:hint="default" w:ascii="Times New Roman" w:hAnsi="Times New Roman" w:eastAsia="宋体" w:cs="Times New Roman"/>
                      <w:bCs/>
                      <w:kern w:val="0"/>
                      <w:sz w:val="21"/>
                      <w:szCs w:val="21"/>
                      <w:lang w:val="en-US" w:eastAsia="zh-CN" w:bidi="en-US"/>
                    </w:rPr>
                    <w:t>项目</w:t>
                  </w:r>
                  <w:r>
                    <w:rPr>
                      <w:rFonts w:hint="eastAsia" w:ascii="Times New Roman" w:hAnsi="Times New Roman" w:eastAsia="宋体" w:cs="Times New Roman"/>
                      <w:bCs/>
                      <w:kern w:val="0"/>
                      <w:sz w:val="21"/>
                      <w:szCs w:val="21"/>
                      <w:lang w:val="en-US" w:eastAsia="zh-CN" w:bidi="en-US"/>
                    </w:rPr>
                    <w:t>的</w:t>
                  </w:r>
                  <w:r>
                    <w:rPr>
                      <w:rFonts w:hint="default" w:ascii="Times New Roman" w:hAnsi="Times New Roman" w:eastAsia="宋体" w:cs="Times New Roman"/>
                      <w:bCs/>
                      <w:kern w:val="0"/>
                      <w:sz w:val="21"/>
                      <w:szCs w:val="21"/>
                      <w:lang w:val="en-US" w:eastAsia="zh-CN" w:bidi="en-US"/>
                    </w:rPr>
                    <w:t>实施</w:t>
                  </w:r>
                  <w:r>
                    <w:rPr>
                      <w:rFonts w:hint="eastAsia" w:ascii="Times New Roman" w:hAnsi="Times New Roman" w:eastAsia="宋体" w:cs="Times New Roman"/>
                      <w:bCs/>
                      <w:kern w:val="0"/>
                      <w:sz w:val="21"/>
                      <w:szCs w:val="21"/>
                      <w:lang w:val="en-US" w:eastAsia="zh-CN" w:bidi="en-US"/>
                    </w:rPr>
                    <w:t>未</w:t>
                  </w:r>
                  <w:r>
                    <w:rPr>
                      <w:rFonts w:hint="default" w:ascii="Times New Roman" w:hAnsi="Times New Roman" w:eastAsia="宋体" w:cs="Times New Roman"/>
                      <w:bCs/>
                      <w:kern w:val="0"/>
                      <w:sz w:val="21"/>
                      <w:szCs w:val="21"/>
                      <w:lang w:val="en-US" w:eastAsia="zh-CN" w:bidi="en-US"/>
                    </w:rPr>
                    <w:t>改变水动力条件或水文过程且</w:t>
                  </w:r>
                  <w:r>
                    <w:rPr>
                      <w:rFonts w:hint="eastAsia" w:ascii="Times New Roman" w:hAnsi="Times New Roman" w:eastAsia="宋体" w:cs="Times New Roman"/>
                      <w:bCs/>
                      <w:kern w:val="0"/>
                      <w:sz w:val="21"/>
                      <w:szCs w:val="21"/>
                      <w:lang w:val="en-US" w:eastAsia="zh-CN" w:bidi="en-US"/>
                    </w:rPr>
                    <w:t>未对</w:t>
                  </w:r>
                  <w:r>
                    <w:rPr>
                      <w:rFonts w:hint="default" w:ascii="Times New Roman" w:hAnsi="Times New Roman" w:eastAsia="宋体" w:cs="Times New Roman"/>
                      <w:bCs/>
                      <w:kern w:val="0"/>
                      <w:sz w:val="21"/>
                      <w:szCs w:val="21"/>
                      <w:lang w:val="en-US" w:eastAsia="zh-CN" w:bidi="en-US"/>
                    </w:rPr>
                    <w:t>水质产生不利影响</w:t>
                  </w:r>
                  <w:r>
                    <w:rPr>
                      <w:rFonts w:hint="eastAsia" w:ascii="Times New Roman" w:hAnsi="Times New Roman" w:eastAsia="宋体" w:cs="Times New Roman"/>
                      <w:bCs/>
                      <w:kern w:val="0"/>
                      <w:sz w:val="21"/>
                      <w:szCs w:val="21"/>
                      <w:lang w:val="en-US" w:eastAsia="zh-CN" w:bidi="en-US"/>
                    </w:rPr>
                    <w:t>，</w:t>
                  </w:r>
                  <w:r>
                    <w:rPr>
                      <w:rFonts w:hint="default" w:ascii="Times New Roman" w:hAnsi="Times New Roman" w:eastAsia="宋体" w:cs="Times New Roman"/>
                      <w:bCs/>
                      <w:kern w:val="0"/>
                      <w:sz w:val="21"/>
                      <w:szCs w:val="21"/>
                      <w:lang w:val="en-US" w:eastAsia="zh-CN" w:bidi="en-US"/>
                    </w:rPr>
                    <w:t>未对地下水产生不良影响。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37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4</w:t>
                  </w:r>
                </w:p>
              </w:tc>
              <w:tc>
                <w:tcPr>
                  <w:tcW w:w="251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项目对鱼类等水生生物的洄游通道及“三场”等重要生境、物种多样性及资源量等产生不利影响的，</w:t>
                  </w:r>
                  <w:r>
                    <w:rPr>
                      <w:rFonts w:hint="eastAsia" w:ascii="Times New Roman" w:hAnsi="Times New Roman" w:eastAsia="宋体" w:cs="Times New Roman"/>
                      <w:bCs/>
                      <w:kern w:val="0"/>
                      <w:sz w:val="21"/>
                      <w:szCs w:val="21"/>
                      <w:lang w:val="en-US" w:eastAsia="zh-CN" w:bidi="en-US"/>
                    </w:rPr>
                    <w:t>应</w:t>
                  </w:r>
                  <w:r>
                    <w:rPr>
                      <w:rFonts w:hint="default" w:ascii="Times New Roman" w:hAnsi="Times New Roman" w:eastAsia="宋体" w:cs="Times New Roman"/>
                      <w:bCs/>
                      <w:kern w:val="0"/>
                      <w:sz w:val="21"/>
                      <w:szCs w:val="21"/>
                      <w:lang w:val="en-US" w:eastAsia="zh-CN" w:bidi="en-US"/>
                    </w:rPr>
                    <w:t>提出下泄生态流量、恢复鱼类洄游通道、采用生态友好型护岸（坡、底）、生态修复、增殖放流等措施。</w:t>
                  </w:r>
                </w:p>
              </w:tc>
              <w:tc>
                <w:tcPr>
                  <w:tcW w:w="2109"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snapToGrid w:val="0"/>
                      <w:color w:val="FF0000"/>
                      <w:spacing w:val="8"/>
                      <w:kern w:val="0"/>
                      <w:sz w:val="20"/>
                      <w:szCs w:val="20"/>
                      <w:highlight w:val="none"/>
                    </w:rPr>
                    <w:t>项目对鱼类等水生生物的洄游通道及“三场”等重要生境、物种多样性及资源量等产生不利影响的，提出了下泄生态流量、恢复鱼类洄游通道、采用生态友好型护岸（坡、底）、生态修复、增殖放流等措施。</w:t>
                  </w:r>
                  <w:r>
                    <w:rPr>
                      <w:rFonts w:hint="eastAsia" w:cs="Times New Roman"/>
                      <w:bCs/>
                      <w:color w:val="FF0000"/>
                      <w:kern w:val="0"/>
                      <w:sz w:val="21"/>
                      <w:szCs w:val="21"/>
                      <w:lang w:val="en-US" w:eastAsia="zh-CN" w:bidi="en-US"/>
                    </w:rPr>
                    <w:t>五井石河</w:t>
                  </w:r>
                  <w:r>
                    <w:rPr>
                      <w:rFonts w:hint="eastAsia"/>
                      <w:snapToGrid w:val="0"/>
                      <w:color w:val="FF0000"/>
                      <w:spacing w:val="8"/>
                      <w:kern w:val="0"/>
                      <w:sz w:val="20"/>
                      <w:szCs w:val="20"/>
                      <w:highlight w:val="none"/>
                      <w:lang w:eastAsia="zh-CN"/>
                    </w:rPr>
                    <w:t>为季节性河流，冬季为枯水期，该工程选择在冬季施工，不存在</w:t>
                  </w:r>
                  <w:r>
                    <w:rPr>
                      <w:snapToGrid w:val="0"/>
                      <w:color w:val="FF0000"/>
                      <w:spacing w:val="8"/>
                      <w:kern w:val="0"/>
                      <w:sz w:val="20"/>
                      <w:szCs w:val="20"/>
                      <w:highlight w:val="none"/>
                    </w:rPr>
                    <w:t>下泄生态流量、恢复鱼类洄游通道、采用生态友好型护岸（坡、底）、生态修复、增殖放流等措施</w:t>
                  </w:r>
                  <w:r>
                    <w:rPr>
                      <w:rFonts w:hint="eastAsia"/>
                      <w:snapToGrid w:val="0"/>
                      <w:color w:val="FF0000"/>
                      <w:spacing w:val="8"/>
                      <w:kern w:val="0"/>
                      <w:sz w:val="20"/>
                      <w:szCs w:val="20"/>
                      <w:highlight w:val="none"/>
                      <w:lang w:eastAsia="zh-CN"/>
                    </w:rPr>
                    <w:t>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4" w:hRule="atLeast"/>
                <w:jc w:val="center"/>
              </w:trPr>
              <w:tc>
                <w:tcPr>
                  <w:tcW w:w="37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5</w:t>
                  </w:r>
                </w:p>
              </w:tc>
              <w:tc>
                <w:tcPr>
                  <w:tcW w:w="251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项目对湿地生态系统结构和功能、河湖生态缓冲带造成不利影响的，</w:t>
                  </w:r>
                  <w:r>
                    <w:rPr>
                      <w:rFonts w:hint="eastAsia" w:ascii="Times New Roman" w:hAnsi="Times New Roman" w:eastAsia="宋体" w:cs="Times New Roman"/>
                      <w:bCs/>
                      <w:kern w:val="0"/>
                      <w:sz w:val="21"/>
                      <w:szCs w:val="21"/>
                      <w:lang w:val="en-US" w:eastAsia="zh-CN" w:bidi="en-US"/>
                    </w:rPr>
                    <w:t>应</w:t>
                  </w:r>
                  <w:r>
                    <w:rPr>
                      <w:rFonts w:hint="default" w:ascii="Times New Roman" w:hAnsi="Times New Roman" w:eastAsia="宋体" w:cs="Times New Roman"/>
                      <w:bCs/>
                      <w:kern w:val="0"/>
                      <w:sz w:val="21"/>
                      <w:szCs w:val="21"/>
                      <w:lang w:val="en-US" w:eastAsia="zh-CN" w:bidi="en-US"/>
                    </w:rPr>
                    <w:t>提出优化工程设计及调度运行方案、生态修复等措施。对珍稀濒危保护植物造成不利影响的，提出避让、原位防护、移栽等措施。对陆生珍稀濒危保护动物及其生境造成不利影响的，提出避让、救护、迁徙廊道构建、生境再造等措施。对景观产生不利影响的，提出避让、优化设计、景观塑造等措施。</w:t>
                  </w:r>
                </w:p>
              </w:tc>
              <w:tc>
                <w:tcPr>
                  <w:tcW w:w="2109"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w:t>
                  </w:r>
                  <w:r>
                    <w:rPr>
                      <w:rFonts w:hint="eastAsia" w:ascii="Times New Roman" w:hAnsi="Times New Roman" w:eastAsia="宋体" w:cs="Times New Roman"/>
                      <w:bCs/>
                      <w:kern w:val="0"/>
                      <w:sz w:val="21"/>
                      <w:szCs w:val="21"/>
                      <w:lang w:val="en-US" w:eastAsia="zh-CN" w:bidi="en-US"/>
                    </w:rPr>
                    <w:t>未</w:t>
                  </w:r>
                  <w:r>
                    <w:rPr>
                      <w:rFonts w:hint="default" w:ascii="Times New Roman" w:hAnsi="Times New Roman" w:eastAsia="宋体" w:cs="Times New Roman"/>
                      <w:bCs/>
                      <w:kern w:val="0"/>
                      <w:sz w:val="21"/>
                      <w:szCs w:val="21"/>
                      <w:lang w:val="en-US" w:eastAsia="zh-CN" w:bidi="en-US"/>
                    </w:rPr>
                    <w:t>对湿地生态系统结构和功能、河湖生态缓冲带造成不利影响。</w:t>
                  </w:r>
                  <w:r>
                    <w:rPr>
                      <w:rFonts w:hint="eastAsia" w:ascii="Times New Roman" w:hAnsi="Times New Roman" w:eastAsia="宋体" w:cs="Times New Roman"/>
                      <w:bCs/>
                      <w:kern w:val="0"/>
                      <w:sz w:val="21"/>
                      <w:szCs w:val="21"/>
                      <w:lang w:val="en-US" w:eastAsia="zh-CN" w:bidi="en-US"/>
                    </w:rPr>
                    <w:t>项目</w:t>
                  </w:r>
                  <w:r>
                    <w:rPr>
                      <w:rFonts w:hint="default" w:ascii="Times New Roman" w:hAnsi="Times New Roman" w:eastAsia="宋体" w:cs="Times New Roman"/>
                      <w:bCs/>
                      <w:kern w:val="0"/>
                      <w:sz w:val="21"/>
                      <w:szCs w:val="21"/>
                      <w:lang w:val="en-US" w:eastAsia="zh-CN" w:bidi="en-US"/>
                    </w:rPr>
                    <w:t>未对珍稀濒危保护植物</w:t>
                  </w:r>
                  <w:r>
                    <w:rPr>
                      <w:rFonts w:hint="eastAsia" w:ascii="Times New Roman" w:hAnsi="Times New Roman" w:eastAsia="宋体" w:cs="Times New Roman"/>
                      <w:bCs/>
                      <w:kern w:val="0"/>
                      <w:sz w:val="21"/>
                      <w:szCs w:val="21"/>
                      <w:lang w:val="en-US" w:eastAsia="zh-CN" w:bidi="en-US"/>
                    </w:rPr>
                    <w:t>、</w:t>
                  </w:r>
                  <w:r>
                    <w:rPr>
                      <w:rFonts w:hint="default" w:ascii="Times New Roman" w:hAnsi="Times New Roman" w:eastAsia="宋体" w:cs="Times New Roman"/>
                      <w:bCs/>
                      <w:kern w:val="0"/>
                      <w:sz w:val="21"/>
                      <w:szCs w:val="21"/>
                      <w:lang w:val="en-US" w:eastAsia="zh-CN" w:bidi="en-US"/>
                    </w:rPr>
                    <w:t>陆生珍稀濒危保护动物造成不利影响。</w:t>
                  </w:r>
                  <w:r>
                    <w:rPr>
                      <w:rFonts w:hint="eastAsia" w:ascii="Times New Roman" w:hAnsi="Times New Roman" w:eastAsia="宋体" w:cs="Times New Roman"/>
                      <w:bCs/>
                      <w:kern w:val="0"/>
                      <w:sz w:val="21"/>
                      <w:szCs w:val="21"/>
                      <w:lang w:val="en-US" w:eastAsia="zh-CN" w:bidi="en-US"/>
                    </w:rPr>
                    <w:t>未</w:t>
                  </w:r>
                  <w:r>
                    <w:rPr>
                      <w:rFonts w:hint="default" w:ascii="Times New Roman" w:hAnsi="Times New Roman" w:eastAsia="宋体" w:cs="Times New Roman"/>
                      <w:bCs/>
                      <w:kern w:val="0"/>
                      <w:sz w:val="21"/>
                      <w:szCs w:val="21"/>
                      <w:lang w:val="en-US" w:eastAsia="zh-CN" w:bidi="en-US"/>
                    </w:rPr>
                    <w:t>对景观产生不利影响。</w:t>
                  </w:r>
                  <w:r>
                    <w:rPr>
                      <w:rFonts w:hint="eastAsia" w:ascii="Times New Roman" w:hAnsi="Times New Roman" w:eastAsia="宋体" w:cs="Times New Roman"/>
                      <w:bCs/>
                      <w:kern w:val="0"/>
                      <w:sz w:val="21"/>
                      <w:szCs w:val="21"/>
                      <w:lang w:val="en-US" w:eastAsia="zh-CN" w:bidi="en-US"/>
                    </w:rPr>
                    <w:t>符合《</w:t>
                  </w:r>
                  <w:r>
                    <w:rPr>
                      <w:rFonts w:hint="default" w:ascii="Times New Roman" w:hAnsi="Times New Roman" w:eastAsia="宋体" w:cs="Times New Roman"/>
                      <w:bCs/>
                      <w:kern w:val="0"/>
                      <w:sz w:val="21"/>
                      <w:szCs w:val="21"/>
                      <w:lang w:val="en-US" w:eastAsia="zh-CN" w:bidi="en-US"/>
                    </w:rPr>
                    <w:t>原则》文件的要求。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37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6</w:t>
                  </w:r>
                </w:p>
              </w:tc>
              <w:tc>
                <w:tcPr>
                  <w:tcW w:w="251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施工组织方案具有环境合理性，对料场、弃土（渣）场等施工场地提出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涉水施工对鱼类等水生生物及其重要生境造成不利影响的，提出了避让、施工方案优化、控制施工噪声等措施；针对清淤、疏浚等产生的淤泥，提出了符合相关规定的处置或综合利用方案。</w:t>
                  </w:r>
                </w:p>
              </w:tc>
              <w:tc>
                <w:tcPr>
                  <w:tcW w:w="2109" w:type="pct"/>
                  <w:noWrap w:val="0"/>
                  <w:vAlign w:val="center"/>
                </w:tcPr>
                <w:p>
                  <w:pPr>
                    <w:widowControl/>
                    <w:kinsoku w:val="0"/>
                    <w:autoSpaceDE w:val="0"/>
                    <w:autoSpaceDN w:val="0"/>
                    <w:adjustRightInd w:val="0"/>
                    <w:snapToGrid w:val="0"/>
                    <w:spacing w:before="24" w:line="228" w:lineRule="auto"/>
                    <w:jc w:val="left"/>
                    <w:textAlignment w:val="baseline"/>
                    <w:rPr>
                      <w:rFonts w:hint="eastAsia"/>
                      <w:snapToGrid w:val="0"/>
                      <w:color w:val="000000"/>
                      <w:spacing w:val="8"/>
                      <w:kern w:val="0"/>
                      <w:sz w:val="20"/>
                      <w:szCs w:val="20"/>
                    </w:rPr>
                  </w:pPr>
                  <w:r>
                    <w:rPr>
                      <w:rFonts w:hint="eastAsia"/>
                      <w:snapToGrid w:val="0"/>
                      <w:color w:val="000000"/>
                      <w:spacing w:val="8"/>
                      <w:kern w:val="0"/>
                      <w:sz w:val="20"/>
                      <w:szCs w:val="20"/>
                    </w:rPr>
                    <w:t>施工</w:t>
                  </w:r>
                  <w:r>
                    <w:rPr>
                      <w:snapToGrid w:val="0"/>
                      <w:color w:val="000000"/>
                      <w:spacing w:val="8"/>
                      <w:kern w:val="0"/>
                      <w:sz w:val="20"/>
                      <w:szCs w:val="20"/>
                    </w:rPr>
                    <w:t>临时设施、弃土区等主体工程完成后将生活垃圾和建筑垃圾清理外运，并结合原有高程及坡向，对多余土方摊平处理，同时恢复沟路渠等原有地貌</w:t>
                  </w:r>
                  <w:r>
                    <w:rPr>
                      <w:rFonts w:hint="eastAsia"/>
                      <w:snapToGrid w:val="0"/>
                      <w:color w:val="000000"/>
                      <w:spacing w:val="8"/>
                      <w:kern w:val="0"/>
                      <w:sz w:val="20"/>
                      <w:szCs w:val="20"/>
                    </w:rPr>
                    <w:t>。</w:t>
                  </w:r>
                  <w:r>
                    <w:rPr>
                      <w:snapToGrid w:val="0"/>
                      <w:color w:val="000000"/>
                      <w:spacing w:val="8"/>
                      <w:kern w:val="0"/>
                      <w:sz w:val="20"/>
                      <w:szCs w:val="20"/>
                    </w:rPr>
                    <w:t>结合邻近地块坡向、高程及种植习惯由土地所有者对土地自行精细整平并恢复原有田埂。</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施工期</w:t>
                  </w:r>
                  <w:r>
                    <w:rPr>
                      <w:rFonts w:hint="eastAsia" w:ascii="Times New Roman" w:hAnsi="Times New Roman" w:eastAsia="宋体" w:cs="Times New Roman"/>
                      <w:bCs/>
                      <w:kern w:val="0"/>
                      <w:sz w:val="21"/>
                      <w:szCs w:val="21"/>
                      <w:lang w:val="en-US" w:eastAsia="zh-CN" w:bidi="en-US"/>
                    </w:rPr>
                    <w:t>的</w:t>
                  </w:r>
                  <w:r>
                    <w:rPr>
                      <w:rFonts w:hint="default" w:ascii="Times New Roman" w:hAnsi="Times New Roman" w:eastAsia="宋体" w:cs="Times New Roman"/>
                      <w:bCs/>
                      <w:kern w:val="0"/>
                      <w:sz w:val="21"/>
                      <w:szCs w:val="21"/>
                      <w:lang w:val="en-US" w:eastAsia="zh-CN" w:bidi="en-US"/>
                    </w:rPr>
                    <w:t>废水、扬尘、废气、噪声、固体废物等</w:t>
                  </w:r>
                  <w:r>
                    <w:rPr>
                      <w:rFonts w:hint="eastAsia" w:ascii="Times New Roman" w:hAnsi="Times New Roman" w:eastAsia="宋体" w:cs="Times New Roman"/>
                      <w:bCs/>
                      <w:kern w:val="0"/>
                      <w:sz w:val="21"/>
                      <w:szCs w:val="21"/>
                      <w:lang w:val="en-US" w:eastAsia="zh-CN" w:bidi="en-US"/>
                    </w:rPr>
                    <w:t>都</w:t>
                  </w:r>
                  <w:r>
                    <w:rPr>
                      <w:rFonts w:hint="default" w:ascii="Times New Roman" w:hAnsi="Times New Roman" w:eastAsia="宋体" w:cs="Times New Roman"/>
                      <w:bCs/>
                      <w:kern w:val="0"/>
                      <w:sz w:val="21"/>
                      <w:szCs w:val="21"/>
                      <w:lang w:val="en-US" w:eastAsia="zh-CN" w:bidi="en-US"/>
                    </w:rPr>
                    <w:t>提出了</w:t>
                  </w:r>
                  <w:r>
                    <w:rPr>
                      <w:rFonts w:hint="eastAsia" w:ascii="Times New Roman" w:hAnsi="Times New Roman" w:eastAsia="宋体" w:cs="Times New Roman"/>
                      <w:bCs/>
                      <w:kern w:val="0"/>
                      <w:sz w:val="21"/>
                      <w:szCs w:val="21"/>
                      <w:lang w:val="en-US" w:eastAsia="zh-CN" w:bidi="en-US"/>
                    </w:rPr>
                    <w:t>合理</w:t>
                  </w:r>
                  <w:r>
                    <w:rPr>
                      <w:rFonts w:hint="default" w:ascii="Times New Roman" w:hAnsi="Times New Roman" w:eastAsia="宋体" w:cs="Times New Roman"/>
                      <w:bCs/>
                      <w:kern w:val="0"/>
                      <w:sz w:val="21"/>
                      <w:szCs w:val="21"/>
                      <w:lang w:val="en-US" w:eastAsia="zh-CN" w:bidi="en-US"/>
                    </w:rPr>
                    <w:t>处置措施</w:t>
                  </w:r>
                  <w:r>
                    <w:rPr>
                      <w:rFonts w:hint="eastAsia" w:ascii="Times New Roman" w:hAnsi="Times New Roman" w:eastAsia="宋体" w:cs="Times New Roman"/>
                      <w:bCs/>
                      <w:kern w:val="0"/>
                      <w:sz w:val="21"/>
                      <w:szCs w:val="21"/>
                      <w:lang w:val="en-US" w:eastAsia="zh-CN" w:bidi="en-US"/>
                    </w:rPr>
                    <w:t>。在距项目西北方向</w:t>
                  </w:r>
                  <w:r>
                    <w:rPr>
                      <w:rFonts w:hint="eastAsia" w:cs="Times New Roman"/>
                      <w:bCs/>
                      <w:kern w:val="0"/>
                      <w:sz w:val="21"/>
                      <w:szCs w:val="21"/>
                      <w:lang w:val="en-US" w:eastAsia="zh-CN" w:bidi="en-US"/>
                    </w:rPr>
                    <w:t>123</w:t>
                  </w:r>
                  <w:r>
                    <w:rPr>
                      <w:rFonts w:hint="eastAsia" w:ascii="Times New Roman" w:hAnsi="Times New Roman" w:eastAsia="宋体" w:cs="Times New Roman"/>
                      <w:bCs/>
                      <w:kern w:val="0"/>
                      <w:sz w:val="21"/>
                      <w:szCs w:val="21"/>
                      <w:lang w:val="en-US" w:eastAsia="zh-CN" w:bidi="en-US"/>
                    </w:rPr>
                    <w:t>米处，存在一处农村分散饮用水水源地</w:t>
                  </w:r>
                  <w:r>
                    <w:rPr>
                      <w:rFonts w:hint="eastAsia" w:cs="Times New Roman"/>
                      <w:bCs/>
                      <w:kern w:val="0"/>
                      <w:sz w:val="21"/>
                      <w:szCs w:val="21"/>
                      <w:lang w:val="en-US" w:eastAsia="zh-CN" w:bidi="en-US"/>
                    </w:rPr>
                    <w:t>—</w:t>
                  </w:r>
                  <w:r>
                    <w:rPr>
                      <w:rFonts w:hint="eastAsia" w:ascii="Times New Roman" w:hAnsi="Times New Roman" w:eastAsia="宋体" w:cs="Times New Roman"/>
                      <w:bCs/>
                      <w:kern w:val="0"/>
                      <w:sz w:val="21"/>
                      <w:szCs w:val="21"/>
                      <w:lang w:val="en-US" w:eastAsia="zh-CN" w:bidi="en-US"/>
                    </w:rPr>
                    <w:t>璞邱三村集中供水井。在施工期间，</w:t>
                  </w:r>
                  <w:r>
                    <w:rPr>
                      <w:rFonts w:hint="eastAsia" w:cs="Times New Roman"/>
                      <w:bCs/>
                      <w:kern w:val="0"/>
                      <w:sz w:val="21"/>
                      <w:szCs w:val="21"/>
                      <w:lang w:val="en-US" w:eastAsia="zh-CN" w:bidi="en-US"/>
                    </w:rPr>
                    <w:t>本项目</w:t>
                  </w:r>
                  <w:r>
                    <w:rPr>
                      <w:rFonts w:hint="eastAsia" w:ascii="Times New Roman" w:hAnsi="Times New Roman" w:eastAsia="宋体" w:cs="Times New Roman"/>
                      <w:bCs/>
                      <w:kern w:val="0"/>
                      <w:sz w:val="21"/>
                      <w:szCs w:val="21"/>
                      <w:lang w:val="en-US" w:eastAsia="zh-CN" w:bidi="en-US"/>
                    </w:rPr>
                    <w:t>将采取严格的防渗漏措施，并密切关注集中供水井取水口的水质状况。</w:t>
                  </w:r>
                  <w:r>
                    <w:rPr>
                      <w:rFonts w:hint="eastAsia" w:cs="Times New Roman"/>
                      <w:bCs/>
                      <w:kern w:val="0"/>
                      <w:sz w:val="21"/>
                      <w:szCs w:val="21"/>
                      <w:lang w:val="en-US" w:eastAsia="zh-CN" w:bidi="en-US"/>
                    </w:rPr>
                    <w:t>本项目</w:t>
                  </w:r>
                  <w:r>
                    <w:rPr>
                      <w:rFonts w:hint="eastAsia" w:ascii="Times New Roman" w:hAnsi="Times New Roman" w:eastAsia="宋体" w:cs="Times New Roman"/>
                      <w:bCs/>
                      <w:kern w:val="0"/>
                      <w:sz w:val="21"/>
                      <w:szCs w:val="21"/>
                      <w:lang w:val="en-US" w:eastAsia="zh-CN" w:bidi="en-US"/>
                    </w:rPr>
                    <w:t>将实施水质监测，以确保璞邱三村</w:t>
                  </w:r>
                  <w:r>
                    <w:rPr>
                      <w:rFonts w:hint="eastAsia" w:cs="Times New Roman"/>
                      <w:bCs/>
                      <w:kern w:val="0"/>
                      <w:sz w:val="21"/>
                      <w:szCs w:val="21"/>
                      <w:lang w:val="en-US" w:eastAsia="zh-CN" w:bidi="en-US"/>
                    </w:rPr>
                    <w:t>的</w:t>
                  </w:r>
                  <w:r>
                    <w:rPr>
                      <w:rFonts w:hint="eastAsia" w:ascii="Times New Roman" w:hAnsi="Times New Roman" w:eastAsia="宋体" w:cs="Times New Roman"/>
                      <w:bCs/>
                      <w:kern w:val="0"/>
                      <w:sz w:val="21"/>
                      <w:szCs w:val="21"/>
                      <w:lang w:val="en-US" w:eastAsia="zh-CN" w:bidi="en-US"/>
                    </w:rPr>
                    <w:t>农村分散饮用水水源地不受任何不利影响。五井石河</w:t>
                  </w:r>
                  <w:r>
                    <w:rPr>
                      <w:rFonts w:hint="default" w:ascii="Times New Roman" w:hAnsi="Times New Roman" w:eastAsia="宋体" w:cs="Times New Roman"/>
                      <w:bCs/>
                      <w:kern w:val="0"/>
                      <w:sz w:val="21"/>
                      <w:szCs w:val="21"/>
                      <w:lang w:val="en-US" w:eastAsia="zh-CN" w:bidi="en-US"/>
                    </w:rPr>
                    <w:t>为季节性河流，枯水期施工，枯水期河流中不存在鱼类。</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清淤过程</w:t>
                  </w:r>
                  <w:r>
                    <w:rPr>
                      <w:rFonts w:hint="default" w:ascii="Times New Roman" w:hAnsi="Times New Roman" w:eastAsia="宋体" w:cs="Times New Roman"/>
                      <w:bCs/>
                      <w:kern w:val="0"/>
                      <w:sz w:val="21"/>
                      <w:szCs w:val="21"/>
                      <w:lang w:val="en-US" w:eastAsia="zh-CN" w:bidi="en-US"/>
                    </w:rPr>
                    <w:t>中的</w:t>
                  </w:r>
                  <w:r>
                    <w:rPr>
                      <w:rFonts w:hint="eastAsia" w:cs="Times New Roman"/>
                      <w:bCs/>
                      <w:kern w:val="0"/>
                      <w:sz w:val="21"/>
                      <w:szCs w:val="21"/>
                      <w:lang w:val="en-US" w:eastAsia="zh-CN" w:bidi="en-US"/>
                    </w:rPr>
                    <w:t>砂砾</w:t>
                  </w:r>
                  <w:r>
                    <w:rPr>
                      <w:rFonts w:hint="eastAsia" w:ascii="Times New Roman" w:hAnsi="Times New Roman" w:eastAsia="宋体" w:cs="Times New Roman"/>
                      <w:bCs/>
                      <w:kern w:val="0"/>
                      <w:sz w:val="21"/>
                      <w:szCs w:val="21"/>
                      <w:lang w:val="en-US" w:eastAsia="zh-CN" w:bidi="en-US"/>
                    </w:rPr>
                    <w:t>淤泥全部</w:t>
                  </w:r>
                  <w:r>
                    <w:rPr>
                      <w:rFonts w:hint="default" w:ascii="Times New Roman" w:hAnsi="Times New Roman" w:eastAsia="宋体" w:cs="Times New Roman"/>
                      <w:bCs/>
                      <w:kern w:val="0"/>
                      <w:sz w:val="21"/>
                      <w:szCs w:val="21"/>
                      <w:lang w:val="en-US" w:eastAsia="zh-CN" w:bidi="en-US"/>
                    </w:rPr>
                    <w:t>用于</w:t>
                  </w:r>
                  <w:r>
                    <w:rPr>
                      <w:rFonts w:hint="eastAsia" w:ascii="Times New Roman" w:hAnsi="Times New Roman" w:eastAsia="宋体" w:cs="Times New Roman"/>
                      <w:bCs/>
                      <w:kern w:val="0"/>
                      <w:sz w:val="21"/>
                      <w:szCs w:val="21"/>
                      <w:lang w:val="en-US" w:eastAsia="zh-CN" w:bidi="en-US"/>
                    </w:rPr>
                    <w:t>填筑河岸</w:t>
                  </w:r>
                  <w:r>
                    <w:rPr>
                      <w:rFonts w:hint="default" w:ascii="Times New Roman" w:hAnsi="Times New Roman" w:eastAsia="宋体" w:cs="Times New Roman"/>
                      <w:bCs/>
                      <w:kern w:val="0"/>
                      <w:sz w:val="21"/>
                      <w:szCs w:val="21"/>
                      <w:lang w:val="en-US" w:eastAsia="zh-CN" w:bidi="en-US"/>
                    </w:rPr>
                    <w:t>及道路等</w:t>
                  </w:r>
                  <w:r>
                    <w:rPr>
                      <w:rFonts w:hint="eastAsia" w:ascii="Times New Roman" w:hAnsi="Times New Roman" w:eastAsia="宋体" w:cs="Times New Roman"/>
                      <w:bCs/>
                      <w:kern w:val="0"/>
                      <w:sz w:val="21"/>
                      <w:szCs w:val="21"/>
                      <w:lang w:val="en-US" w:eastAsia="zh-CN" w:bidi="en-US"/>
                    </w:rPr>
                    <w:t>。</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37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7</w:t>
                  </w:r>
                </w:p>
              </w:tc>
              <w:tc>
                <w:tcPr>
                  <w:tcW w:w="251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项目移民安置的选址和建设方式具有环境合理性，提出了生态保护、污水处理、固体废物处置等措施。</w:t>
                  </w:r>
                </w:p>
              </w:tc>
              <w:tc>
                <w:tcPr>
                  <w:tcW w:w="2109"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项目</w:t>
                  </w:r>
                  <w:r>
                    <w:rPr>
                      <w:rFonts w:hint="default" w:ascii="Times New Roman" w:hAnsi="Times New Roman" w:eastAsia="宋体" w:cs="Times New Roman"/>
                      <w:bCs/>
                      <w:kern w:val="0"/>
                      <w:sz w:val="21"/>
                      <w:szCs w:val="21"/>
                      <w:lang w:val="en-US" w:eastAsia="zh-CN" w:bidi="en-US"/>
                    </w:rPr>
                    <w:t>不涉及移</w:t>
                  </w:r>
                  <w:r>
                    <w:rPr>
                      <w:rFonts w:hint="eastAsia" w:ascii="Times New Roman" w:hAnsi="Times New Roman" w:eastAsia="宋体" w:cs="Times New Roman"/>
                      <w:bCs/>
                      <w:kern w:val="0"/>
                      <w:sz w:val="21"/>
                      <w:szCs w:val="21"/>
                      <w:lang w:val="en-US" w:eastAsia="zh-CN" w:bidi="en-US"/>
                    </w:rPr>
                    <w:t>民</w:t>
                  </w:r>
                  <w:r>
                    <w:rPr>
                      <w:rFonts w:hint="default" w:ascii="Times New Roman" w:hAnsi="Times New Roman" w:eastAsia="宋体" w:cs="Times New Roman"/>
                      <w:bCs/>
                      <w:kern w:val="0"/>
                      <w:sz w:val="21"/>
                      <w:szCs w:val="21"/>
                      <w:lang w:val="en-US" w:eastAsia="zh-CN" w:bidi="en-US"/>
                    </w:rPr>
                    <w:t>安置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37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8</w:t>
                  </w:r>
                </w:p>
              </w:tc>
              <w:tc>
                <w:tcPr>
                  <w:tcW w:w="251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项目存在河湖水质污染、富营养化或外来物种入侵等环境风险的，提出了针对性的风险防范措施以及环境应急预案编制、建立必要的应急联动机制等要求。</w:t>
                  </w:r>
                </w:p>
              </w:tc>
              <w:tc>
                <w:tcPr>
                  <w:tcW w:w="2109"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项目</w:t>
                  </w:r>
                  <w:r>
                    <w:rPr>
                      <w:rFonts w:hint="default" w:ascii="Times New Roman" w:hAnsi="Times New Roman" w:eastAsia="宋体" w:cs="Times New Roman"/>
                      <w:bCs/>
                      <w:kern w:val="0"/>
                      <w:sz w:val="21"/>
                      <w:szCs w:val="21"/>
                      <w:lang w:val="en-US" w:eastAsia="zh-CN" w:bidi="en-US"/>
                    </w:rPr>
                    <w:t>未</w:t>
                  </w:r>
                  <w:r>
                    <w:rPr>
                      <w:rFonts w:hint="eastAsia" w:ascii="Times New Roman" w:hAnsi="Times New Roman" w:eastAsia="宋体" w:cs="Times New Roman"/>
                      <w:bCs/>
                      <w:kern w:val="0"/>
                      <w:sz w:val="21"/>
                      <w:szCs w:val="21"/>
                      <w:lang w:val="en-US" w:eastAsia="zh-CN" w:bidi="en-US"/>
                    </w:rPr>
                    <w:t>造成</w:t>
                  </w:r>
                  <w:r>
                    <w:rPr>
                      <w:rFonts w:hint="default" w:ascii="Times New Roman" w:hAnsi="Times New Roman" w:eastAsia="宋体" w:cs="Times New Roman"/>
                      <w:bCs/>
                      <w:kern w:val="0"/>
                      <w:sz w:val="21"/>
                      <w:szCs w:val="21"/>
                      <w:lang w:val="en-US" w:eastAsia="zh-CN" w:bidi="en-US"/>
                    </w:rPr>
                    <w:t>河湖水质污染、富营养化或外来物种入侵等环境风险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37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9</w:t>
                  </w:r>
                </w:p>
              </w:tc>
              <w:tc>
                <w:tcPr>
                  <w:tcW w:w="251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改、扩建项目在全面梳理了与项目有关的现有工程环境问题基础上，提出了与项目相适应的“以新带老”措施。</w:t>
                  </w:r>
                </w:p>
              </w:tc>
              <w:tc>
                <w:tcPr>
                  <w:tcW w:w="2109"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项目</w:t>
                  </w:r>
                  <w:r>
                    <w:rPr>
                      <w:rFonts w:hint="default" w:ascii="Times New Roman" w:hAnsi="Times New Roman" w:eastAsia="宋体" w:cs="Times New Roman"/>
                      <w:bCs/>
                      <w:kern w:val="0"/>
                      <w:sz w:val="21"/>
                      <w:szCs w:val="21"/>
                      <w:lang w:val="en-US" w:eastAsia="zh-CN" w:bidi="en-US"/>
                    </w:rPr>
                    <w:t>属于新建项目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37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10</w:t>
                  </w:r>
                </w:p>
              </w:tc>
              <w:tc>
                <w:tcPr>
                  <w:tcW w:w="251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2109" w:type="pc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已</w:t>
                  </w:r>
                  <w:r>
                    <w:rPr>
                      <w:rFonts w:hint="default" w:ascii="Times New Roman" w:hAnsi="Times New Roman" w:eastAsia="宋体" w:cs="Times New Roman"/>
                      <w:bCs/>
                      <w:kern w:val="0"/>
                      <w:sz w:val="21"/>
                      <w:szCs w:val="21"/>
                      <w:lang w:val="en-US" w:eastAsia="zh-CN" w:bidi="en-US"/>
                    </w:rPr>
                    <w:t>制定水环境、生态等环境监测计划</w:t>
                  </w:r>
                </w:p>
              </w:tc>
            </w:tr>
          </w:tbl>
          <w:p>
            <w:pPr>
              <w:bidi w:val="0"/>
              <w:jc w:val="left"/>
              <w:rPr>
                <w:rFonts w:hint="eastAsia"/>
              </w:rPr>
            </w:pPr>
            <w:r>
              <w:rPr>
                <w:rFonts w:hint="eastAsia"/>
              </w:rPr>
              <w:t>（</w:t>
            </w:r>
            <w:r>
              <w:rPr>
                <w:rFonts w:hint="eastAsia"/>
                <w:lang w:val="en-US" w:eastAsia="zh-CN"/>
              </w:rPr>
              <w:t>2</w:t>
            </w:r>
            <w:r>
              <w:rPr>
                <w:rFonts w:hint="eastAsia"/>
              </w:rPr>
              <w:t>）</w:t>
            </w:r>
            <w:r>
              <w:t>项目与</w:t>
            </w:r>
            <w:r>
              <w:rPr>
                <w:rFonts w:hint="eastAsia"/>
              </w:rPr>
              <w:t>《山东省环境保护条例》符合性分析</w:t>
            </w:r>
          </w:p>
          <w:p>
            <w:pPr>
              <w:numPr>
                <w:ilvl w:val="0"/>
                <w:numId w:val="0"/>
              </w:numPr>
              <w:autoSpaceDE w:val="0"/>
              <w:autoSpaceDN w:val="0"/>
              <w:adjustRightInd w:val="0"/>
              <w:snapToGrid w:val="0"/>
              <w:jc w:val="center"/>
              <w:rPr>
                <w:rFonts w:hint="eastAsia" w:ascii="Times New Roman" w:hAnsi="Times New Roman" w:eastAsia="宋体" w:cs="Times New Roman"/>
                <w:b/>
                <w:bCs/>
                <w:kern w:val="0"/>
                <w:sz w:val="21"/>
                <w:szCs w:val="21"/>
                <w:lang w:eastAsia="zh-CN"/>
              </w:rPr>
            </w:pPr>
            <w:r>
              <w:rPr>
                <w:rFonts w:hint="eastAsia" w:ascii="Times New Roman" w:hAnsi="Times New Roman" w:eastAsia="宋体" w:cs="Times New Roman"/>
                <w:b/>
                <w:bCs/>
                <w:kern w:val="0"/>
                <w:sz w:val="21"/>
                <w:szCs w:val="21"/>
                <w:lang w:eastAsia="zh-CN"/>
              </w:rPr>
              <w:t>表</w:t>
            </w:r>
            <w:r>
              <w:rPr>
                <w:rFonts w:hint="eastAsia" w:ascii="Times New Roman" w:hAnsi="Times New Roman" w:eastAsia="宋体" w:cs="Times New Roman"/>
                <w:b/>
                <w:bCs/>
                <w:kern w:val="0"/>
                <w:sz w:val="21"/>
                <w:szCs w:val="21"/>
                <w:lang w:val="en-US" w:eastAsia="zh-CN"/>
              </w:rPr>
              <w:t>1-</w:t>
            </w:r>
            <w:r>
              <w:rPr>
                <w:rFonts w:hint="eastAsia" w:cs="Times New Roman"/>
                <w:b/>
                <w:bCs/>
                <w:kern w:val="0"/>
                <w:sz w:val="21"/>
                <w:szCs w:val="21"/>
                <w:lang w:val="en-US" w:eastAsia="zh-CN"/>
              </w:rPr>
              <w:t>6</w:t>
            </w:r>
            <w:r>
              <w:rPr>
                <w:rFonts w:hint="eastAsia" w:ascii="Times New Roman" w:hAnsi="Times New Roman" w:eastAsia="宋体" w:cs="Times New Roman"/>
                <w:b/>
                <w:bCs/>
                <w:kern w:val="0"/>
                <w:sz w:val="21"/>
                <w:szCs w:val="21"/>
                <w:lang w:val="en-US" w:eastAsia="zh-CN"/>
              </w:rPr>
              <w:t xml:space="preserve"> </w:t>
            </w:r>
            <w:r>
              <w:rPr>
                <w:rFonts w:hint="eastAsia" w:ascii="Times New Roman" w:hAnsi="Times New Roman" w:eastAsia="宋体" w:cs="Times New Roman"/>
                <w:b/>
                <w:bCs/>
                <w:kern w:val="0"/>
                <w:sz w:val="21"/>
                <w:szCs w:val="21"/>
                <w:lang w:eastAsia="zh-CN"/>
              </w:rPr>
              <w:t>与《山东省环境保护条例》的符合性分析一览表</w:t>
            </w:r>
          </w:p>
          <w:tbl>
            <w:tblPr>
              <w:tblStyle w:val="36"/>
              <w:tblW w:w="4999"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813"/>
              <w:gridCol w:w="4183"/>
              <w:gridCol w:w="319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96"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分类</w:t>
                  </w:r>
                </w:p>
              </w:tc>
              <w:tc>
                <w:tcPr>
                  <w:tcW w:w="255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文件要求</w:t>
                  </w:r>
                </w:p>
              </w:tc>
              <w:tc>
                <w:tcPr>
                  <w:tcW w:w="1951"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bCs w:val="0"/>
                      <w:kern w:val="0"/>
                      <w:sz w:val="21"/>
                      <w:szCs w:val="21"/>
                      <w:lang w:val="en-US" w:eastAsia="zh-CN" w:bidi="en-US"/>
                    </w:rPr>
                  </w:pPr>
                  <w:r>
                    <w:rPr>
                      <w:rFonts w:hint="default" w:ascii="Times New Roman" w:hAnsi="Times New Roman" w:eastAsia="宋体" w:cs="Times New Roman"/>
                      <w:b/>
                      <w:bCs w:val="0"/>
                      <w:kern w:val="0"/>
                      <w:sz w:val="21"/>
                      <w:szCs w:val="21"/>
                      <w:lang w:val="en-US" w:eastAsia="zh-CN" w:bidi="en-US"/>
                    </w:rPr>
                    <w:t>符合性分析</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496" w:type="pct"/>
                  <w:vMerge w:val="restar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防治</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污染</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和其</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他公</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害</w:t>
                  </w:r>
                </w:p>
              </w:tc>
              <w:tc>
                <w:tcPr>
                  <w:tcW w:w="255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各级人民政府应当推进绿色低碳发展，制定循环经济、清洁生产、环境综合治理、废弃物资源化等政策措施，加强重点区域、重点流域、重点行业污染控制，鼓励、支持无污染或者低污染产业发展，提高资源利用效率，减少污染排放。</w:t>
                  </w:r>
                </w:p>
              </w:tc>
              <w:tc>
                <w:tcPr>
                  <w:tcW w:w="1951"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本项目属于防洪治理的基础设施建设</w:t>
                  </w:r>
                  <w:r>
                    <w:rPr>
                      <w:rFonts w:hint="eastAsia" w:ascii="Times New Roman" w:hAnsi="Times New Roman" w:eastAsia="宋体" w:cs="Times New Roman"/>
                      <w:bCs/>
                      <w:kern w:val="0"/>
                      <w:sz w:val="21"/>
                      <w:szCs w:val="21"/>
                      <w:lang w:val="en-US" w:eastAsia="zh-CN" w:bidi="en-US"/>
                    </w:rPr>
                    <w:t>，没有污染排放。</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496" w:type="pct"/>
                  <w:vMerge w:val="continue"/>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tc>
              <w:tc>
                <w:tcPr>
                  <w:tcW w:w="255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排污单位应当采取措施，防治在生产建设或者其他活动中产生的废气、废水、废渣、医疗废物、颗粒物、恶臭气体、放射性物质以及噪声、振动、光辐射、电磁辐射等对环境的污染和危害，其污染排放不得超过排放标准和重点污染物排放总量控制指标。</w:t>
                  </w:r>
                </w:p>
              </w:tc>
              <w:tc>
                <w:tcPr>
                  <w:tcW w:w="1951" w:type="pct"/>
                  <w:noWrap w:val="0"/>
                  <w:vAlign w:val="center"/>
                </w:tcPr>
                <w:p>
                  <w:pPr>
                    <w:widowControl/>
                    <w:snapToGrid w:val="0"/>
                    <w:spacing w:line="240" w:lineRule="auto"/>
                    <w:ind w:left="-72" w:leftChars="-30" w:right="-72" w:rightChars="-30" w:firstLine="0" w:firstLineChars="0"/>
                    <w:jc w:val="center"/>
                    <w:textAlignment w:val="baseline"/>
                    <w:rPr>
                      <w:rFonts w:hint="eastAsia" w:cs="Times New Roman"/>
                      <w:bCs/>
                      <w:color w:val="auto"/>
                      <w:kern w:val="0"/>
                      <w:sz w:val="21"/>
                      <w:szCs w:val="21"/>
                      <w:lang w:val="en-US" w:eastAsia="zh-CN" w:bidi="en-US"/>
                    </w:rPr>
                  </w:pPr>
                  <w:r>
                    <w:rPr>
                      <w:rFonts w:hint="eastAsia" w:cs="Times New Roman"/>
                      <w:bCs/>
                      <w:kern w:val="0"/>
                      <w:sz w:val="21"/>
                      <w:szCs w:val="21"/>
                      <w:lang w:val="en-US" w:eastAsia="zh-CN" w:bidi="en-US"/>
                    </w:rPr>
                    <w:t>本项目施工期淤泥挖运产生少量氨气、H</w:t>
                  </w:r>
                  <w:r>
                    <w:rPr>
                      <w:rFonts w:hint="eastAsia" w:cs="Times New Roman"/>
                      <w:bCs/>
                      <w:kern w:val="0"/>
                      <w:sz w:val="21"/>
                      <w:szCs w:val="21"/>
                      <w:vertAlign w:val="subscript"/>
                      <w:lang w:val="en-US" w:eastAsia="zh-CN" w:bidi="en-US"/>
                    </w:rPr>
                    <w:t>2</w:t>
                  </w:r>
                  <w:r>
                    <w:rPr>
                      <w:rFonts w:hint="eastAsia" w:cs="Times New Roman"/>
                      <w:bCs/>
                      <w:kern w:val="0"/>
                      <w:sz w:val="21"/>
                      <w:szCs w:val="21"/>
                      <w:lang w:val="en-US" w:eastAsia="zh-CN" w:bidi="en-US"/>
                    </w:rPr>
                    <w:t>S、臭气无组织散发，</w:t>
                  </w:r>
                  <w:r>
                    <w:rPr>
                      <w:rFonts w:hint="default" w:ascii="Times New Roman" w:hAnsi="Times New Roman" w:eastAsia="宋体" w:cs="Times New Roman"/>
                      <w:bCs/>
                      <w:color w:val="auto"/>
                      <w:kern w:val="0"/>
                      <w:sz w:val="21"/>
                      <w:szCs w:val="21"/>
                      <w:lang w:val="en-US" w:eastAsia="zh-CN" w:bidi="en-US"/>
                    </w:rPr>
                    <w:t>扬尘严格按照《淄博市建设领域扬尘污染专项治理实施方案》要求落实管理</w:t>
                  </w:r>
                  <w:r>
                    <w:rPr>
                      <w:rFonts w:hint="eastAsia" w:cs="Times New Roman"/>
                      <w:bCs/>
                      <w:color w:val="auto"/>
                      <w:kern w:val="0"/>
                      <w:sz w:val="21"/>
                      <w:szCs w:val="21"/>
                      <w:lang w:val="en-US" w:eastAsia="zh-CN" w:bidi="en-US"/>
                    </w:rPr>
                    <w:t>。</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color w:val="auto"/>
                      <w:kern w:val="0"/>
                      <w:sz w:val="21"/>
                      <w:szCs w:val="21"/>
                      <w:lang w:val="en-US" w:eastAsia="zh-CN" w:bidi="en-US"/>
                    </w:rPr>
                    <w:t>项目运营期不产生废气、废水污染物；符合文件要求。</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496" w:type="pct"/>
                  <w:vMerge w:val="continue"/>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tc>
              <w:tc>
                <w:tcPr>
                  <w:tcW w:w="255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新建、改建、扩建建设项目，应当根据环境影响评价文件以及生态环境主管部门审批决定的要求建设环境保护设施、落实环境保护措施。环境保护设施应当与主体工程同时设计、同时施工、同时投产使用。</w:t>
                  </w:r>
                </w:p>
              </w:tc>
              <w:tc>
                <w:tcPr>
                  <w:tcW w:w="1951"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w:t>
                  </w:r>
                  <w:r>
                    <w:rPr>
                      <w:rFonts w:hint="eastAsia" w:ascii="Times New Roman" w:hAnsi="Times New Roman" w:eastAsia="宋体" w:cs="Times New Roman"/>
                      <w:bCs/>
                      <w:kern w:val="0"/>
                      <w:sz w:val="21"/>
                      <w:szCs w:val="21"/>
                      <w:lang w:val="en-US" w:eastAsia="zh-CN" w:bidi="en-US"/>
                    </w:rPr>
                    <w:t>为新建项目，建设环境保护设施、落实环境保护措施。</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915" w:hRule="atLeast"/>
              </w:trPr>
              <w:tc>
                <w:tcPr>
                  <w:tcW w:w="496" w:type="pct"/>
                  <w:vMerge w:val="continue"/>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p>
              </w:tc>
              <w:tc>
                <w:tcPr>
                  <w:tcW w:w="2552"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各级人民政府及其有关部门应当加强重金属污染防治，确定重点防控的重金属污染地区、行业和企业，加强对涉铅、镐、汞、</w:t>
                  </w:r>
                  <w:r>
                    <w:rPr>
                      <w:rFonts w:hint="eastAsia" w:ascii="Times New Roman" w:hAnsi="Times New Roman" w:eastAsia="宋体" w:cs="Times New Roman"/>
                      <w:bCs/>
                      <w:kern w:val="0"/>
                      <w:sz w:val="21"/>
                      <w:szCs w:val="21"/>
                      <w:lang w:val="en-US" w:eastAsia="zh-CN" w:bidi="en-US"/>
                    </w:rPr>
                    <w:t>铬</w:t>
                  </w:r>
                  <w:r>
                    <w:rPr>
                      <w:rFonts w:hint="default" w:ascii="Times New Roman" w:hAnsi="Times New Roman" w:eastAsia="宋体" w:cs="Times New Roman"/>
                      <w:bCs/>
                      <w:kern w:val="0"/>
                      <w:sz w:val="21"/>
                      <w:szCs w:val="21"/>
                      <w:lang w:val="en-US" w:eastAsia="zh-CN" w:bidi="en-US"/>
                    </w:rPr>
                    <w:t>和类</w:t>
                  </w:r>
                  <w:r>
                    <w:rPr>
                      <w:rFonts w:hint="eastAsia" w:ascii="Times New Roman" w:hAnsi="Times New Roman" w:eastAsia="宋体" w:cs="Times New Roman"/>
                      <w:bCs/>
                      <w:kern w:val="0"/>
                      <w:sz w:val="21"/>
                      <w:szCs w:val="21"/>
                      <w:lang w:val="en-US" w:eastAsia="zh-CN" w:bidi="en-US"/>
                    </w:rPr>
                    <w:t>金属</w:t>
                  </w:r>
                  <w:r>
                    <w:rPr>
                      <w:rFonts w:hint="default" w:ascii="Times New Roman" w:hAnsi="Times New Roman" w:eastAsia="宋体" w:cs="Times New Roman"/>
                      <w:bCs/>
                      <w:kern w:val="0"/>
                      <w:sz w:val="21"/>
                      <w:szCs w:val="21"/>
                      <w:lang w:val="en-US" w:eastAsia="zh-CN" w:bidi="en-US"/>
                    </w:rPr>
                    <w:t>等加工企业的环境监管，推进涉重金属企业的技术改造和集中治理，实现重金属深度处理和循环利用，减少污染排放。禁止在重点防控区域内新建、改建、扩建增加重金属污染物排放总量的建设项目。</w:t>
                  </w:r>
                </w:p>
              </w:tc>
              <w:tc>
                <w:tcPr>
                  <w:tcW w:w="1951"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项目不涉及重金属产生及排放；</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符合文件要求。</w:t>
                  </w:r>
                </w:p>
              </w:tc>
            </w:tr>
          </w:tbl>
          <w:p>
            <w:pPr>
              <w:bidi w:val="0"/>
              <w:jc w:val="left"/>
              <w:rPr>
                <w:rFonts w:hint="eastAsia" w:ascii="Times New Roman" w:hAnsi="Times New Roman" w:eastAsia="宋体" w:cs="Times New Roman"/>
                <w:spacing w:val="2"/>
                <w:lang w:val="en-US" w:eastAsia="zh-CN"/>
              </w:rPr>
            </w:pPr>
            <w:r>
              <w:rPr>
                <w:rFonts w:hint="eastAsia" w:ascii="Times New Roman" w:hAnsi="Times New Roman" w:eastAsia="宋体" w:cs="Times New Roman"/>
                <w:spacing w:val="2"/>
                <w:lang w:val="en-US" w:eastAsia="zh-CN"/>
              </w:rPr>
              <w:t>（</w:t>
            </w:r>
            <w:r>
              <w:rPr>
                <w:rFonts w:hint="eastAsia" w:cs="Times New Roman"/>
                <w:spacing w:val="2"/>
                <w:lang w:val="en-US" w:eastAsia="zh-CN"/>
              </w:rPr>
              <w:t>3</w:t>
            </w:r>
            <w:r>
              <w:rPr>
                <w:rFonts w:hint="eastAsia" w:ascii="Times New Roman" w:hAnsi="Times New Roman" w:eastAsia="宋体" w:cs="Times New Roman"/>
                <w:spacing w:val="2"/>
                <w:lang w:val="en-US" w:eastAsia="zh-CN"/>
              </w:rPr>
              <w:t>）与《淄博市“十四五”生态环境保护规划》的符合性分析</w:t>
            </w:r>
          </w:p>
          <w:p>
            <w:pPr>
              <w:bidi w:val="0"/>
              <w:ind w:firstLine="488" w:firstLineChars="200"/>
              <w:jc w:val="left"/>
              <w:rPr>
                <w:rFonts w:hint="eastAsia" w:ascii="Times New Roman" w:hAnsi="Times New Roman" w:eastAsia="宋体" w:cs="Times New Roman"/>
                <w:spacing w:val="2"/>
                <w:lang w:val="en-US" w:eastAsia="zh-CN"/>
              </w:rPr>
            </w:pPr>
            <w:r>
              <w:rPr>
                <w:rFonts w:hint="eastAsia" w:ascii="Times New Roman" w:hAnsi="Times New Roman" w:eastAsia="宋体" w:cs="Times New Roman"/>
                <w:spacing w:val="2"/>
                <w:lang w:val="en-US" w:eastAsia="zh-CN"/>
              </w:rPr>
              <w:t>根据《淄博市“十四五”生态环境保护规划》项目符合《规划》中的“推进淄川区、博山区、沂源县山洪沟治理工程和桓台县、高青县等易涝区排涝能力建设，实现农村主要河道、山洪沟标准内洪水得到有效防御，涝洼地得到有效治理。”</w:t>
            </w:r>
          </w:p>
          <w:p>
            <w:pPr>
              <w:bidi w:val="0"/>
              <w:jc w:val="left"/>
              <w:rPr>
                <w:rFonts w:hint="eastAsia" w:ascii="Times New Roman" w:hAnsi="Times New Roman" w:eastAsia="宋体" w:cs="Times New Roman"/>
                <w:spacing w:val="2"/>
                <w:lang w:val="en-US" w:eastAsia="zh-CN"/>
              </w:rPr>
            </w:pPr>
            <w:r>
              <w:rPr>
                <w:rFonts w:hint="eastAsia" w:ascii="Times New Roman" w:hAnsi="Times New Roman" w:eastAsia="宋体" w:cs="Times New Roman"/>
                <w:spacing w:val="2"/>
                <w:lang w:val="en-US" w:eastAsia="zh-CN"/>
              </w:rPr>
              <w:t>（</w:t>
            </w:r>
            <w:r>
              <w:rPr>
                <w:rFonts w:hint="eastAsia" w:cs="Times New Roman"/>
                <w:spacing w:val="2"/>
                <w:lang w:val="en-US" w:eastAsia="zh-CN"/>
              </w:rPr>
              <w:t>4</w:t>
            </w:r>
            <w:r>
              <w:rPr>
                <w:rFonts w:hint="eastAsia" w:ascii="Times New Roman" w:hAnsi="Times New Roman" w:eastAsia="宋体" w:cs="Times New Roman"/>
                <w:spacing w:val="2"/>
                <w:lang w:val="en-US" w:eastAsia="zh-CN"/>
              </w:rPr>
              <w:t>）与水源</w:t>
            </w:r>
            <w:r>
              <w:rPr>
                <w:rFonts w:hint="eastAsia" w:cs="Times New Roman"/>
                <w:spacing w:val="2"/>
                <w:lang w:val="en-US" w:eastAsia="zh-CN"/>
              </w:rPr>
              <w:t>地</w:t>
            </w:r>
            <w:r>
              <w:rPr>
                <w:rFonts w:hint="eastAsia" w:ascii="Times New Roman" w:hAnsi="Times New Roman" w:eastAsia="宋体" w:cs="Times New Roman"/>
                <w:spacing w:val="2"/>
                <w:lang w:val="en-US" w:eastAsia="zh-CN"/>
              </w:rPr>
              <w:t>保护规划符合性分析</w:t>
            </w:r>
          </w:p>
          <w:p>
            <w:pPr>
              <w:bidi w:val="0"/>
              <w:ind w:firstLine="488" w:firstLineChars="200"/>
              <w:jc w:val="left"/>
              <w:rPr>
                <w:rFonts w:hint="eastAsia" w:ascii="Times New Roman" w:hAnsi="Times New Roman" w:eastAsia="宋体" w:cs="Times New Roman"/>
                <w:spacing w:val="2"/>
                <w:lang w:val="en-US" w:eastAsia="zh-CN"/>
              </w:rPr>
            </w:pPr>
            <w:r>
              <w:rPr>
                <w:rFonts w:hint="eastAsia" w:ascii="Times New Roman" w:hAnsi="Times New Roman" w:eastAsia="宋体" w:cs="Times New Roman"/>
                <w:spacing w:val="2"/>
                <w:lang w:val="en-US" w:eastAsia="zh-CN"/>
              </w:rPr>
              <w:t>根据淄环发</w:t>
            </w:r>
            <w:r>
              <w:rPr>
                <w:rFonts w:hint="eastAsia" w:cs="Times New Roman"/>
                <w:spacing w:val="2"/>
                <w:lang w:val="en-US" w:eastAsia="zh-CN"/>
              </w:rPr>
              <w:t>〔</w:t>
            </w:r>
            <w:r>
              <w:rPr>
                <w:rFonts w:hint="eastAsia" w:ascii="Times New Roman" w:hAnsi="Times New Roman" w:eastAsia="宋体" w:cs="Times New Roman"/>
                <w:spacing w:val="2"/>
                <w:lang w:val="en-US" w:eastAsia="zh-CN"/>
              </w:rPr>
              <w:t>2019</w:t>
            </w:r>
            <w:r>
              <w:rPr>
                <w:rFonts w:hint="eastAsia" w:cs="Times New Roman"/>
                <w:spacing w:val="2"/>
                <w:lang w:val="en-US" w:eastAsia="zh-CN"/>
              </w:rPr>
              <w:t>〕</w:t>
            </w:r>
            <w:r>
              <w:rPr>
                <w:rFonts w:hint="eastAsia" w:ascii="Times New Roman" w:hAnsi="Times New Roman" w:eastAsia="宋体" w:cs="Times New Roman"/>
                <w:spacing w:val="2"/>
                <w:lang w:val="en-US" w:eastAsia="zh-CN"/>
              </w:rPr>
              <w:t>46号《关于印发淄博市饮用水水源保护区划分方案的通知》，位于沂源县有3处集中式饮用水水源地，包括芝芳水源地、钓鱼台水源地、响泉-龙洞泉水源地。本项目厂址位于沂源县</w:t>
            </w:r>
            <w:r>
              <w:rPr>
                <w:rFonts w:hint="eastAsia" w:cs="Times New Roman"/>
                <w:spacing w:val="2"/>
                <w:lang w:val="en-US" w:eastAsia="zh-CN"/>
              </w:rPr>
              <w:t>南鲁山</w:t>
            </w:r>
            <w:r>
              <w:rPr>
                <w:rFonts w:hint="eastAsia" w:ascii="Times New Roman" w:hAnsi="Times New Roman" w:eastAsia="宋体" w:cs="Times New Roman"/>
                <w:spacing w:val="2"/>
                <w:lang w:val="en-US" w:eastAsia="zh-CN"/>
              </w:rPr>
              <w:t>镇，根据淄博市饮用水水源保护区划定方案，项目不位于淄博市供水水源地保护范围内。</w:t>
            </w:r>
            <w:r>
              <w:rPr>
                <w:rFonts w:hint="eastAsia" w:cs="Times New Roman"/>
                <w:spacing w:val="2"/>
                <w:lang w:val="en-US" w:eastAsia="zh-CN"/>
              </w:rPr>
              <w:t>离</w:t>
            </w:r>
            <w:r>
              <w:rPr>
                <w:rFonts w:hint="eastAsia" w:ascii="Times New Roman" w:hAnsi="Times New Roman" w:eastAsia="宋体" w:cs="Times New Roman"/>
                <w:spacing w:val="2"/>
                <w:lang w:val="en-US" w:eastAsia="zh-CN"/>
              </w:rPr>
              <w:t>项目</w:t>
            </w:r>
            <w:r>
              <w:rPr>
                <w:rFonts w:hint="eastAsia" w:cs="Times New Roman"/>
                <w:spacing w:val="2"/>
                <w:lang w:val="en-US" w:eastAsia="zh-CN"/>
              </w:rPr>
              <w:t>位置</w:t>
            </w:r>
            <w:r>
              <w:rPr>
                <w:rFonts w:hint="eastAsia" w:ascii="Times New Roman" w:hAnsi="Times New Roman" w:eastAsia="宋体" w:cs="Times New Roman"/>
                <w:spacing w:val="2"/>
                <w:lang w:val="en-US" w:eastAsia="zh-CN"/>
              </w:rPr>
              <w:t>最近的水源地为芝芳水源地，距离项目</w:t>
            </w:r>
            <w:r>
              <w:rPr>
                <w:rFonts w:hint="eastAsia" w:cs="Times New Roman"/>
                <w:spacing w:val="2"/>
                <w:lang w:val="en-US" w:eastAsia="zh-CN"/>
              </w:rPr>
              <w:t>西南</w:t>
            </w:r>
            <w:r>
              <w:rPr>
                <w:rFonts w:hint="eastAsia" w:ascii="Times New Roman" w:hAnsi="Times New Roman" w:eastAsia="宋体" w:cs="Times New Roman"/>
                <w:spacing w:val="2"/>
                <w:lang w:val="en-US" w:eastAsia="zh-CN"/>
              </w:rPr>
              <w:t>方向</w:t>
            </w:r>
            <w:r>
              <w:rPr>
                <w:rFonts w:hint="eastAsia" w:cs="Times New Roman"/>
                <w:spacing w:val="2"/>
                <w:lang w:val="en-US" w:eastAsia="zh-CN"/>
              </w:rPr>
              <w:t>6</w:t>
            </w:r>
            <w:r>
              <w:rPr>
                <w:rFonts w:hint="eastAsia" w:ascii="Times New Roman" w:hAnsi="Times New Roman" w:eastAsia="宋体" w:cs="Times New Roman"/>
                <w:spacing w:val="2"/>
                <w:lang w:val="en-US" w:eastAsia="zh-CN"/>
              </w:rPr>
              <w:t>km</w:t>
            </w:r>
            <w:r>
              <w:rPr>
                <w:rFonts w:hint="eastAsia" w:cs="Times New Roman"/>
                <w:spacing w:val="2"/>
                <w:lang w:val="en-US" w:eastAsia="zh-CN"/>
              </w:rPr>
              <w:t>处。</w:t>
            </w:r>
            <w:r>
              <w:rPr>
                <w:rFonts w:hint="eastAsia" w:ascii="Times New Roman" w:hAnsi="Times New Roman" w:eastAsia="宋体" w:cs="Times New Roman"/>
                <w:spacing w:val="2"/>
                <w:lang w:val="en-US" w:eastAsia="zh-CN"/>
              </w:rPr>
              <w:t>不属于未划定准保护区的集中式饮用水水源，不属于特殊地下水资源保护区以外的分布区。项目与淄博市集中式饮用水水源分布图见附图</w:t>
            </w:r>
            <w:r>
              <w:rPr>
                <w:rFonts w:hint="eastAsia" w:cs="Times New Roman"/>
                <w:spacing w:val="2"/>
                <w:lang w:val="en-US" w:eastAsia="zh-CN"/>
              </w:rPr>
              <w:t>9</w:t>
            </w:r>
            <w:r>
              <w:rPr>
                <w:rFonts w:hint="eastAsia" w:ascii="Times New Roman" w:hAnsi="Times New Roman" w:eastAsia="宋体" w:cs="Times New Roman"/>
                <w:spacing w:val="2"/>
                <w:lang w:val="en-US" w:eastAsia="zh-CN"/>
              </w:rPr>
              <w:t>。</w:t>
            </w:r>
          </w:p>
          <w:p>
            <w:pPr>
              <w:bidi w:val="0"/>
              <w:ind w:firstLine="488" w:firstLineChars="200"/>
              <w:jc w:val="left"/>
              <w:rPr>
                <w:rFonts w:hint="eastAsia" w:ascii="Times New Roman" w:hAnsi="Times New Roman" w:eastAsia="宋体" w:cs="Times New Roman"/>
                <w:spacing w:val="2"/>
                <w:lang w:val="en-US" w:eastAsia="zh-CN"/>
              </w:rPr>
            </w:pPr>
            <w:r>
              <w:rPr>
                <w:rFonts w:hint="eastAsia" w:ascii="Times New Roman" w:hAnsi="Times New Roman" w:eastAsia="宋体" w:cs="Times New Roman"/>
                <w:spacing w:val="2"/>
                <w:lang w:val="en-US" w:eastAsia="zh-CN"/>
              </w:rPr>
              <w:t>根据《沂源县人民政府关于沂源县农村分散饮用水水源地保护区划定方案的批复》（源政字</w:t>
            </w:r>
            <w:r>
              <w:rPr>
                <w:rFonts w:hint="eastAsia" w:cs="Times New Roman"/>
                <w:spacing w:val="2"/>
                <w:lang w:val="en-US" w:eastAsia="zh-CN"/>
              </w:rPr>
              <w:t>〔</w:t>
            </w:r>
            <w:r>
              <w:rPr>
                <w:rFonts w:hint="eastAsia" w:ascii="Times New Roman" w:hAnsi="Times New Roman" w:eastAsia="宋体" w:cs="Times New Roman"/>
                <w:spacing w:val="2"/>
                <w:lang w:val="en-US" w:eastAsia="zh-CN"/>
              </w:rPr>
              <w:t>2018</w:t>
            </w:r>
            <w:r>
              <w:rPr>
                <w:rFonts w:hint="eastAsia" w:cs="Times New Roman"/>
                <w:spacing w:val="2"/>
                <w:lang w:val="en-US" w:eastAsia="zh-CN"/>
              </w:rPr>
              <w:t>〕</w:t>
            </w:r>
            <w:r>
              <w:rPr>
                <w:rFonts w:hint="eastAsia" w:ascii="Times New Roman" w:hAnsi="Times New Roman" w:eastAsia="宋体" w:cs="Times New Roman"/>
                <w:spacing w:val="2"/>
                <w:lang w:val="en-US" w:eastAsia="zh-CN"/>
              </w:rPr>
              <w:t>117号），</w:t>
            </w:r>
            <w:r>
              <w:rPr>
                <w:rFonts w:hint="eastAsia" w:cs="Times New Roman"/>
                <w:spacing w:val="2"/>
                <w:lang w:val="en-US" w:eastAsia="zh-CN"/>
              </w:rPr>
              <w:t>项目</w:t>
            </w:r>
            <w:r>
              <w:rPr>
                <w:rFonts w:hint="eastAsia" w:ascii="Times New Roman" w:hAnsi="Times New Roman" w:eastAsia="宋体" w:cs="Times New Roman"/>
                <w:spacing w:val="2"/>
                <w:lang w:val="en-US" w:eastAsia="zh-CN"/>
              </w:rPr>
              <w:t>涉及农村分散饮用水水源地1处</w:t>
            </w:r>
            <w:r>
              <w:rPr>
                <w:rFonts w:hint="eastAsia" w:cs="Times New Roman"/>
                <w:spacing w:val="2"/>
                <w:lang w:val="en-US" w:eastAsia="zh-CN"/>
              </w:rPr>
              <w:t>—</w:t>
            </w:r>
            <w:r>
              <w:rPr>
                <w:rFonts w:hint="eastAsia" w:ascii="Times New Roman" w:hAnsi="Times New Roman" w:eastAsia="宋体" w:cs="Times New Roman"/>
                <w:spacing w:val="2"/>
                <w:lang w:val="en-US" w:eastAsia="zh-CN"/>
              </w:rPr>
              <w:t>璞邱三村集中供水井。</w:t>
            </w:r>
            <w:r>
              <w:rPr>
                <w:rFonts w:hint="eastAsia" w:ascii="Times New Roman" w:hAnsi="Times New Roman" w:eastAsia="宋体" w:cs="Times New Roman"/>
                <w:color w:val="auto"/>
                <w:spacing w:val="2"/>
                <w:lang w:val="en-US" w:eastAsia="zh-CN"/>
              </w:rPr>
              <w:t>璞邱三村集中供水井距离</w:t>
            </w:r>
            <w:r>
              <w:rPr>
                <w:rFonts w:hint="eastAsia" w:cs="Times New Roman"/>
                <w:color w:val="auto"/>
                <w:spacing w:val="2"/>
                <w:lang w:val="en-US" w:eastAsia="zh-CN"/>
              </w:rPr>
              <w:t>五井石河河道123</w:t>
            </w:r>
            <w:r>
              <w:rPr>
                <w:rFonts w:hint="eastAsia" w:ascii="Times New Roman" w:hAnsi="Times New Roman" w:eastAsia="宋体" w:cs="Times New Roman"/>
                <w:color w:val="auto"/>
                <w:spacing w:val="2"/>
                <w:lang w:val="en-US" w:eastAsia="zh-CN"/>
              </w:rPr>
              <w:t>米，璞</w:t>
            </w:r>
            <w:r>
              <w:rPr>
                <w:rFonts w:hint="eastAsia" w:ascii="Times New Roman" w:hAnsi="Times New Roman" w:eastAsia="宋体" w:cs="Times New Roman"/>
                <w:spacing w:val="2"/>
                <w:lang w:val="en-US" w:eastAsia="zh-CN"/>
              </w:rPr>
              <w:t>邱三村集中供水井井深7米，设计取水量306m</w:t>
            </w:r>
            <w:r>
              <w:rPr>
                <w:rFonts w:hint="eastAsia" w:ascii="Times New Roman" w:hAnsi="Times New Roman" w:eastAsia="宋体" w:cs="Times New Roman"/>
                <w:spacing w:val="2"/>
                <w:vertAlign w:val="superscript"/>
                <w:lang w:val="en-US" w:eastAsia="zh-CN"/>
              </w:rPr>
              <w:t>3</w:t>
            </w:r>
            <w:r>
              <w:rPr>
                <w:rFonts w:hint="eastAsia" w:ascii="Times New Roman" w:hAnsi="Times New Roman" w:eastAsia="宋体" w:cs="Times New Roman"/>
                <w:spacing w:val="2"/>
                <w:lang w:val="en-US" w:eastAsia="zh-CN"/>
              </w:rPr>
              <w:t>/s，实际供水量102m</w:t>
            </w:r>
            <w:r>
              <w:rPr>
                <w:rFonts w:hint="eastAsia" w:ascii="Times New Roman" w:hAnsi="Times New Roman" w:eastAsia="宋体" w:cs="Times New Roman"/>
                <w:spacing w:val="2"/>
                <w:vertAlign w:val="superscript"/>
                <w:lang w:val="en-US" w:eastAsia="zh-CN"/>
              </w:rPr>
              <w:t>3</w:t>
            </w:r>
            <w:r>
              <w:rPr>
                <w:rFonts w:hint="eastAsia" w:ascii="Times New Roman" w:hAnsi="Times New Roman" w:eastAsia="宋体" w:cs="Times New Roman"/>
                <w:spacing w:val="2"/>
                <w:lang w:val="en-US" w:eastAsia="zh-CN"/>
              </w:rPr>
              <w:t>/s，属于中小型岩溶水，埋藏条件为潜水，</w:t>
            </w:r>
            <w:r>
              <w:rPr>
                <w:rFonts w:hint="eastAsia" w:cs="Times New Roman"/>
                <w:spacing w:val="2"/>
                <w:lang w:val="en-US" w:eastAsia="zh-CN"/>
              </w:rPr>
              <w:t>是</w:t>
            </w:r>
            <w:r>
              <w:rPr>
                <w:rFonts w:hint="eastAsia" w:ascii="Times New Roman" w:hAnsi="Times New Roman" w:eastAsia="宋体" w:cs="Times New Roman"/>
                <w:spacing w:val="2"/>
                <w:lang w:val="en-US" w:eastAsia="zh-CN"/>
              </w:rPr>
              <w:t>农村分散饮用水水源地二级保护区</w:t>
            </w:r>
            <w:r>
              <w:rPr>
                <w:rFonts w:hint="eastAsia" w:cs="Times New Roman"/>
                <w:spacing w:val="2"/>
                <w:lang w:val="en-US" w:eastAsia="zh-CN"/>
              </w:rPr>
              <w:t>。</w:t>
            </w:r>
            <w:r>
              <w:rPr>
                <w:rFonts w:hint="eastAsia" w:ascii="Times New Roman" w:hAnsi="Times New Roman" w:eastAsia="宋体" w:cs="Times New Roman"/>
                <w:spacing w:val="2"/>
                <w:lang w:val="en-US" w:eastAsia="zh-CN"/>
              </w:rPr>
              <w:t>一级保护区为供水井取水口为圆心，半径50米范围内区域；二级保护区为供水井取水口为圆心半径500米范围内区域。</w:t>
            </w:r>
            <w:r>
              <w:rPr>
                <w:rFonts w:hint="eastAsia" w:cs="Times New Roman"/>
                <w:spacing w:val="2"/>
                <w:lang w:val="en-US" w:eastAsia="zh-CN"/>
              </w:rPr>
              <w:t>项目</w:t>
            </w:r>
            <w:r>
              <w:rPr>
                <w:rFonts w:hint="eastAsia" w:ascii="Times New Roman" w:hAnsi="Times New Roman" w:eastAsia="宋体" w:cs="Times New Roman"/>
                <w:spacing w:val="2"/>
                <w:lang w:val="en-US" w:eastAsia="zh-CN"/>
              </w:rPr>
              <w:t>位于二级保护区范围内。</w:t>
            </w:r>
          </w:p>
          <w:p>
            <w:pPr>
              <w:bidi w:val="0"/>
              <w:jc w:val="left"/>
              <w:rPr>
                <w:rFonts w:hint="eastAsia" w:ascii="Times New Roman" w:hAnsi="Times New Roman" w:eastAsia="宋体" w:cs="Times New Roman"/>
                <w:spacing w:val="2"/>
                <w:lang w:val="en-US" w:eastAsia="zh-CN"/>
              </w:rPr>
            </w:pPr>
            <w:r>
              <w:rPr>
                <w:rFonts w:hint="eastAsia" w:ascii="Times New Roman" w:hAnsi="Times New Roman" w:eastAsia="宋体" w:cs="Times New Roman"/>
                <w:spacing w:val="2"/>
                <w:lang w:val="en-US" w:eastAsia="zh-CN"/>
              </w:rPr>
              <w:t>（</w:t>
            </w:r>
            <w:r>
              <w:rPr>
                <w:rFonts w:hint="eastAsia" w:cs="Times New Roman"/>
                <w:spacing w:val="2"/>
                <w:lang w:val="en-US" w:eastAsia="zh-CN"/>
              </w:rPr>
              <w:t>5</w:t>
            </w:r>
            <w:r>
              <w:rPr>
                <w:rFonts w:hint="eastAsia" w:ascii="Times New Roman" w:hAnsi="Times New Roman" w:eastAsia="宋体" w:cs="Times New Roman"/>
                <w:spacing w:val="2"/>
                <w:lang w:val="en-US" w:eastAsia="zh-CN"/>
              </w:rPr>
              <w:t>）与《淄博市沂源县水功能区划》符合性分析</w:t>
            </w:r>
          </w:p>
          <w:p>
            <w:pPr>
              <w:bidi w:val="0"/>
              <w:ind w:firstLine="488" w:firstLineChars="200"/>
              <w:jc w:val="left"/>
              <w:rPr>
                <w:rFonts w:hint="eastAsia"/>
                <w:lang w:val="en-US" w:eastAsia="zh-CN"/>
              </w:rPr>
            </w:pPr>
            <w:r>
              <w:rPr>
                <w:rFonts w:hint="eastAsia" w:ascii="Times New Roman" w:hAnsi="Times New Roman" w:eastAsia="宋体" w:cs="Times New Roman"/>
                <w:spacing w:val="2"/>
                <w:lang w:val="en-US" w:eastAsia="zh-CN"/>
              </w:rPr>
              <w:t>根据《淄博市水功能区划》、《淄博市沂源县水功能区划》以及沂源县水功能二级区划成果表，本项目评价范围距离沂河流域</w:t>
            </w:r>
            <w:r>
              <w:rPr>
                <w:rFonts w:hint="eastAsia" w:cs="Times New Roman"/>
                <w:spacing w:val="2"/>
                <w:lang w:val="en-US" w:eastAsia="zh-CN"/>
              </w:rPr>
              <w:t>10</w:t>
            </w:r>
            <w:r>
              <w:rPr>
                <w:rFonts w:hint="eastAsia" w:ascii="Times New Roman" w:hAnsi="Times New Roman" w:eastAsia="宋体" w:cs="Times New Roman"/>
                <w:spacing w:val="2"/>
                <w:lang w:val="en-US" w:eastAsia="zh-CN"/>
              </w:rPr>
              <w:t>km，项目位于沂河流域</w:t>
            </w:r>
            <w:r>
              <w:rPr>
                <w:rFonts w:hint="eastAsia" w:cs="Times New Roman"/>
                <w:spacing w:val="2"/>
                <w:lang w:val="en-US" w:eastAsia="zh-CN"/>
              </w:rPr>
              <w:t>东北</w:t>
            </w:r>
            <w:r>
              <w:rPr>
                <w:rFonts w:hint="eastAsia" w:ascii="Times New Roman" w:hAnsi="Times New Roman" w:eastAsia="宋体" w:cs="Times New Roman"/>
                <w:spacing w:val="2"/>
                <w:lang w:val="en-US" w:eastAsia="zh-CN"/>
              </w:rPr>
              <w:t>方向。项目位置不在沂河流域评价范围内。项目与沂河流域关系图见附图</w:t>
            </w:r>
            <w:r>
              <w:rPr>
                <w:rFonts w:hint="eastAsia" w:cs="Times New Roman"/>
                <w:spacing w:val="2"/>
                <w:lang w:val="en-US" w:eastAsia="zh-CN"/>
              </w:rPr>
              <w:t>5</w:t>
            </w:r>
            <w:r>
              <w:rPr>
                <w:rFonts w:hint="eastAsia" w:ascii="Times New Roman" w:hAnsi="Times New Roman" w:eastAsia="宋体" w:cs="Times New Roman"/>
                <w:spacing w:val="2"/>
                <w:lang w:val="en-US" w:eastAsia="zh-CN"/>
              </w:rPr>
              <w:t>。</w:t>
            </w:r>
          </w:p>
          <w:p>
            <w:pPr>
              <w:numPr>
                <w:ilvl w:val="0"/>
                <w:numId w:val="0"/>
              </w:numPr>
              <w:bidi w:val="0"/>
              <w:jc w:val="left"/>
              <w:rPr>
                <w:rFonts w:hint="eastAsia"/>
                <w:lang w:val="en-US" w:eastAsia="zh-CN"/>
              </w:rPr>
            </w:pP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6</w:t>
            </w:r>
            <w:r>
              <w:rPr>
                <w:rFonts w:hint="eastAsia" w:ascii="Times New Roman" w:hAnsi="Times New Roman" w:eastAsia="宋体" w:cs="Times New Roman"/>
                <w:kern w:val="2"/>
                <w:sz w:val="24"/>
                <w:szCs w:val="24"/>
                <w:lang w:val="en-US" w:eastAsia="zh-CN" w:bidi="ar-SA"/>
              </w:rPr>
              <w:t>）</w:t>
            </w:r>
            <w:r>
              <w:rPr>
                <w:rFonts w:hint="eastAsia"/>
                <w:lang w:val="en-US" w:eastAsia="zh-CN"/>
              </w:rPr>
              <w:t>与相关规划的符合性分析</w:t>
            </w:r>
          </w:p>
          <w:p>
            <w:pPr>
              <w:pStyle w:val="37"/>
              <w:bidi w:val="0"/>
              <w:jc w:val="center"/>
            </w:pPr>
            <w:r>
              <w:rPr>
                <w:rFonts w:hint="eastAsia" w:ascii="Times New Roman" w:hAnsi="Times New Roman" w:eastAsia="宋体" w:cs="Times New Roman"/>
                <w:b/>
                <w:bCs/>
                <w:kern w:val="0"/>
                <w:sz w:val="21"/>
                <w:szCs w:val="21"/>
                <w:lang w:val="en-US" w:eastAsia="zh-CN" w:bidi="ar-SA"/>
              </w:rPr>
              <w:t>表</w:t>
            </w:r>
            <w:r>
              <w:rPr>
                <w:rFonts w:hint="eastAsia" w:ascii="Times New Roman" w:hAnsi="Times New Roman" w:cs="Times New Roman"/>
                <w:b/>
                <w:bCs/>
                <w:kern w:val="0"/>
                <w:sz w:val="21"/>
                <w:szCs w:val="21"/>
                <w:lang w:val="en-US" w:eastAsia="zh-CN" w:bidi="ar-SA"/>
              </w:rPr>
              <w:t>1-7</w:t>
            </w:r>
            <w:r>
              <w:rPr>
                <w:rFonts w:hint="eastAsia" w:ascii="Times New Roman" w:hAnsi="Times New Roman" w:eastAsia="宋体" w:cs="Times New Roman"/>
                <w:b/>
                <w:bCs/>
                <w:kern w:val="0"/>
                <w:sz w:val="21"/>
                <w:szCs w:val="21"/>
                <w:lang w:val="en-US" w:eastAsia="zh-CN" w:bidi="ar-SA"/>
              </w:rPr>
              <w:t xml:space="preserve">  </w:t>
            </w:r>
            <w:r>
              <w:rPr>
                <w:rFonts w:hint="eastAsia" w:ascii="Times New Roman" w:hAnsi="Times New Roman" w:cs="Times New Roman"/>
                <w:b/>
                <w:bCs/>
                <w:kern w:val="0"/>
                <w:sz w:val="21"/>
                <w:szCs w:val="21"/>
                <w:lang w:val="en-US" w:eastAsia="zh-CN" w:bidi="ar-SA"/>
              </w:rPr>
              <w:t>项目</w:t>
            </w:r>
            <w:r>
              <w:rPr>
                <w:rFonts w:hint="eastAsia" w:ascii="Times New Roman" w:hAnsi="Times New Roman" w:eastAsia="宋体" w:cs="Times New Roman"/>
                <w:b/>
                <w:bCs/>
                <w:kern w:val="0"/>
                <w:sz w:val="21"/>
                <w:szCs w:val="21"/>
                <w:lang w:val="en-US" w:eastAsia="zh-CN" w:bidi="ar-SA"/>
              </w:rPr>
              <w:t>与</w:t>
            </w:r>
            <w:r>
              <w:rPr>
                <w:rFonts w:hint="eastAsia" w:ascii="Times New Roman" w:hAnsi="Times New Roman" w:cs="Times New Roman"/>
                <w:b/>
                <w:bCs/>
                <w:kern w:val="0"/>
                <w:sz w:val="21"/>
                <w:szCs w:val="21"/>
                <w:lang w:val="en-US" w:eastAsia="zh-CN" w:bidi="ar-SA"/>
              </w:rPr>
              <w:t>相关规划</w:t>
            </w:r>
            <w:r>
              <w:rPr>
                <w:rFonts w:hint="eastAsia" w:ascii="Times New Roman" w:hAnsi="Times New Roman" w:eastAsia="宋体" w:cs="Times New Roman"/>
                <w:b/>
                <w:bCs/>
                <w:kern w:val="0"/>
                <w:sz w:val="21"/>
                <w:szCs w:val="21"/>
                <w:lang w:val="en-US" w:eastAsia="zh-CN" w:bidi="ar-SA"/>
              </w:rPr>
              <w:t>符合性</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3270"/>
              <w:gridCol w:w="1800"/>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color w:val="auto"/>
                      <w:spacing w:val="-2"/>
                      <w:sz w:val="24"/>
                      <w:vertAlign w:val="baseline"/>
                      <w:lang w:val="en-US" w:eastAsia="zh-CN"/>
                    </w:rPr>
                  </w:pPr>
                  <w:r>
                    <w:rPr>
                      <w:rFonts w:hint="eastAsia" w:ascii="Times New Roman" w:hAnsi="Times New Roman" w:eastAsia="宋体" w:cs="Times New Roman"/>
                      <w:b/>
                      <w:bCs w:val="0"/>
                      <w:kern w:val="0"/>
                      <w:sz w:val="21"/>
                      <w:szCs w:val="21"/>
                      <w:lang w:val="en-US" w:eastAsia="zh-CN" w:bidi="en-US"/>
                    </w:rPr>
                    <w:t>文件</w:t>
                  </w:r>
                </w:p>
              </w:tc>
              <w:tc>
                <w:tcPr>
                  <w:tcW w:w="3270"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color w:val="auto"/>
                      <w:spacing w:val="-2"/>
                      <w:sz w:val="24"/>
                      <w:vertAlign w:val="baseline"/>
                      <w:lang w:val="en-US" w:eastAsia="zh-CN"/>
                    </w:rPr>
                  </w:pPr>
                  <w:r>
                    <w:rPr>
                      <w:rFonts w:hint="default" w:ascii="Times New Roman" w:hAnsi="Times New Roman" w:eastAsia="宋体" w:cs="Times New Roman"/>
                      <w:b/>
                      <w:bCs w:val="0"/>
                      <w:kern w:val="0"/>
                      <w:sz w:val="21"/>
                      <w:szCs w:val="21"/>
                      <w:lang w:val="en-US" w:eastAsia="zh-CN" w:bidi="en-US"/>
                    </w:rPr>
                    <w:t>文件要求</w:t>
                  </w:r>
                </w:p>
              </w:tc>
              <w:tc>
                <w:tcPr>
                  <w:tcW w:w="1800"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color w:val="auto"/>
                      <w:spacing w:val="-2"/>
                      <w:sz w:val="24"/>
                      <w:vertAlign w:val="baseline"/>
                      <w:lang w:val="en-US" w:eastAsia="zh-CN"/>
                    </w:rPr>
                  </w:pPr>
                  <w:r>
                    <w:rPr>
                      <w:rFonts w:hint="default" w:ascii="Times New Roman" w:hAnsi="Times New Roman" w:eastAsia="宋体" w:cs="Times New Roman"/>
                      <w:b/>
                      <w:bCs w:val="0"/>
                      <w:kern w:val="0"/>
                      <w:sz w:val="21"/>
                      <w:szCs w:val="21"/>
                      <w:lang w:val="en-US" w:eastAsia="zh-CN" w:bidi="en-US"/>
                    </w:rPr>
                    <w:t>本项目情况</w:t>
                  </w:r>
                </w:p>
              </w:tc>
              <w:tc>
                <w:tcPr>
                  <w:tcW w:w="1323"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color w:val="auto"/>
                      <w:spacing w:val="-2"/>
                      <w:sz w:val="24"/>
                      <w:vertAlign w:val="baseline"/>
                      <w:lang w:val="en-US" w:eastAsia="zh-CN"/>
                    </w:rPr>
                  </w:pPr>
                  <w:r>
                    <w:rPr>
                      <w:rFonts w:hint="default" w:ascii="Times New Roman" w:hAnsi="Times New Roman" w:eastAsia="宋体" w:cs="Times New Roman"/>
                      <w:b/>
                      <w:bCs w:val="0"/>
                      <w:kern w:val="0"/>
                      <w:sz w:val="21"/>
                      <w:szCs w:val="21"/>
                      <w:lang w:val="en-US" w:eastAsia="zh-CN" w:bidi="en-US"/>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noWrap w:val="0"/>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《沂源县国民经济和社会发展第十四个五年规划和2035年远景目标纲要》</w:t>
                  </w:r>
                </w:p>
              </w:tc>
              <w:tc>
                <w:tcPr>
                  <w:tcW w:w="3270"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建设现代防洪减灾体系。在保护现有天然生态防洪格局基础上，按照“上蓄、中滞、下泄”的原则，点线面结合，形成完整防洪体系。中心城区可抵御50年一遇洪水，沂河干流可抵御20年一遇洪水，</w:t>
                  </w:r>
                  <w:r>
                    <w:rPr>
                      <w:rFonts w:hint="eastAsia" w:cs="Times New Roman"/>
                      <w:bCs/>
                      <w:kern w:val="0"/>
                      <w:sz w:val="21"/>
                      <w:szCs w:val="21"/>
                      <w:lang w:val="en-US" w:eastAsia="zh-CN" w:bidi="en-US"/>
                    </w:rPr>
                    <w:t>其他地区可</w:t>
                  </w:r>
                  <w:r>
                    <w:rPr>
                      <w:rFonts w:hint="default" w:ascii="Times New Roman" w:hAnsi="Times New Roman" w:eastAsia="宋体" w:cs="Times New Roman"/>
                      <w:bCs/>
                      <w:kern w:val="0"/>
                      <w:sz w:val="21"/>
                      <w:szCs w:val="21"/>
                      <w:lang w:val="en-US" w:eastAsia="zh-CN" w:bidi="en-US"/>
                    </w:rPr>
                    <w:t>抵御10年一遇以上洪水，全面提升河道管理能力和水平，恢复、强化和扩展河道的综合功能，实现河道“水清、流畅、岸绿、景美”的目标。</w:t>
                  </w:r>
                </w:p>
              </w:tc>
              <w:tc>
                <w:tcPr>
                  <w:tcW w:w="1800" w:type="dxa"/>
                  <w:noWrap w:val="0"/>
                  <w:vAlign w:val="top"/>
                </w:tcPr>
                <w:p>
                  <w:pPr>
                    <w:widowControl/>
                    <w:snapToGrid w:val="0"/>
                    <w:spacing w:line="240" w:lineRule="auto"/>
                    <w:ind w:left="-72" w:leftChars="-30" w:right="-72" w:rightChars="-30" w:firstLine="0" w:firstLineChars="0"/>
                    <w:jc w:val="center"/>
                    <w:textAlignment w:val="baseline"/>
                    <w:rPr>
                      <w:rFonts w:hint="eastAsia" w:cs="Times New Roman"/>
                      <w:bCs/>
                      <w:kern w:val="0"/>
                      <w:sz w:val="21"/>
                      <w:szCs w:val="21"/>
                      <w:lang w:val="en-US" w:eastAsia="zh-CN" w:bidi="en-US"/>
                    </w:rPr>
                  </w:pPr>
                  <w:r>
                    <w:rPr>
                      <w:rFonts w:hint="eastAsia" w:cs="Times New Roman"/>
                      <w:bCs/>
                      <w:kern w:val="0"/>
                      <w:sz w:val="21"/>
                      <w:szCs w:val="21"/>
                      <w:lang w:val="en-US" w:eastAsia="zh-CN" w:bidi="en-US"/>
                    </w:rPr>
                    <w:t>本项目工程实施后满足10年一遇防洪要求；提升河道管理能力和水平，保障工农业生产及群众的生命财产安全，实现沿河两岸社会经济可持续发展。</w:t>
                  </w:r>
                </w:p>
              </w:tc>
              <w:tc>
                <w:tcPr>
                  <w:tcW w:w="1323"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noWrap w:val="0"/>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《山东省黄河流域生态保护和高质量发展规划》</w:t>
                  </w:r>
                </w:p>
              </w:tc>
              <w:tc>
                <w:tcPr>
                  <w:tcW w:w="3270"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到2030年，黄河流域生态保护和高质量发展取得重大进展，基本形成节约资源、保护环境的空间格局和高质量发展的产业体系、生产方式、生活方式，山东半岛城市群龙头作用明显增强、示范引领作用更加突出。</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防洪减灾能力显著增强。黄河入海流路保持稳定，基本控制游荡性河段河势，“二级悬河”治理和重点河道综合整治取得明显成效，水库、河道和蓄滞洪区等防洪减灾工程更加完善，灾害监测预警和防灾救灾能力大幅提升，现代化防洪减灾体系基本建成。</w:t>
                  </w:r>
                </w:p>
              </w:tc>
              <w:tc>
                <w:tcPr>
                  <w:tcW w:w="1800" w:type="dxa"/>
                  <w:noWrap w:val="0"/>
                  <w:vAlign w:val="top"/>
                </w:tcPr>
                <w:p>
                  <w:pPr>
                    <w:widowControl/>
                    <w:snapToGrid w:val="0"/>
                    <w:spacing w:line="240" w:lineRule="auto"/>
                    <w:ind w:left="-72" w:leftChars="-30" w:right="-72" w:rightChars="-30" w:firstLine="0" w:firstLineChars="0"/>
                    <w:jc w:val="center"/>
                    <w:textAlignment w:val="baseline"/>
                    <w:rPr>
                      <w:rFonts w:hint="eastAsia" w:cs="Times New Roman"/>
                      <w:bCs/>
                      <w:kern w:val="0"/>
                      <w:sz w:val="21"/>
                      <w:szCs w:val="21"/>
                      <w:lang w:val="en-US" w:eastAsia="zh-CN" w:bidi="en-US"/>
                    </w:rPr>
                  </w:pPr>
                  <w:r>
                    <w:rPr>
                      <w:rFonts w:hint="eastAsia" w:cs="Times New Roman"/>
                      <w:bCs/>
                      <w:kern w:val="0"/>
                      <w:sz w:val="21"/>
                      <w:szCs w:val="21"/>
                      <w:lang w:val="en-US" w:eastAsia="zh-CN" w:bidi="en-US"/>
                    </w:rPr>
                    <w:t>本项目通过险工险段护砌，确保边坡稳定，保证河道安全；通过建设生产桥及沿河视频监测措施，改善管理运行条件；在保证河道防洪能力的前提下，通过新建拦砂坎，稳固上游河床，防止建筑物及护岸基础淘刷；打造集防洪、生态、信息化等多功能为一体的河流。</w:t>
                  </w:r>
                </w:p>
              </w:tc>
              <w:tc>
                <w:tcPr>
                  <w:tcW w:w="1323"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noWrap w:val="0"/>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Cs/>
                      <w:kern w:val="0"/>
                      <w:sz w:val="21"/>
                      <w:szCs w:val="21"/>
                      <w:lang w:val="en-US" w:eastAsia="zh-CN" w:bidi="en-US"/>
                    </w:rPr>
                  </w:pPr>
                  <w:r>
                    <w:rPr>
                      <w:rFonts w:hint="eastAsia" w:ascii="Times New Roman" w:hAnsi="Times New Roman" w:eastAsia="宋体" w:cs="Times New Roman"/>
                      <w:bCs/>
                      <w:kern w:val="0"/>
                      <w:sz w:val="21"/>
                      <w:szCs w:val="21"/>
                      <w:lang w:val="en-US" w:eastAsia="zh-CN" w:bidi="en-US"/>
                    </w:rPr>
                    <w:t>《山东省水污染防治条例》</w:t>
                  </w:r>
                </w:p>
              </w:tc>
              <w:tc>
                <w:tcPr>
                  <w:tcW w:w="3270"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default" w:ascii="Times New Roman" w:hAnsi="Times New Roman" w:eastAsia="宋体" w:cs="Times New Roman"/>
                      <w:bCs/>
                      <w:kern w:val="0"/>
                      <w:sz w:val="21"/>
                      <w:szCs w:val="21"/>
                      <w:lang w:val="en-US" w:eastAsia="zh-CN" w:bidi="en-US"/>
                    </w:rPr>
                    <w:t>在饮用水水源二级保护区内，除禁止本条例第五十九条规定的行为以外，禁止从事下列行为：（一）设置排污口；（二）新建、改建、扩建排放污染物的建设项目；（三）建设工业固体废物集中贮存、处置设施、场所或者生活垃圾填埋场；（四）设立装卸垃圾、粪便、油类和有毒物品的码头；（五）围垦河道、滩地，或者在河道、水库等采石、采砂、取土、弃置砂石；（六）法律、法规禁止的其他行为。</w:t>
                  </w:r>
                </w:p>
              </w:tc>
              <w:tc>
                <w:tcPr>
                  <w:tcW w:w="1800" w:type="dxa"/>
                  <w:noWrap w:val="0"/>
                  <w:vAlign w:val="top"/>
                </w:tcPr>
                <w:p>
                  <w:pPr>
                    <w:widowControl/>
                    <w:snapToGrid w:val="0"/>
                    <w:spacing w:line="240" w:lineRule="auto"/>
                    <w:ind w:left="-72" w:leftChars="-30" w:right="-72" w:rightChars="-30" w:firstLine="0" w:firstLineChars="0"/>
                    <w:jc w:val="center"/>
                    <w:textAlignment w:val="baseline"/>
                    <w:rPr>
                      <w:rFonts w:hint="eastAsia" w:cs="Times New Roman"/>
                      <w:bCs/>
                      <w:kern w:val="0"/>
                      <w:sz w:val="21"/>
                      <w:szCs w:val="21"/>
                      <w:lang w:val="en-US" w:eastAsia="zh-CN" w:bidi="en-US"/>
                    </w:rPr>
                  </w:pPr>
                  <w:r>
                    <w:rPr>
                      <w:rFonts w:hint="eastAsia" w:cs="Times New Roman"/>
                      <w:bCs/>
                      <w:color w:val="FF0000"/>
                      <w:kern w:val="0"/>
                      <w:sz w:val="21"/>
                      <w:szCs w:val="21"/>
                      <w:lang w:val="en-US" w:eastAsia="zh-CN" w:bidi="en-US"/>
                    </w:rPr>
                    <w:t>项目属于防洪治理项目，</w:t>
                  </w:r>
                  <w:r>
                    <w:rPr>
                      <w:rFonts w:hint="eastAsia" w:cs="Times New Roman"/>
                      <w:bCs/>
                      <w:kern w:val="0"/>
                      <w:sz w:val="21"/>
                      <w:szCs w:val="21"/>
                      <w:lang w:val="en-US" w:eastAsia="zh-CN" w:bidi="en-US"/>
                    </w:rPr>
                    <w:t>是对现有河道进行清淤扩挖，不属于排放污染物的建设项目，保护区内无排污口、河道不进行</w:t>
                  </w:r>
                  <w:r>
                    <w:rPr>
                      <w:rFonts w:hint="default" w:ascii="Times New Roman" w:hAnsi="Times New Roman" w:eastAsia="宋体" w:cs="Times New Roman"/>
                      <w:bCs/>
                      <w:kern w:val="0"/>
                      <w:sz w:val="21"/>
                      <w:szCs w:val="21"/>
                      <w:lang w:val="en-US" w:eastAsia="zh-CN" w:bidi="en-US"/>
                    </w:rPr>
                    <w:t>采石、采砂、取土、弃置砂石</w:t>
                  </w:r>
                  <w:r>
                    <w:rPr>
                      <w:rFonts w:hint="eastAsia" w:cs="Times New Roman"/>
                      <w:bCs/>
                      <w:kern w:val="0"/>
                      <w:sz w:val="21"/>
                      <w:szCs w:val="21"/>
                      <w:lang w:val="en-US" w:eastAsia="zh-CN" w:bidi="en-US"/>
                    </w:rPr>
                    <w:t>。</w:t>
                  </w:r>
                </w:p>
              </w:tc>
              <w:tc>
                <w:tcPr>
                  <w:tcW w:w="1323"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Cs/>
                      <w:kern w:val="0"/>
                      <w:sz w:val="21"/>
                      <w:szCs w:val="21"/>
                      <w:lang w:val="en-US" w:eastAsia="zh-CN" w:bidi="en-US"/>
                    </w:rPr>
                  </w:pPr>
                  <w:r>
                    <w:rPr>
                      <w:rFonts w:hint="eastAsia" w:cs="Times New Roman"/>
                      <w:bCs/>
                      <w:kern w:val="0"/>
                      <w:sz w:val="21"/>
                      <w:szCs w:val="21"/>
                      <w:lang w:val="en-US" w:eastAsia="zh-CN" w:bidi="en-US"/>
                    </w:rPr>
                    <w:t>符合</w:t>
                  </w:r>
                </w:p>
              </w:tc>
            </w:tr>
          </w:tbl>
          <w:p>
            <w:pPr>
              <w:numPr>
                <w:ilvl w:val="0"/>
                <w:numId w:val="0"/>
              </w:numPr>
              <w:autoSpaceDE w:val="0"/>
              <w:autoSpaceDN w:val="0"/>
              <w:adjustRightInd w:val="0"/>
              <w:snapToGrid w:val="0"/>
              <w:jc w:val="left"/>
              <w:rPr>
                <w:rFonts w:hint="eastAsia" w:ascii="Times New Roman" w:hAnsi="Times New Roman" w:eastAsia="宋体" w:cs="Times New Roman"/>
                <w:b/>
                <w:bCs/>
                <w:color w:val="auto"/>
                <w:spacing w:val="-2"/>
                <w:kern w:val="2"/>
                <w:sz w:val="24"/>
                <w:szCs w:val="24"/>
                <w:lang w:val="en-US" w:eastAsia="zh-CN" w:bidi="ar-SA"/>
              </w:rPr>
            </w:pPr>
            <w:r>
              <w:rPr>
                <w:rFonts w:hint="eastAsia" w:ascii="Times New Roman" w:hAnsi="Times New Roman" w:eastAsia="宋体" w:cs="Times New Roman"/>
                <w:b/>
                <w:bCs/>
                <w:color w:val="auto"/>
                <w:spacing w:val="-2"/>
                <w:kern w:val="2"/>
                <w:sz w:val="24"/>
                <w:szCs w:val="24"/>
                <w:lang w:val="en-US" w:eastAsia="zh-CN" w:bidi="ar-SA"/>
              </w:rPr>
              <w:t>4、规划及土地使用的合法性分析</w:t>
            </w:r>
          </w:p>
          <w:p>
            <w:pPr>
              <w:bidi w:val="0"/>
              <w:ind w:firstLine="480" w:firstLineChars="200"/>
              <w:jc w:val="left"/>
              <w:rPr>
                <w:rFonts w:hint="eastAsia"/>
              </w:rPr>
            </w:pPr>
            <w:r>
              <w:rPr>
                <w:rFonts w:hint="eastAsia"/>
              </w:rPr>
              <w:t>经核查，拟建项目不属于《限制用地项目目录（2012年本）》和《禁止用地项目目录（2012年本）》限批或禁批的范围。</w:t>
            </w:r>
          </w:p>
          <w:p>
            <w:pPr>
              <w:bidi w:val="0"/>
              <w:ind w:firstLine="480" w:firstLineChars="200"/>
              <w:jc w:val="left"/>
              <w:rPr>
                <w:rFonts w:hint="eastAsia"/>
              </w:rPr>
            </w:pPr>
            <w:r>
              <w:rPr>
                <w:rFonts w:hint="eastAsia"/>
              </w:rPr>
              <w:t>根据《沂源县县城城市总体规划</w:t>
            </w:r>
            <w:r>
              <w:rPr>
                <w:rFonts w:hint="eastAsia"/>
                <w:lang w:eastAsia="zh-CN"/>
              </w:rPr>
              <w:t>（</w:t>
            </w:r>
            <w:r>
              <w:rPr>
                <w:rFonts w:hint="eastAsia"/>
              </w:rPr>
              <w:t>2016-2030年</w:t>
            </w:r>
            <w:r>
              <w:rPr>
                <w:rFonts w:hint="eastAsia"/>
                <w:lang w:eastAsia="zh-CN"/>
              </w:rPr>
              <w:t>）</w:t>
            </w:r>
            <w:r>
              <w:rPr>
                <w:rFonts w:hint="eastAsia"/>
              </w:rPr>
              <w:t>》，规划中县域为沂源县行政辖区范围，总面积约1635.80平方公里；规划区即中心城区范围为北至北外环以北约500米、南至侯家官庄，西至刘家大峪，东至工业二路，规划区内建设用地面积为34.83平方公里。规划区即中心城区范围为北至北外环以北约500米、南至侯家官庄，西至刘家大峪，东至工业二路。</w:t>
            </w:r>
          </w:p>
          <w:p>
            <w:pPr>
              <w:bidi w:val="0"/>
              <w:ind w:firstLine="480" w:firstLineChars="200"/>
              <w:jc w:val="left"/>
              <w:rPr>
                <w:rFonts w:hint="eastAsia"/>
              </w:rPr>
            </w:pPr>
            <w:r>
              <w:rPr>
                <w:rFonts w:hint="eastAsia"/>
              </w:rPr>
              <w:t>沂源县城镇空间发展的模式为点轴推进模式。总体战略：强化中心、点轴结合、梯度推进。沂源县的空间结构包括“一核、三轴、四心”。其中“一核：中心城区；三轴：一条主轴和两条副轴，济青公路南线为一级轴线（二三产业发展轴），博沂路—南崔路旅游发展副轴线，沂蒙路—南麻—南鲁山农业发展副轴线；四心：四个中心镇，东里镇、鲁村镇、悦庄镇和南鲁山镇”。</w:t>
            </w:r>
          </w:p>
          <w:p>
            <w:pPr>
              <w:bidi w:val="0"/>
              <w:ind w:firstLine="480" w:firstLineChars="200"/>
              <w:jc w:val="left"/>
              <w:rPr>
                <w:rFonts w:hint="eastAsia"/>
              </w:rPr>
            </w:pPr>
            <w:r>
              <w:rPr>
                <w:rFonts w:hint="eastAsia"/>
              </w:rPr>
              <w:t>项目线路不在中心城区范围内，项目建成后将加强区域联系，与《沂源县县城城市总体规划</w:t>
            </w:r>
            <w:r>
              <w:rPr>
                <w:rFonts w:hint="eastAsia"/>
                <w:lang w:eastAsia="zh-CN"/>
              </w:rPr>
              <w:t>（</w:t>
            </w:r>
            <w:r>
              <w:rPr>
                <w:rFonts w:hint="eastAsia"/>
              </w:rPr>
              <w:t>2016-2030</w:t>
            </w:r>
            <w:r>
              <w:rPr>
                <w:rFonts w:hint="eastAsia"/>
                <w:lang w:eastAsia="zh-CN"/>
              </w:rPr>
              <w:t>）</w:t>
            </w:r>
            <w:r>
              <w:rPr>
                <w:rFonts w:hint="eastAsia"/>
              </w:rPr>
              <w:t>》相协调。</w:t>
            </w:r>
          </w:p>
          <w:p>
            <w:pPr>
              <w:bidi w:val="0"/>
              <w:ind w:firstLine="480" w:firstLineChars="200"/>
              <w:jc w:val="left"/>
              <w:rPr>
                <w:rFonts w:hint="eastAsia"/>
              </w:rPr>
            </w:pPr>
            <w:r>
              <w:rPr>
                <w:rFonts w:hint="eastAsia"/>
              </w:rPr>
              <w:t>项目沿线周边无自然保护区、重点文物保护单位等</w:t>
            </w:r>
            <w:r>
              <w:rPr>
                <w:rFonts w:hint="eastAsia"/>
                <w:lang w:eastAsia="zh-CN"/>
              </w:rPr>
              <w:t>，</w:t>
            </w:r>
            <w:r>
              <w:rPr>
                <w:rFonts w:hint="eastAsia"/>
                <w:color w:val="auto"/>
                <w:lang w:eastAsia="zh-CN"/>
              </w:rPr>
              <w:t>项目区土地类型均为未利用地中的河流水面，总面积63.22公顷，</w:t>
            </w:r>
            <w:r>
              <w:rPr>
                <w:rFonts w:hint="eastAsia"/>
                <w:lang w:eastAsia="zh-CN"/>
              </w:rPr>
              <w:t>不涉及基本农田等其他地类，</w:t>
            </w:r>
            <w:r>
              <w:rPr>
                <w:rFonts w:hint="eastAsia"/>
              </w:rPr>
              <w:t>项目选址</w:t>
            </w:r>
            <w:r>
              <w:rPr>
                <w:rFonts w:hint="eastAsia"/>
                <w:lang w:eastAsia="zh-CN"/>
              </w:rPr>
              <w:t>符合</w:t>
            </w:r>
            <w:r>
              <w:rPr>
                <w:rFonts w:hint="eastAsia"/>
                <w:color w:val="auto"/>
                <w:lang w:eastAsia="zh-CN"/>
              </w:rPr>
              <w:t>沂源县县城城市总体规划的要求</w:t>
            </w:r>
            <w:r>
              <w:rPr>
                <w:rFonts w:hint="eastAsia"/>
                <w:lang w:eastAsia="zh-CN"/>
              </w:rPr>
              <w:t>。</w:t>
            </w:r>
            <w:r>
              <w:rPr>
                <w:rFonts w:hint="eastAsia"/>
              </w:rPr>
              <w:t>因此，项目选址选线合理。</w:t>
            </w:r>
          </w:p>
          <w:p>
            <w:pPr>
              <w:numPr>
                <w:ilvl w:val="0"/>
                <w:numId w:val="0"/>
              </w:numPr>
              <w:autoSpaceDE w:val="0"/>
              <w:autoSpaceDN w:val="0"/>
              <w:adjustRightInd w:val="0"/>
              <w:snapToGrid w:val="0"/>
              <w:jc w:val="left"/>
              <w:rPr>
                <w:rFonts w:hint="eastAsia" w:ascii="Times New Roman" w:hAnsi="Times New Roman" w:eastAsia="宋体" w:cs="Times New Roman"/>
                <w:b/>
                <w:bCs/>
                <w:color w:val="auto"/>
                <w:spacing w:val="-2"/>
                <w:kern w:val="2"/>
                <w:sz w:val="24"/>
                <w:szCs w:val="24"/>
                <w:lang w:val="en-US" w:eastAsia="zh-CN" w:bidi="ar-SA"/>
              </w:rPr>
            </w:pPr>
            <w:r>
              <w:rPr>
                <w:rFonts w:hint="eastAsia" w:cs="Times New Roman"/>
                <w:b/>
                <w:bCs/>
                <w:color w:val="auto"/>
                <w:spacing w:val="-2"/>
                <w:kern w:val="2"/>
                <w:sz w:val="24"/>
                <w:szCs w:val="24"/>
                <w:lang w:val="en-US" w:eastAsia="zh-CN" w:bidi="ar-SA"/>
              </w:rPr>
              <w:t>5</w:t>
            </w:r>
            <w:r>
              <w:rPr>
                <w:rFonts w:hint="eastAsia" w:ascii="Times New Roman" w:hAnsi="Times New Roman" w:eastAsia="宋体" w:cs="Times New Roman"/>
                <w:b/>
                <w:bCs/>
                <w:color w:val="auto"/>
                <w:spacing w:val="-2"/>
                <w:kern w:val="2"/>
                <w:sz w:val="24"/>
                <w:szCs w:val="24"/>
                <w:lang w:val="en-US" w:eastAsia="zh-CN" w:bidi="ar-SA"/>
              </w:rPr>
              <w:t>、编制报告表的依据</w:t>
            </w:r>
          </w:p>
          <w:p>
            <w:pPr>
              <w:widowControl/>
              <w:kinsoku w:val="0"/>
              <w:autoSpaceDE w:val="0"/>
              <w:autoSpaceDN w:val="0"/>
              <w:adjustRightInd w:val="0"/>
              <w:spacing w:line="360" w:lineRule="auto"/>
              <w:ind w:firstLine="360" w:firstLineChars="150"/>
              <w:jc w:val="left"/>
              <w:textAlignment w:val="baseline"/>
              <w:rPr>
                <w:rFonts w:hint="eastAsia"/>
                <w:sz w:val="24"/>
              </w:rPr>
            </w:pPr>
            <w:r>
              <w:rPr>
                <w:rFonts w:hint="eastAsia"/>
                <w:color w:val="000000"/>
                <w:sz w:val="24"/>
              </w:rPr>
              <w:t>根据《国民经济行业分类》（</w:t>
            </w:r>
            <w:r>
              <w:rPr>
                <w:color w:val="000000"/>
                <w:sz w:val="24"/>
              </w:rPr>
              <w:t>GB/T4754-2017</w:t>
            </w:r>
            <w:r>
              <w:rPr>
                <w:rFonts w:hint="eastAsia"/>
                <w:color w:val="000000"/>
                <w:sz w:val="24"/>
              </w:rPr>
              <w:t>）及国家标准</w:t>
            </w:r>
            <w:r>
              <w:rPr>
                <w:color w:val="000000"/>
                <w:sz w:val="24"/>
              </w:rPr>
              <w:t>1</w:t>
            </w:r>
            <w:r>
              <w:rPr>
                <w:rFonts w:hint="eastAsia"/>
                <w:color w:val="000000"/>
                <w:sz w:val="24"/>
              </w:rPr>
              <w:t>号修改单（国统字</w:t>
            </w:r>
            <w:r>
              <w:rPr>
                <w:rFonts w:hint="eastAsia"/>
                <w:color w:val="000000"/>
                <w:sz w:val="24"/>
                <w:lang w:eastAsia="zh-CN"/>
              </w:rPr>
              <w:t>〔</w:t>
            </w:r>
            <w:r>
              <w:rPr>
                <w:color w:val="000000"/>
                <w:sz w:val="24"/>
              </w:rPr>
              <w:t>2019</w:t>
            </w:r>
            <w:r>
              <w:rPr>
                <w:rFonts w:hint="eastAsia"/>
                <w:color w:val="000000"/>
                <w:sz w:val="24"/>
                <w:lang w:eastAsia="zh-CN"/>
              </w:rPr>
              <w:t>〕</w:t>
            </w:r>
            <w:r>
              <w:rPr>
                <w:color w:val="000000"/>
                <w:sz w:val="24"/>
              </w:rPr>
              <w:t>66</w:t>
            </w:r>
            <w:r>
              <w:rPr>
                <w:rFonts w:hint="eastAsia"/>
                <w:color w:val="000000"/>
                <w:sz w:val="24"/>
              </w:rPr>
              <w:t>号），本项目属于“N7610防洪除涝设施管理”。</w:t>
            </w:r>
            <w:r>
              <w:rPr>
                <w:rFonts w:hint="eastAsia"/>
                <w:sz w:val="24"/>
              </w:rPr>
              <w:t>依据《防洪标准》（GB50201-2014）、《水利水电工程等级划分及洪水标准》（SL252-2017）中的规定，根据《沂源统计年鉴2022》，沂源2021年全县实现生产总值315.5亿元，人均GDP61255元，农作物播种面积（耕地或非耕地）18827公顷（合282405亩），确定沂源县五井石河防洪治理工程</w:t>
            </w:r>
            <w:r>
              <w:rPr>
                <w:rFonts w:hint="eastAsia"/>
                <w:sz w:val="24"/>
                <w:lang w:eastAsia="zh-CN"/>
              </w:rPr>
              <w:t>的</w:t>
            </w:r>
            <w:r>
              <w:rPr>
                <w:rFonts w:hint="eastAsia"/>
                <w:sz w:val="24"/>
              </w:rPr>
              <w:t>等别为Ⅴ级、规模为小（2）型。</w:t>
            </w:r>
          </w:p>
          <w:p>
            <w:pPr>
              <w:widowControl/>
              <w:kinsoku w:val="0"/>
              <w:autoSpaceDE w:val="0"/>
              <w:autoSpaceDN w:val="0"/>
              <w:adjustRightInd w:val="0"/>
              <w:spacing w:line="360" w:lineRule="auto"/>
              <w:ind w:firstLine="360" w:firstLineChars="150"/>
              <w:jc w:val="left"/>
              <w:textAlignment w:val="baseline"/>
              <w:rPr>
                <w:color w:val="000000"/>
                <w:sz w:val="24"/>
              </w:rPr>
            </w:pPr>
            <w:r>
              <w:rPr>
                <w:rFonts w:hint="eastAsia"/>
                <w:color w:val="000000"/>
                <w:sz w:val="24"/>
              </w:rPr>
              <w:t>对照《建设项目环境影响评价分类管理名录》（2021年版），该部分属于“五十一、水利—127</w:t>
            </w:r>
            <w:r>
              <w:rPr>
                <w:color w:val="000000"/>
                <w:sz w:val="24"/>
              </w:rPr>
              <w:t xml:space="preserve"> </w:t>
            </w:r>
            <w:r>
              <w:rPr>
                <w:rFonts w:hint="eastAsia"/>
                <w:color w:val="000000"/>
                <w:sz w:val="24"/>
              </w:rPr>
              <w:t>防洪除涝工程，其他（小型沟渠的护坡除外；城镇排涝河流水闸、排涝泵站除外）</w:t>
            </w:r>
            <w:r>
              <w:rPr>
                <w:rFonts w:hint="eastAsia"/>
                <w:color w:val="000000"/>
                <w:sz w:val="24"/>
                <w:lang w:eastAsia="zh-CN"/>
              </w:rPr>
              <w:t>”</w:t>
            </w:r>
            <w:r>
              <w:rPr>
                <w:rFonts w:hint="eastAsia"/>
                <w:color w:val="000000"/>
                <w:sz w:val="24"/>
              </w:rPr>
              <w:t>，应编制报告表。</w:t>
            </w:r>
          </w:p>
          <w:p>
            <w:pPr>
              <w:widowControl/>
              <w:kinsoku w:val="0"/>
              <w:autoSpaceDE w:val="0"/>
              <w:autoSpaceDN w:val="0"/>
              <w:adjustRightInd w:val="0"/>
              <w:spacing w:line="360" w:lineRule="auto"/>
              <w:ind w:firstLine="360" w:firstLineChars="150"/>
              <w:jc w:val="left"/>
              <w:textAlignment w:val="baseline"/>
              <w:rPr>
                <w:color w:val="000000"/>
                <w:sz w:val="24"/>
              </w:rPr>
            </w:pPr>
            <w:r>
              <w:rPr>
                <w:rFonts w:hint="eastAsia"/>
                <w:color w:val="000000"/>
                <w:sz w:val="24"/>
                <w:lang w:eastAsia="zh-CN"/>
              </w:rPr>
              <w:t>沂源县河湖长制保障服务中心为推进五井石河防洪治理工程，特委托山东华诺工程咨询有限公司承担《沂源县五井石河河防洪治理工程环境影响评价报告表》的编制任务。</w:t>
            </w:r>
            <w:r>
              <w:rPr>
                <w:rFonts w:hint="eastAsia"/>
                <w:color w:val="000000"/>
                <w:sz w:val="24"/>
              </w:rPr>
              <w:t>我单位接受委托后，经过现场踏勘，根据建设方、设计方提供的工程设计资料及有关材料，在对项目区域进行环境现状调查的基础上，根据《建设项目环境影响报告表编制技术指南（生态影响类）（试行）》，编制完成本项目环境影响报告表。</w:t>
            </w:r>
          </w:p>
          <w:p>
            <w:pPr>
              <w:pStyle w:val="13"/>
              <w:rPr>
                <w:rFonts w:hint="default"/>
                <w:lang w:val="en-US" w:eastAsia="zh-CN"/>
              </w:rPr>
            </w:pPr>
          </w:p>
        </w:tc>
      </w:tr>
    </w:tbl>
    <w:p>
      <w:pPr>
        <w:snapToGrid/>
        <w:spacing w:beforeAutospacing="0" w:afterAutospacing="0" w:line="360" w:lineRule="auto"/>
        <w:ind w:left="0" w:leftChars="0" w:right="0" w:rightChars="0" w:firstLine="560" w:firstLineChars="200"/>
        <w:jc w:val="left"/>
        <w:outlineLvl w:val="0"/>
        <w:rPr>
          <w:rFonts w:ascii="Times New Roman" w:eastAsia="宋体"/>
          <w:sz w:val="28"/>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1"/>
        <w:snapToGrid/>
        <w:spacing w:before="312" w:beforeLines="100" w:beforeAutospacing="0" w:after="156" w:afterLines="50" w:afterAutospacing="0" w:line="360" w:lineRule="auto"/>
        <w:ind w:left="0" w:leftChars="0" w:right="0" w:rightChars="0" w:firstLine="0" w:firstLineChars="0"/>
        <w:jc w:val="left"/>
        <w:outlineLvl w:val="0"/>
        <w:rPr>
          <w:rFonts w:ascii="Times New Roman" w:hAnsi="黑体" w:eastAsia="宋体"/>
          <w:b/>
          <w:snapToGrid w:val="0"/>
          <w:sz w:val="32"/>
          <w:szCs w:val="30"/>
        </w:rPr>
      </w:pPr>
      <w:r>
        <w:rPr>
          <w:rFonts w:hint="eastAsia" w:ascii="Times New Roman" w:hAnsi="黑体" w:eastAsia="宋体"/>
          <w:b/>
          <w:snapToGrid w:val="0"/>
          <w:sz w:val="32"/>
          <w:szCs w:val="30"/>
        </w:rPr>
        <w:t>二、建设内容</w:t>
      </w:r>
    </w:p>
    <w:tbl>
      <w:tblPr>
        <w:tblStyle w:val="14"/>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81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925"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地理位置</w:t>
            </w:r>
          </w:p>
        </w:tc>
        <w:tc>
          <w:tcPr>
            <w:tcW w:w="8165" w:type="dxa"/>
            <w:noWrap w:val="0"/>
            <w:vAlign w:val="center"/>
          </w:tcPr>
          <w:p>
            <w:pPr>
              <w:bidi w:val="0"/>
              <w:ind w:firstLine="480" w:firstLineChars="200"/>
              <w:rPr>
                <w:rFonts w:hint="eastAsia"/>
                <w:color w:val="FF0000"/>
              </w:rPr>
            </w:pPr>
            <w:r>
              <w:t>本项目</w:t>
            </w:r>
            <w:r>
              <w:rPr>
                <w:rFonts w:hint="eastAsia"/>
              </w:rPr>
              <w:t>整体位于淄博市沂源县南鲁山镇</w:t>
            </w:r>
            <w:r>
              <w:t>（</w:t>
            </w:r>
            <w:r>
              <w:rPr>
                <w:rFonts w:hint="eastAsia"/>
              </w:rPr>
              <w:t>五井石河沂源段</w:t>
            </w:r>
            <w:r>
              <w:t>）</w:t>
            </w:r>
            <w:r>
              <w:rPr>
                <w:rFonts w:hint="eastAsia"/>
              </w:rPr>
              <w:t>。工程起点位于南鲁山镇车场村南桥（桩号44+550），终点为沂源县县界（桩号30+420），流经南鲁山镇1个乡镇</w:t>
            </w:r>
            <w:r>
              <w:rPr>
                <w:rFonts w:hint="eastAsia"/>
                <w:lang w:eastAsia="zh-CN"/>
              </w:rPr>
              <w:t>。</w:t>
            </w:r>
            <w:r>
              <w:rPr>
                <w:rFonts w:hint="eastAsia"/>
              </w:rPr>
              <w:t>五井石河沂源境内全长14.13km，流域面积105.26km</w:t>
            </w:r>
            <w:r>
              <w:rPr>
                <w:rFonts w:hint="eastAsia"/>
                <w:vertAlign w:val="superscript"/>
              </w:rPr>
              <w:t>2</w:t>
            </w:r>
            <w:r>
              <w:rPr>
                <w:rFonts w:hint="eastAsia"/>
              </w:rPr>
              <w:t>。本项目具体地理位置详见</w:t>
            </w:r>
            <w:r>
              <w:rPr>
                <w:rFonts w:hint="eastAsia"/>
                <w:color w:val="auto"/>
                <w:lang w:eastAsia="zh-CN"/>
              </w:rPr>
              <w:t>下图</w:t>
            </w:r>
            <w:r>
              <w:rPr>
                <w:rFonts w:hint="eastAsia"/>
                <w:color w:val="auto"/>
              </w:rPr>
              <w:t>。</w:t>
            </w:r>
          </w:p>
          <w:p>
            <w:pPr>
              <w:bidi w:val="0"/>
              <w:jc w:val="center"/>
              <w:rPr>
                <w:rFonts w:hint="eastAsia" w:ascii="黑体" w:hAnsi="黑体" w:eastAsia="黑体" w:cs="黑体"/>
                <w:spacing w:val="-2"/>
                <w:sz w:val="24"/>
                <w:szCs w:val="24"/>
                <w:lang w:eastAsia="zh-CN"/>
              </w:rPr>
            </w:pPr>
            <w:r>
              <w:rPr>
                <w:rFonts w:hint="eastAsia" w:ascii="黑体" w:hAnsi="黑体" w:eastAsia="黑体" w:cs="黑体"/>
                <w:spacing w:val="-2"/>
                <w:sz w:val="24"/>
                <w:szCs w:val="24"/>
                <w:lang w:eastAsia="zh-CN"/>
              </w:rPr>
              <w:drawing>
                <wp:inline distT="0" distB="0" distL="114300" distR="114300">
                  <wp:extent cx="4820285" cy="3107690"/>
                  <wp:effectExtent l="0" t="0" r="18415" b="16510"/>
                  <wp:docPr id="22" name="图片 22" descr="61f641872e0a62ac33f25fe8afdb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1f641872e0a62ac33f25fe8afdb8aa"/>
                          <pic:cNvPicPr>
                            <a:picLocks noChangeAspect="1"/>
                          </pic:cNvPicPr>
                        </pic:nvPicPr>
                        <pic:blipFill>
                          <a:blip r:embed="rId10"/>
                          <a:stretch>
                            <a:fillRect/>
                          </a:stretch>
                        </pic:blipFill>
                        <pic:spPr>
                          <a:xfrm>
                            <a:off x="0" y="0"/>
                            <a:ext cx="4820285" cy="3107690"/>
                          </a:xfrm>
                          <a:prstGeom prst="rect">
                            <a:avLst/>
                          </a:prstGeom>
                        </pic:spPr>
                      </pic:pic>
                    </a:graphicData>
                  </a:graphic>
                </wp:inline>
              </w:drawing>
            </w:r>
          </w:p>
          <w:p>
            <w:pPr>
              <w:bidi w:val="0"/>
              <w:jc w:val="center"/>
            </w:pPr>
            <w:r>
              <w:rPr>
                <w:rFonts w:hint="eastAsia" w:ascii="Times New Roman" w:hAnsi="Times New Roman" w:eastAsia="宋体" w:cs="Times New Roman"/>
                <w:b/>
                <w:bCs/>
                <w:kern w:val="0"/>
                <w:sz w:val="21"/>
                <w:szCs w:val="21"/>
                <w:lang w:eastAsia="zh-CN"/>
              </w:rPr>
              <w:t>图</w:t>
            </w:r>
            <w:r>
              <w:rPr>
                <w:rFonts w:hint="eastAsia" w:cs="Times New Roman"/>
                <w:b/>
                <w:bCs/>
                <w:kern w:val="0"/>
                <w:sz w:val="21"/>
                <w:szCs w:val="21"/>
                <w:lang w:val="en-US" w:eastAsia="zh-CN"/>
              </w:rPr>
              <w:t>2</w:t>
            </w:r>
            <w:r>
              <w:rPr>
                <w:rFonts w:hint="default" w:ascii="Times New Roman" w:hAnsi="Times New Roman" w:eastAsia="宋体" w:cs="Times New Roman"/>
                <w:b/>
                <w:bCs/>
                <w:kern w:val="0"/>
                <w:sz w:val="21"/>
                <w:szCs w:val="21"/>
              </w:rPr>
              <w:t>-</w:t>
            </w:r>
            <w:r>
              <w:rPr>
                <w:rFonts w:hint="eastAsia" w:ascii="Times New Roman" w:hAnsi="Times New Roman" w:eastAsia="宋体" w:cs="Times New Roman"/>
                <w:b/>
                <w:bCs/>
                <w:kern w:val="0"/>
                <w:sz w:val="21"/>
                <w:szCs w:val="21"/>
                <w:lang w:val="en-US" w:eastAsia="zh-CN"/>
              </w:rPr>
              <w:t>1</w:t>
            </w:r>
            <w:r>
              <w:rPr>
                <w:rFonts w:hint="default" w:ascii="Times New Roman" w:hAnsi="Times New Roman" w:eastAsia="宋体" w:cs="Times New Roman"/>
                <w:b/>
                <w:bCs/>
                <w:kern w:val="0"/>
                <w:sz w:val="21"/>
                <w:szCs w:val="21"/>
              </w:rPr>
              <w:t xml:space="preserve">   </w:t>
            </w:r>
            <w:r>
              <w:rPr>
                <w:rFonts w:hint="eastAsia" w:ascii="Times New Roman" w:hAnsi="Times New Roman" w:eastAsia="宋体" w:cs="Times New Roman"/>
                <w:b/>
                <w:bCs/>
                <w:kern w:val="0"/>
                <w:sz w:val="21"/>
                <w:szCs w:val="21"/>
                <w:lang w:eastAsia="zh-CN"/>
              </w:rPr>
              <w:t>项目</w:t>
            </w:r>
            <w:r>
              <w:rPr>
                <w:rFonts w:hint="eastAsia" w:cs="Times New Roman"/>
                <w:b/>
                <w:bCs/>
                <w:kern w:val="0"/>
                <w:sz w:val="21"/>
                <w:szCs w:val="21"/>
                <w:lang w:eastAsia="zh-CN"/>
              </w:rPr>
              <w:t>地理位置</w:t>
            </w:r>
            <w:r>
              <w:rPr>
                <w:rFonts w:hint="eastAsia" w:ascii="Times New Roman" w:hAnsi="Times New Roman" w:eastAsia="宋体" w:cs="Times New Roman"/>
                <w:b/>
                <w:bCs/>
                <w:kern w:val="0"/>
                <w:sz w:val="21"/>
                <w:szCs w:val="21"/>
                <w:lang w:eastAsia="zh-CN"/>
              </w:rPr>
              <w:t>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925"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项目组成及规模</w:t>
            </w:r>
          </w:p>
        </w:tc>
        <w:tc>
          <w:tcPr>
            <w:tcW w:w="8165" w:type="dxa"/>
            <w:noWrap w:val="0"/>
            <w:vAlign w:val="center"/>
          </w:tcPr>
          <w:p>
            <w:pPr>
              <w:widowControl/>
              <w:kinsoku w:val="0"/>
              <w:autoSpaceDE w:val="0"/>
              <w:autoSpaceDN w:val="0"/>
              <w:adjustRightInd w:val="0"/>
              <w:spacing w:line="360" w:lineRule="auto"/>
              <w:ind w:firstLine="361" w:firstLineChars="150"/>
              <w:jc w:val="left"/>
              <w:textAlignment w:val="baseline"/>
              <w:rPr>
                <w:b/>
                <w:bCs/>
                <w:color w:val="auto"/>
                <w:sz w:val="24"/>
                <w:shd w:val="clear" w:color="auto" w:fill="auto"/>
              </w:rPr>
            </w:pPr>
            <w:r>
              <w:rPr>
                <w:rFonts w:hint="eastAsia"/>
                <w:b/>
                <w:bCs/>
                <w:color w:val="auto"/>
                <w:sz w:val="24"/>
              </w:rPr>
              <w:t>一</w:t>
            </w:r>
            <w:r>
              <w:rPr>
                <w:rFonts w:hint="eastAsia"/>
                <w:b/>
                <w:bCs/>
                <w:color w:val="auto"/>
                <w:sz w:val="24"/>
                <w:shd w:val="clear" w:color="auto" w:fill="auto"/>
              </w:rPr>
              <w:t>、项目背景</w:t>
            </w:r>
          </w:p>
          <w:p>
            <w:pPr>
              <w:bidi w:val="0"/>
              <w:ind w:firstLine="488" w:firstLineChars="200"/>
              <w:rPr>
                <w:rFonts w:hint="eastAsia"/>
                <w:snapToGrid w:val="0"/>
                <w:color w:val="000000"/>
                <w:spacing w:val="2"/>
                <w:kern w:val="0"/>
                <w:lang w:eastAsia="zh-CN"/>
              </w:rPr>
            </w:pPr>
            <w:r>
              <w:rPr>
                <w:rFonts w:hint="eastAsia"/>
                <w:snapToGrid w:val="0"/>
                <w:color w:val="000000"/>
                <w:spacing w:val="2"/>
                <w:kern w:val="0"/>
                <w:lang w:eastAsia="zh-CN"/>
              </w:rPr>
              <w:t>沂源县地势较高，无客水流过。有河谷1600余条，共建成各类水库125座，塘坝372座。沂河、弥河、汶河均发源于境内，形成3条水系，以沂河水系最大，属淮河流域。沂河水系主要河流是沂河，主河道由田庄水库流向东南，从韩旺乡西南部流出县境，境内长84.6km。它的主要支流有石沟河、仁里庄河、十八转河、儒林集河、悦庄河等河流。汶河水系在沂源县境内的主要支流有丈八丘河、黄庄河、新汶河，分别流入莱芜市和新泰市。弥河水系在沂源县境内主要支流有五井石河、两县河、三岔河，流入临朐县。</w:t>
            </w:r>
          </w:p>
          <w:p>
            <w:pPr>
              <w:bidi w:val="0"/>
              <w:ind w:firstLine="488" w:firstLineChars="200"/>
              <w:rPr>
                <w:rFonts w:hint="eastAsia"/>
                <w:snapToGrid w:val="0"/>
                <w:color w:val="000000"/>
                <w:spacing w:val="2"/>
                <w:kern w:val="0"/>
                <w:lang w:eastAsia="zh-CN"/>
              </w:rPr>
            </w:pPr>
            <w:r>
              <w:rPr>
                <w:rFonts w:hint="eastAsia"/>
                <w:snapToGrid w:val="0"/>
                <w:color w:val="000000"/>
                <w:spacing w:val="2"/>
                <w:kern w:val="0"/>
                <w:lang w:eastAsia="zh-CN"/>
              </w:rPr>
              <w:t>五井石河亦称小石河，为弥河一级支流，起源于沂源县南鲁山镇车场村，中途流入潍坊市临朐县五井镇嵩山水库，最终流入潍坊市冶源镇弥河。本项目五井石河沂源段起点为沂源县南鲁山镇车场村，终点为沂源县县界，流经南鲁山镇1个乡镇。</w:t>
            </w:r>
          </w:p>
          <w:p>
            <w:pPr>
              <w:bidi w:val="0"/>
              <w:ind w:firstLine="488" w:firstLineChars="200"/>
              <w:rPr>
                <w:rFonts w:hint="eastAsia" w:eastAsia="宋体"/>
                <w:color w:val="FF0000"/>
                <w:sz w:val="24"/>
                <w:shd w:val="clear" w:color="auto" w:fill="auto"/>
                <w:lang w:eastAsia="zh-CN"/>
              </w:rPr>
            </w:pPr>
            <w:r>
              <w:rPr>
                <w:rFonts w:hint="eastAsia"/>
                <w:snapToGrid w:val="0"/>
                <w:color w:val="000000"/>
                <w:spacing w:val="2"/>
                <w:kern w:val="0"/>
                <w:lang w:eastAsia="zh-CN"/>
              </w:rPr>
              <w:t>五井石河沂源境内全长14.13km，流域面积105.26km</w:t>
            </w:r>
            <w:r>
              <w:rPr>
                <w:rFonts w:hint="eastAsia"/>
                <w:snapToGrid w:val="0"/>
                <w:color w:val="000000"/>
                <w:spacing w:val="2"/>
                <w:kern w:val="0"/>
                <w:vertAlign w:val="superscript"/>
                <w:lang w:eastAsia="zh-CN"/>
              </w:rPr>
              <w:t>2</w:t>
            </w:r>
            <w:r>
              <w:rPr>
                <w:rFonts w:hint="eastAsia"/>
                <w:snapToGrid w:val="0"/>
                <w:color w:val="000000"/>
                <w:spacing w:val="2"/>
                <w:kern w:val="0"/>
                <w:vertAlign w:val="baseline"/>
                <w:lang w:eastAsia="zh-CN"/>
              </w:rPr>
              <w:t>，东北流向，全长35.5</w:t>
            </w:r>
            <w:r>
              <w:rPr>
                <w:rFonts w:hint="eastAsia"/>
                <w:snapToGrid w:val="0"/>
                <w:color w:val="000000"/>
                <w:spacing w:val="2"/>
                <w:kern w:val="0"/>
                <w:lang w:eastAsia="zh-CN"/>
              </w:rPr>
              <w:t>km</w:t>
            </w:r>
            <w:r>
              <w:rPr>
                <w:rFonts w:hint="eastAsia"/>
                <w:snapToGrid w:val="0"/>
                <w:color w:val="000000"/>
                <w:spacing w:val="2"/>
                <w:kern w:val="0"/>
                <w:vertAlign w:val="baseline"/>
                <w:lang w:eastAsia="zh-CN"/>
              </w:rPr>
              <w:t>，流域面积264.2km</w:t>
            </w:r>
            <w:r>
              <w:rPr>
                <w:rFonts w:hint="eastAsia"/>
                <w:snapToGrid w:val="0"/>
                <w:color w:val="000000"/>
                <w:spacing w:val="2"/>
                <w:kern w:val="0"/>
                <w:vertAlign w:val="superscript"/>
                <w:lang w:eastAsia="zh-CN"/>
              </w:rPr>
              <w:t>2</w:t>
            </w:r>
            <w:r>
              <w:rPr>
                <w:rFonts w:hint="eastAsia"/>
                <w:snapToGrid w:val="0"/>
                <w:color w:val="000000"/>
                <w:spacing w:val="2"/>
                <w:kern w:val="0"/>
                <w:vertAlign w:val="baseline"/>
                <w:lang w:eastAsia="zh-CN"/>
              </w:rPr>
              <w:t>，河道平均比降13.6/1000。</w:t>
            </w:r>
            <w:r>
              <w:rPr>
                <w:rFonts w:hint="eastAsia"/>
                <w:color w:val="auto"/>
                <w:sz w:val="24"/>
              </w:rPr>
              <w:t>河道弯曲多变，长期运行，冲刷较为严重，河底基岩裸露。五井石河河道两岸主要为自然河堤，树木茂密，沿途村庄不断侵占河道，违法开采、设障、缩河造地现象增多，人为缩小了河道行洪断面，部分河段的滩地被围垦，严重阻碍了河道正常行洪。同时，沿河两岸倾倒建筑生活垃圾，间接造成了河道淤积。五井石河沂源治理段山区，降水量主要集中在汛期，历时短、降雨量大；山区坡陡流急，极易形成山洪，特别是近年来极端天气事件增多，经常发生集中暴雨，造成比较严重的山洪灾害</w:t>
            </w:r>
            <w:r>
              <w:rPr>
                <w:rFonts w:hint="eastAsia"/>
                <w:color w:val="auto"/>
                <w:sz w:val="24"/>
                <w:lang w:eastAsia="zh-CN"/>
              </w:rPr>
              <w:t>。在保证河道防洪能力的前提下，通过建设拦砂坎，稳定河势，涵养水土资源，改善河道的生态功能，为生物多样性提供栖息场所。因此五井石河防洪治理工程是十分必要的。</w:t>
            </w:r>
          </w:p>
          <w:p>
            <w:pPr>
              <w:widowControl/>
              <w:kinsoku w:val="0"/>
              <w:autoSpaceDE w:val="0"/>
              <w:autoSpaceDN w:val="0"/>
              <w:adjustRightInd w:val="0"/>
              <w:spacing w:line="360" w:lineRule="auto"/>
              <w:ind w:firstLine="361" w:firstLineChars="150"/>
              <w:jc w:val="left"/>
              <w:textAlignment w:val="baseline"/>
              <w:rPr>
                <w:b/>
                <w:bCs/>
                <w:color w:val="auto"/>
                <w:sz w:val="24"/>
              </w:rPr>
            </w:pPr>
            <w:r>
              <w:rPr>
                <w:rFonts w:hint="eastAsia"/>
                <w:b/>
                <w:bCs/>
                <w:color w:val="auto"/>
                <w:sz w:val="24"/>
                <w:lang w:val="en-US" w:eastAsia="zh-CN"/>
              </w:rPr>
              <w:t>二</w:t>
            </w:r>
            <w:r>
              <w:rPr>
                <w:rFonts w:hint="eastAsia"/>
                <w:b/>
                <w:bCs/>
                <w:color w:val="auto"/>
                <w:sz w:val="24"/>
              </w:rPr>
              <w:t>、建设内容</w:t>
            </w:r>
          </w:p>
          <w:p>
            <w:pPr>
              <w:bidi w:val="0"/>
              <w:ind w:firstLine="480" w:firstLineChars="200"/>
              <w:rPr>
                <w:rFonts w:hint="eastAsia"/>
                <w:lang w:eastAsia="zh-CN"/>
              </w:rPr>
            </w:pPr>
            <w:r>
              <w:rPr>
                <w:rFonts w:hint="eastAsia"/>
              </w:rPr>
              <w:t>项目主要建设内容包括河道清淤扩挖工程、河道护砌工程、拦蓄建筑物工程、桥梁工程及信息化工程</w:t>
            </w:r>
            <w:r>
              <w:rPr>
                <w:rFonts w:hint="eastAsia"/>
                <w:lang w:eastAsia="zh-CN"/>
              </w:rPr>
              <w:t>。本工程占地63.77hm²，其中永久占地62.17m²，包括河道工程用地、建筑物用地等。临时占地1.60hm²，包括施工便道用地、表土临时堆放、施工生产生活区用地等。永久占地在河道管理范围内，临时占地为新增占地。工程占地类型包括草地1.60hm²、水域及水利设施用地（水工建筑物用地）9.60hm²、水域及水利设施用地（沟渠）52.57hm²。主要为：</w:t>
            </w:r>
          </w:p>
          <w:p>
            <w:pPr>
              <w:numPr>
                <w:ilvl w:val="0"/>
                <w:numId w:val="1"/>
              </w:numPr>
              <w:bidi w:val="0"/>
              <w:ind w:firstLine="480" w:firstLineChars="200"/>
              <w:rPr>
                <w:rFonts w:hint="eastAsia"/>
              </w:rPr>
            </w:pPr>
            <w:r>
              <w:rPr>
                <w:rFonts w:hint="eastAsia"/>
              </w:rPr>
              <w:t>河道清淤扩挖工程：对南鲁山镇车场村南桥（桩号44+550）至沂源县县界（桩号30+420）段长14.13km范围内淤积堆积严重的河道进行疏浚清障。河道设计底宽为5-129m，设计河底纵比降0.0022-0.0526。河道采用梯形断面和矩形断面，河道岸坡迎水侧设计边坡为1:2.0/直立，岸坡背水侧设计边坡为1:2.0；</w:t>
            </w:r>
          </w:p>
          <w:p>
            <w:pPr>
              <w:numPr>
                <w:ilvl w:val="0"/>
                <w:numId w:val="1"/>
              </w:numPr>
              <w:bidi w:val="0"/>
              <w:ind w:firstLine="480" w:firstLineChars="200"/>
              <w:rPr>
                <w:rFonts w:hint="eastAsia" w:ascii="Times New Roman" w:hAnsi="Times New Roman" w:cs="Times New Roman"/>
              </w:rPr>
            </w:pPr>
            <w:r>
              <w:rPr>
                <w:rFonts w:hint="eastAsia"/>
              </w:rPr>
              <w:t>河道护砌工程：本工程选取河道窄岸及临近居民区等险工河段进行护砌；其余凹岸等险工河段待资金充足时，再进行护砌，本次仅对该类凹岸、陡岸等险工河段疏挖河底。本工程共防护岸坡长度为4.94km。其中，原护岸加格宾石笼护脚0.59km，拆除干垒石墙49m，新建浆砌石险工护岸0.68km</w:t>
            </w:r>
            <w:r>
              <w:rPr>
                <w:rFonts w:hint="eastAsia"/>
                <w:lang w:eastAsia="zh-CN"/>
              </w:rPr>
              <w:t>，</w:t>
            </w:r>
            <w:r>
              <w:rPr>
                <w:rFonts w:hint="eastAsia"/>
              </w:rPr>
              <w:t>新建格宾石笼险工护岸3.67km。拦沙坎型式均采用埋石砼拦砂坎；</w:t>
            </w:r>
          </w:p>
          <w:p>
            <w:pPr>
              <w:numPr>
                <w:ilvl w:val="0"/>
                <w:numId w:val="1"/>
              </w:numPr>
              <w:bidi w:val="0"/>
              <w:ind w:firstLine="480" w:firstLineChars="200"/>
              <w:rPr>
                <w:rFonts w:hint="eastAsia" w:ascii="Times New Roman" w:hAnsi="Times New Roman" w:cs="Times New Roman"/>
              </w:rPr>
            </w:pPr>
            <w:r>
              <w:rPr>
                <w:rFonts w:hint="eastAsia"/>
              </w:rPr>
              <w:t>拦蓄建筑物工程：本项目</w:t>
            </w:r>
            <w:r>
              <w:rPr>
                <w:rFonts w:hint="eastAsia"/>
                <w:lang w:eastAsia="zh-CN"/>
              </w:rPr>
              <w:t>共</w:t>
            </w:r>
            <w:r>
              <w:rPr>
                <w:rFonts w:hint="eastAsia"/>
              </w:rPr>
              <w:t>设计新建拦沙坎7座（31+055、32+932、33+391、33+970、38+670、42+020、42+150），拆除坎体8座（35+863、36+520、38+795、38+863、39+130、39+220、39+270、39+417），改造1座（36+130）</w:t>
            </w:r>
            <w:r>
              <w:rPr>
                <w:rFonts w:hint="eastAsia"/>
                <w:lang w:eastAsia="zh-CN"/>
              </w:rPr>
              <w:t>，</w:t>
            </w:r>
            <w:r>
              <w:rPr>
                <w:rFonts w:hint="eastAsia"/>
              </w:rPr>
              <w:t>维修2座（38+981、39+520）；</w:t>
            </w:r>
          </w:p>
          <w:p>
            <w:pPr>
              <w:numPr>
                <w:ilvl w:val="0"/>
                <w:numId w:val="1"/>
              </w:numPr>
              <w:bidi w:val="0"/>
              <w:ind w:firstLine="480" w:firstLineChars="200"/>
              <w:rPr>
                <w:rFonts w:hint="eastAsia"/>
              </w:rPr>
            </w:pPr>
            <w:r>
              <w:rPr>
                <w:rFonts w:hint="eastAsia"/>
              </w:rPr>
              <w:t>桥梁工程：新建桩基桥1座（32+884），拆除重建箱涵桥4座（39+070、41+005、43+220、43+800），桥面加宽一座（39+620），桥下防护1处</w:t>
            </w:r>
            <w:r>
              <w:rPr>
                <w:rFonts w:hint="eastAsia"/>
                <w:lang w:eastAsia="zh-CN"/>
              </w:rPr>
              <w:t>（</w:t>
            </w:r>
            <w:r>
              <w:rPr>
                <w:rFonts w:hint="eastAsia"/>
              </w:rPr>
              <w:t>32+090</w:t>
            </w:r>
            <w:r>
              <w:rPr>
                <w:rFonts w:hint="eastAsia"/>
                <w:lang w:eastAsia="zh-CN"/>
              </w:rPr>
              <w:t>）</w:t>
            </w:r>
            <w:r>
              <w:rPr>
                <w:rFonts w:hint="eastAsia"/>
              </w:rPr>
              <w:t>；</w:t>
            </w:r>
          </w:p>
          <w:p>
            <w:pPr>
              <w:numPr>
                <w:ilvl w:val="0"/>
                <w:numId w:val="0"/>
              </w:numPr>
              <w:bidi w:val="0"/>
              <w:ind w:firstLine="480" w:firstLineChars="200"/>
              <w:rPr>
                <w:rFonts w:hint="eastAsia" w:ascii="Times New Roman" w:hAnsi="Times New Roman" w:cs="Times New Roman"/>
              </w:rPr>
            </w:pPr>
            <w:r>
              <w:rPr>
                <w:rFonts w:hint="eastAsia" w:cs="Times New Roman"/>
                <w:kern w:val="2"/>
                <w:sz w:val="24"/>
                <w:szCs w:val="24"/>
                <w:lang w:val="en-US" w:eastAsia="zh-CN" w:bidi="ar-SA"/>
              </w:rPr>
              <w:t>（5</w:t>
            </w:r>
            <w:r>
              <w:rPr>
                <w:rFonts w:hint="eastAsia" w:ascii="Times New Roman" w:hAnsi="Times New Roman" w:eastAsia="宋体" w:cs="Times New Roman"/>
                <w:kern w:val="2"/>
                <w:sz w:val="24"/>
                <w:szCs w:val="24"/>
                <w:lang w:val="en-US" w:eastAsia="zh-CN" w:bidi="ar-SA"/>
              </w:rPr>
              <w:t>）</w:t>
            </w:r>
            <w:r>
              <w:rPr>
                <w:rFonts w:hint="eastAsia"/>
              </w:rPr>
              <w:t>信息化工程：</w:t>
            </w:r>
            <w:r>
              <w:rPr>
                <w:rFonts w:hint="eastAsia" w:ascii="Times New Roman" w:hAnsi="Times New Roman" w:cs="Times New Roman"/>
              </w:rPr>
              <w:t>在治理范围内新设10处视频监视点，5处水位监视点，1处流量监测点。</w:t>
            </w:r>
          </w:p>
          <w:p>
            <w:pPr>
              <w:bidi w:val="0"/>
              <w:ind w:firstLine="480" w:firstLineChars="200"/>
              <w:rPr>
                <w:rFonts w:hint="eastAsia"/>
              </w:rPr>
            </w:pPr>
            <w:r>
              <w:rPr>
                <w:rFonts w:hint="eastAsia"/>
              </w:rPr>
              <w:t>内建筑物工程级别。具体建筑物级别为：</w:t>
            </w:r>
          </w:p>
          <w:p>
            <w:pPr>
              <w:bidi w:val="0"/>
              <w:ind w:firstLine="480" w:firstLineChars="200"/>
              <w:rPr>
                <w:rFonts w:hint="eastAsia"/>
              </w:rPr>
            </w:pPr>
            <w:r>
              <w:rPr>
                <w:rFonts w:hint="eastAsia"/>
              </w:rPr>
              <w:t>（1）河道护砌工程及挡墙级别为4级；</w:t>
            </w:r>
          </w:p>
          <w:p>
            <w:pPr>
              <w:bidi w:val="0"/>
              <w:ind w:firstLine="480" w:firstLineChars="200"/>
              <w:rPr>
                <w:rFonts w:hint="eastAsia"/>
              </w:rPr>
            </w:pPr>
            <w:r>
              <w:rPr>
                <w:rFonts w:hint="eastAsia"/>
              </w:rPr>
              <w:t>（2）拦蓄建筑物工程级别</w:t>
            </w:r>
            <w:r>
              <w:rPr>
                <w:rFonts w:hint="eastAsia"/>
                <w:color w:val="auto"/>
              </w:rPr>
              <w:t>均为</w:t>
            </w:r>
            <w:r>
              <w:rPr>
                <w:rFonts w:hint="eastAsia"/>
                <w:color w:val="auto"/>
                <w:lang w:val="en-US" w:eastAsia="zh-CN"/>
              </w:rPr>
              <w:t>5</w:t>
            </w:r>
            <w:r>
              <w:rPr>
                <w:rFonts w:hint="eastAsia"/>
                <w:color w:val="auto"/>
              </w:rPr>
              <w:t>级；</w:t>
            </w:r>
          </w:p>
          <w:p>
            <w:pPr>
              <w:bidi w:val="0"/>
              <w:ind w:firstLine="480" w:firstLineChars="200"/>
              <w:rPr>
                <w:rFonts w:hint="eastAsia"/>
              </w:rPr>
            </w:pPr>
            <w:r>
              <w:rPr>
                <w:rFonts w:hint="eastAsia"/>
              </w:rPr>
              <w:t>（3）桥梁工程级别</w:t>
            </w:r>
          </w:p>
          <w:p>
            <w:pPr>
              <w:bidi w:val="0"/>
              <w:ind w:firstLine="480" w:firstLineChars="200"/>
              <w:rPr>
                <w:rFonts w:hint="eastAsia"/>
              </w:rPr>
            </w:pPr>
            <w:r>
              <w:rPr>
                <w:rFonts w:hint="eastAsia"/>
              </w:rPr>
              <w:t>本次治理范围内涉及的桥梁工程包括新建三岔桥（32+884桩基桥）1座，拆除重建箱涵桥4座（39+070、41+005、43+220、43+800），桥面加宽一座（39+620），桥下防护1处</w:t>
            </w:r>
            <w:r>
              <w:rPr>
                <w:rFonts w:hint="eastAsia"/>
                <w:lang w:eastAsia="zh-CN"/>
              </w:rPr>
              <w:t>（</w:t>
            </w:r>
            <w:r>
              <w:rPr>
                <w:rFonts w:hint="eastAsia"/>
              </w:rPr>
              <w:t>32+090</w:t>
            </w:r>
            <w:r>
              <w:rPr>
                <w:rFonts w:hint="eastAsia"/>
                <w:lang w:eastAsia="zh-CN"/>
              </w:rPr>
              <w:t>）</w:t>
            </w:r>
            <w:r>
              <w:rPr>
                <w:rFonts w:hint="eastAsia"/>
              </w:rPr>
              <w:t>，桥梁防洪标准</w:t>
            </w:r>
            <w:r>
              <w:rPr>
                <w:rFonts w:hint="eastAsia"/>
                <w:lang w:val="en-US" w:eastAsia="zh-CN"/>
              </w:rPr>
              <w:t>50</w:t>
            </w:r>
            <w:r>
              <w:rPr>
                <w:rFonts w:hint="eastAsia"/>
              </w:rPr>
              <w:t>年一遇。</w:t>
            </w:r>
          </w:p>
          <w:p>
            <w:pPr>
              <w:bidi w:val="0"/>
              <w:ind w:firstLine="480" w:firstLineChars="200"/>
              <w:rPr>
                <w:rFonts w:hint="eastAsia"/>
              </w:rPr>
            </w:pPr>
            <w:r>
              <w:rPr>
                <w:rFonts w:hint="eastAsia"/>
              </w:rPr>
              <w:t>（4）桥梁所处道路</w:t>
            </w:r>
          </w:p>
          <w:p>
            <w:pPr>
              <w:bidi w:val="0"/>
              <w:ind w:firstLine="480" w:firstLineChars="200"/>
              <w:rPr>
                <w:rFonts w:hint="eastAsia"/>
                <w:lang w:eastAsia="zh-CN"/>
              </w:rPr>
            </w:pPr>
            <w:r>
              <w:rPr>
                <w:rFonts w:hint="eastAsia"/>
              </w:rPr>
              <w:t>道路等级：桥梁所处道路参照四级公路考虑</w:t>
            </w:r>
            <w:r>
              <w:rPr>
                <w:rFonts w:hint="eastAsia"/>
                <w:lang w:eastAsia="zh-CN"/>
              </w:rPr>
              <w:t>。</w:t>
            </w:r>
          </w:p>
          <w:p>
            <w:pPr>
              <w:bidi w:val="0"/>
              <w:ind w:firstLine="480" w:firstLineChars="200"/>
              <w:rPr>
                <w:rFonts w:hint="eastAsia"/>
              </w:rPr>
            </w:pPr>
            <w:r>
              <w:rPr>
                <w:rFonts w:hint="eastAsia"/>
              </w:rPr>
              <w:t>设计车速：20km/h。</w:t>
            </w:r>
          </w:p>
          <w:p>
            <w:pPr>
              <w:bidi w:val="0"/>
              <w:ind w:firstLine="480" w:firstLineChars="200"/>
              <w:rPr>
                <w:rFonts w:hint="eastAsia"/>
              </w:rPr>
            </w:pPr>
            <w:r>
              <w:rPr>
                <w:rFonts w:hint="eastAsia"/>
              </w:rPr>
              <w:t>（</w:t>
            </w:r>
            <w:r>
              <w:rPr>
                <w:rFonts w:hint="eastAsia"/>
                <w:lang w:val="en-US" w:eastAsia="zh-CN"/>
              </w:rPr>
              <w:t>5</w:t>
            </w:r>
            <w:r>
              <w:rPr>
                <w:rFonts w:hint="eastAsia"/>
              </w:rPr>
              <w:t>）其他施工等临时建筑物级别为5级。</w:t>
            </w:r>
          </w:p>
          <w:p>
            <w:pPr>
              <w:numPr>
                <w:ilvl w:val="0"/>
                <w:numId w:val="0"/>
              </w:numPr>
              <w:autoSpaceDE w:val="0"/>
              <w:autoSpaceDN w:val="0"/>
              <w:adjustRightInd w:val="0"/>
              <w:snapToGrid w:val="0"/>
              <w:jc w:val="center"/>
              <w:rPr>
                <w:rFonts w:hint="eastAsia" w:ascii="Times New Roman" w:hAnsi="Times New Roman" w:eastAsia="宋体" w:cs="Times New Roman"/>
                <w:b/>
                <w:bCs/>
                <w:color w:val="auto"/>
                <w:kern w:val="0"/>
                <w:sz w:val="21"/>
                <w:szCs w:val="21"/>
                <w:lang w:val="en-US" w:eastAsia="en-US"/>
              </w:rPr>
            </w:pPr>
            <w:r>
              <w:rPr>
                <w:rFonts w:hint="eastAsia" w:ascii="Times New Roman" w:hAnsi="Times New Roman" w:eastAsia="宋体" w:cs="Times New Roman"/>
                <w:b/>
                <w:bCs/>
                <w:color w:val="auto"/>
                <w:kern w:val="0"/>
                <w:sz w:val="21"/>
                <w:szCs w:val="21"/>
                <w:lang w:val="en-US" w:eastAsia="en-US"/>
              </w:rPr>
              <w:t>表</w:t>
            </w:r>
            <w:r>
              <w:rPr>
                <w:rFonts w:hint="eastAsia" w:ascii="Times New Roman" w:hAnsi="Times New Roman" w:eastAsia="宋体" w:cs="Times New Roman"/>
                <w:b/>
                <w:bCs/>
                <w:color w:val="auto"/>
                <w:kern w:val="0"/>
                <w:sz w:val="21"/>
                <w:szCs w:val="21"/>
                <w:lang w:val="en-US" w:eastAsia="zh-CN"/>
              </w:rPr>
              <w:t>2-1</w:t>
            </w:r>
            <w:r>
              <w:rPr>
                <w:rFonts w:hint="eastAsia" w:ascii="Times New Roman" w:hAnsi="Times New Roman" w:eastAsia="宋体" w:cs="Times New Roman"/>
                <w:b/>
                <w:bCs/>
                <w:color w:val="auto"/>
                <w:kern w:val="0"/>
                <w:sz w:val="21"/>
                <w:szCs w:val="21"/>
                <w:lang w:val="en-US" w:eastAsia="en-US"/>
              </w:rPr>
              <w:t xml:space="preserve">     本项目组成一览表</w:t>
            </w:r>
          </w:p>
          <w:tbl>
            <w:tblPr>
              <w:tblStyle w:val="36"/>
              <w:tblW w:w="7836"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95"/>
              <w:gridCol w:w="857"/>
              <w:gridCol w:w="882"/>
              <w:gridCol w:w="948"/>
              <w:gridCol w:w="3641"/>
              <w:gridCol w:w="11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39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序号</w:t>
                  </w:r>
                </w:p>
              </w:tc>
              <w:tc>
                <w:tcPr>
                  <w:tcW w:w="857"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工程</w:t>
                  </w:r>
                </w:p>
              </w:tc>
              <w:tc>
                <w:tcPr>
                  <w:tcW w:w="1830" w:type="dxa"/>
                  <w:gridSpan w:val="2"/>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工程名称</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工程内容</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395" w:type="dxa"/>
                  <w:vMerge w:val="restart"/>
                  <w:tcBorders>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w:t>
                  </w:r>
                </w:p>
              </w:tc>
              <w:tc>
                <w:tcPr>
                  <w:tcW w:w="857" w:type="dxa"/>
                  <w:vMerge w:val="restart"/>
                  <w:tcBorders>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主体工程</w:t>
                  </w:r>
                </w:p>
              </w:tc>
              <w:tc>
                <w:tcPr>
                  <w:tcW w:w="1830" w:type="dxa"/>
                  <w:gridSpan w:val="2"/>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河道工程</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清淤疏浚长度14.13km</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 w:hRule="atLeast"/>
              </w:trPr>
              <w:tc>
                <w:tcPr>
                  <w:tcW w:w="395" w:type="dxa"/>
                  <w:vMerge w:val="continue"/>
                  <w:tcBorders>
                    <w:top w:val="nil"/>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857" w:type="dxa"/>
                  <w:vMerge w:val="continue"/>
                  <w:tcBorders>
                    <w:top w:val="nil"/>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1830" w:type="dxa"/>
                  <w:gridSpan w:val="2"/>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护岸工程</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原护岸加格宾石笼护脚0.59km，拆除干</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垒石墙49m，新建浆砌石险工护岸0.68</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km</w:t>
                  </w:r>
                  <w:r>
                    <w:rPr>
                      <w:rFonts w:hint="eastAsia" w:cs="Times New Roman"/>
                      <w:b w:val="0"/>
                      <w:bCs/>
                      <w:kern w:val="0"/>
                      <w:sz w:val="21"/>
                      <w:szCs w:val="21"/>
                      <w:lang w:val="en-US" w:eastAsia="zh-CN" w:bidi="en-US"/>
                    </w:rPr>
                    <w:t>，</w:t>
                  </w:r>
                  <w:r>
                    <w:rPr>
                      <w:rFonts w:hint="eastAsia" w:ascii="Times New Roman" w:hAnsi="Times New Roman" w:eastAsia="宋体" w:cs="Times New Roman"/>
                      <w:b w:val="0"/>
                      <w:bCs/>
                      <w:kern w:val="0"/>
                      <w:sz w:val="21"/>
                      <w:szCs w:val="21"/>
                      <w:lang w:val="en-US" w:eastAsia="zh-CN" w:bidi="en-US"/>
                    </w:rPr>
                    <w:t>新建格宾石笼险工护岸3.67km</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395" w:type="dxa"/>
                  <w:vMerge w:val="continue"/>
                  <w:tcBorders>
                    <w:top w:val="nil"/>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857" w:type="dxa"/>
                  <w:vMerge w:val="continue"/>
                  <w:tcBorders>
                    <w:top w:val="nil"/>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882" w:type="dxa"/>
                  <w:vMerge w:val="restart"/>
                  <w:tcBorders>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建筑物工程</w:t>
                  </w:r>
                </w:p>
              </w:tc>
              <w:tc>
                <w:tcPr>
                  <w:tcW w:w="948"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桥梁工程</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新建</w:t>
                  </w:r>
                  <w:r>
                    <w:rPr>
                      <w:rFonts w:hint="eastAsia" w:cs="Times New Roman"/>
                      <w:b w:val="0"/>
                      <w:bCs/>
                      <w:kern w:val="0"/>
                      <w:sz w:val="21"/>
                      <w:szCs w:val="21"/>
                      <w:lang w:val="en-US" w:eastAsia="zh-CN" w:bidi="en-US"/>
                    </w:rPr>
                    <w:t>三岔桥（32+884桩基桥）</w:t>
                  </w:r>
                  <w:r>
                    <w:rPr>
                      <w:rFonts w:hint="eastAsia" w:ascii="Times New Roman" w:hAnsi="Times New Roman" w:eastAsia="宋体" w:cs="Times New Roman"/>
                      <w:b w:val="0"/>
                      <w:bCs/>
                      <w:kern w:val="0"/>
                      <w:sz w:val="21"/>
                      <w:szCs w:val="21"/>
                      <w:lang w:val="en-US" w:eastAsia="zh-CN" w:bidi="en-US"/>
                    </w:rPr>
                    <w:t>1座，</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拆除重建箱涵桥4座（39+070、41+005、43+220、43+800），桥面加宽一座（39+620），桥下防护1处</w:t>
                  </w:r>
                  <w:r>
                    <w:rPr>
                      <w:rFonts w:hint="eastAsia" w:cs="Times New Roman"/>
                      <w:b w:val="0"/>
                      <w:bCs/>
                      <w:kern w:val="0"/>
                      <w:sz w:val="21"/>
                      <w:szCs w:val="21"/>
                      <w:lang w:val="en-US" w:eastAsia="zh-CN" w:bidi="en-US"/>
                    </w:rPr>
                    <w:t>（</w:t>
                  </w:r>
                  <w:r>
                    <w:rPr>
                      <w:rFonts w:hint="eastAsia" w:ascii="Times New Roman" w:hAnsi="Times New Roman" w:eastAsia="宋体" w:cs="Times New Roman"/>
                      <w:b w:val="0"/>
                      <w:bCs/>
                      <w:kern w:val="0"/>
                      <w:sz w:val="21"/>
                      <w:szCs w:val="21"/>
                      <w:lang w:val="en-US" w:eastAsia="zh-CN" w:bidi="en-US"/>
                    </w:rPr>
                    <w:t>32+090</w:t>
                  </w:r>
                  <w:r>
                    <w:rPr>
                      <w:rFonts w:hint="eastAsia" w:cs="Times New Roman"/>
                      <w:b w:val="0"/>
                      <w:bCs/>
                      <w:kern w:val="0"/>
                      <w:sz w:val="21"/>
                      <w:szCs w:val="21"/>
                      <w:lang w:val="en-US" w:eastAsia="zh-CN" w:bidi="en-US"/>
                    </w:rPr>
                    <w:t>）</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color w:val="auto"/>
                      <w:kern w:val="0"/>
                      <w:sz w:val="21"/>
                      <w:szCs w:val="21"/>
                      <w:lang w:val="en-US" w:eastAsia="zh-CN" w:bidi="en-US"/>
                    </w:rPr>
                  </w:pPr>
                  <w:r>
                    <w:rPr>
                      <w:rFonts w:hint="eastAsia" w:ascii="Times New Roman" w:hAnsi="Times New Roman" w:eastAsia="宋体" w:cs="Times New Roman"/>
                      <w:b w:val="0"/>
                      <w:bCs/>
                      <w:color w:val="auto"/>
                      <w:kern w:val="0"/>
                      <w:sz w:val="21"/>
                      <w:szCs w:val="21"/>
                      <w:lang w:val="en-US" w:eastAsia="zh-CN" w:bidi="en-US"/>
                    </w:rPr>
                    <w:t>荷载等级参照公路</w:t>
                  </w:r>
                  <w:r>
                    <w:rPr>
                      <w:rFonts w:hint="eastAsia" w:cs="Times New Roman"/>
                      <w:b w:val="0"/>
                      <w:bCs/>
                      <w:color w:val="auto"/>
                      <w:kern w:val="0"/>
                      <w:sz w:val="21"/>
                      <w:szCs w:val="21"/>
                      <w:lang w:val="en-US" w:eastAsia="zh-CN" w:bidi="en-US"/>
                    </w:rPr>
                    <w:t>－</w:t>
                  </w:r>
                  <w:r>
                    <w:rPr>
                      <w:rFonts w:hint="eastAsia" w:ascii="Times New Roman" w:hAnsi="Times New Roman" w:eastAsia="宋体" w:cs="Times New Roman"/>
                      <w:b w:val="0"/>
                      <w:bCs/>
                      <w:color w:val="auto"/>
                      <w:kern w:val="0"/>
                      <w:sz w:val="21"/>
                      <w:szCs w:val="21"/>
                      <w:lang w:val="en-US" w:eastAsia="zh-CN" w:bidi="en-US"/>
                    </w:rPr>
                    <w:t>Ⅱ级</w:t>
                  </w:r>
                  <w:r>
                    <w:rPr>
                      <w:rFonts w:hint="eastAsia" w:cs="Times New Roman"/>
                      <w:b w:val="0"/>
                      <w:bCs/>
                      <w:color w:val="auto"/>
                      <w:kern w:val="0"/>
                      <w:sz w:val="21"/>
                      <w:szCs w:val="21"/>
                      <w:lang w:val="en-US" w:eastAsia="zh-CN" w:bidi="en-US"/>
                    </w:rPr>
                    <w:t>，</w:t>
                  </w:r>
                  <w:r>
                    <w:rPr>
                      <w:rFonts w:hint="eastAsia" w:ascii="Times New Roman" w:hAnsi="Times New Roman" w:eastAsia="宋体" w:cs="Times New Roman"/>
                      <w:b w:val="0"/>
                      <w:bCs/>
                      <w:color w:val="auto"/>
                      <w:kern w:val="0"/>
                      <w:sz w:val="21"/>
                      <w:szCs w:val="21"/>
                      <w:lang w:val="en-US" w:eastAsia="zh-CN" w:bidi="en-US"/>
                    </w:rPr>
                    <w:t>桥梁防洪标准</w:t>
                  </w:r>
                  <w:r>
                    <w:rPr>
                      <w:rFonts w:hint="eastAsia" w:cs="Times New Roman"/>
                      <w:b w:val="0"/>
                      <w:bCs/>
                      <w:color w:val="auto"/>
                      <w:kern w:val="0"/>
                      <w:sz w:val="21"/>
                      <w:szCs w:val="21"/>
                      <w:lang w:val="en-US" w:eastAsia="zh-CN" w:bidi="en-US"/>
                    </w:rPr>
                    <w:t>50</w:t>
                  </w:r>
                  <w:r>
                    <w:rPr>
                      <w:rFonts w:hint="eastAsia" w:ascii="Times New Roman" w:hAnsi="Times New Roman" w:eastAsia="宋体" w:cs="Times New Roman"/>
                      <w:b w:val="0"/>
                      <w:bCs/>
                      <w:color w:val="auto"/>
                      <w:kern w:val="0"/>
                      <w:sz w:val="21"/>
                      <w:szCs w:val="21"/>
                      <w:lang w:val="en-US" w:eastAsia="zh-CN" w:bidi="en-US"/>
                    </w:rPr>
                    <w:t>年一遇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395" w:type="dxa"/>
                  <w:vMerge w:val="continue"/>
                  <w:tcBorders>
                    <w:top w:val="nil"/>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857" w:type="dxa"/>
                  <w:vMerge w:val="continue"/>
                  <w:tcBorders>
                    <w:top w:val="nil"/>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882" w:type="dxa"/>
                  <w:vMerge w:val="continue"/>
                  <w:tcBorders>
                    <w:top w:val="nil"/>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948"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拦蓄建筑物工程</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新建拦砂坎</w:t>
                  </w:r>
                  <w:r>
                    <w:rPr>
                      <w:rFonts w:hint="eastAsia" w:cs="Times New Roman"/>
                      <w:b w:val="0"/>
                      <w:bCs/>
                      <w:kern w:val="0"/>
                      <w:sz w:val="21"/>
                      <w:szCs w:val="21"/>
                      <w:lang w:val="en-US" w:eastAsia="zh-CN" w:bidi="en-US"/>
                    </w:rPr>
                    <w:t>7</w:t>
                  </w:r>
                  <w:r>
                    <w:rPr>
                      <w:rFonts w:hint="eastAsia" w:ascii="Times New Roman" w:hAnsi="Times New Roman" w:eastAsia="宋体" w:cs="Times New Roman"/>
                      <w:b w:val="0"/>
                      <w:bCs/>
                      <w:kern w:val="0"/>
                      <w:sz w:val="21"/>
                      <w:szCs w:val="21"/>
                      <w:lang w:val="en-US" w:eastAsia="zh-CN" w:bidi="en-US"/>
                    </w:rPr>
                    <w:t>座，拆除坎体8座</w:t>
                  </w:r>
                  <w:r>
                    <w:rPr>
                      <w:rFonts w:hint="eastAsia" w:cs="Times New Roman"/>
                      <w:b w:val="0"/>
                      <w:bCs/>
                      <w:kern w:val="0"/>
                      <w:sz w:val="21"/>
                      <w:szCs w:val="21"/>
                      <w:lang w:val="en-US" w:eastAsia="zh-CN" w:bidi="en-US"/>
                    </w:rPr>
                    <w:t>，</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改造1座，</w:t>
                  </w:r>
                  <w:r>
                    <w:rPr>
                      <w:rFonts w:hint="eastAsia" w:ascii="Times New Roman" w:hAnsi="Times New Roman" w:eastAsia="宋体" w:cs="Times New Roman"/>
                      <w:b w:val="0"/>
                      <w:bCs/>
                      <w:kern w:val="0"/>
                      <w:sz w:val="21"/>
                      <w:szCs w:val="21"/>
                      <w:lang w:val="en-US" w:eastAsia="zh-CN" w:bidi="en-US"/>
                    </w:rPr>
                    <w:t>维修</w:t>
                  </w:r>
                  <w:r>
                    <w:rPr>
                      <w:rFonts w:hint="eastAsia" w:cs="Times New Roman"/>
                      <w:b w:val="0"/>
                      <w:bCs/>
                      <w:kern w:val="0"/>
                      <w:sz w:val="21"/>
                      <w:szCs w:val="21"/>
                      <w:lang w:val="en-US" w:eastAsia="zh-CN" w:bidi="en-US"/>
                    </w:rPr>
                    <w:t>2</w:t>
                  </w:r>
                  <w:r>
                    <w:rPr>
                      <w:rFonts w:hint="eastAsia" w:ascii="Times New Roman" w:hAnsi="Times New Roman" w:eastAsia="宋体" w:cs="Times New Roman"/>
                      <w:b w:val="0"/>
                      <w:bCs/>
                      <w:kern w:val="0"/>
                      <w:sz w:val="21"/>
                      <w:szCs w:val="21"/>
                      <w:lang w:val="en-US" w:eastAsia="zh-CN" w:bidi="en-US"/>
                    </w:rPr>
                    <w:t>座</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395" w:type="dxa"/>
                  <w:vMerge w:val="continue"/>
                  <w:tcBorders>
                    <w:top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857" w:type="dxa"/>
                  <w:vMerge w:val="continue"/>
                  <w:tcBorders>
                    <w:top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882" w:type="dxa"/>
                  <w:vMerge w:val="continue"/>
                  <w:tcBorders>
                    <w:top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948"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信息化工程</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新设10处视频监视点，5处</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水位监视点，1处流量监测点</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39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w:t>
                  </w:r>
                </w:p>
              </w:tc>
              <w:tc>
                <w:tcPr>
                  <w:tcW w:w="857"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临时工程</w:t>
                  </w:r>
                </w:p>
              </w:tc>
              <w:tc>
                <w:tcPr>
                  <w:tcW w:w="1830" w:type="dxa"/>
                  <w:gridSpan w:val="2"/>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color w:val="auto"/>
                      <w:kern w:val="0"/>
                      <w:sz w:val="21"/>
                      <w:szCs w:val="21"/>
                      <w:lang w:val="en-US" w:eastAsia="zh-CN" w:bidi="en-US"/>
                    </w:rPr>
                  </w:pPr>
                  <w:r>
                    <w:rPr>
                      <w:rFonts w:hint="eastAsia" w:ascii="Times New Roman" w:hAnsi="Times New Roman" w:eastAsia="宋体" w:cs="Times New Roman"/>
                      <w:b w:val="0"/>
                      <w:bCs/>
                      <w:color w:val="auto"/>
                      <w:kern w:val="0"/>
                      <w:sz w:val="21"/>
                      <w:szCs w:val="21"/>
                      <w:lang w:val="en-US" w:eastAsia="zh-CN" w:bidi="en-US"/>
                    </w:rPr>
                    <w:t>施工临时设施</w:t>
                  </w:r>
                </w:p>
              </w:tc>
              <w:tc>
                <w:tcPr>
                  <w:tcW w:w="4754" w:type="dxa"/>
                  <w:gridSpan w:val="2"/>
                  <w:noWrap w:val="0"/>
                  <w:vAlign w:val="center"/>
                </w:tcPr>
                <w:p>
                  <w:pPr>
                    <w:widowControl/>
                    <w:snapToGrid w:val="0"/>
                    <w:spacing w:line="240" w:lineRule="auto"/>
                    <w:ind w:left="0" w:leftChars="0" w:right="-48" w:rightChars="-20" w:firstLine="0" w:firstLineChars="0"/>
                    <w:jc w:val="center"/>
                    <w:textAlignment w:val="baseline"/>
                    <w:rPr>
                      <w:rFonts w:hint="eastAsia" w:cs="Times New Roman"/>
                      <w:b w:val="0"/>
                      <w:bCs/>
                      <w:color w:val="auto"/>
                      <w:kern w:val="0"/>
                      <w:sz w:val="21"/>
                      <w:szCs w:val="21"/>
                      <w:lang w:val="en-US" w:eastAsia="zh-CN" w:bidi="en-US"/>
                    </w:rPr>
                  </w:pPr>
                  <w:r>
                    <w:rPr>
                      <w:rFonts w:hint="eastAsia" w:ascii="Times New Roman" w:hAnsi="Times New Roman" w:eastAsia="宋体" w:cs="Times New Roman"/>
                      <w:b w:val="0"/>
                      <w:bCs/>
                      <w:color w:val="auto"/>
                      <w:kern w:val="0"/>
                      <w:sz w:val="21"/>
                      <w:szCs w:val="21"/>
                      <w:lang w:val="en-US" w:eastAsia="zh-CN" w:bidi="en-US"/>
                    </w:rPr>
                    <w:t>临时占地</w:t>
                  </w:r>
                  <w:r>
                    <w:rPr>
                      <w:rFonts w:hint="eastAsia" w:cs="Times New Roman"/>
                      <w:b w:val="0"/>
                      <w:bCs/>
                      <w:color w:val="auto"/>
                      <w:kern w:val="0"/>
                      <w:sz w:val="21"/>
                      <w:szCs w:val="21"/>
                      <w:lang w:val="en-US" w:eastAsia="zh-CN" w:bidi="en-US"/>
                    </w:rPr>
                    <w:t>1</w:t>
                  </w:r>
                  <w:r>
                    <w:rPr>
                      <w:rFonts w:hint="eastAsia" w:ascii="Times New Roman" w:hAnsi="Times New Roman" w:eastAsia="宋体" w:cs="Times New Roman"/>
                      <w:b w:val="0"/>
                      <w:bCs/>
                      <w:color w:val="auto"/>
                      <w:kern w:val="0"/>
                      <w:sz w:val="21"/>
                      <w:szCs w:val="21"/>
                      <w:lang w:val="en-US" w:eastAsia="zh-CN" w:bidi="en-US"/>
                    </w:rPr>
                    <w:t>.</w:t>
                  </w:r>
                  <w:r>
                    <w:rPr>
                      <w:rFonts w:hint="eastAsia" w:cs="Times New Roman"/>
                      <w:b w:val="0"/>
                      <w:bCs/>
                      <w:color w:val="auto"/>
                      <w:kern w:val="0"/>
                      <w:sz w:val="21"/>
                      <w:szCs w:val="21"/>
                      <w:lang w:val="en-US" w:eastAsia="zh-CN" w:bidi="en-US"/>
                    </w:rPr>
                    <w:t>6</w:t>
                  </w:r>
                  <w:r>
                    <w:rPr>
                      <w:rFonts w:hint="eastAsia" w:ascii="Times New Roman" w:hAnsi="Times New Roman" w:eastAsia="宋体" w:cs="Times New Roman"/>
                      <w:b w:val="0"/>
                      <w:bCs/>
                      <w:color w:val="auto"/>
                      <w:kern w:val="0"/>
                      <w:sz w:val="21"/>
                      <w:szCs w:val="21"/>
                      <w:lang w:val="en-US" w:eastAsia="zh-CN" w:bidi="en-US"/>
                    </w:rPr>
                    <w:t>hm²，包括施工便道区占地1.01hm²</w:t>
                  </w:r>
                  <w:r>
                    <w:rPr>
                      <w:rFonts w:hint="eastAsia" w:cs="Times New Roman"/>
                      <w:b w:val="0"/>
                      <w:bCs/>
                      <w:color w:val="auto"/>
                      <w:kern w:val="0"/>
                      <w:sz w:val="21"/>
                      <w:szCs w:val="21"/>
                      <w:lang w:val="en-US" w:eastAsia="zh-CN" w:bidi="en-US"/>
                    </w:rPr>
                    <w:t>、</w:t>
                  </w:r>
                </w:p>
                <w:p>
                  <w:pPr>
                    <w:widowControl/>
                    <w:snapToGrid w:val="0"/>
                    <w:spacing w:line="240" w:lineRule="auto"/>
                    <w:ind w:left="0" w:leftChars="0" w:right="-48" w:rightChars="-20" w:firstLine="0" w:firstLineChars="0"/>
                    <w:jc w:val="center"/>
                    <w:textAlignment w:val="baseline"/>
                    <w:rPr>
                      <w:rFonts w:hint="eastAsia" w:ascii="Times New Roman" w:hAnsi="Times New Roman" w:eastAsia="宋体" w:cs="Times New Roman"/>
                      <w:b w:val="0"/>
                      <w:bCs/>
                      <w:color w:val="auto"/>
                      <w:kern w:val="0"/>
                      <w:sz w:val="21"/>
                      <w:szCs w:val="21"/>
                      <w:lang w:val="en-US" w:eastAsia="zh-CN" w:bidi="en-US"/>
                    </w:rPr>
                  </w:pPr>
                  <w:r>
                    <w:rPr>
                      <w:rFonts w:hint="eastAsia" w:cs="Times New Roman"/>
                      <w:b w:val="0"/>
                      <w:bCs/>
                      <w:color w:val="auto"/>
                      <w:kern w:val="0"/>
                      <w:sz w:val="21"/>
                      <w:szCs w:val="21"/>
                      <w:lang w:val="en-US" w:eastAsia="zh-CN" w:bidi="en-US"/>
                    </w:rPr>
                    <w:t>临时堆土区占地0.11hm²、施工生产区占地0.48hm²。本项目</w:t>
                  </w:r>
                  <w:r>
                    <w:rPr>
                      <w:rFonts w:hint="eastAsia" w:ascii="Times New Roman" w:hAnsi="Times New Roman" w:eastAsia="宋体" w:cs="Times New Roman"/>
                      <w:b w:val="0"/>
                      <w:bCs/>
                      <w:color w:val="auto"/>
                      <w:kern w:val="0"/>
                      <w:sz w:val="21"/>
                      <w:szCs w:val="21"/>
                      <w:lang w:val="en-US" w:eastAsia="zh-CN" w:bidi="en-US"/>
                    </w:rPr>
                    <w:t>不设置排泥场</w:t>
                  </w:r>
                  <w:r>
                    <w:rPr>
                      <w:rFonts w:hint="eastAsia" w:cs="Times New Roman"/>
                      <w:b w:val="0"/>
                      <w:bCs/>
                      <w:color w:val="auto"/>
                      <w:kern w:val="0"/>
                      <w:sz w:val="21"/>
                      <w:szCs w:val="21"/>
                      <w:lang w:val="en-US" w:eastAsia="zh-CN" w:bidi="en-US"/>
                    </w:rPr>
                    <w:t>。具体位置详见附图3。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395" w:type="dxa"/>
                  <w:vMerge w:val="restart"/>
                  <w:tcBorders>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w:t>
                  </w:r>
                </w:p>
              </w:tc>
              <w:tc>
                <w:tcPr>
                  <w:tcW w:w="857" w:type="dxa"/>
                  <w:vMerge w:val="restart"/>
                  <w:tcBorders>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公用工程</w:t>
                  </w:r>
                </w:p>
              </w:tc>
              <w:tc>
                <w:tcPr>
                  <w:tcW w:w="1830" w:type="dxa"/>
                  <w:gridSpan w:val="2"/>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给水系统</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项目</w:t>
                  </w:r>
                  <w:r>
                    <w:rPr>
                      <w:rFonts w:hint="eastAsia" w:cs="Times New Roman"/>
                      <w:b w:val="0"/>
                      <w:bCs/>
                      <w:kern w:val="0"/>
                      <w:sz w:val="21"/>
                      <w:szCs w:val="21"/>
                      <w:lang w:val="en-US" w:eastAsia="zh-CN" w:bidi="en-US"/>
                    </w:rPr>
                    <w:t>施工期</w:t>
                  </w:r>
                  <w:r>
                    <w:rPr>
                      <w:rFonts w:hint="eastAsia" w:ascii="Times New Roman" w:hAnsi="Times New Roman" w:eastAsia="宋体" w:cs="Times New Roman"/>
                      <w:b w:val="0"/>
                      <w:bCs/>
                      <w:kern w:val="0"/>
                      <w:sz w:val="21"/>
                      <w:szCs w:val="21"/>
                      <w:lang w:val="en-US" w:eastAsia="zh-CN" w:bidi="en-US"/>
                    </w:rPr>
                    <w:t>水源为市政给水管网。</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项目运营期无生产、生活用水</w:t>
                  </w:r>
                  <w:r>
                    <w:rPr>
                      <w:rFonts w:hint="eastAsia" w:cs="Times New Roman"/>
                      <w:b w:val="0"/>
                      <w:bCs/>
                      <w:kern w:val="0"/>
                      <w:sz w:val="21"/>
                      <w:szCs w:val="21"/>
                      <w:lang w:val="en-US" w:eastAsia="zh-CN" w:bidi="en-US"/>
                    </w:rPr>
                    <w:t>。</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395" w:type="dxa"/>
                  <w:vMerge w:val="continue"/>
                  <w:tcBorders>
                    <w:top w:val="nil"/>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857" w:type="dxa"/>
                  <w:vMerge w:val="continue"/>
                  <w:tcBorders>
                    <w:top w:val="nil"/>
                    <w:bottom w:val="nil"/>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1830" w:type="dxa"/>
                  <w:gridSpan w:val="2"/>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排水系统</w:t>
                  </w:r>
                </w:p>
              </w:tc>
              <w:tc>
                <w:tcPr>
                  <w:tcW w:w="3641" w:type="dxa"/>
                  <w:noWrap w:val="0"/>
                  <w:vAlign w:val="center"/>
                </w:tcPr>
                <w:p>
                  <w:pPr>
                    <w:widowControl/>
                    <w:snapToGrid w:val="0"/>
                    <w:spacing w:line="240" w:lineRule="auto"/>
                    <w:ind w:left="0" w:leftChars="0" w:right="36" w:rightChars="15" w:firstLine="0" w:firstLineChars="0"/>
                    <w:jc w:val="center"/>
                    <w:textAlignment w:val="baseline"/>
                    <w:rPr>
                      <w:rFonts w:hint="eastAsia"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施工期生产废水经沉淀池沉淀处理后可回用到工程中</w:t>
                  </w:r>
                  <w:r>
                    <w:rPr>
                      <w:rFonts w:hint="eastAsia" w:cs="Times New Roman"/>
                      <w:b w:val="0"/>
                      <w:bCs/>
                      <w:kern w:val="0"/>
                      <w:sz w:val="21"/>
                      <w:szCs w:val="21"/>
                      <w:lang w:val="en-US" w:eastAsia="zh-CN" w:bidi="en-US"/>
                    </w:rPr>
                    <w:t>，不外排。生活废水经依托租用民居的化粪池处理，由当地环卫部门清运处置。</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项目运营期无生产、生活废水排放</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395" w:type="dxa"/>
                  <w:vMerge w:val="continue"/>
                  <w:tcBorders>
                    <w:top w:val="nil"/>
                    <w:bottom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857" w:type="dxa"/>
                  <w:vMerge w:val="continue"/>
                  <w:tcBorders>
                    <w:top w:val="nil"/>
                    <w:bottom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1830" w:type="dxa"/>
                  <w:gridSpan w:val="2"/>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供电系统</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项目用电由沂源县南鲁山镇供电所供</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给，只需自就近的市政供电网引线，</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即可满足项目用电需求</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395" w:type="dxa"/>
                  <w:vMerge w:val="restart"/>
                  <w:tcBorders>
                    <w:top w:val="single" w:color="auto" w:sz="4" w:space="0"/>
                    <w:left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4</w:t>
                  </w:r>
                </w:p>
              </w:tc>
              <w:tc>
                <w:tcPr>
                  <w:tcW w:w="857" w:type="dxa"/>
                  <w:vMerge w:val="restart"/>
                  <w:tcBorders>
                    <w:top w:val="single" w:color="auto" w:sz="4" w:space="0"/>
                    <w:right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环保工程</w:t>
                  </w:r>
                </w:p>
              </w:tc>
              <w:tc>
                <w:tcPr>
                  <w:tcW w:w="1830" w:type="dxa"/>
                  <w:gridSpan w:val="2"/>
                  <w:tcBorders>
                    <w:left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r>
                    <w:rPr>
                      <w:rFonts w:hint="eastAsia" w:cs="Times New Roman"/>
                      <w:b w:val="0"/>
                      <w:bCs/>
                      <w:kern w:val="0"/>
                      <w:sz w:val="21"/>
                      <w:szCs w:val="21"/>
                      <w:lang w:val="en-US" w:eastAsia="zh-CN" w:bidi="en-US"/>
                    </w:rPr>
                    <w:t>废气治理</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项目</w:t>
                  </w:r>
                  <w:r>
                    <w:rPr>
                      <w:rFonts w:hint="eastAsia" w:ascii="Times New Roman" w:hAnsi="Times New Roman" w:eastAsia="宋体" w:cs="Times New Roman"/>
                      <w:b w:val="0"/>
                      <w:bCs/>
                      <w:kern w:val="0"/>
                      <w:sz w:val="21"/>
                      <w:szCs w:val="21"/>
                      <w:lang w:val="en-US" w:eastAsia="zh-CN" w:bidi="en-US"/>
                    </w:rPr>
                    <w:t>在施工期主要污染物是扬尘、燃油</w:t>
                  </w:r>
                </w:p>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废气</w:t>
                  </w:r>
                  <w:r>
                    <w:rPr>
                      <w:rFonts w:hint="eastAsia" w:cs="Times New Roman"/>
                      <w:b w:val="0"/>
                      <w:bCs/>
                      <w:kern w:val="0"/>
                      <w:sz w:val="21"/>
                      <w:szCs w:val="21"/>
                      <w:lang w:val="en-US" w:eastAsia="zh-CN" w:bidi="en-US"/>
                    </w:rPr>
                    <w:t>、臭气，臭气无组织散发，对排烟</w:t>
                  </w:r>
                </w:p>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r>
                    <w:rPr>
                      <w:rFonts w:hint="eastAsia" w:cs="Times New Roman"/>
                      <w:b w:val="0"/>
                      <w:bCs/>
                      <w:kern w:val="0"/>
                      <w:sz w:val="21"/>
                      <w:szCs w:val="21"/>
                      <w:lang w:val="en-US" w:eastAsia="zh-CN" w:bidi="en-US"/>
                    </w:rPr>
                    <w:t>量大的施工机械安装消烟装置扬尘严格</w:t>
                  </w:r>
                </w:p>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r>
                    <w:rPr>
                      <w:rFonts w:hint="eastAsia" w:cs="Times New Roman"/>
                      <w:b w:val="0"/>
                      <w:bCs/>
                      <w:kern w:val="0"/>
                      <w:sz w:val="21"/>
                      <w:szCs w:val="21"/>
                      <w:lang w:val="en-US" w:eastAsia="zh-CN" w:bidi="en-US"/>
                    </w:rPr>
                    <w:t>按照《淄博市建设领域扬尘污染专项治</w:t>
                  </w:r>
                </w:p>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r>
                    <w:rPr>
                      <w:rFonts w:hint="eastAsia" w:cs="Times New Roman"/>
                      <w:b w:val="0"/>
                      <w:bCs/>
                      <w:kern w:val="0"/>
                      <w:sz w:val="21"/>
                      <w:szCs w:val="21"/>
                      <w:lang w:val="en-US" w:eastAsia="zh-CN" w:bidi="en-US"/>
                    </w:rPr>
                    <w:t>理实施方案》要求落实管理。</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项目运营期不产生废气污染物。</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395" w:type="dxa"/>
                  <w:vMerge w:val="continue"/>
                  <w:tcBorders>
                    <w:left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p>
              </w:tc>
              <w:tc>
                <w:tcPr>
                  <w:tcW w:w="857" w:type="dxa"/>
                  <w:vMerge w:val="continue"/>
                  <w:tcBorders>
                    <w:right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1830" w:type="dxa"/>
                  <w:gridSpan w:val="2"/>
                  <w:tcBorders>
                    <w:left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废水治理</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施工期生产废水经沉淀池沉淀处理后可</w:t>
                  </w:r>
                </w:p>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回用到工程中</w:t>
                  </w:r>
                  <w:r>
                    <w:rPr>
                      <w:rFonts w:hint="eastAsia" w:cs="Times New Roman"/>
                      <w:b w:val="0"/>
                      <w:bCs/>
                      <w:kern w:val="0"/>
                      <w:sz w:val="21"/>
                      <w:szCs w:val="21"/>
                      <w:lang w:val="en-US" w:eastAsia="zh-CN" w:bidi="en-US"/>
                    </w:rPr>
                    <w:t>，不外排。生活废水经依</w:t>
                  </w:r>
                </w:p>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r>
                    <w:rPr>
                      <w:rFonts w:hint="eastAsia" w:cs="Times New Roman"/>
                      <w:b w:val="0"/>
                      <w:bCs/>
                      <w:kern w:val="0"/>
                      <w:sz w:val="21"/>
                      <w:szCs w:val="21"/>
                      <w:lang w:val="en-US" w:eastAsia="zh-CN" w:bidi="en-US"/>
                    </w:rPr>
                    <w:t>托租用民居的化粪池处理，由当地环卫</w:t>
                  </w:r>
                </w:p>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r>
                    <w:rPr>
                      <w:rFonts w:hint="eastAsia" w:cs="Times New Roman"/>
                      <w:b w:val="0"/>
                      <w:bCs/>
                      <w:kern w:val="0"/>
                      <w:sz w:val="21"/>
                      <w:szCs w:val="21"/>
                      <w:lang w:val="en-US" w:eastAsia="zh-CN" w:bidi="en-US"/>
                    </w:rPr>
                    <w:t>部门清运处置。</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项目运营期不产生废水污染物。</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95" w:type="dxa"/>
                  <w:vMerge w:val="continue"/>
                  <w:tcBorders>
                    <w:left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p>
              </w:tc>
              <w:tc>
                <w:tcPr>
                  <w:tcW w:w="857" w:type="dxa"/>
                  <w:vMerge w:val="continue"/>
                  <w:tcBorders>
                    <w:right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p>
              </w:tc>
              <w:tc>
                <w:tcPr>
                  <w:tcW w:w="1830" w:type="dxa"/>
                  <w:gridSpan w:val="2"/>
                  <w:tcBorders>
                    <w:left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噪声治理</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选用低噪声设备</w:t>
                  </w:r>
                  <w:r>
                    <w:rPr>
                      <w:rFonts w:hint="eastAsia" w:ascii="Times New Roman" w:hAnsi="Times New Roman" w:eastAsia="宋体" w:cs="Times New Roman"/>
                      <w:b w:val="0"/>
                      <w:bCs/>
                      <w:kern w:val="0"/>
                      <w:sz w:val="21"/>
                      <w:szCs w:val="21"/>
                      <w:lang w:val="en-US" w:eastAsia="zh-CN" w:bidi="en-US"/>
                    </w:rPr>
                    <w:t>基础减震、隔声等，禁</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止夜间施工</w:t>
                  </w:r>
                  <w:r>
                    <w:rPr>
                      <w:rFonts w:hint="eastAsia" w:cs="Times New Roman"/>
                      <w:b w:val="0"/>
                      <w:bCs/>
                      <w:kern w:val="0"/>
                      <w:sz w:val="21"/>
                      <w:szCs w:val="21"/>
                      <w:lang w:val="en-US" w:eastAsia="zh-CN" w:bidi="en-US"/>
                    </w:rPr>
                    <w:t>。</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395" w:type="dxa"/>
                  <w:vMerge w:val="continue"/>
                  <w:tcBorders>
                    <w:left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p>
              </w:tc>
              <w:tc>
                <w:tcPr>
                  <w:tcW w:w="857" w:type="dxa"/>
                  <w:vMerge w:val="continue"/>
                  <w:tcBorders>
                    <w:right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p>
              </w:tc>
              <w:tc>
                <w:tcPr>
                  <w:tcW w:w="1830" w:type="dxa"/>
                  <w:gridSpan w:val="2"/>
                  <w:tcBorders>
                    <w:left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固废治理</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生活垃圾、</w:t>
                  </w:r>
                  <w:r>
                    <w:rPr>
                      <w:rFonts w:hint="eastAsia" w:ascii="Times New Roman" w:hAnsi="Times New Roman" w:eastAsia="宋体" w:cs="Times New Roman"/>
                      <w:b w:val="0"/>
                      <w:bCs/>
                      <w:kern w:val="0"/>
                      <w:sz w:val="21"/>
                      <w:szCs w:val="21"/>
                      <w:lang w:val="en-US" w:eastAsia="zh-CN" w:bidi="en-US"/>
                    </w:rPr>
                    <w:t>建筑垃圾由环卫部门处理；</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弃土、沙子由</w:t>
                  </w:r>
                  <w:r>
                    <w:rPr>
                      <w:rFonts w:hint="eastAsia" w:ascii="Times New Roman" w:hAnsi="Times New Roman" w:eastAsia="宋体" w:cs="Times New Roman"/>
                      <w:b w:val="0"/>
                      <w:bCs/>
                      <w:kern w:val="0"/>
                      <w:sz w:val="21"/>
                      <w:szCs w:val="21"/>
                      <w:lang w:val="en-US" w:eastAsia="zh-CN" w:bidi="en-US"/>
                    </w:rPr>
                    <w:t>运输车集中运输，上路前</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须加强车体、车胎清洗，装土适宜，防</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止沿路抛洒以及道路扬尘</w:t>
                  </w:r>
                  <w:r>
                    <w:rPr>
                      <w:rFonts w:hint="eastAsia" w:cs="Times New Roman"/>
                      <w:b w:val="0"/>
                      <w:bCs/>
                      <w:kern w:val="0"/>
                      <w:sz w:val="21"/>
                      <w:szCs w:val="21"/>
                      <w:lang w:val="en-US" w:eastAsia="zh-CN" w:bidi="en-US"/>
                    </w:rPr>
                    <w:t>。</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395" w:type="dxa"/>
                  <w:tcBorders>
                    <w:left w:val="single" w:color="auto" w:sz="4" w:space="0"/>
                    <w:bottom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default" w:cs="Times New Roman"/>
                      <w:b w:val="0"/>
                      <w:bCs/>
                      <w:kern w:val="0"/>
                      <w:sz w:val="21"/>
                      <w:szCs w:val="21"/>
                      <w:lang w:val="en-US" w:eastAsia="zh-CN" w:bidi="en-US"/>
                    </w:rPr>
                  </w:pPr>
                  <w:r>
                    <w:rPr>
                      <w:rFonts w:hint="eastAsia" w:cs="Times New Roman"/>
                      <w:b w:val="0"/>
                      <w:bCs/>
                      <w:kern w:val="0"/>
                      <w:sz w:val="21"/>
                      <w:szCs w:val="21"/>
                      <w:lang w:val="en-US" w:eastAsia="zh-CN" w:bidi="en-US"/>
                    </w:rPr>
                    <w:t>5</w:t>
                  </w:r>
                </w:p>
              </w:tc>
              <w:tc>
                <w:tcPr>
                  <w:tcW w:w="2687" w:type="dxa"/>
                  <w:gridSpan w:val="3"/>
                  <w:tcBorders>
                    <w:bottom w:val="single" w:color="auto" w:sz="4" w:space="0"/>
                  </w:tcBorders>
                  <w:noWrap w:val="0"/>
                  <w:vAlign w:val="center"/>
                </w:tcPr>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r>
                    <w:rPr>
                      <w:rFonts w:hint="eastAsia" w:cs="Times New Roman"/>
                      <w:b w:val="0"/>
                      <w:bCs/>
                      <w:kern w:val="0"/>
                      <w:sz w:val="21"/>
                      <w:szCs w:val="21"/>
                      <w:lang w:val="en-US" w:eastAsia="zh-CN" w:bidi="en-US"/>
                    </w:rPr>
                    <w:t>生态环境</w:t>
                  </w:r>
                </w:p>
              </w:tc>
              <w:tc>
                <w:tcPr>
                  <w:tcW w:w="3641"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施工期间应当注意生态保护，进行</w:t>
                  </w:r>
                  <w:r>
                    <w:rPr>
                      <w:rFonts w:hint="eastAsia" w:ascii="Times New Roman" w:hAnsi="Times New Roman" w:eastAsia="宋体" w:cs="Times New Roman"/>
                      <w:b w:val="0"/>
                      <w:bCs/>
                      <w:kern w:val="0"/>
                      <w:sz w:val="21"/>
                      <w:szCs w:val="21"/>
                      <w:lang w:val="en-US" w:eastAsia="zh-CN" w:bidi="en-US"/>
                    </w:rPr>
                    <w:t>表土</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剥离</w:t>
                  </w:r>
                  <w:r>
                    <w:rPr>
                      <w:rFonts w:hint="eastAsia" w:cs="Times New Roman"/>
                      <w:b w:val="0"/>
                      <w:bCs/>
                      <w:kern w:val="0"/>
                      <w:sz w:val="21"/>
                      <w:szCs w:val="21"/>
                      <w:lang w:val="en-US" w:eastAsia="zh-CN" w:bidi="en-US"/>
                    </w:rPr>
                    <w:t>、表土恢复、土地整治</w:t>
                  </w:r>
                  <w:r>
                    <w:rPr>
                      <w:rFonts w:hint="eastAsia" w:ascii="Times New Roman" w:hAnsi="Times New Roman" w:eastAsia="宋体" w:cs="Times New Roman"/>
                      <w:b w:val="0"/>
                      <w:bCs/>
                      <w:kern w:val="0"/>
                      <w:sz w:val="21"/>
                      <w:szCs w:val="21"/>
                      <w:lang w:val="en-US" w:eastAsia="zh-CN" w:bidi="en-US"/>
                    </w:rPr>
                    <w:t>、修复平整</w:t>
                  </w:r>
                </w:p>
                <w:p>
                  <w:pPr>
                    <w:widowControl/>
                    <w:snapToGrid w:val="0"/>
                    <w:spacing w:line="240" w:lineRule="auto"/>
                    <w:ind w:left="-72" w:leftChars="-30" w:right="-72" w:rightChars="-30" w:firstLine="0" w:firstLineChars="0"/>
                    <w:jc w:val="center"/>
                    <w:textAlignment w:val="baseline"/>
                    <w:rPr>
                      <w:rFonts w:hint="eastAsia"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工程、覆土工程、场地清理等</w:t>
                  </w:r>
                  <w:r>
                    <w:rPr>
                      <w:rFonts w:hint="eastAsia" w:cs="Times New Roman"/>
                      <w:b w:val="0"/>
                      <w:bCs/>
                      <w:kern w:val="0"/>
                      <w:sz w:val="21"/>
                      <w:szCs w:val="21"/>
                      <w:lang w:val="en-US" w:eastAsia="zh-CN" w:bidi="en-US"/>
                    </w:rPr>
                    <w:t>，生态红</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线保护范围区定期巡视。</w:t>
                  </w:r>
                </w:p>
              </w:tc>
              <w:tc>
                <w:tcPr>
                  <w:tcW w:w="111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r>
          </w:tbl>
          <w:p>
            <w:pPr>
              <w:adjustRightInd w:val="0"/>
              <w:snapToGrid w:val="0"/>
              <w:jc w:val="both"/>
              <w:rPr>
                <w:rFonts w:hint="eastAsia" w:ascii="宋体" w:hAnsi="宋体" w:cs="宋体"/>
                <w:kern w:val="0"/>
                <w:szCs w:val="21"/>
                <w:lang w:eastAsia="zh-CN"/>
              </w:rPr>
            </w:pPr>
            <w:r>
              <w:rPr>
                <w:rFonts w:hint="eastAsia" w:ascii="宋体" w:hAnsi="宋体" w:cs="宋体"/>
                <w:color w:val="auto"/>
                <w:kern w:val="0"/>
                <w:szCs w:val="21"/>
                <w:lang w:eastAsia="zh-CN"/>
              </w:rPr>
              <w:t>项目工程不涉及企业搬迁、拆建。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925"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总平面及现场布置</w:t>
            </w:r>
          </w:p>
        </w:tc>
        <w:tc>
          <w:tcPr>
            <w:tcW w:w="8165" w:type="dxa"/>
            <w:noWrap w:val="0"/>
            <w:vAlign w:val="center"/>
          </w:tcPr>
          <w:p>
            <w:pPr>
              <w:bidi w:val="0"/>
              <w:rPr>
                <w:rFonts w:hint="eastAsia" w:ascii="Times New Roman" w:hAnsi="Times New Roman" w:cs="Times New Roman"/>
                <w:b/>
                <w:bCs/>
              </w:rPr>
            </w:pPr>
            <w:r>
              <w:rPr>
                <w:rFonts w:hint="eastAsia" w:cs="Times New Roman"/>
                <w:b/>
                <w:bCs/>
                <w:lang w:val="en-US" w:eastAsia="zh-CN"/>
              </w:rPr>
              <w:t>一、</w:t>
            </w:r>
            <w:r>
              <w:rPr>
                <w:rFonts w:hint="eastAsia" w:ascii="Times New Roman" w:hAnsi="Times New Roman" w:cs="Times New Roman"/>
                <w:b/>
                <w:bCs/>
              </w:rPr>
              <w:t>平面布置</w:t>
            </w:r>
          </w:p>
          <w:p>
            <w:pPr>
              <w:bidi w:val="0"/>
              <w:ind w:firstLine="480" w:firstLineChars="200"/>
              <w:rPr>
                <w:rFonts w:hint="eastAsia" w:ascii="Times New Roman" w:hAnsi="Times New Roman" w:cs="Times New Roman"/>
              </w:rPr>
            </w:pPr>
            <w:r>
              <w:rPr>
                <w:rFonts w:hint="eastAsia" w:ascii="Times New Roman" w:hAnsi="Times New Roman" w:cs="Times New Roman"/>
              </w:rPr>
              <w:t>项目主要建设内容包括河道清淤扩挖工程、河道护砌工程、拦蓄建筑物工程、桥梁工程及</w:t>
            </w:r>
            <w:r>
              <w:rPr>
                <w:rFonts w:hint="eastAsia" w:ascii="Times New Roman" w:hAnsi="Times New Roman" w:cs="Times New Roman"/>
                <w:lang w:eastAsia="zh-CN"/>
              </w:rPr>
              <w:t>信息化工程</w:t>
            </w:r>
            <w:r>
              <w:rPr>
                <w:rFonts w:hint="eastAsia" w:ascii="Times New Roman" w:hAnsi="Times New Roman" w:cs="Times New Roman"/>
              </w:rPr>
              <w:t>。主要为：</w:t>
            </w:r>
          </w:p>
          <w:p>
            <w:pPr>
              <w:numPr>
                <w:ilvl w:val="0"/>
                <w:numId w:val="2"/>
              </w:numPr>
              <w:bidi w:val="0"/>
              <w:ind w:firstLine="480" w:firstLineChars="200"/>
              <w:rPr>
                <w:rFonts w:hint="eastAsia"/>
              </w:rPr>
            </w:pPr>
            <w:r>
              <w:rPr>
                <w:rFonts w:hint="eastAsia"/>
              </w:rPr>
              <w:t>河道清淤扩挖工程：对南鲁山镇车场村南桥（桩号44+550）至沂源县县界（桩号30+420）段长14.13km范围内淤积堆积严重的河道进行疏浚清障。河道设计底宽为5-129m，设计河底纵比降0.0022-0.0526。河道采用梯形断面和矩形断面，河道岸坡迎水侧设计边坡为1:2.0/直立，岸坡背水侧设计边坡为1:2.0；</w:t>
            </w:r>
          </w:p>
          <w:p>
            <w:pPr>
              <w:numPr>
                <w:ilvl w:val="0"/>
                <w:numId w:val="2"/>
              </w:numPr>
              <w:bidi w:val="0"/>
              <w:ind w:firstLine="480" w:firstLineChars="200"/>
              <w:rPr>
                <w:rFonts w:hint="eastAsia" w:ascii="Times New Roman" w:hAnsi="Times New Roman" w:cs="Times New Roman"/>
              </w:rPr>
            </w:pPr>
            <w:r>
              <w:rPr>
                <w:rFonts w:hint="eastAsia"/>
              </w:rPr>
              <w:t>河道护砌工程：本工程选取河道窄岸及临近居民区等险工河段进行护砌；其余凹岸等险工河段待资金充足时，再进行护砌，本次仅对该类凹岸、陡岸等险工河段疏挖河底。本工程共防护岸坡长度为4.94km。其中，原护岸加格宾石笼护脚0.59km，拆除干垒石墙49m，新建浆砌石险工护岸0.68km</w:t>
            </w:r>
            <w:r>
              <w:rPr>
                <w:rFonts w:hint="eastAsia"/>
                <w:lang w:eastAsia="zh-CN"/>
              </w:rPr>
              <w:t>，</w:t>
            </w:r>
            <w:r>
              <w:rPr>
                <w:rFonts w:hint="eastAsia"/>
              </w:rPr>
              <w:t>新建格宾石笼险工护岸3.67km。拦沙坎型式均采用埋石砼拦砂坎；具体工程布置</w:t>
            </w:r>
            <w:r>
              <w:rPr>
                <w:rFonts w:hint="eastAsia"/>
                <w:lang w:eastAsia="zh-CN"/>
              </w:rPr>
              <w:t>见</w:t>
            </w:r>
            <w:r>
              <w:rPr>
                <w:rFonts w:hint="eastAsia"/>
              </w:rPr>
              <w:t>下表</w:t>
            </w:r>
            <w:r>
              <w:rPr>
                <w:rFonts w:hint="eastAsia"/>
                <w:lang w:val="en-US" w:eastAsia="zh-CN"/>
              </w:rPr>
              <w:t>2-2</w:t>
            </w:r>
            <w:r>
              <w:rPr>
                <w:rFonts w:hint="eastAsia"/>
                <w:lang w:eastAsia="zh-CN"/>
              </w:rPr>
              <w:t>。</w:t>
            </w:r>
          </w:p>
          <w:p>
            <w:pPr>
              <w:numPr>
                <w:ilvl w:val="0"/>
                <w:numId w:val="2"/>
              </w:numPr>
              <w:bidi w:val="0"/>
              <w:ind w:firstLine="480" w:firstLineChars="200"/>
              <w:rPr>
                <w:rFonts w:hint="eastAsia" w:ascii="Times New Roman" w:hAnsi="Times New Roman" w:cs="Times New Roman"/>
              </w:rPr>
            </w:pPr>
            <w:r>
              <w:rPr>
                <w:rFonts w:hint="eastAsia"/>
              </w:rPr>
              <w:t>拦蓄建筑物工程：本项目</w:t>
            </w:r>
            <w:r>
              <w:rPr>
                <w:rFonts w:hint="eastAsia"/>
                <w:lang w:eastAsia="zh-CN"/>
              </w:rPr>
              <w:t>共</w:t>
            </w:r>
            <w:r>
              <w:rPr>
                <w:rFonts w:hint="eastAsia"/>
              </w:rPr>
              <w:t>设计新建拦沙坎7座（31+055、32+932、33+391、33+970、38+670、42+020、42+150），拆除坎体8座（35+863、36+520、38+795、38+863、39+130、39+220、39+270、39+417），改造1座（36+130）</w:t>
            </w:r>
            <w:r>
              <w:rPr>
                <w:rFonts w:hint="eastAsia"/>
                <w:lang w:eastAsia="zh-CN"/>
              </w:rPr>
              <w:t>，</w:t>
            </w:r>
            <w:r>
              <w:rPr>
                <w:rFonts w:hint="eastAsia"/>
              </w:rPr>
              <w:t>维修2座（38+981、39+520）；</w:t>
            </w:r>
          </w:p>
          <w:p>
            <w:pPr>
              <w:numPr>
                <w:ilvl w:val="0"/>
                <w:numId w:val="2"/>
              </w:numPr>
              <w:bidi w:val="0"/>
              <w:ind w:firstLine="480" w:firstLineChars="200"/>
              <w:rPr>
                <w:rFonts w:hint="eastAsia" w:ascii="Times New Roman" w:hAnsi="Times New Roman" w:cs="Times New Roman"/>
              </w:rPr>
            </w:pPr>
            <w:r>
              <w:rPr>
                <w:rFonts w:hint="eastAsia"/>
              </w:rPr>
              <w:t>桥梁工程：新建桩基桥1座（32+884），拆除重建箱涵桥4座（39+070、41+005、43+220、43+800），桥面加宽一座（39+620），桥下防护1处</w:t>
            </w:r>
            <w:r>
              <w:rPr>
                <w:rFonts w:hint="eastAsia"/>
                <w:lang w:eastAsia="zh-CN"/>
              </w:rPr>
              <w:t>（</w:t>
            </w:r>
            <w:r>
              <w:rPr>
                <w:rFonts w:hint="eastAsia"/>
              </w:rPr>
              <w:t>32+090</w:t>
            </w:r>
            <w:r>
              <w:rPr>
                <w:rFonts w:hint="eastAsia"/>
                <w:lang w:eastAsia="zh-CN"/>
              </w:rPr>
              <w:t>）</w:t>
            </w:r>
            <w:r>
              <w:rPr>
                <w:rFonts w:hint="eastAsia"/>
              </w:rPr>
              <w:t>；</w:t>
            </w:r>
          </w:p>
          <w:p>
            <w:pPr>
              <w:numPr>
                <w:ilvl w:val="0"/>
                <w:numId w:val="2"/>
              </w:numPr>
              <w:bidi w:val="0"/>
              <w:ind w:firstLine="480" w:firstLineChars="200"/>
              <w:rPr>
                <w:rFonts w:hint="eastAsia" w:ascii="Times New Roman" w:hAnsi="Times New Roman" w:cs="Times New Roman"/>
              </w:rPr>
            </w:pPr>
            <w:r>
              <w:rPr>
                <w:rFonts w:hint="eastAsia"/>
              </w:rPr>
              <w:t>信息化工程：</w:t>
            </w:r>
            <w:r>
              <w:rPr>
                <w:rFonts w:hint="eastAsia" w:ascii="Times New Roman" w:hAnsi="Times New Roman" w:cs="Times New Roman"/>
              </w:rPr>
              <w:t>在治理范围内新设10处视频监视点，5处水位监视点，1处流量监测点。</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854"/>
              <w:gridCol w:w="854"/>
              <w:gridCol w:w="1417"/>
              <w:gridCol w:w="2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000" w:type="pct"/>
                  <w:gridSpan w:val="5"/>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bCs/>
                      <w:color w:val="auto"/>
                      <w:kern w:val="0"/>
                      <w:sz w:val="21"/>
                      <w:szCs w:val="21"/>
                      <w:lang w:val="en-US" w:eastAsia="en-US"/>
                    </w:rPr>
                    <w:t>表</w:t>
                  </w:r>
                  <w:r>
                    <w:rPr>
                      <w:rFonts w:hint="eastAsia" w:ascii="Times New Roman" w:hAnsi="Times New Roman" w:eastAsia="宋体" w:cs="Times New Roman"/>
                      <w:b/>
                      <w:bCs/>
                      <w:color w:val="auto"/>
                      <w:kern w:val="0"/>
                      <w:sz w:val="21"/>
                      <w:szCs w:val="21"/>
                      <w:lang w:val="en-US" w:eastAsia="zh-CN"/>
                    </w:rPr>
                    <w:t>2-</w:t>
                  </w:r>
                  <w:r>
                    <w:rPr>
                      <w:rFonts w:hint="eastAsia" w:cs="Times New Roman"/>
                      <w:b/>
                      <w:bCs/>
                      <w:color w:val="auto"/>
                      <w:kern w:val="0"/>
                      <w:sz w:val="21"/>
                      <w:szCs w:val="21"/>
                      <w:lang w:val="en-US" w:eastAsia="zh-CN"/>
                    </w:rPr>
                    <w:t>2</w:t>
                  </w:r>
                  <w:r>
                    <w:rPr>
                      <w:rFonts w:hint="eastAsia" w:ascii="Times New Roman" w:hAnsi="Times New Roman" w:eastAsia="宋体" w:cs="Times New Roman"/>
                      <w:b/>
                      <w:bCs/>
                      <w:color w:val="auto"/>
                      <w:kern w:val="0"/>
                      <w:sz w:val="21"/>
                      <w:szCs w:val="21"/>
                      <w:lang w:val="en-US" w:eastAsia="zh-CN"/>
                    </w:rPr>
                    <w:t>险工护岸要素表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桩号范围</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长度</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岸别</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护砌高度</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护砌型式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31+466-31+805</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336</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格宾石笼护脚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33+500-33+732</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253</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格宾石笼护脚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33+732-33+780</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41</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3.3</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36+770-36+07</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289</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左岸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38+033-38+33</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311</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左岸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38+620-38+685</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71</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2.8</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38+795-38+857</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63</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左岸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格宾石笼培式护岸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38+960-39+070</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112</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左岸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39+070-39+27</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214</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2.15</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格宾石笼坡式护岸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39+620-39+720</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105</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左岸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1.8</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40+935-40+967</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32</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左岸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424020-42+280</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260</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42+020-42+470</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445</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左岸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42+320-42+42</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90</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42+436-42+496</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67</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42+520-42+630</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117</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左岸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2.7</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42+510-42+580</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66</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42+656-42+878</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231</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2.6</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42+660-42+73</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68</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左岸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2.6</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42+880-42+982</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117</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左岸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1.4</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42+982-43+140</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155</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2.3</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43+034-43+57</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542</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左岸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2.5</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43+370-43+497</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132</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2.5</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格宾石笼培式护岸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43+158-43+302</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144</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2.3</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格宾石笼墙式护岸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43+585-43+96</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391</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右岸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浆砌石挡墙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25"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43+675-43+970</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288</w:t>
                  </w:r>
                </w:p>
              </w:tc>
              <w:tc>
                <w:tcPr>
                  <w:tcW w:w="538"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左岸</w:t>
                  </w:r>
                </w:p>
              </w:tc>
              <w:tc>
                <w:tcPr>
                  <w:tcW w:w="893"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w:t>
                  </w:r>
                </w:p>
              </w:tc>
              <w:tc>
                <w:tcPr>
                  <w:tcW w:w="1604" w:type="pct"/>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浆砌石挡墙</w:t>
                  </w:r>
                </w:p>
              </w:tc>
            </w:tr>
          </w:tbl>
          <w:p>
            <w:pPr>
              <w:bidi w:val="0"/>
              <w:rPr>
                <w:rFonts w:hint="eastAsia"/>
                <w:b/>
                <w:bCs/>
              </w:rPr>
            </w:pPr>
            <w:r>
              <w:rPr>
                <w:rFonts w:hint="eastAsia"/>
                <w:b/>
                <w:bCs/>
                <w:lang w:val="en-US" w:eastAsia="zh-CN"/>
              </w:rPr>
              <w:t>二</w:t>
            </w:r>
            <w:r>
              <w:rPr>
                <w:rFonts w:hint="eastAsia"/>
                <w:b/>
                <w:bCs/>
              </w:rPr>
              <w:t>、施工布置</w:t>
            </w:r>
          </w:p>
          <w:p>
            <w:pPr>
              <w:bidi w:val="0"/>
              <w:ind w:firstLine="480" w:firstLineChars="200"/>
              <w:rPr>
                <w:rFonts w:hint="eastAsia"/>
                <w:lang w:eastAsia="zh-CN"/>
              </w:rPr>
            </w:pPr>
            <w:r>
              <w:rPr>
                <w:rFonts w:hint="eastAsia"/>
              </w:rPr>
              <w:t>（1）</w:t>
            </w:r>
            <w:r>
              <w:rPr>
                <w:rFonts w:hint="eastAsia"/>
                <w:lang w:eastAsia="zh-CN"/>
              </w:rPr>
              <w:t>施工区布置</w:t>
            </w:r>
          </w:p>
          <w:p>
            <w:pPr>
              <w:widowControl/>
              <w:kinsoku w:val="0"/>
              <w:autoSpaceDE w:val="0"/>
              <w:autoSpaceDN w:val="0"/>
              <w:adjustRightInd w:val="0"/>
              <w:spacing w:line="360" w:lineRule="auto"/>
              <w:ind w:firstLine="360" w:firstLineChars="150"/>
              <w:jc w:val="left"/>
              <w:textAlignment w:val="baseline"/>
              <w:rPr>
                <w:rFonts w:hint="eastAsia" w:ascii="宋体" w:hAnsi="宋体" w:cs="宋体"/>
                <w:bCs/>
                <w:color w:val="auto"/>
                <w:szCs w:val="21"/>
                <w:lang w:eastAsia="zh-CN"/>
              </w:rPr>
            </w:pPr>
            <w:r>
              <w:rPr>
                <w:rFonts w:hint="eastAsia"/>
              </w:rPr>
              <w:t>项目为</w:t>
            </w:r>
            <w:r>
              <w:rPr>
                <w:rFonts w:hint="eastAsia"/>
                <w:lang w:eastAsia="zh-CN"/>
              </w:rPr>
              <w:t>五井石河</w:t>
            </w:r>
            <w:r>
              <w:rPr>
                <w:rFonts w:hint="eastAsia"/>
              </w:rPr>
              <w:t>防洪治理工程</w:t>
            </w:r>
            <w:r>
              <w:rPr>
                <w:rFonts w:hint="eastAsia"/>
                <w:lang w:eastAsia="zh-CN"/>
              </w:rPr>
              <w:t>，</w:t>
            </w:r>
            <w:r>
              <w:rPr>
                <w:rFonts w:hint="eastAsia"/>
              </w:rPr>
              <w:t>施工工程包括河道工程、堤防、护坡、</w:t>
            </w:r>
            <w:r>
              <w:rPr>
                <w:rFonts w:hint="eastAsia"/>
                <w:color w:val="auto"/>
              </w:rPr>
              <w:t>桥梁、拦蓄等工程、公路工程，信息化工程等，采购的设备及材料伴行施工带</w:t>
            </w:r>
            <w:r>
              <w:rPr>
                <w:rFonts w:hint="eastAsia" w:ascii="宋体" w:hAnsi="宋体" w:cs="宋体"/>
                <w:bCs/>
                <w:color w:val="auto"/>
                <w:szCs w:val="21"/>
              </w:rPr>
              <w:t>。</w:t>
            </w:r>
            <w:r>
              <w:rPr>
                <w:rFonts w:hint="eastAsia" w:ascii="宋体" w:hAnsi="宋体" w:cs="宋体"/>
                <w:bCs/>
                <w:color w:val="auto"/>
                <w:szCs w:val="21"/>
                <w:lang w:eastAsia="zh-CN"/>
              </w:rPr>
              <w:t>本工程混凝土主要采用商用混凝土。</w:t>
            </w:r>
          </w:p>
          <w:p>
            <w:pPr>
              <w:numPr>
                <w:ilvl w:val="0"/>
                <w:numId w:val="0"/>
              </w:numPr>
              <w:bidi w:val="0"/>
              <w:ind w:firstLine="480" w:firstLineChars="200"/>
              <w:rPr>
                <w:rFonts w:hint="eastAsia"/>
                <w:highlight w:val="none"/>
                <w:lang w:eastAsia="zh-CN"/>
              </w:rPr>
            </w:pPr>
            <w:r>
              <w:rPr>
                <w:rFonts w:hint="eastAsia" w:ascii="Times New Roman" w:hAnsi="Times New Roman" w:eastAsia="宋体" w:cs="Times New Roman"/>
                <w:kern w:val="2"/>
                <w:sz w:val="24"/>
                <w:szCs w:val="24"/>
                <w:highlight w:val="none"/>
                <w:lang w:val="en-US" w:eastAsia="zh-CN" w:bidi="ar-SA"/>
              </w:rPr>
              <w:t>（2）</w:t>
            </w:r>
            <w:r>
              <w:rPr>
                <w:rFonts w:hint="eastAsia"/>
                <w:highlight w:val="none"/>
                <w:lang w:eastAsia="zh-CN"/>
              </w:rPr>
              <w:t>施工区交通</w:t>
            </w:r>
          </w:p>
          <w:p>
            <w:pPr>
              <w:numPr>
                <w:ilvl w:val="0"/>
                <w:numId w:val="0"/>
              </w:numPr>
              <w:bidi w:val="0"/>
              <w:ind w:firstLine="480" w:firstLineChars="200"/>
              <w:rPr>
                <w:rFonts w:hint="eastAsia"/>
                <w:lang w:eastAsia="zh-CN"/>
              </w:rPr>
            </w:pPr>
            <w:r>
              <w:rPr>
                <w:rFonts w:hint="eastAsia"/>
                <w:lang w:eastAsia="zh-CN"/>
              </w:rPr>
              <w:t>本工程施工区对外交通主要为公路汽车运输，北侧有</w:t>
            </w:r>
            <w:r>
              <w:rPr>
                <w:rFonts w:hint="eastAsia"/>
                <w:lang w:val="en-US" w:eastAsia="zh-CN"/>
              </w:rPr>
              <w:t>S</w:t>
            </w:r>
            <w:r>
              <w:rPr>
                <w:rFonts w:hint="eastAsia"/>
                <w:lang w:eastAsia="zh-CN"/>
              </w:rPr>
              <w:t>317临历线、</w:t>
            </w:r>
            <w:r>
              <w:rPr>
                <w:rFonts w:hint="eastAsia"/>
                <w:lang w:val="en-US" w:eastAsia="zh-CN"/>
              </w:rPr>
              <w:t>Y015三九路</w:t>
            </w:r>
            <w:r>
              <w:rPr>
                <w:rFonts w:hint="eastAsia"/>
                <w:lang w:eastAsia="zh-CN"/>
              </w:rPr>
              <w:t>穿过项目区，原材料运输条件便利。</w:t>
            </w:r>
          </w:p>
          <w:p>
            <w:pPr>
              <w:numPr>
                <w:ilvl w:val="0"/>
                <w:numId w:val="0"/>
              </w:numPr>
              <w:bidi w:val="0"/>
              <w:ind w:firstLine="480" w:firstLineChars="200"/>
              <w:rPr>
                <w:rFonts w:hint="eastAsia"/>
                <w:lang w:eastAsia="zh-CN"/>
              </w:rPr>
            </w:pPr>
            <w:r>
              <w:rPr>
                <w:rFonts w:hint="eastAsia"/>
                <w:lang w:eastAsia="zh-CN"/>
              </w:rPr>
              <w:t>河道工程场内交通主要供土方施工机械使用。工程治理段内有多座跨河交通桥，大部分河段有沿河路连通，对工程段现有河道岸坎后侧为耕地的，本次设计每隔1000m修建一条横向施工临时便道，临时道路宽5m，土路面，兼做围堰，临时道路最大纵坡不大于7%，施工道路布置在管理范围内。</w:t>
            </w:r>
          </w:p>
          <w:p>
            <w:pPr>
              <w:numPr>
                <w:ilvl w:val="0"/>
                <w:numId w:val="0"/>
              </w:numPr>
              <w:bidi w:val="0"/>
              <w:ind w:firstLine="480" w:firstLineChars="200"/>
              <w:rPr>
                <w:rFonts w:hint="eastAsia"/>
                <w:lang w:eastAsia="zh-CN"/>
              </w:rPr>
            </w:pPr>
            <w:r>
              <w:rPr>
                <w:rFonts w:hint="eastAsia" w:ascii="Times New Roman" w:hAnsi="Times New Roman" w:eastAsia="宋体" w:cs="Times New Roman"/>
                <w:kern w:val="2"/>
                <w:sz w:val="24"/>
                <w:szCs w:val="24"/>
                <w:lang w:val="en-US" w:eastAsia="zh-CN" w:bidi="ar-SA"/>
              </w:rPr>
              <w:t>（3）</w:t>
            </w:r>
            <w:r>
              <w:rPr>
                <w:rFonts w:hint="eastAsia" w:cs="Times New Roman"/>
                <w:kern w:val="2"/>
                <w:sz w:val="24"/>
                <w:szCs w:val="24"/>
                <w:lang w:val="en-US" w:eastAsia="zh-CN" w:bidi="ar-SA"/>
              </w:rPr>
              <w:t>施工废水</w:t>
            </w:r>
          </w:p>
          <w:p>
            <w:pPr>
              <w:numPr>
                <w:ilvl w:val="0"/>
                <w:numId w:val="0"/>
              </w:numPr>
              <w:bidi w:val="0"/>
              <w:ind w:firstLine="480" w:firstLineChars="200"/>
              <w:rPr>
                <w:rFonts w:hint="eastAsia"/>
                <w:lang w:eastAsia="zh-CN"/>
              </w:rPr>
            </w:pPr>
            <w:r>
              <w:rPr>
                <w:rFonts w:hint="eastAsia"/>
                <w:lang w:eastAsia="zh-CN"/>
              </w:rPr>
              <w:t>施工期生产废水经沉淀池沉淀处理后可回用到工程中，不外排。生活废水经依托租用民居的化粪池处理，由当地环卫部门清运处置。</w:t>
            </w:r>
          </w:p>
          <w:p>
            <w:pPr>
              <w:numPr>
                <w:ilvl w:val="0"/>
                <w:numId w:val="0"/>
              </w:numPr>
              <w:bidi w:val="0"/>
              <w:ind w:firstLine="480" w:firstLineChars="200"/>
              <w:rPr>
                <w:rFonts w:hint="eastAsia"/>
                <w:lang w:eastAsia="zh-CN"/>
              </w:rPr>
            </w:pP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施工期间的废物</w:t>
            </w:r>
          </w:p>
          <w:p>
            <w:pPr>
              <w:bidi w:val="0"/>
              <w:ind w:firstLine="480" w:firstLineChars="200"/>
              <w:rPr>
                <w:rFonts w:hint="eastAsia"/>
                <w:color w:val="FF0000"/>
              </w:rPr>
            </w:pPr>
            <w:r>
              <w:rPr>
                <w:rFonts w:hint="eastAsia"/>
                <w:lang w:eastAsia="zh-CN"/>
              </w:rPr>
              <w:t>施工期间项目的固体废物主要是河道淤泥、建筑垃圾和施工人员的生活垃圾。建筑垃圾主要是临时工程拆除和边坡清理产生的砖瓦、混凝土块、弃土等</w:t>
            </w:r>
            <w:r>
              <w:rPr>
                <w:rFonts w:hint="eastAsia"/>
                <w:lang w:val="en-US" w:eastAsia="zh-CN"/>
              </w:rPr>
              <w:t>，</w:t>
            </w:r>
            <w:r>
              <w:rPr>
                <w:rFonts w:hint="eastAsia"/>
                <w:lang w:eastAsia="zh-CN"/>
              </w:rPr>
              <w:t>生活垃圾、建筑垃圾皆由环卫部门处理；河道淤泥随产随清，用于五井石河治理工程。</w:t>
            </w:r>
          </w:p>
          <w:p>
            <w:pPr>
              <w:numPr>
                <w:ilvl w:val="0"/>
                <w:numId w:val="0"/>
              </w:numPr>
              <w:bidi w:val="0"/>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5</w:t>
            </w:r>
            <w:r>
              <w:rPr>
                <w:rFonts w:hint="eastAsia" w:ascii="Times New Roman" w:hAnsi="Times New Roman" w:eastAsia="宋体" w:cs="Times New Roman"/>
                <w:kern w:val="2"/>
                <w:sz w:val="24"/>
                <w:szCs w:val="24"/>
                <w:lang w:val="en-US" w:eastAsia="zh-CN" w:bidi="ar-SA"/>
              </w:rPr>
              <w:t>）土石方平衡</w:t>
            </w:r>
          </w:p>
          <w:p>
            <w:pPr>
              <w:bidi w:val="0"/>
              <w:ind w:firstLine="480" w:firstLineChars="200"/>
              <w:rPr>
                <w:rFonts w:hint="eastAsia" w:ascii="Times New Roman" w:hAnsi="Times New Roman" w:eastAsia="宋体" w:cs="Times New Roman"/>
                <w:kern w:val="2"/>
                <w:sz w:val="24"/>
                <w:szCs w:val="24"/>
                <w:lang w:val="en-US" w:eastAsia="zh-CN" w:bidi="ar-SA"/>
              </w:rPr>
            </w:pPr>
            <w:r>
              <w:rPr>
                <w:rFonts w:hint="eastAsia"/>
                <w:lang w:val="en-US" w:eastAsia="zh-CN"/>
              </w:rPr>
              <w:t>根据项目水土保持方案，项目土方开挖总计53.01万m³，经土方平衡后，开挖土方主要用于堤防填筑、子堤填筑等，土方开挖全部采用挖掘机配自卸车挖运方式，用于上述工程回填后剩余48.81万m³，余方包括淤泥和一般土</w:t>
            </w:r>
            <w:r>
              <w:rPr>
                <w:rFonts w:hint="eastAsia" w:ascii="Times New Roman" w:hAnsi="Times New Roman" w:eastAsia="宋体" w:cs="Times New Roman"/>
                <w:kern w:val="2"/>
                <w:sz w:val="24"/>
                <w:szCs w:val="24"/>
                <w:lang w:val="en-US" w:eastAsia="zh-CN" w:bidi="ar-SA"/>
              </w:rPr>
              <w:t>方，用于</w:t>
            </w:r>
            <w:r>
              <w:rPr>
                <w:rFonts w:hint="eastAsia" w:cs="Times New Roman"/>
                <w:kern w:val="2"/>
                <w:sz w:val="24"/>
                <w:szCs w:val="24"/>
                <w:lang w:val="en-US" w:eastAsia="zh-CN" w:bidi="ar-SA"/>
              </w:rPr>
              <w:t>五井石河</w:t>
            </w:r>
            <w:r>
              <w:rPr>
                <w:rFonts w:hint="eastAsia" w:ascii="Times New Roman" w:hAnsi="Times New Roman" w:eastAsia="宋体" w:cs="Times New Roman"/>
                <w:kern w:val="2"/>
                <w:sz w:val="24"/>
                <w:szCs w:val="24"/>
                <w:lang w:val="en-US" w:eastAsia="zh-CN" w:bidi="ar-SA"/>
              </w:rPr>
              <w:t>治理。</w:t>
            </w:r>
          </w:p>
          <w:p>
            <w:pPr>
              <w:bidi w:val="0"/>
              <w:ind w:firstLine="422" w:firstLineChars="200"/>
              <w:jc w:val="center"/>
              <w:rPr>
                <w:rFonts w:hint="eastAsia" w:ascii="Times New Roman" w:hAnsi="Times New Roman" w:eastAsia="宋体" w:cs="Times New Roman"/>
                <w:b/>
                <w:bCs/>
                <w:kern w:val="0"/>
                <w:sz w:val="21"/>
                <w:szCs w:val="21"/>
                <w:lang w:val="en-US" w:eastAsia="en-US"/>
              </w:rPr>
            </w:pPr>
            <w:r>
              <w:rPr>
                <w:rFonts w:hint="eastAsia" w:ascii="Times New Roman" w:hAnsi="Times New Roman" w:eastAsia="宋体" w:cs="Times New Roman"/>
                <w:b/>
                <w:bCs/>
                <w:color w:val="auto"/>
                <w:kern w:val="0"/>
                <w:sz w:val="21"/>
                <w:szCs w:val="21"/>
                <w:lang w:val="en-US" w:eastAsia="en-US"/>
              </w:rPr>
              <w:t>表</w:t>
            </w:r>
            <w:r>
              <w:rPr>
                <w:rFonts w:hint="eastAsia" w:ascii="Times New Roman" w:hAnsi="Times New Roman" w:eastAsia="宋体" w:cs="Times New Roman"/>
                <w:b/>
                <w:bCs/>
                <w:color w:val="auto"/>
                <w:kern w:val="0"/>
                <w:sz w:val="21"/>
                <w:szCs w:val="21"/>
                <w:lang w:val="en-US" w:eastAsia="zh-CN"/>
              </w:rPr>
              <w:t>2-</w:t>
            </w:r>
            <w:r>
              <w:rPr>
                <w:rFonts w:hint="eastAsia" w:cs="Times New Roman"/>
                <w:b/>
                <w:bCs/>
                <w:color w:val="auto"/>
                <w:kern w:val="0"/>
                <w:sz w:val="21"/>
                <w:szCs w:val="21"/>
                <w:lang w:val="en-US" w:eastAsia="zh-CN"/>
              </w:rPr>
              <w:t>3</w:t>
            </w:r>
            <w:r>
              <w:rPr>
                <w:rFonts w:hint="eastAsia" w:ascii="Times New Roman" w:hAnsi="Times New Roman" w:eastAsia="宋体" w:cs="Times New Roman"/>
                <w:b/>
                <w:bCs/>
                <w:kern w:val="0"/>
                <w:sz w:val="21"/>
                <w:szCs w:val="21"/>
                <w:lang w:val="en-US" w:eastAsia="en-US"/>
              </w:rPr>
              <w:t xml:space="preserve">   项目土石方平衡一览表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1984"/>
              <w:gridCol w:w="1984"/>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vAlign w:val="center"/>
                </w:tcPr>
                <w:p>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挖方（万m³</w:t>
                  </w:r>
                  <w:r>
                    <w:rPr>
                      <w:rFonts w:hint="eastAsia" w:asciiTheme="minorEastAsia" w:hAnsiTheme="minorEastAsia" w:eastAsiaTheme="minorEastAsia" w:cstheme="minorEastAsia"/>
                      <w:sz w:val="21"/>
                      <w:szCs w:val="21"/>
                      <w:lang w:eastAsia="zh-CN"/>
                    </w:rPr>
                    <w:t>）</w:t>
                  </w:r>
                </w:p>
              </w:tc>
              <w:tc>
                <w:tcPr>
                  <w:tcW w:w="1987" w:type="dxa"/>
                  <w:vAlign w:val="center"/>
                </w:tcPr>
                <w:p>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借方（万m³</w:t>
                  </w:r>
                  <w:r>
                    <w:rPr>
                      <w:rFonts w:hint="eastAsia" w:asciiTheme="minorEastAsia" w:hAnsiTheme="minorEastAsia" w:eastAsiaTheme="minorEastAsia" w:cstheme="minorEastAsia"/>
                      <w:sz w:val="21"/>
                      <w:szCs w:val="21"/>
                      <w:lang w:eastAsia="zh-CN"/>
                    </w:rPr>
                    <w:t>）</w:t>
                  </w:r>
                </w:p>
              </w:tc>
              <w:tc>
                <w:tcPr>
                  <w:tcW w:w="1987" w:type="dxa"/>
                  <w:vAlign w:val="center"/>
                </w:tcPr>
                <w:p>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回填（万m³</w:t>
                  </w:r>
                  <w:r>
                    <w:rPr>
                      <w:rFonts w:hint="eastAsia" w:asciiTheme="minorEastAsia" w:hAnsiTheme="minorEastAsia" w:eastAsiaTheme="minorEastAsia" w:cstheme="minorEastAsia"/>
                      <w:sz w:val="21"/>
                      <w:szCs w:val="21"/>
                      <w:lang w:eastAsia="zh-CN"/>
                    </w:rPr>
                    <w:t>）</w:t>
                  </w:r>
                </w:p>
              </w:tc>
              <w:tc>
                <w:tcPr>
                  <w:tcW w:w="1988" w:type="dxa"/>
                  <w:vAlign w:val="center"/>
                </w:tcPr>
                <w:p>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余方（万m³</w:t>
                  </w:r>
                  <w:r>
                    <w:rPr>
                      <w:rFonts w:hint="eastAsia" w:asciiTheme="minorEastAsia" w:hAnsiTheme="minorEastAsia" w:eastAsiaTheme="minorEastAsia" w:cstheme="minor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7" w:type="dxa"/>
                  <w:vAlign w:val="center"/>
                </w:tcPr>
                <w:p>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53.01</w:t>
                  </w:r>
                </w:p>
              </w:tc>
              <w:tc>
                <w:tcPr>
                  <w:tcW w:w="1987" w:type="dxa"/>
                  <w:vAlign w:val="center"/>
                </w:tcPr>
                <w:p>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0</w:t>
                  </w:r>
                </w:p>
              </w:tc>
              <w:tc>
                <w:tcPr>
                  <w:tcW w:w="1987" w:type="dxa"/>
                  <w:vAlign w:val="center"/>
                </w:tcPr>
                <w:p>
                  <w:pPr>
                    <w:bidi w:val="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4.02</w:t>
                  </w:r>
                </w:p>
              </w:tc>
              <w:tc>
                <w:tcPr>
                  <w:tcW w:w="1988" w:type="dxa"/>
                  <w:vAlign w:val="center"/>
                </w:tcPr>
                <w:p>
                  <w:pPr>
                    <w:bidi w:val="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48.81</w:t>
                  </w:r>
                </w:p>
              </w:tc>
            </w:tr>
          </w:tbl>
          <w:p>
            <w:pPr>
              <w:numPr>
                <w:ilvl w:val="0"/>
                <w:numId w:val="0"/>
              </w:numPr>
              <w:bidi w:val="0"/>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6</w:t>
            </w: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项目实际</w:t>
            </w:r>
            <w:r>
              <w:rPr>
                <w:rFonts w:hint="eastAsia" w:eastAsia="宋体" w:cs="Times New Roman"/>
                <w:kern w:val="2"/>
                <w:sz w:val="24"/>
                <w:szCs w:val="24"/>
                <w:lang w:val="en-US" w:eastAsia="zh-CN" w:bidi="ar-SA"/>
              </w:rPr>
              <w:t>占地情况</w:t>
            </w:r>
          </w:p>
          <w:p>
            <w:pPr>
              <w:bidi w:val="0"/>
              <w:ind w:firstLine="480" w:firstLineChars="200"/>
              <w:rPr>
                <w:rFonts w:hint="eastAsia"/>
                <w:color w:val="auto"/>
                <w:sz w:val="24"/>
              </w:rPr>
            </w:pPr>
            <w:r>
              <w:rPr>
                <w:rFonts w:hint="eastAsia"/>
                <w:color w:val="auto"/>
                <w:sz w:val="24"/>
              </w:rPr>
              <w:t>经方案复核，本工程占地63.77hm²，其中河道工程区占地52.57hm²、建筑物工程区占地9.60hm²、施工便道区占地1.01hm²、临时堆土区占地0.11hm²、施工生产生活区占地0.48hm²。</w:t>
            </w:r>
          </w:p>
          <w:p>
            <w:pPr>
              <w:bidi w:val="0"/>
              <w:ind w:firstLine="480" w:firstLineChars="200"/>
              <w:rPr>
                <w:rFonts w:hint="eastAsia"/>
                <w:color w:val="auto"/>
                <w:sz w:val="24"/>
              </w:rPr>
            </w:pPr>
            <w:r>
              <w:rPr>
                <w:rFonts w:hint="eastAsia"/>
                <w:color w:val="auto"/>
                <w:sz w:val="24"/>
              </w:rPr>
              <w:t>河道工程区占地52.57hm²，河口（水面以上）占地为4.23hm²，河道疏挖（水面以下）占地为48.34hm²。原土地利用类型为水域及水利设施用地（沟渠），全部为永久占地。建筑物工程区占地9.60hm²，原土地利用类型为水域及水利设施用地（水工建筑物用地）。</w:t>
            </w:r>
          </w:p>
          <w:p>
            <w:pPr>
              <w:bidi w:val="0"/>
              <w:ind w:firstLine="480" w:firstLineChars="200"/>
              <w:rPr>
                <w:rFonts w:hint="eastAsia"/>
                <w:color w:val="auto"/>
                <w:sz w:val="24"/>
              </w:rPr>
            </w:pPr>
            <w:r>
              <w:rPr>
                <w:rFonts w:hint="eastAsia"/>
                <w:color w:val="auto"/>
                <w:sz w:val="24"/>
              </w:rPr>
              <w:t>施工便道区占地1.01hm²，施工便道长1.68km，宽6.0m。原土地利用类型为草地，全部为临时占地。临时堆土区占地0.11hm²，原土地利用类型为草地，全部为临时占地。施工生产生活区占地0.48hm²，原土地利用类型为草地，全部为临时占地。</w:t>
            </w:r>
          </w:p>
          <w:p>
            <w:pPr>
              <w:bidi w:val="0"/>
              <w:ind w:firstLine="480" w:firstLineChars="200"/>
              <w:rPr>
                <w:rFonts w:hint="eastAsia"/>
                <w:sz w:val="24"/>
              </w:rPr>
            </w:pPr>
            <w:r>
              <w:rPr>
                <w:rFonts w:hint="eastAsia"/>
                <w:color w:val="auto"/>
                <w:sz w:val="24"/>
              </w:rPr>
              <w:t>本工程布置临时堆土区2处，每处临时堆土</w:t>
            </w:r>
            <w:r>
              <w:rPr>
                <w:rFonts w:hint="eastAsia"/>
                <w:sz w:val="24"/>
              </w:rPr>
              <w:t>占地0.05hm²，堆宽15.0m，堆高4m，边坡1:1；施工生产区布置1处，生产和生活分开，生产区沿河道走向布置，</w:t>
            </w:r>
            <w:r>
              <w:rPr>
                <w:rFonts w:hint="eastAsia"/>
                <w:sz w:val="24"/>
                <w:lang w:eastAsia="zh-CN"/>
              </w:rPr>
              <w:t>生活区是</w:t>
            </w:r>
            <w:r>
              <w:rPr>
                <w:rFonts w:hint="eastAsia" w:ascii="宋体" w:hAnsi="宋体" w:cs="宋体"/>
                <w:bCs/>
                <w:color w:val="auto"/>
                <w:szCs w:val="21"/>
              </w:rPr>
              <w:t>租用周</w:t>
            </w:r>
            <w:r>
              <w:rPr>
                <w:rFonts w:hint="eastAsia" w:ascii="宋体" w:hAnsi="宋体" w:cs="宋体"/>
                <w:bCs/>
                <w:color w:val="auto"/>
                <w:szCs w:val="21"/>
                <w:lang w:eastAsia="zh-CN"/>
              </w:rPr>
              <w:t>边</w:t>
            </w:r>
            <w:r>
              <w:rPr>
                <w:rFonts w:hint="eastAsia" w:ascii="宋体" w:hAnsi="宋体" w:cs="宋体"/>
                <w:bCs/>
                <w:color w:val="auto"/>
                <w:szCs w:val="21"/>
              </w:rPr>
              <w:t>当地村民房屋</w:t>
            </w:r>
            <w:r>
              <w:rPr>
                <w:rFonts w:hint="eastAsia" w:ascii="宋体" w:hAnsi="宋体" w:cs="宋体"/>
                <w:bCs/>
                <w:color w:val="auto"/>
                <w:szCs w:val="21"/>
                <w:lang w:eastAsia="zh-CN"/>
              </w:rPr>
              <w:t>，</w:t>
            </w:r>
            <w:r>
              <w:rPr>
                <w:rFonts w:hint="eastAsia"/>
                <w:sz w:val="24"/>
              </w:rPr>
              <w:t>施工生产生活区满足施工需要。施工用水、施工用电均不新增临时用地。</w:t>
            </w:r>
          </w:p>
          <w:p>
            <w:pPr>
              <w:bidi w:val="0"/>
              <w:ind w:firstLine="480" w:firstLineChars="200"/>
              <w:rPr>
                <w:rFonts w:hint="eastAsia"/>
                <w:color w:val="auto"/>
                <w:sz w:val="24"/>
              </w:rPr>
            </w:pPr>
            <w:r>
              <w:rPr>
                <w:rFonts w:hint="eastAsia"/>
                <w:color w:val="auto"/>
                <w:sz w:val="24"/>
              </w:rPr>
              <w:t>综上，本工程占地面积63.77hm²，其中永久占地62.17m²，临时占地1.60hm²；工程占地类型包括草地1.60hm²、水域及水利设施用地（水工建筑物用地）9.60hm²、水域及水利设施用地（沟渠）52.57hm²。</w:t>
            </w:r>
          </w:p>
          <w:p>
            <w:pPr>
              <w:bidi w:val="0"/>
              <w:ind w:firstLine="480" w:firstLineChars="200"/>
              <w:rPr>
                <w:rFonts w:hint="eastAsia"/>
                <w:color w:val="auto"/>
                <w:lang w:val="en-US" w:eastAsia="zh-CN"/>
              </w:rPr>
            </w:pPr>
            <w:r>
              <w:rPr>
                <w:rFonts w:hint="eastAsia"/>
                <w:color w:val="auto"/>
              </w:rPr>
              <w:t>本项目总平面及现场布置详见附图</w:t>
            </w:r>
            <w:r>
              <w:rPr>
                <w:rFonts w:hint="eastAsia"/>
                <w:color w:val="auto"/>
                <w:lang w:val="en-US" w:eastAsia="zh-CN"/>
              </w:rPr>
              <w:t>2、附图3。</w:t>
            </w:r>
          </w:p>
          <w:p>
            <w:pPr>
              <w:bidi w:val="0"/>
              <w:ind w:firstLine="422" w:firstLineChars="200"/>
              <w:jc w:val="center"/>
              <w:rPr>
                <w:rFonts w:hint="eastAsia" w:ascii="Times New Roman" w:hAnsi="Times New Roman" w:eastAsia="宋体" w:cs="Times New Roman"/>
                <w:b/>
                <w:bCs/>
                <w:kern w:val="0"/>
                <w:sz w:val="21"/>
                <w:szCs w:val="21"/>
                <w:lang w:val="en-US" w:eastAsia="en-US"/>
              </w:rPr>
            </w:pPr>
            <w:r>
              <w:rPr>
                <w:rFonts w:hint="eastAsia" w:ascii="Times New Roman" w:hAnsi="Times New Roman" w:eastAsia="宋体" w:cs="Times New Roman"/>
                <w:b/>
                <w:bCs/>
                <w:color w:val="auto"/>
                <w:kern w:val="0"/>
                <w:sz w:val="21"/>
                <w:szCs w:val="21"/>
                <w:lang w:val="en-US" w:eastAsia="en-US"/>
              </w:rPr>
              <w:t>表</w:t>
            </w:r>
            <w:r>
              <w:rPr>
                <w:rFonts w:hint="eastAsia" w:ascii="Times New Roman" w:hAnsi="Times New Roman" w:eastAsia="宋体" w:cs="Times New Roman"/>
                <w:b/>
                <w:bCs/>
                <w:color w:val="auto"/>
                <w:kern w:val="0"/>
                <w:sz w:val="21"/>
                <w:szCs w:val="21"/>
                <w:lang w:val="en-US" w:eastAsia="zh-CN"/>
              </w:rPr>
              <w:t>2-</w:t>
            </w:r>
            <w:r>
              <w:rPr>
                <w:rFonts w:hint="eastAsia" w:cs="Times New Roman"/>
                <w:b/>
                <w:bCs/>
                <w:color w:val="auto"/>
                <w:kern w:val="0"/>
                <w:sz w:val="21"/>
                <w:szCs w:val="21"/>
                <w:lang w:val="en-US" w:eastAsia="zh-CN"/>
              </w:rPr>
              <w:t>4</w:t>
            </w:r>
            <w:r>
              <w:rPr>
                <w:rFonts w:hint="eastAsia" w:ascii="Times New Roman" w:hAnsi="Times New Roman" w:eastAsia="宋体" w:cs="Times New Roman"/>
                <w:b/>
                <w:bCs/>
                <w:kern w:val="0"/>
                <w:sz w:val="21"/>
                <w:szCs w:val="21"/>
                <w:lang w:val="en-US" w:eastAsia="en-US"/>
              </w:rPr>
              <w:t>项目区原土地利用类型及面积统计表 单位：hm²</w:t>
            </w:r>
          </w:p>
          <w:p>
            <w:pPr>
              <w:pStyle w:val="13"/>
              <w:ind w:left="0" w:leftChars="0" w:firstLine="0" w:firstLineChars="0"/>
              <w:rPr>
                <w:rFonts w:hint="eastAsia"/>
                <w:lang w:val="en-US" w:eastAsia="zh-CN"/>
              </w:rPr>
            </w:pPr>
            <w:r>
              <w:drawing>
                <wp:inline distT="0" distB="0" distL="114300" distR="114300">
                  <wp:extent cx="4533900" cy="1966595"/>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1"/>
                          <a:srcRect t="12883"/>
                          <a:stretch>
                            <a:fillRect/>
                          </a:stretch>
                        </pic:blipFill>
                        <pic:spPr>
                          <a:xfrm>
                            <a:off x="0" y="0"/>
                            <a:ext cx="4533900" cy="196659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925"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施工方案</w:t>
            </w:r>
          </w:p>
        </w:tc>
        <w:tc>
          <w:tcPr>
            <w:tcW w:w="8165" w:type="dxa"/>
            <w:noWrap w:val="0"/>
            <w:vAlign w:val="center"/>
          </w:tcPr>
          <w:p>
            <w:pPr>
              <w:adjustRightInd w:val="0"/>
              <w:snapToGrid w:val="0"/>
              <w:rPr>
                <w:rFonts w:hint="eastAsia" w:ascii="宋体" w:hAnsi="宋体" w:eastAsia="宋体" w:cs="宋体"/>
                <w:spacing w:val="-1"/>
                <w:kern w:val="2"/>
                <w:position w:val="20"/>
                <w:sz w:val="24"/>
                <w:szCs w:val="24"/>
                <w:lang w:val="en-US" w:eastAsia="en-US" w:bidi="ar-SA"/>
              </w:rPr>
            </w:pPr>
            <w:r>
              <w:rPr>
                <w:rFonts w:hint="eastAsia" w:ascii="宋体" w:hAnsi="宋体" w:eastAsia="宋体" w:cs="宋体"/>
                <w:spacing w:val="-1"/>
                <w:kern w:val="2"/>
                <w:position w:val="20"/>
                <w:sz w:val="24"/>
                <w:szCs w:val="24"/>
                <w:lang w:val="en-US" w:eastAsia="en-US" w:bidi="ar-SA"/>
              </w:rPr>
              <w:t>1、施工方法：项目施工方法主要包括施工准备、建筑物基础开挖、回填等</w:t>
            </w:r>
          </w:p>
          <w:p>
            <w:pPr>
              <w:adjustRightInd w:val="0"/>
              <w:snapToGrid w:val="0"/>
              <w:rPr>
                <w:rFonts w:hint="eastAsia" w:ascii="宋体" w:hAnsi="宋体" w:eastAsia="宋体" w:cs="宋体"/>
                <w:spacing w:val="-1"/>
                <w:kern w:val="2"/>
                <w:position w:val="20"/>
                <w:sz w:val="24"/>
                <w:szCs w:val="24"/>
                <w:lang w:val="en-US" w:eastAsia="en-US" w:bidi="ar-SA"/>
              </w:rPr>
            </w:pPr>
            <w:r>
              <w:rPr>
                <w:rFonts w:hint="eastAsia" w:ascii="宋体" w:hAnsi="宋体" w:eastAsia="宋体" w:cs="宋体"/>
                <w:spacing w:val="-1"/>
                <w:kern w:val="2"/>
                <w:position w:val="20"/>
                <w:sz w:val="24"/>
                <w:szCs w:val="24"/>
                <w:lang w:val="en-US" w:eastAsia="en-US" w:bidi="ar-SA"/>
              </w:rPr>
              <w:t>2、施工机械：项目施工机械包括挖掘机、推土机、铲运机、拖拉机、自卸汽车、蛙式打夯机等，项目施工不采用挖泥船</w:t>
            </w:r>
            <w:r>
              <w:rPr>
                <w:rFonts w:hint="eastAsia" w:ascii="宋体" w:hAnsi="宋体" w:cs="宋体"/>
                <w:spacing w:val="-1"/>
                <w:kern w:val="2"/>
                <w:position w:val="20"/>
                <w:sz w:val="24"/>
                <w:szCs w:val="24"/>
                <w:lang w:val="en-US" w:eastAsia="zh-CN" w:bidi="ar-SA"/>
              </w:rPr>
              <w:t>，</w:t>
            </w:r>
            <w:r>
              <w:rPr>
                <w:rFonts w:hint="eastAsia" w:ascii="宋体" w:hAnsi="宋体" w:eastAsia="宋体" w:cs="宋体"/>
                <w:spacing w:val="-1"/>
                <w:kern w:val="2"/>
                <w:position w:val="20"/>
                <w:sz w:val="24"/>
                <w:szCs w:val="24"/>
                <w:lang w:val="en-US" w:eastAsia="en-US" w:bidi="ar-SA"/>
              </w:rPr>
              <w:t>（主要是河道清淤，河道清淤按照自上游至下游、先两侧后中央的顺序施工，枯水期施工，施工前，关闭上游拦河坝，防止上游来水，确保河道无水）。</w:t>
            </w:r>
          </w:p>
          <w:p>
            <w:pPr>
              <w:widowControl/>
              <w:kinsoku w:val="0"/>
              <w:autoSpaceDE w:val="0"/>
              <w:autoSpaceDN w:val="0"/>
              <w:adjustRightInd w:val="0"/>
              <w:spacing w:line="360" w:lineRule="auto"/>
              <w:ind w:firstLine="360" w:firstLineChars="150"/>
              <w:jc w:val="left"/>
              <w:textAlignment w:val="baseline"/>
              <w:rPr>
                <w:rFonts w:hint="eastAsia"/>
                <w:color w:val="FF0000"/>
                <w:sz w:val="24"/>
                <w:lang w:eastAsia="zh-CN"/>
              </w:rPr>
            </w:pPr>
            <w:r>
              <w:rPr>
                <w:rFonts w:hint="eastAsia"/>
                <w:color w:val="FF0000"/>
                <w:sz w:val="24"/>
                <w:lang w:eastAsia="zh-CN"/>
              </w:rPr>
              <w:t>施工机械设备详见下表：</w:t>
            </w:r>
          </w:p>
          <w:p>
            <w:pPr>
              <w:bidi w:val="0"/>
              <w:ind w:firstLine="422" w:firstLineChars="200"/>
              <w:jc w:val="center"/>
              <w:rPr>
                <w:rFonts w:hint="eastAsia" w:ascii="Times New Roman" w:hAnsi="Times New Roman" w:eastAsia="宋体" w:cs="Times New Roman"/>
                <w:b/>
                <w:bCs/>
                <w:color w:val="FF0000"/>
                <w:kern w:val="0"/>
                <w:sz w:val="21"/>
                <w:szCs w:val="21"/>
                <w:lang w:val="en-US" w:eastAsia="en-US"/>
              </w:rPr>
            </w:pPr>
            <w:r>
              <w:rPr>
                <w:rFonts w:hint="eastAsia" w:ascii="Times New Roman" w:hAnsi="Times New Roman" w:eastAsia="宋体" w:cs="Times New Roman"/>
                <w:b/>
                <w:bCs/>
                <w:color w:val="FF0000"/>
                <w:kern w:val="0"/>
                <w:sz w:val="21"/>
                <w:szCs w:val="21"/>
                <w:lang w:val="en-US" w:eastAsia="en-US"/>
              </w:rPr>
              <w:t>表2-</w:t>
            </w:r>
            <w:r>
              <w:rPr>
                <w:rFonts w:hint="eastAsia" w:ascii="Times New Roman" w:hAnsi="Times New Roman" w:eastAsia="宋体" w:cs="Times New Roman"/>
                <w:b/>
                <w:bCs/>
                <w:color w:val="FF0000"/>
                <w:kern w:val="0"/>
                <w:sz w:val="21"/>
                <w:szCs w:val="21"/>
                <w:lang w:val="en-US" w:eastAsia="zh-CN"/>
              </w:rPr>
              <w:t>5</w:t>
            </w:r>
            <w:r>
              <w:rPr>
                <w:rFonts w:hint="eastAsia" w:ascii="Times New Roman" w:hAnsi="Times New Roman" w:eastAsia="宋体" w:cs="Times New Roman"/>
                <w:b/>
                <w:bCs/>
                <w:color w:val="FF0000"/>
                <w:kern w:val="0"/>
                <w:sz w:val="21"/>
                <w:szCs w:val="21"/>
                <w:lang w:val="en-US" w:eastAsia="en-US"/>
              </w:rPr>
              <w:t xml:space="preserve">  </w:t>
            </w:r>
            <w:r>
              <w:rPr>
                <w:rFonts w:hint="eastAsia" w:ascii="Times New Roman" w:hAnsi="Times New Roman" w:eastAsia="宋体" w:cs="Times New Roman"/>
                <w:b/>
                <w:bCs/>
                <w:color w:val="FF0000"/>
                <w:kern w:val="0"/>
                <w:sz w:val="21"/>
                <w:szCs w:val="21"/>
                <w:lang w:val="en-US" w:eastAsia="zh-CN"/>
              </w:rPr>
              <w:t>施工机械设备</w:t>
            </w:r>
            <w:r>
              <w:rPr>
                <w:rFonts w:hint="eastAsia" w:ascii="Times New Roman" w:hAnsi="Times New Roman" w:eastAsia="宋体" w:cs="Times New Roman"/>
                <w:b/>
                <w:bCs/>
                <w:color w:val="FF0000"/>
                <w:kern w:val="0"/>
                <w:sz w:val="21"/>
                <w:szCs w:val="21"/>
                <w:lang w:val="en-US" w:eastAsia="en-US"/>
              </w:rPr>
              <w:t>表</w:t>
            </w:r>
          </w:p>
          <w:tbl>
            <w:tblPr>
              <w:tblStyle w:val="15"/>
              <w:tblpPr w:leftFromText="180" w:rightFromText="180" w:vertAnchor="text" w:horzAnchor="page" w:tblpX="1489" w:tblpY="3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785"/>
              <w:gridCol w:w="1608"/>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b/>
                      <w:bCs/>
                      <w:snapToGrid w:val="0"/>
                      <w:color w:val="000000"/>
                      <w:spacing w:val="8"/>
                      <w:kern w:val="0"/>
                      <w:sz w:val="20"/>
                      <w:szCs w:val="20"/>
                      <w:lang w:eastAsia="zh-CN"/>
                    </w:rPr>
                  </w:pPr>
                  <w:r>
                    <w:rPr>
                      <w:rFonts w:hint="default" w:ascii="Times New Roman" w:hAnsi="Times New Roman" w:eastAsia="宋体" w:cs="Times New Roman"/>
                      <w:b/>
                      <w:bCs/>
                      <w:snapToGrid w:val="0"/>
                      <w:color w:val="000000"/>
                      <w:spacing w:val="8"/>
                      <w:kern w:val="0"/>
                      <w:sz w:val="20"/>
                      <w:szCs w:val="20"/>
                      <w:lang w:eastAsia="zh-CN"/>
                    </w:rPr>
                    <w:t>序号</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b/>
                      <w:bCs/>
                      <w:snapToGrid w:val="0"/>
                      <w:color w:val="000000"/>
                      <w:spacing w:val="8"/>
                      <w:kern w:val="0"/>
                      <w:sz w:val="20"/>
                      <w:szCs w:val="20"/>
                      <w:lang w:eastAsia="zh-CN"/>
                    </w:rPr>
                  </w:pPr>
                  <w:r>
                    <w:rPr>
                      <w:rFonts w:hint="default" w:ascii="Times New Roman" w:hAnsi="Times New Roman" w:eastAsia="宋体" w:cs="Times New Roman"/>
                      <w:b/>
                      <w:bCs/>
                      <w:snapToGrid w:val="0"/>
                      <w:color w:val="000000"/>
                      <w:spacing w:val="8"/>
                      <w:kern w:val="0"/>
                      <w:sz w:val="20"/>
                      <w:szCs w:val="20"/>
                      <w:lang w:eastAsia="zh-CN"/>
                    </w:rPr>
                    <w:t>名称</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b/>
                      <w:bCs/>
                      <w:snapToGrid w:val="0"/>
                      <w:color w:val="000000"/>
                      <w:spacing w:val="8"/>
                      <w:kern w:val="0"/>
                      <w:sz w:val="20"/>
                      <w:szCs w:val="20"/>
                      <w:lang w:eastAsia="zh-CN"/>
                    </w:rPr>
                  </w:pPr>
                  <w:r>
                    <w:rPr>
                      <w:rFonts w:hint="default" w:ascii="Times New Roman" w:hAnsi="Times New Roman" w:eastAsia="宋体" w:cs="Times New Roman"/>
                      <w:b/>
                      <w:bCs/>
                      <w:snapToGrid w:val="0"/>
                      <w:color w:val="000000"/>
                      <w:spacing w:val="8"/>
                      <w:kern w:val="0"/>
                      <w:sz w:val="20"/>
                      <w:szCs w:val="20"/>
                      <w:lang w:eastAsia="zh-CN"/>
                    </w:rPr>
                    <w:t>规格</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b/>
                      <w:bCs/>
                      <w:snapToGrid w:val="0"/>
                      <w:color w:val="000000"/>
                      <w:spacing w:val="8"/>
                      <w:kern w:val="0"/>
                      <w:sz w:val="20"/>
                      <w:szCs w:val="20"/>
                      <w:lang w:eastAsia="zh-CN"/>
                    </w:rPr>
                  </w:pPr>
                  <w:r>
                    <w:rPr>
                      <w:rFonts w:hint="default" w:ascii="Times New Roman" w:hAnsi="Times New Roman" w:eastAsia="宋体" w:cs="Times New Roman"/>
                      <w:b/>
                      <w:bCs/>
                      <w:snapToGrid w:val="0"/>
                      <w:color w:val="000000"/>
                      <w:spacing w:val="8"/>
                      <w:kern w:val="0"/>
                      <w:sz w:val="20"/>
                      <w:szCs w:val="20"/>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1</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eastAsia="zh-CN"/>
                    </w:rPr>
                    <w:t>单斗挖掘机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1m</w:t>
                  </w:r>
                  <w:r>
                    <w:rPr>
                      <w:rFonts w:hint="eastAsia" w:ascii="Times New Roman" w:hAnsi="Times New Roman" w:eastAsia="宋体" w:cs="Times New Roman"/>
                      <w:snapToGrid w:val="0"/>
                      <w:color w:val="000000"/>
                      <w:spacing w:val="8"/>
                      <w:kern w:val="0"/>
                      <w:sz w:val="20"/>
                      <w:szCs w:val="20"/>
                      <w:vertAlign w:val="superscript"/>
                      <w:lang w:val="en-US" w:eastAsia="zh-CN"/>
                    </w:rPr>
                    <w:t>3</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eastAsia"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2</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default" w:ascii="Times New Roman" w:hAnsi="Times New Roman" w:eastAsia="宋体" w:cs="Times New Roman"/>
                      <w:snapToGrid w:val="0"/>
                      <w:color w:val="000000"/>
                      <w:spacing w:val="8"/>
                      <w:kern w:val="0"/>
                      <w:sz w:val="20"/>
                      <w:szCs w:val="20"/>
                      <w:lang w:eastAsia="zh-CN"/>
                    </w:rPr>
                    <w:t>单斗挖掘机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0.6m</w:t>
                  </w:r>
                  <w:r>
                    <w:rPr>
                      <w:rFonts w:hint="eastAsia" w:ascii="Times New Roman" w:hAnsi="Times New Roman" w:eastAsia="宋体" w:cs="Times New Roman"/>
                      <w:snapToGrid w:val="0"/>
                      <w:color w:val="000000"/>
                      <w:spacing w:val="8"/>
                      <w:kern w:val="0"/>
                      <w:sz w:val="20"/>
                      <w:szCs w:val="20"/>
                      <w:vertAlign w:val="superscript"/>
                      <w:lang w:val="en-US" w:eastAsia="zh-CN"/>
                    </w:rPr>
                    <w:t>3</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3</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default" w:ascii="Times New Roman" w:hAnsi="Times New Roman" w:eastAsia="宋体" w:cs="Times New Roman"/>
                      <w:snapToGrid w:val="0"/>
                      <w:color w:val="000000"/>
                      <w:spacing w:val="8"/>
                      <w:kern w:val="0"/>
                      <w:sz w:val="20"/>
                      <w:szCs w:val="20"/>
                      <w:lang w:eastAsia="zh-CN"/>
                    </w:rPr>
                    <w:t>推土机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59kW</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4</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default" w:ascii="Times New Roman" w:hAnsi="Times New Roman" w:eastAsia="宋体" w:cs="Times New Roman"/>
                      <w:snapToGrid w:val="0"/>
                      <w:color w:val="000000"/>
                      <w:spacing w:val="8"/>
                      <w:kern w:val="0"/>
                      <w:sz w:val="20"/>
                      <w:szCs w:val="20"/>
                      <w:lang w:eastAsia="zh-CN"/>
                    </w:rPr>
                    <w:t>推土机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74kW</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5</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default" w:ascii="Times New Roman" w:hAnsi="Times New Roman" w:eastAsia="宋体" w:cs="Times New Roman"/>
                      <w:snapToGrid w:val="0"/>
                      <w:color w:val="000000"/>
                      <w:spacing w:val="8"/>
                      <w:kern w:val="0"/>
                      <w:sz w:val="20"/>
                      <w:szCs w:val="20"/>
                      <w:lang w:eastAsia="zh-CN"/>
                    </w:rPr>
                    <w:t>推土机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88kW</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6</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default" w:ascii="Times New Roman" w:hAnsi="Times New Roman" w:eastAsia="宋体" w:cs="Times New Roman"/>
                      <w:snapToGrid w:val="0"/>
                      <w:color w:val="000000"/>
                      <w:spacing w:val="8"/>
                      <w:kern w:val="0"/>
                      <w:sz w:val="20"/>
                      <w:szCs w:val="20"/>
                      <w:lang w:eastAsia="zh-CN"/>
                    </w:rPr>
                    <w:t>拖拉机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74kW</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7</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default" w:ascii="Times New Roman" w:hAnsi="Times New Roman" w:eastAsia="宋体" w:cs="Times New Roman"/>
                      <w:snapToGrid w:val="0"/>
                      <w:color w:val="000000"/>
                      <w:spacing w:val="8"/>
                      <w:kern w:val="0"/>
                      <w:sz w:val="20"/>
                      <w:szCs w:val="20"/>
                      <w:lang w:eastAsia="zh-CN"/>
                    </w:rPr>
                    <w:t>平地机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118kW</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8</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default" w:ascii="Times New Roman" w:hAnsi="Times New Roman" w:eastAsia="宋体" w:cs="Times New Roman"/>
                      <w:snapToGrid w:val="0"/>
                      <w:color w:val="000000"/>
                      <w:spacing w:val="8"/>
                      <w:kern w:val="0"/>
                      <w:sz w:val="20"/>
                      <w:szCs w:val="20"/>
                      <w:lang w:eastAsia="zh-CN"/>
                    </w:rPr>
                    <w:t>压路机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8t</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9</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default" w:ascii="Times New Roman" w:hAnsi="Times New Roman" w:eastAsia="宋体" w:cs="Times New Roman"/>
                      <w:snapToGrid w:val="0"/>
                      <w:color w:val="000000"/>
                      <w:spacing w:val="8"/>
                      <w:kern w:val="0"/>
                      <w:sz w:val="20"/>
                      <w:szCs w:val="20"/>
                      <w:lang w:eastAsia="zh-CN"/>
                    </w:rPr>
                    <w:t>压路机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15t</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10</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default" w:ascii="Times New Roman" w:hAnsi="Times New Roman" w:eastAsia="宋体" w:cs="Times New Roman"/>
                      <w:snapToGrid w:val="0"/>
                      <w:color w:val="000000"/>
                      <w:spacing w:val="8"/>
                      <w:kern w:val="0"/>
                      <w:sz w:val="20"/>
                      <w:szCs w:val="20"/>
                      <w:lang w:eastAsia="zh-CN"/>
                    </w:rPr>
                    <w:t>刨毛机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11</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default" w:ascii="Times New Roman" w:hAnsi="Times New Roman" w:eastAsia="宋体" w:cs="Times New Roman"/>
                      <w:snapToGrid w:val="0"/>
                      <w:color w:val="000000"/>
                      <w:spacing w:val="8"/>
                      <w:kern w:val="0"/>
                      <w:sz w:val="20"/>
                      <w:szCs w:val="20"/>
                      <w:lang w:eastAsia="zh-CN"/>
                    </w:rPr>
                    <w:t>蛙式打夯机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2.8kW</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12</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default" w:ascii="Times New Roman" w:hAnsi="Times New Roman" w:eastAsia="宋体" w:cs="Times New Roman"/>
                      <w:snapToGrid w:val="0"/>
                      <w:color w:val="000000"/>
                      <w:spacing w:val="8"/>
                      <w:kern w:val="0"/>
                      <w:sz w:val="20"/>
                      <w:szCs w:val="20"/>
                      <w:lang w:eastAsia="zh-CN"/>
                    </w:rPr>
                    <w:t>土工布缝边机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13</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default" w:ascii="Times New Roman" w:hAnsi="Times New Roman" w:eastAsia="宋体" w:cs="Times New Roman"/>
                      <w:snapToGrid w:val="0"/>
                      <w:color w:val="000000"/>
                      <w:spacing w:val="8"/>
                      <w:kern w:val="0"/>
                      <w:sz w:val="20"/>
                      <w:szCs w:val="20"/>
                      <w:lang w:eastAsia="zh-CN"/>
                    </w:rPr>
                    <w:t>土工膜热焊机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ZPR-120</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14</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default" w:ascii="Times New Roman" w:hAnsi="Times New Roman" w:eastAsia="宋体" w:cs="Times New Roman"/>
                      <w:snapToGrid w:val="0"/>
                      <w:color w:val="000000"/>
                      <w:spacing w:val="8"/>
                      <w:kern w:val="0"/>
                      <w:sz w:val="20"/>
                      <w:szCs w:val="20"/>
                      <w:lang w:eastAsia="zh-CN"/>
                    </w:rPr>
                    <w:t>振捣机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1.1kW</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15</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bidi="ar-SA"/>
                    </w:rPr>
                  </w:pPr>
                  <w:r>
                    <w:rPr>
                      <w:rFonts w:hint="default" w:ascii="Times New Roman" w:hAnsi="Times New Roman" w:eastAsia="宋体" w:cs="Times New Roman"/>
                      <w:snapToGrid w:val="0"/>
                      <w:color w:val="000000"/>
                      <w:spacing w:val="8"/>
                      <w:kern w:val="0"/>
                      <w:sz w:val="20"/>
                      <w:szCs w:val="20"/>
                      <w:lang w:eastAsia="zh-CN"/>
                    </w:rPr>
                    <w:t>振捣机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1.2kW</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16</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变频机组</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8.5KVA</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17</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风水枪</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6min/m</w:t>
                  </w:r>
                  <w:r>
                    <w:rPr>
                      <w:rFonts w:hint="eastAsia" w:ascii="Times New Roman" w:hAnsi="Times New Roman" w:eastAsia="宋体" w:cs="Times New Roman"/>
                      <w:snapToGrid w:val="0"/>
                      <w:color w:val="000000"/>
                      <w:spacing w:val="8"/>
                      <w:kern w:val="0"/>
                      <w:sz w:val="20"/>
                      <w:szCs w:val="20"/>
                      <w:vertAlign w:val="superscript"/>
                      <w:lang w:val="en-US" w:eastAsia="zh-CN"/>
                    </w:rPr>
                    <w:t>3</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18</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载重车</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5t</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19</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载重车</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10t</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20</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自卸汽车</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8t</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21</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洒水车</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4.8m</w:t>
                  </w:r>
                  <w:r>
                    <w:rPr>
                      <w:rFonts w:hint="eastAsia" w:ascii="Times New Roman" w:hAnsi="Times New Roman" w:eastAsia="宋体" w:cs="Times New Roman"/>
                      <w:snapToGrid w:val="0"/>
                      <w:color w:val="000000"/>
                      <w:spacing w:val="8"/>
                      <w:kern w:val="0"/>
                      <w:sz w:val="20"/>
                      <w:szCs w:val="20"/>
                      <w:vertAlign w:val="superscript"/>
                      <w:lang w:val="en-US" w:eastAsia="zh-CN"/>
                    </w:rPr>
                    <w:t>3</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22</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起重机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10t</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23</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起重机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15t</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24</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起重机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25t</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default" w:ascii="Times New Roman" w:hAnsi="Times New Roman" w:eastAsia="宋体" w:cs="Times New Roman"/>
                      <w:snapToGrid w:val="0"/>
                      <w:color w:val="000000"/>
                      <w:spacing w:val="8"/>
                      <w:kern w:val="0"/>
                      <w:sz w:val="20"/>
                      <w:szCs w:val="20"/>
                      <w:lang w:val="en-US" w:eastAsia="zh-CN"/>
                    </w:rPr>
                    <w:t>25</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起重机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5t</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26</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eastAsia"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电焊机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25KVA</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27</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eastAsia"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对焊机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28</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eastAsia"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钢筋弯曲机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Φ60-40</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29</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eastAsia"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钢筋调直机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20kW</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30</w:t>
                  </w:r>
                </w:p>
              </w:tc>
              <w:tc>
                <w:tcPr>
                  <w:tcW w:w="1785" w:type="dxa"/>
                  <w:noWrap w:val="0"/>
                  <w:vAlign w:val="top"/>
                </w:tcPr>
                <w:p>
                  <w:pPr>
                    <w:widowControl/>
                    <w:kinsoku w:val="0"/>
                    <w:autoSpaceDE w:val="0"/>
                    <w:autoSpaceDN w:val="0"/>
                    <w:adjustRightInd w:val="0"/>
                    <w:snapToGrid w:val="0"/>
                    <w:spacing w:before="24" w:line="228" w:lineRule="auto"/>
                    <w:jc w:val="center"/>
                    <w:textAlignment w:val="baseline"/>
                    <w:rPr>
                      <w:rFonts w:hint="eastAsia" w:ascii="Times New Roman" w:hAnsi="Times New Roman" w:eastAsia="宋体" w:cs="Times New Roman"/>
                      <w:snapToGrid w:val="0"/>
                      <w:color w:val="000000"/>
                      <w:spacing w:val="8"/>
                      <w:kern w:val="0"/>
                      <w:sz w:val="20"/>
                      <w:szCs w:val="20"/>
                      <w:lang w:eastAsia="zh-CN"/>
                    </w:rPr>
                  </w:pPr>
                  <w:r>
                    <w:rPr>
                      <w:rFonts w:hint="eastAsia" w:ascii="Times New Roman" w:hAnsi="Times New Roman" w:eastAsia="宋体" w:cs="Times New Roman"/>
                      <w:snapToGrid w:val="0"/>
                      <w:color w:val="000000"/>
                      <w:spacing w:val="8"/>
                      <w:kern w:val="0"/>
                      <w:sz w:val="20"/>
                      <w:szCs w:val="20"/>
                      <w:lang w:eastAsia="zh-CN"/>
                    </w:rPr>
                    <w:t>钢筋切断机</w:t>
                  </w:r>
                </w:p>
              </w:tc>
              <w:tc>
                <w:tcPr>
                  <w:tcW w:w="1608"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lang w:val="en-US" w:eastAsia="zh-CN"/>
                    </w:rPr>
                  </w:pPr>
                  <w:r>
                    <w:rPr>
                      <w:rFonts w:hint="eastAsia" w:ascii="Times New Roman" w:hAnsi="Times New Roman" w:eastAsia="宋体" w:cs="Times New Roman"/>
                      <w:snapToGrid w:val="0"/>
                      <w:color w:val="000000"/>
                      <w:spacing w:val="8"/>
                      <w:kern w:val="0"/>
                      <w:sz w:val="20"/>
                      <w:szCs w:val="20"/>
                      <w:lang w:val="en-US" w:eastAsia="zh-CN"/>
                    </w:rPr>
                    <w:t>14kW</w:t>
                  </w:r>
                </w:p>
              </w:tc>
              <w:tc>
                <w:tcPr>
                  <w:tcW w:w="787" w:type="dxa"/>
                  <w:noWrap w:val="0"/>
                  <w:vAlign w:val="top"/>
                </w:tcPr>
                <w:p>
                  <w:pPr>
                    <w:widowControl/>
                    <w:kinsoku w:val="0"/>
                    <w:autoSpaceDE w:val="0"/>
                    <w:autoSpaceDN w:val="0"/>
                    <w:adjustRightInd w:val="0"/>
                    <w:snapToGrid w:val="0"/>
                    <w:spacing w:before="24" w:line="228" w:lineRule="auto"/>
                    <w:jc w:val="center"/>
                    <w:textAlignment w:val="baseline"/>
                    <w:rPr>
                      <w:rFonts w:hint="default" w:ascii="Times New Roman" w:hAnsi="Times New Roman" w:eastAsia="宋体" w:cs="Times New Roman"/>
                      <w:snapToGrid w:val="0"/>
                      <w:color w:val="000000"/>
                      <w:spacing w:val="8"/>
                      <w:kern w:val="0"/>
                      <w:sz w:val="20"/>
                      <w:szCs w:val="20"/>
                    </w:rPr>
                  </w:pPr>
                  <w:r>
                    <w:rPr>
                      <w:rFonts w:hint="eastAsia" w:ascii="Times New Roman" w:hAnsi="Times New Roman" w:eastAsia="宋体" w:cs="Times New Roman"/>
                      <w:snapToGrid w:val="0"/>
                      <w:color w:val="000000"/>
                      <w:spacing w:val="8"/>
                      <w:kern w:val="0"/>
                      <w:sz w:val="20"/>
                      <w:szCs w:val="20"/>
                      <w:lang w:val="en-US" w:eastAsia="zh-CN"/>
                    </w:rPr>
                    <w:t>1</w:t>
                  </w:r>
                </w:p>
              </w:tc>
            </w:tr>
          </w:tbl>
          <w:p>
            <w:pPr>
              <w:pStyle w:val="13"/>
              <w:rPr>
                <w:rFonts w:hint="eastAsia"/>
                <w:lang w:val="en-US" w:eastAsia="en-US"/>
              </w:rPr>
            </w:pPr>
          </w:p>
          <w:p>
            <w:pPr>
              <w:rPr>
                <w:rFonts w:hint="eastAsia"/>
                <w:lang w:val="en-US" w:eastAsia="en-US"/>
              </w:rPr>
            </w:pPr>
          </w:p>
          <w:p>
            <w:pPr>
              <w:pStyle w:val="13"/>
              <w:rPr>
                <w:rFonts w:hint="eastAsia"/>
                <w:lang w:val="en-US" w:eastAsia="en-US"/>
              </w:rPr>
            </w:pPr>
          </w:p>
          <w:p>
            <w:pPr>
              <w:rPr>
                <w:rFonts w:hint="eastAsia"/>
                <w:lang w:val="en-US" w:eastAsia="en-US"/>
              </w:rPr>
            </w:pPr>
          </w:p>
          <w:p>
            <w:pPr>
              <w:rPr>
                <w:rFonts w:hint="eastAsia"/>
                <w:lang w:val="en-US" w:eastAsia="en-US"/>
              </w:rPr>
            </w:pPr>
          </w:p>
          <w:p>
            <w:pPr>
              <w:adjustRightInd w:val="0"/>
              <w:snapToGrid w:val="0"/>
              <w:jc w:val="center"/>
              <w:rPr>
                <w:rFonts w:hint="eastAsia" w:ascii="宋体" w:hAnsi="宋体" w:eastAsia="宋体" w:cs="宋体"/>
                <w:spacing w:val="-1"/>
                <w:kern w:val="2"/>
                <w:position w:val="20"/>
                <w:sz w:val="24"/>
                <w:szCs w:val="24"/>
                <w:lang w:val="en-US" w:eastAsia="zh-CN" w:bidi="ar-SA"/>
              </w:rPr>
            </w:pPr>
            <w:r>
              <w:rPr>
                <w:rFonts w:hint="eastAsia" w:ascii="宋体" w:hAnsi="宋体" w:eastAsia="宋体" w:cs="宋体"/>
                <w:spacing w:val="-1"/>
                <w:kern w:val="2"/>
                <w:position w:val="20"/>
                <w:sz w:val="24"/>
                <w:szCs w:val="24"/>
                <w:lang w:val="en-US" w:eastAsia="zh-CN" w:bidi="ar-SA"/>
              </w:rPr>
              <w:drawing>
                <wp:inline distT="0" distB="0" distL="114300" distR="114300">
                  <wp:extent cx="2834005" cy="1065530"/>
                  <wp:effectExtent l="0" t="0" r="4445" b="1270"/>
                  <wp:docPr id="2" name="图片 7" descr="170053088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1700530885393"/>
                          <pic:cNvPicPr>
                            <a:picLocks noChangeAspect="1"/>
                          </pic:cNvPicPr>
                        </pic:nvPicPr>
                        <pic:blipFill>
                          <a:blip r:embed="rId12"/>
                          <a:stretch>
                            <a:fillRect/>
                          </a:stretch>
                        </pic:blipFill>
                        <pic:spPr>
                          <a:xfrm>
                            <a:off x="0" y="0"/>
                            <a:ext cx="2834005" cy="1065530"/>
                          </a:xfrm>
                          <a:prstGeom prst="rect">
                            <a:avLst/>
                          </a:prstGeom>
                          <a:noFill/>
                          <a:ln>
                            <a:noFill/>
                          </a:ln>
                        </pic:spPr>
                      </pic:pic>
                    </a:graphicData>
                  </a:graphic>
                </wp:inline>
              </w:drawing>
            </w:r>
          </w:p>
          <w:p>
            <w:pPr>
              <w:numPr>
                <w:ilvl w:val="0"/>
                <w:numId w:val="0"/>
              </w:numPr>
              <w:autoSpaceDE w:val="0"/>
              <w:autoSpaceDN w:val="0"/>
              <w:adjustRightInd w:val="0"/>
              <w:snapToGrid w:val="0"/>
              <w:jc w:val="center"/>
              <w:rPr>
                <w:rFonts w:hint="eastAsia" w:ascii="Times New Roman" w:hAnsi="Times New Roman" w:eastAsia="宋体" w:cs="Times New Roman"/>
                <w:b/>
                <w:bCs/>
                <w:kern w:val="0"/>
                <w:sz w:val="21"/>
                <w:szCs w:val="21"/>
                <w:lang w:val="en-US" w:eastAsia="en-US"/>
              </w:rPr>
            </w:pPr>
            <w:r>
              <w:rPr>
                <w:rFonts w:hint="eastAsia" w:ascii="Times New Roman" w:hAnsi="Times New Roman" w:eastAsia="宋体" w:cs="Times New Roman"/>
                <w:b/>
                <w:bCs/>
                <w:kern w:val="0"/>
                <w:sz w:val="21"/>
                <w:szCs w:val="21"/>
                <w:lang w:val="en-US" w:eastAsia="en-US"/>
              </w:rPr>
              <w:t>图</w:t>
            </w:r>
            <w:r>
              <w:rPr>
                <w:rFonts w:hint="eastAsia" w:ascii="Times New Roman" w:hAnsi="Times New Roman" w:eastAsia="宋体" w:cs="Times New Roman"/>
                <w:b/>
                <w:bCs/>
                <w:kern w:val="0"/>
                <w:sz w:val="21"/>
                <w:szCs w:val="21"/>
                <w:lang w:val="en-US" w:eastAsia="zh-CN"/>
              </w:rPr>
              <w:t>2-</w:t>
            </w:r>
            <w:r>
              <w:rPr>
                <w:rFonts w:hint="eastAsia" w:ascii="Times New Roman" w:hAnsi="Times New Roman" w:eastAsia="宋体" w:cs="Times New Roman"/>
                <w:b/>
                <w:bCs/>
                <w:kern w:val="0"/>
                <w:sz w:val="21"/>
                <w:szCs w:val="21"/>
                <w:lang w:val="en-US" w:eastAsia="en-US"/>
              </w:rPr>
              <w:t>1  河道清淤扩工程工艺流程及产污环节图</w:t>
            </w:r>
          </w:p>
          <w:p>
            <w:pPr>
              <w:adjustRightInd w:val="0"/>
              <w:snapToGrid w:val="0"/>
              <w:ind w:firstLine="476" w:firstLineChars="200"/>
              <w:rPr>
                <w:rFonts w:hint="eastAsia" w:ascii="宋体" w:hAnsi="宋体" w:eastAsia="宋体" w:cs="宋体"/>
                <w:spacing w:val="-1"/>
                <w:kern w:val="2"/>
                <w:position w:val="20"/>
                <w:sz w:val="24"/>
                <w:szCs w:val="24"/>
                <w:lang w:val="en-US" w:eastAsia="zh-CN" w:bidi="ar-SA"/>
              </w:rPr>
            </w:pPr>
            <w:r>
              <w:rPr>
                <w:rFonts w:hint="eastAsia" w:ascii="宋体" w:hAnsi="宋体" w:eastAsia="宋体" w:cs="宋体"/>
                <w:spacing w:val="-1"/>
                <w:kern w:val="2"/>
                <w:position w:val="20"/>
                <w:sz w:val="24"/>
                <w:szCs w:val="24"/>
                <w:lang w:val="en-US" w:eastAsia="en-US" w:bidi="ar-SA"/>
              </w:rPr>
              <w:t>根据建设单位提供的资料</w:t>
            </w:r>
            <w:r>
              <w:rPr>
                <w:rFonts w:hint="eastAsia" w:ascii="宋体" w:hAnsi="宋体" w:cs="宋体"/>
                <w:spacing w:val="-1"/>
                <w:kern w:val="2"/>
                <w:position w:val="20"/>
                <w:sz w:val="24"/>
                <w:szCs w:val="24"/>
                <w:lang w:val="en-US" w:eastAsia="zh-CN" w:bidi="ar-SA"/>
              </w:rPr>
              <w:t>及</w:t>
            </w:r>
            <w:r>
              <w:rPr>
                <w:rFonts w:hint="eastAsia" w:ascii="宋体" w:hAnsi="宋体" w:eastAsia="宋体" w:cs="宋体"/>
                <w:spacing w:val="-1"/>
                <w:kern w:val="2"/>
                <w:position w:val="20"/>
                <w:sz w:val="24"/>
                <w:szCs w:val="24"/>
                <w:lang w:val="en-US" w:eastAsia="en-US" w:bidi="ar-SA"/>
              </w:rPr>
              <w:t>现场调查，由于</w:t>
            </w:r>
            <w:r>
              <w:rPr>
                <w:rFonts w:hint="eastAsia" w:ascii="宋体" w:hAnsi="宋体" w:eastAsia="宋体" w:cs="宋体"/>
                <w:spacing w:val="-1"/>
                <w:kern w:val="2"/>
                <w:position w:val="20"/>
                <w:sz w:val="24"/>
                <w:szCs w:val="24"/>
                <w:lang w:val="en-US" w:eastAsia="zh-CN" w:bidi="ar-SA"/>
              </w:rPr>
              <w:t>五井石河</w:t>
            </w:r>
            <w:r>
              <w:rPr>
                <w:rFonts w:hint="eastAsia" w:ascii="宋体" w:hAnsi="宋体" w:eastAsia="宋体" w:cs="宋体"/>
                <w:color w:val="auto"/>
                <w:spacing w:val="-1"/>
                <w:kern w:val="2"/>
                <w:position w:val="20"/>
                <w:sz w:val="24"/>
                <w:szCs w:val="24"/>
                <w:lang w:val="en-US" w:eastAsia="en-US" w:bidi="ar-SA"/>
              </w:rPr>
              <w:t>属于季节性河流，</w:t>
            </w:r>
            <w:r>
              <w:rPr>
                <w:rFonts w:hint="eastAsia" w:ascii="宋体" w:hAnsi="宋体" w:eastAsia="宋体" w:cs="宋体"/>
                <w:spacing w:val="-1"/>
                <w:kern w:val="2"/>
                <w:position w:val="20"/>
                <w:sz w:val="24"/>
                <w:szCs w:val="24"/>
                <w:lang w:val="en-US" w:eastAsia="en-US" w:bidi="ar-SA"/>
              </w:rPr>
              <w:t>因此，项目枯水期施工，并在施工段上游设置围堰，施工期间，河道无流动水体</w:t>
            </w:r>
            <w:r>
              <w:rPr>
                <w:rFonts w:hint="eastAsia" w:ascii="宋体" w:hAnsi="宋体" w:cs="宋体"/>
                <w:spacing w:val="-1"/>
                <w:kern w:val="2"/>
                <w:position w:val="20"/>
                <w:sz w:val="24"/>
                <w:szCs w:val="24"/>
                <w:lang w:val="en-US" w:eastAsia="zh-CN" w:bidi="ar-SA"/>
              </w:rPr>
              <w:t>。</w:t>
            </w:r>
          </w:p>
          <w:p>
            <w:pPr>
              <w:adjustRightInd w:val="0"/>
              <w:snapToGrid w:val="0"/>
              <w:ind w:firstLine="476" w:firstLineChars="200"/>
              <w:rPr>
                <w:rFonts w:hint="eastAsia" w:ascii="宋体" w:hAnsi="宋体" w:eastAsia="宋体" w:cs="宋体"/>
                <w:spacing w:val="-1"/>
                <w:kern w:val="2"/>
                <w:position w:val="20"/>
                <w:sz w:val="24"/>
                <w:szCs w:val="24"/>
                <w:lang w:val="en-US" w:eastAsia="en-US" w:bidi="ar-SA"/>
              </w:rPr>
            </w:pPr>
            <w:r>
              <w:rPr>
                <w:rFonts w:hint="eastAsia" w:ascii="宋体" w:hAnsi="宋体" w:eastAsia="宋体" w:cs="宋体"/>
                <w:spacing w:val="-1"/>
                <w:kern w:val="2"/>
                <w:position w:val="20"/>
                <w:sz w:val="24"/>
                <w:szCs w:val="24"/>
                <w:lang w:val="en-US" w:eastAsia="en-US" w:bidi="ar-SA"/>
              </w:rPr>
              <w:t>河道清理：主要是河道清淤，河道清淤按照自上游至下游、先两侧后中央的顺序施工</w:t>
            </w:r>
            <w:r>
              <w:rPr>
                <w:rFonts w:hint="eastAsia" w:ascii="宋体" w:hAnsi="宋体" w:eastAsia="宋体" w:cs="宋体"/>
                <w:spacing w:val="-1"/>
                <w:kern w:val="2"/>
                <w:position w:val="20"/>
                <w:sz w:val="24"/>
                <w:szCs w:val="24"/>
                <w:lang w:val="en-US" w:eastAsia="zh-CN" w:bidi="ar-SA"/>
              </w:rPr>
              <w:t>。</w:t>
            </w:r>
            <w:r>
              <w:rPr>
                <w:rFonts w:hint="eastAsia" w:ascii="宋体" w:hAnsi="宋体" w:eastAsia="宋体" w:cs="宋体"/>
                <w:spacing w:val="-1"/>
                <w:kern w:val="2"/>
                <w:position w:val="20"/>
                <w:sz w:val="24"/>
                <w:szCs w:val="24"/>
                <w:lang w:val="en-US" w:eastAsia="en-US" w:bidi="ar-SA"/>
              </w:rPr>
              <w:t>首先，采用挖掘机进行河道两侧的淤泥挖掘，污泥运输车与挖掘机配合，清理产生的污泥由运输车及时清运，污泥用于五井石河治理工程。</w:t>
            </w:r>
          </w:p>
          <w:p>
            <w:pPr>
              <w:adjustRightInd w:val="0"/>
              <w:snapToGrid w:val="0"/>
              <w:ind w:firstLine="476" w:firstLineChars="200"/>
              <w:rPr>
                <w:rFonts w:hint="eastAsia" w:ascii="宋体" w:hAnsi="宋体" w:eastAsia="宋体" w:cs="宋体"/>
                <w:spacing w:val="-1"/>
                <w:kern w:val="2"/>
                <w:position w:val="20"/>
                <w:sz w:val="24"/>
                <w:szCs w:val="24"/>
                <w:lang w:val="en-US" w:eastAsia="en-US" w:bidi="ar-SA"/>
              </w:rPr>
            </w:pPr>
            <w:r>
              <w:rPr>
                <w:rFonts w:hint="eastAsia" w:ascii="宋体" w:hAnsi="宋体" w:eastAsia="宋体" w:cs="宋体"/>
                <w:spacing w:val="-1"/>
                <w:kern w:val="2"/>
                <w:position w:val="20"/>
                <w:sz w:val="24"/>
                <w:szCs w:val="24"/>
                <w:lang w:val="en-US" w:eastAsia="en-US" w:bidi="ar-SA"/>
              </w:rPr>
              <w:t>河道开挖：根据设计定线，利用推土机、挖掘机等开挖河道，开发河道产生土方，根据工程余方综合利用承诺书，项目产生的余方用于五井石河治理。</w:t>
            </w:r>
          </w:p>
          <w:p>
            <w:pPr>
              <w:adjustRightInd w:val="0"/>
              <w:snapToGrid w:val="0"/>
              <w:ind w:firstLine="476" w:firstLineChars="200"/>
              <w:rPr>
                <w:rFonts w:hint="eastAsia" w:ascii="宋体" w:hAnsi="宋体" w:eastAsia="宋体" w:cs="宋体"/>
                <w:spacing w:val="-1"/>
                <w:kern w:val="2"/>
                <w:position w:val="20"/>
                <w:sz w:val="24"/>
                <w:szCs w:val="24"/>
                <w:lang w:val="en-US" w:eastAsia="en-US" w:bidi="ar-SA"/>
              </w:rPr>
            </w:pPr>
            <w:r>
              <w:rPr>
                <w:rFonts w:hint="eastAsia" w:ascii="宋体" w:hAnsi="宋体" w:eastAsia="宋体" w:cs="宋体"/>
                <w:spacing w:val="-1"/>
                <w:kern w:val="2"/>
                <w:position w:val="20"/>
                <w:sz w:val="24"/>
                <w:szCs w:val="24"/>
                <w:lang w:val="en-US" w:eastAsia="en-US" w:bidi="ar-SA"/>
              </w:rPr>
              <w:t>土方回填</w:t>
            </w:r>
            <w:r>
              <w:rPr>
                <w:rFonts w:hint="eastAsia" w:ascii="宋体" w:hAnsi="宋体" w:cs="宋体"/>
                <w:spacing w:val="-1"/>
                <w:kern w:val="2"/>
                <w:position w:val="20"/>
                <w:sz w:val="24"/>
                <w:szCs w:val="24"/>
                <w:lang w:val="en-US" w:eastAsia="zh-CN" w:bidi="ar-SA"/>
              </w:rPr>
              <w:t>：</w:t>
            </w:r>
            <w:r>
              <w:rPr>
                <w:rFonts w:hint="eastAsia" w:ascii="宋体" w:hAnsi="宋体" w:eastAsia="宋体" w:cs="宋体"/>
                <w:spacing w:val="-1"/>
                <w:kern w:val="2"/>
                <w:position w:val="20"/>
                <w:sz w:val="24"/>
                <w:szCs w:val="24"/>
                <w:lang w:val="en-US" w:eastAsia="en-US" w:bidi="ar-SA"/>
              </w:rPr>
              <w:t>采用双胶轮车运输，人工整平，蛙式打夯机夯实的施工方法。</w:t>
            </w:r>
          </w:p>
          <w:p>
            <w:pPr>
              <w:adjustRightInd w:val="0"/>
              <w:snapToGrid w:val="0"/>
              <w:ind w:firstLine="476" w:firstLineChars="200"/>
              <w:rPr>
                <w:rFonts w:hint="eastAsia" w:ascii="宋体" w:hAnsi="宋体" w:eastAsia="宋体" w:cs="宋体"/>
                <w:spacing w:val="-1"/>
                <w:kern w:val="2"/>
                <w:position w:val="20"/>
                <w:sz w:val="24"/>
                <w:szCs w:val="24"/>
                <w:lang w:val="en-US" w:eastAsia="en-US" w:bidi="ar-SA"/>
              </w:rPr>
            </w:pPr>
            <w:r>
              <w:rPr>
                <w:rFonts w:hint="eastAsia" w:ascii="宋体" w:hAnsi="宋体" w:eastAsia="宋体" w:cs="宋体"/>
                <w:spacing w:val="-1"/>
                <w:kern w:val="2"/>
                <w:position w:val="20"/>
                <w:sz w:val="24"/>
                <w:szCs w:val="24"/>
                <w:lang w:val="en-US" w:eastAsia="en-US" w:bidi="ar-SA"/>
              </w:rPr>
              <w:t>砌石工程</w:t>
            </w:r>
            <w:r>
              <w:rPr>
                <w:rFonts w:hint="eastAsia" w:ascii="宋体" w:hAnsi="宋体" w:cs="宋体"/>
                <w:spacing w:val="-1"/>
                <w:kern w:val="2"/>
                <w:position w:val="20"/>
                <w:sz w:val="24"/>
                <w:szCs w:val="24"/>
                <w:lang w:val="en-US" w:eastAsia="zh-CN" w:bidi="ar-SA"/>
              </w:rPr>
              <w:t>：</w:t>
            </w:r>
            <w:r>
              <w:rPr>
                <w:rFonts w:hint="eastAsia" w:ascii="宋体" w:hAnsi="宋体" w:eastAsia="宋体" w:cs="宋体"/>
                <w:spacing w:val="-1"/>
                <w:kern w:val="2"/>
                <w:position w:val="20"/>
                <w:sz w:val="24"/>
                <w:szCs w:val="24"/>
                <w:lang w:val="en-US" w:eastAsia="en-US" w:bidi="ar-SA"/>
              </w:rPr>
              <w:t>旧砌体采用机械拆除，胶轮车运输的方法。新建砌体采用胶轮车运输至砌筑部位后人工搬运就位，人工砌筑。砌筑应采用坐浆法分层进行、上下错缝、内外搭砌，铺浆厚度3～5cm，随铺浆随砌筑，填筑砂浆应饱满，严禁采用外面侧立石块、中间填心的砌筑方法。</w:t>
            </w:r>
          </w:p>
          <w:p>
            <w:pPr>
              <w:adjustRightInd w:val="0"/>
              <w:snapToGrid w:val="0"/>
              <w:ind w:firstLine="476" w:firstLineChars="200"/>
              <w:rPr>
                <w:rFonts w:hint="eastAsia" w:ascii="宋体" w:hAnsi="宋体" w:eastAsia="宋体" w:cs="宋体"/>
                <w:spacing w:val="-1"/>
                <w:kern w:val="2"/>
                <w:position w:val="20"/>
                <w:sz w:val="24"/>
                <w:szCs w:val="24"/>
                <w:lang w:val="en-US" w:eastAsia="en-US" w:bidi="ar-SA"/>
              </w:rPr>
            </w:pPr>
            <w:r>
              <w:rPr>
                <w:rFonts w:hint="eastAsia" w:ascii="宋体" w:hAnsi="宋体" w:eastAsia="宋体" w:cs="宋体"/>
                <w:spacing w:val="-1"/>
                <w:kern w:val="2"/>
                <w:position w:val="20"/>
                <w:sz w:val="24"/>
                <w:szCs w:val="24"/>
                <w:lang w:val="en-US" w:eastAsia="en-US" w:bidi="ar-SA"/>
              </w:rPr>
              <w:t>格宾石笼施工：格宾石笼工程采用人工铺放生态格网，人工砌筑块石，隔片间连接采用人工绑扎。</w:t>
            </w:r>
          </w:p>
          <w:p>
            <w:pPr>
              <w:adjustRightInd w:val="0"/>
              <w:snapToGrid w:val="0"/>
              <w:ind w:firstLine="476" w:firstLineChars="200"/>
              <w:rPr>
                <w:rFonts w:hint="eastAsia" w:ascii="宋体" w:hAnsi="宋体" w:eastAsia="宋体" w:cs="宋体"/>
                <w:spacing w:val="-1"/>
                <w:kern w:val="2"/>
                <w:position w:val="20"/>
                <w:sz w:val="24"/>
                <w:szCs w:val="24"/>
                <w:lang w:val="en-US" w:eastAsia="en-US" w:bidi="ar-SA"/>
              </w:rPr>
            </w:pPr>
            <w:r>
              <w:rPr>
                <w:rFonts w:hint="eastAsia" w:ascii="宋体" w:hAnsi="宋体" w:eastAsia="宋体" w:cs="宋体"/>
                <w:spacing w:val="-1"/>
                <w:kern w:val="2"/>
                <w:position w:val="20"/>
                <w:sz w:val="24"/>
                <w:szCs w:val="24"/>
                <w:lang w:val="en-US" w:eastAsia="en-US" w:bidi="ar-SA"/>
              </w:rPr>
              <w:t>无纺布铺设：生态格网格宾石笼护岸下设15kN/m短纤针刺无纺布，采用人工铺设。</w:t>
            </w:r>
          </w:p>
          <w:p>
            <w:pPr>
              <w:adjustRightInd w:val="0"/>
              <w:snapToGrid w:val="0"/>
              <w:ind w:firstLine="476" w:firstLineChars="200"/>
              <w:rPr>
                <w:rFonts w:hint="eastAsia" w:ascii="宋体" w:hAnsi="宋体" w:eastAsia="宋体" w:cs="宋体"/>
                <w:spacing w:val="-1"/>
                <w:kern w:val="2"/>
                <w:position w:val="20"/>
                <w:sz w:val="24"/>
                <w:szCs w:val="24"/>
                <w:lang w:val="en-US" w:eastAsia="zh-CN" w:bidi="ar-SA"/>
              </w:rPr>
            </w:pPr>
            <w:r>
              <w:rPr>
                <w:rFonts w:hint="eastAsia" w:ascii="宋体" w:hAnsi="宋体" w:eastAsia="宋体" w:cs="宋体"/>
                <w:spacing w:val="-1"/>
                <w:kern w:val="2"/>
                <w:position w:val="20"/>
                <w:sz w:val="24"/>
                <w:szCs w:val="24"/>
                <w:lang w:val="en-US" w:eastAsia="zh-CN" w:bidi="ar-SA"/>
              </w:rPr>
              <w:drawing>
                <wp:inline distT="0" distB="0" distL="114300" distR="114300">
                  <wp:extent cx="4591050" cy="1895475"/>
                  <wp:effectExtent l="0" t="0" r="0" b="9525"/>
                  <wp:docPr id="3" name="图片 8" descr="170053417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700534173503"/>
                          <pic:cNvPicPr>
                            <a:picLocks noChangeAspect="1"/>
                          </pic:cNvPicPr>
                        </pic:nvPicPr>
                        <pic:blipFill>
                          <a:blip r:embed="rId13"/>
                          <a:stretch>
                            <a:fillRect/>
                          </a:stretch>
                        </pic:blipFill>
                        <pic:spPr>
                          <a:xfrm>
                            <a:off x="0" y="0"/>
                            <a:ext cx="4591050" cy="1895475"/>
                          </a:xfrm>
                          <a:prstGeom prst="rect">
                            <a:avLst/>
                          </a:prstGeom>
                          <a:noFill/>
                          <a:ln>
                            <a:noFill/>
                          </a:ln>
                        </pic:spPr>
                      </pic:pic>
                    </a:graphicData>
                  </a:graphic>
                </wp:inline>
              </w:drawing>
            </w:r>
          </w:p>
          <w:p>
            <w:pPr>
              <w:numPr>
                <w:ilvl w:val="0"/>
                <w:numId w:val="0"/>
              </w:numPr>
              <w:autoSpaceDE w:val="0"/>
              <w:autoSpaceDN w:val="0"/>
              <w:adjustRightInd w:val="0"/>
              <w:snapToGrid w:val="0"/>
              <w:jc w:val="center"/>
              <w:rPr>
                <w:rFonts w:hint="eastAsia" w:ascii="宋体" w:hAnsi="宋体" w:eastAsia="宋体" w:cs="宋体"/>
                <w:spacing w:val="-1"/>
                <w:kern w:val="2"/>
                <w:position w:val="20"/>
                <w:sz w:val="24"/>
                <w:szCs w:val="24"/>
                <w:lang w:val="en-US" w:eastAsia="zh-CN" w:bidi="ar-SA"/>
              </w:rPr>
            </w:pPr>
            <w:r>
              <w:rPr>
                <w:rFonts w:hint="eastAsia" w:ascii="Times New Roman" w:hAnsi="Times New Roman" w:eastAsia="宋体" w:cs="Times New Roman"/>
                <w:b/>
                <w:bCs/>
                <w:kern w:val="0"/>
                <w:sz w:val="21"/>
                <w:szCs w:val="21"/>
                <w:lang w:val="en-US" w:eastAsia="en-US"/>
              </w:rPr>
              <w:t>图</w:t>
            </w:r>
            <w:r>
              <w:rPr>
                <w:rFonts w:hint="eastAsia" w:ascii="Times New Roman" w:hAnsi="Times New Roman" w:eastAsia="宋体" w:cs="Times New Roman"/>
                <w:b/>
                <w:bCs/>
                <w:kern w:val="0"/>
                <w:sz w:val="21"/>
                <w:szCs w:val="21"/>
                <w:lang w:val="en-US" w:eastAsia="zh-CN"/>
              </w:rPr>
              <w:t>2-2</w:t>
            </w:r>
            <w:r>
              <w:rPr>
                <w:rFonts w:hint="eastAsia" w:ascii="Times New Roman" w:hAnsi="Times New Roman" w:eastAsia="宋体" w:cs="Times New Roman"/>
                <w:b/>
                <w:bCs/>
                <w:kern w:val="0"/>
                <w:sz w:val="21"/>
                <w:szCs w:val="21"/>
                <w:lang w:val="en-US" w:eastAsia="en-US"/>
              </w:rPr>
              <w:t xml:space="preserve">    堤</w:t>
            </w:r>
            <w:r>
              <w:rPr>
                <w:rFonts w:hint="eastAsia" w:ascii="Times New Roman" w:hAnsi="Times New Roman" w:eastAsia="宋体" w:cs="Times New Roman"/>
                <w:b/>
                <w:bCs/>
                <w:color w:val="auto"/>
                <w:kern w:val="0"/>
                <w:sz w:val="21"/>
                <w:szCs w:val="21"/>
                <w:lang w:val="en-US" w:eastAsia="en-US"/>
              </w:rPr>
              <w:t>防、护坡、拦蓄等工程工艺流程及</w:t>
            </w:r>
            <w:r>
              <w:rPr>
                <w:rFonts w:hint="eastAsia" w:ascii="Times New Roman" w:hAnsi="Times New Roman" w:eastAsia="宋体" w:cs="Times New Roman"/>
                <w:b/>
                <w:bCs/>
                <w:kern w:val="0"/>
                <w:sz w:val="21"/>
                <w:szCs w:val="21"/>
                <w:lang w:val="en-US" w:eastAsia="en-US"/>
              </w:rPr>
              <w:t>产污环节图</w:t>
            </w:r>
          </w:p>
          <w:p>
            <w:pPr>
              <w:adjustRightInd w:val="0"/>
              <w:snapToGrid w:val="0"/>
              <w:rPr>
                <w:rFonts w:hint="eastAsia" w:ascii="宋体" w:hAnsi="宋体" w:eastAsia="宋体" w:cs="宋体"/>
                <w:spacing w:val="-1"/>
                <w:kern w:val="2"/>
                <w:position w:val="20"/>
                <w:sz w:val="24"/>
                <w:szCs w:val="24"/>
                <w:lang w:val="en-US" w:eastAsia="zh-CN" w:bidi="ar-SA"/>
              </w:rPr>
            </w:pPr>
            <w:r>
              <w:rPr>
                <w:rFonts w:hint="eastAsia"/>
                <w:color w:val="FF0000"/>
                <w:sz w:val="24"/>
              </w:rPr>
              <w:t>本项目计划建设周期约为</w:t>
            </w:r>
            <w:r>
              <w:rPr>
                <w:rFonts w:hint="eastAsia"/>
                <w:color w:val="FF0000"/>
                <w:sz w:val="24"/>
                <w:lang w:val="en-US" w:eastAsia="zh-CN"/>
              </w:rPr>
              <w:t>14</w:t>
            </w:r>
            <w:r>
              <w:rPr>
                <w:color w:val="FF0000"/>
                <w:sz w:val="24"/>
              </w:rPr>
              <w:t>个月</w:t>
            </w:r>
            <w:r>
              <w:rPr>
                <w:rFonts w:hint="eastAsia"/>
                <w:color w:val="FF0000"/>
                <w:sz w:val="24"/>
              </w:rPr>
              <w:t>，拟在</w:t>
            </w:r>
            <w:r>
              <w:rPr>
                <w:color w:val="FF0000"/>
                <w:sz w:val="24"/>
              </w:rPr>
              <w:t>2024年</w:t>
            </w:r>
            <w:r>
              <w:rPr>
                <w:rFonts w:hint="eastAsia"/>
                <w:color w:val="FF0000"/>
                <w:sz w:val="24"/>
                <w:lang w:val="en-US" w:eastAsia="zh-CN"/>
              </w:rPr>
              <w:t>3</w:t>
            </w:r>
            <w:r>
              <w:rPr>
                <w:color w:val="FF0000"/>
                <w:sz w:val="24"/>
              </w:rPr>
              <w:t>月到202</w:t>
            </w:r>
            <w:r>
              <w:rPr>
                <w:rFonts w:hint="eastAsia"/>
                <w:color w:val="FF0000"/>
                <w:sz w:val="24"/>
                <w:lang w:val="en-US" w:eastAsia="zh-CN"/>
              </w:rPr>
              <w:t>5</w:t>
            </w:r>
            <w:r>
              <w:rPr>
                <w:color w:val="FF0000"/>
                <w:sz w:val="24"/>
              </w:rPr>
              <w:t>年</w:t>
            </w:r>
            <w:r>
              <w:rPr>
                <w:rFonts w:hint="eastAsia"/>
                <w:color w:val="FF0000"/>
                <w:sz w:val="24"/>
                <w:lang w:val="en-US" w:eastAsia="zh-CN"/>
              </w:rPr>
              <w:t>5</w:t>
            </w:r>
            <w:r>
              <w:rPr>
                <w:color w:val="FF0000"/>
                <w:sz w:val="24"/>
              </w:rPr>
              <w:t>月</w:t>
            </w:r>
            <w:r>
              <w:rPr>
                <w:rFonts w:hint="eastAsia"/>
                <w:color w:val="FF0000"/>
                <w:sz w:val="24"/>
              </w:rPr>
              <w:t>施工。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925" w:type="dxa"/>
            <w:noWrap w:val="0"/>
            <w:vAlign w:val="center"/>
          </w:tcPr>
          <w:p>
            <w:pPr>
              <w:adjustRightInd w:val="0"/>
              <w:snapToGrid w:val="0"/>
              <w:jc w:val="center"/>
              <w:rPr>
                <w:rFonts w:ascii="宋体" w:hAnsi="宋体" w:cs="宋体"/>
                <w:kern w:val="0"/>
                <w:szCs w:val="21"/>
              </w:rPr>
            </w:pPr>
            <w:r>
              <w:rPr>
                <w:rFonts w:hint="eastAsia" w:ascii="宋体" w:hAnsi="宋体" w:eastAsia="宋体" w:cs="宋体"/>
                <w:kern w:val="0"/>
                <w:sz w:val="24"/>
                <w:szCs w:val="24"/>
              </w:rPr>
              <w:t>其他</w:t>
            </w:r>
          </w:p>
        </w:tc>
        <w:tc>
          <w:tcPr>
            <w:tcW w:w="8165" w:type="dxa"/>
            <w:noWrap w:val="0"/>
            <w:vAlign w:val="bottom"/>
          </w:tcPr>
          <w:p>
            <w:pPr>
              <w:adjustRightInd w:val="0"/>
              <w:snapToGrid w:val="0"/>
              <w:jc w:val="left"/>
              <w:rPr>
                <w:rFonts w:hint="eastAsia" w:ascii="宋体" w:hAnsi="宋体" w:eastAsia="宋体" w:cs="宋体"/>
                <w:kern w:val="0"/>
                <w:szCs w:val="21"/>
                <w:lang w:eastAsia="zh-CN"/>
              </w:rPr>
            </w:pPr>
            <w:r>
              <w:rPr>
                <w:rFonts w:hint="eastAsia" w:ascii="宋体" w:hAnsi="宋体" w:eastAsia="宋体" w:cs="宋体"/>
                <w:spacing w:val="-1"/>
                <w:kern w:val="2"/>
                <w:position w:val="20"/>
                <w:sz w:val="24"/>
                <w:szCs w:val="24"/>
                <w:lang w:val="en-US" w:eastAsia="zh-CN" w:bidi="ar-SA"/>
              </w:rPr>
              <w:t>项目为防洪除涝工程，围绕河道施工，因此项目无选线比选方案</w:t>
            </w:r>
            <w:r>
              <w:rPr>
                <w:rFonts w:hint="eastAsia" w:ascii="宋体" w:hAnsi="宋体" w:cs="宋体"/>
                <w:spacing w:val="-1"/>
                <w:kern w:val="2"/>
                <w:position w:val="20"/>
                <w:sz w:val="24"/>
                <w:szCs w:val="24"/>
                <w:lang w:val="en-US" w:eastAsia="zh-CN" w:bidi="ar-SA"/>
              </w:rPr>
              <w:t>。</w:t>
            </w:r>
          </w:p>
        </w:tc>
      </w:tr>
    </w:tbl>
    <w:p>
      <w:pPr>
        <w:pStyle w:val="11"/>
        <w:snapToGrid/>
        <w:spacing w:before="312" w:beforeLines="100" w:beforeAutospacing="0" w:after="156" w:afterLines="50" w:afterAutospacing="0" w:line="360" w:lineRule="auto"/>
        <w:ind w:left="0" w:leftChars="0" w:right="0" w:rightChars="0" w:firstLine="0" w:firstLineChars="0"/>
        <w:jc w:val="left"/>
        <w:outlineLvl w:val="0"/>
        <w:rPr>
          <w:rFonts w:ascii="Times New Roman" w:hAnsi="黑体" w:eastAsia="宋体"/>
          <w:b/>
          <w:snapToGrid w:val="0"/>
          <w:sz w:val="32"/>
          <w:szCs w:val="30"/>
        </w:rPr>
      </w:pPr>
      <w:r>
        <w:rPr>
          <w:rFonts w:ascii="Times New Roman" w:eastAsia="宋体"/>
          <w:b/>
          <w:bCs/>
          <w:sz w:val="32"/>
        </w:rPr>
        <w:br w:type="page"/>
      </w:r>
      <w:r>
        <w:rPr>
          <w:rFonts w:hint="eastAsia" w:ascii="Times New Roman" w:hAnsi="黑体" w:eastAsia="宋体"/>
          <w:b/>
          <w:snapToGrid w:val="0"/>
          <w:sz w:val="32"/>
          <w:szCs w:val="30"/>
        </w:rPr>
        <w:t>三、生态环境现状、保护目标及评价标准</w:t>
      </w:r>
    </w:p>
    <w:tbl>
      <w:tblPr>
        <w:tblStyle w:val="14"/>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83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6" w:type="dxa"/>
            <w:noWrap w:val="0"/>
            <w:vAlign w:val="center"/>
          </w:tcPr>
          <w:p>
            <w:pPr>
              <w:adjustRightInd w:val="0"/>
              <w:snapToGrid w:val="0"/>
              <w:jc w:val="center"/>
              <w:rPr>
                <w:rFonts w:ascii="宋体" w:hAnsi="宋体" w:cs="宋体"/>
                <w:kern w:val="0"/>
                <w:szCs w:val="21"/>
              </w:rPr>
            </w:pPr>
            <w:r>
              <w:rPr>
                <w:rFonts w:hint="eastAsia" w:ascii="宋体" w:hAnsi="宋体" w:eastAsia="宋体" w:cs="宋体"/>
                <w:kern w:val="0"/>
                <w:sz w:val="24"/>
                <w:szCs w:val="24"/>
              </w:rPr>
              <w:t>生态环境现状</w:t>
            </w:r>
          </w:p>
        </w:tc>
        <w:tc>
          <w:tcPr>
            <w:tcW w:w="8071" w:type="dxa"/>
            <w:noWrap w:val="0"/>
            <w:vAlign w:val="center"/>
          </w:tcPr>
          <w:p>
            <w:pPr>
              <w:adjustRightInd w:val="0"/>
              <w:snapToGrid w:val="0"/>
              <w:rPr>
                <w:rFonts w:hint="eastAsia" w:ascii="宋体" w:hAnsi="宋体" w:eastAsia="宋体" w:cs="宋体"/>
                <w:b/>
                <w:bCs/>
                <w:color w:val="auto"/>
                <w:spacing w:val="-1"/>
                <w:kern w:val="2"/>
                <w:position w:val="20"/>
                <w:sz w:val="24"/>
                <w:szCs w:val="24"/>
                <w:lang w:val="en-US" w:eastAsia="en-US" w:bidi="ar-SA"/>
              </w:rPr>
            </w:pPr>
            <w:r>
              <w:rPr>
                <w:rFonts w:hint="eastAsia" w:ascii="宋体" w:hAnsi="宋体" w:eastAsia="宋体" w:cs="宋体"/>
                <w:b/>
                <w:bCs/>
                <w:color w:val="auto"/>
                <w:spacing w:val="-1"/>
                <w:kern w:val="2"/>
                <w:position w:val="20"/>
                <w:sz w:val="24"/>
                <w:szCs w:val="24"/>
                <w:lang w:val="en-US" w:eastAsia="en-US" w:bidi="ar-SA"/>
              </w:rPr>
              <w:t>一、生态环境</w:t>
            </w:r>
          </w:p>
          <w:p>
            <w:pPr>
              <w:adjustRightInd w:val="0"/>
              <w:snapToGrid w:val="0"/>
              <w:ind w:firstLine="476" w:firstLineChars="200"/>
              <w:rPr>
                <w:rFonts w:hint="eastAsia" w:ascii="宋体" w:hAnsi="宋体" w:eastAsia="宋体" w:cs="宋体"/>
                <w:spacing w:val="-1"/>
                <w:kern w:val="2"/>
                <w:position w:val="20"/>
                <w:sz w:val="24"/>
                <w:szCs w:val="24"/>
                <w:lang w:val="en-US" w:eastAsia="en-US" w:bidi="ar-SA"/>
              </w:rPr>
            </w:pPr>
            <w:r>
              <w:rPr>
                <w:rFonts w:hint="eastAsia" w:ascii="宋体" w:hAnsi="宋体" w:eastAsia="宋体" w:cs="宋体"/>
                <w:spacing w:val="-1"/>
                <w:kern w:val="2"/>
                <w:position w:val="20"/>
                <w:sz w:val="24"/>
                <w:szCs w:val="24"/>
                <w:lang w:val="en-US" w:eastAsia="en-US" w:bidi="ar-SA"/>
              </w:rPr>
              <w:t>根据《山东省主体功能区规划》，本项目位于</w:t>
            </w:r>
            <w:r>
              <w:rPr>
                <w:rFonts w:hint="eastAsia" w:ascii="宋体" w:hAnsi="宋体" w:eastAsia="宋体" w:cs="宋体"/>
                <w:spacing w:val="-1"/>
                <w:kern w:val="2"/>
                <w:position w:val="20"/>
                <w:sz w:val="24"/>
                <w:szCs w:val="24"/>
                <w:lang w:val="en-US" w:eastAsia="zh-CN" w:bidi="ar-SA"/>
              </w:rPr>
              <w:t>淄博</w:t>
            </w:r>
            <w:r>
              <w:rPr>
                <w:rFonts w:hint="eastAsia" w:ascii="宋体" w:hAnsi="宋体" w:eastAsia="宋体" w:cs="宋体"/>
                <w:spacing w:val="-1"/>
                <w:kern w:val="2"/>
                <w:position w:val="20"/>
                <w:sz w:val="24"/>
                <w:szCs w:val="24"/>
                <w:lang w:val="en-US" w:eastAsia="en-US" w:bidi="ar-SA"/>
              </w:rPr>
              <w:t>市沂源县南鲁山镇，不在“禁止开发区域名录”中。</w:t>
            </w:r>
          </w:p>
          <w:p>
            <w:pPr>
              <w:adjustRightInd w:val="0"/>
              <w:snapToGrid w:val="0"/>
              <w:ind w:firstLine="476" w:firstLineChars="200"/>
              <w:rPr>
                <w:rFonts w:hint="eastAsia" w:ascii="宋体" w:hAnsi="宋体" w:eastAsia="宋体" w:cs="宋体"/>
                <w:spacing w:val="-1"/>
                <w:kern w:val="2"/>
                <w:position w:val="20"/>
                <w:sz w:val="24"/>
                <w:szCs w:val="24"/>
                <w:lang w:val="en-US" w:eastAsia="en-US" w:bidi="ar-SA"/>
              </w:rPr>
            </w:pPr>
            <w:r>
              <w:rPr>
                <w:rFonts w:hint="eastAsia" w:ascii="宋体" w:hAnsi="宋体" w:eastAsia="宋体" w:cs="宋体"/>
                <w:spacing w:val="-1"/>
                <w:kern w:val="2"/>
                <w:position w:val="20"/>
                <w:sz w:val="24"/>
                <w:szCs w:val="24"/>
                <w:lang w:val="en-US" w:eastAsia="en-US" w:bidi="ar-SA"/>
              </w:rPr>
              <w:t>本项目影响区域内的土地利用类型主要为农用地（农田、林地、水域等）。项目影响区域内除野生植物和杂草等自然植被外，主要是人工草地、树木等。该区域内无重点保护野生动植物。</w:t>
            </w:r>
          </w:p>
          <w:p>
            <w:pPr>
              <w:adjustRightInd w:val="0"/>
              <w:snapToGrid w:val="0"/>
              <w:rPr>
                <w:rFonts w:hint="eastAsia" w:ascii="宋体" w:hAnsi="宋体" w:eastAsia="宋体" w:cs="宋体"/>
                <w:b/>
                <w:bCs/>
                <w:spacing w:val="-1"/>
                <w:kern w:val="2"/>
                <w:position w:val="20"/>
                <w:sz w:val="24"/>
                <w:szCs w:val="24"/>
                <w:lang w:val="en-US" w:eastAsia="en-US" w:bidi="ar-SA"/>
              </w:rPr>
            </w:pPr>
            <w:r>
              <w:rPr>
                <w:rFonts w:hint="eastAsia" w:ascii="宋体" w:hAnsi="宋体" w:eastAsia="宋体" w:cs="宋体"/>
                <w:b/>
                <w:bCs/>
                <w:spacing w:val="-1"/>
                <w:kern w:val="2"/>
                <w:position w:val="20"/>
                <w:sz w:val="24"/>
                <w:szCs w:val="24"/>
                <w:lang w:val="en-US" w:eastAsia="en-US" w:bidi="ar-SA"/>
              </w:rPr>
              <w:t>二、环境空气</w:t>
            </w:r>
          </w:p>
          <w:p>
            <w:pPr>
              <w:widowControl/>
              <w:kinsoku w:val="0"/>
              <w:autoSpaceDE w:val="0"/>
              <w:autoSpaceDN w:val="0"/>
              <w:adjustRightInd w:val="0"/>
              <w:spacing w:line="360" w:lineRule="auto"/>
              <w:ind w:firstLine="360" w:firstLineChars="150"/>
              <w:jc w:val="left"/>
              <w:textAlignment w:val="baseline"/>
              <w:rPr>
                <w:sz w:val="24"/>
              </w:rPr>
            </w:pPr>
            <w:r>
              <w:rPr>
                <w:rFonts w:hint="eastAsia"/>
                <w:sz w:val="24"/>
              </w:rPr>
              <w:t>根据淄博市生态环境局202</w:t>
            </w:r>
            <w:r>
              <w:rPr>
                <w:sz w:val="24"/>
              </w:rPr>
              <w:t>4</w:t>
            </w:r>
            <w:r>
              <w:rPr>
                <w:rFonts w:hint="eastAsia"/>
                <w:sz w:val="24"/>
              </w:rPr>
              <w:t>年</w:t>
            </w:r>
            <w:r>
              <w:rPr>
                <w:sz w:val="24"/>
              </w:rPr>
              <w:t>1</w:t>
            </w:r>
            <w:r>
              <w:rPr>
                <w:rFonts w:hint="eastAsia"/>
                <w:sz w:val="24"/>
              </w:rPr>
              <w:t>月发布的环境空气质量</w:t>
            </w:r>
            <w:r>
              <w:rPr>
                <w:sz w:val="24"/>
              </w:rPr>
              <w:t>情况通报</w:t>
            </w:r>
            <w:r>
              <w:rPr>
                <w:rFonts w:hint="eastAsia"/>
                <w:sz w:val="24"/>
              </w:rPr>
              <w:t>，</w:t>
            </w:r>
            <w:r>
              <w:rPr>
                <w:sz w:val="24"/>
              </w:rPr>
              <w:t>2024</w:t>
            </w:r>
            <w:r>
              <w:rPr>
                <w:rFonts w:hint="eastAsia"/>
                <w:sz w:val="24"/>
              </w:rPr>
              <w:t>年</w:t>
            </w:r>
            <w:r>
              <w:rPr>
                <w:sz w:val="24"/>
              </w:rPr>
              <w:t>1</w:t>
            </w:r>
            <w:r>
              <w:rPr>
                <w:rFonts w:hint="eastAsia"/>
                <w:sz w:val="24"/>
              </w:rPr>
              <w:t>月份，全市良好天数</w:t>
            </w:r>
            <w:r>
              <w:rPr>
                <w:sz w:val="24"/>
              </w:rPr>
              <w:t>19</w:t>
            </w:r>
            <w:r>
              <w:rPr>
                <w:rFonts w:hint="eastAsia"/>
                <w:sz w:val="24"/>
              </w:rPr>
              <w:t>天（国控），同比增加</w:t>
            </w:r>
            <w:r>
              <w:rPr>
                <w:sz w:val="24"/>
              </w:rPr>
              <w:t>4</w:t>
            </w:r>
            <w:r>
              <w:rPr>
                <w:rFonts w:hint="eastAsia"/>
                <w:sz w:val="24"/>
              </w:rPr>
              <w:t>天。其中，二氧化硫（</w:t>
            </w:r>
            <w:r>
              <w:rPr>
                <w:sz w:val="24"/>
              </w:rPr>
              <w:t>SO</w:t>
            </w:r>
            <w:r>
              <w:rPr>
                <w:sz w:val="24"/>
                <w:vertAlign w:val="subscript"/>
              </w:rPr>
              <w:t>2</w:t>
            </w:r>
            <w:r>
              <w:rPr>
                <w:rFonts w:hint="eastAsia"/>
                <w:sz w:val="24"/>
              </w:rPr>
              <w:t>）</w:t>
            </w:r>
            <w:r>
              <w:rPr>
                <w:sz w:val="24"/>
              </w:rPr>
              <w:t>15</w:t>
            </w:r>
            <w:r>
              <w:rPr>
                <w:rFonts w:hint="eastAsia"/>
                <w:sz w:val="24"/>
              </w:rPr>
              <w:t>微克</w:t>
            </w:r>
            <w:r>
              <w:rPr>
                <w:sz w:val="24"/>
              </w:rPr>
              <w:t>/</w:t>
            </w:r>
            <w:r>
              <w:rPr>
                <w:rFonts w:hint="eastAsia"/>
                <w:sz w:val="24"/>
              </w:rPr>
              <w:t>立方米，同比改善</w:t>
            </w:r>
            <w:r>
              <w:rPr>
                <w:sz w:val="24"/>
              </w:rPr>
              <w:t>25.0%</w:t>
            </w:r>
            <w:r>
              <w:rPr>
                <w:rFonts w:hint="eastAsia"/>
                <w:sz w:val="24"/>
              </w:rPr>
              <w:t>；二氧化氮（</w:t>
            </w:r>
            <w:r>
              <w:rPr>
                <w:sz w:val="24"/>
              </w:rPr>
              <w:t>NO</w:t>
            </w:r>
            <w:r>
              <w:rPr>
                <w:sz w:val="24"/>
                <w:vertAlign w:val="subscript"/>
              </w:rPr>
              <w:t>2</w:t>
            </w:r>
            <w:r>
              <w:rPr>
                <w:rFonts w:hint="eastAsia"/>
                <w:sz w:val="24"/>
              </w:rPr>
              <w:t>）</w:t>
            </w:r>
            <w:r>
              <w:rPr>
                <w:sz w:val="24"/>
              </w:rPr>
              <w:t>51</w:t>
            </w:r>
            <w:r>
              <w:rPr>
                <w:rFonts w:hint="eastAsia"/>
                <w:sz w:val="24"/>
              </w:rPr>
              <w:t>微克</w:t>
            </w:r>
            <w:r>
              <w:rPr>
                <w:sz w:val="24"/>
              </w:rPr>
              <w:t>/</w:t>
            </w:r>
            <w:r>
              <w:rPr>
                <w:rFonts w:hint="eastAsia"/>
                <w:sz w:val="24"/>
              </w:rPr>
              <w:t>立方米，同比恶化</w:t>
            </w:r>
            <w:r>
              <w:rPr>
                <w:sz w:val="24"/>
              </w:rPr>
              <w:t>30.8%</w:t>
            </w:r>
            <w:r>
              <w:rPr>
                <w:rFonts w:hint="eastAsia"/>
                <w:sz w:val="24"/>
              </w:rPr>
              <w:t>；可吸入颗粒物（</w:t>
            </w:r>
            <w:r>
              <w:rPr>
                <w:sz w:val="24"/>
              </w:rPr>
              <w:t>PM</w:t>
            </w:r>
            <w:r>
              <w:rPr>
                <w:sz w:val="24"/>
                <w:vertAlign w:val="subscript"/>
              </w:rPr>
              <w:t>10</w:t>
            </w:r>
            <w:r>
              <w:rPr>
                <w:rFonts w:hint="eastAsia"/>
                <w:sz w:val="24"/>
              </w:rPr>
              <w:t>）</w:t>
            </w:r>
            <w:r>
              <w:rPr>
                <w:sz w:val="24"/>
              </w:rPr>
              <w:t>110</w:t>
            </w:r>
            <w:r>
              <w:rPr>
                <w:rFonts w:hint="eastAsia"/>
                <w:sz w:val="24"/>
              </w:rPr>
              <w:t>微克</w:t>
            </w:r>
            <w:r>
              <w:rPr>
                <w:sz w:val="24"/>
              </w:rPr>
              <w:t>/</w:t>
            </w:r>
            <w:r>
              <w:rPr>
                <w:rFonts w:hint="eastAsia"/>
                <w:sz w:val="24"/>
              </w:rPr>
              <w:t>立方米，同比改善</w:t>
            </w:r>
            <w:r>
              <w:rPr>
                <w:sz w:val="24"/>
              </w:rPr>
              <w:t>16.7%</w:t>
            </w:r>
            <w:r>
              <w:rPr>
                <w:rFonts w:hint="eastAsia"/>
                <w:sz w:val="24"/>
              </w:rPr>
              <w:t>；细颗粒物（</w:t>
            </w:r>
            <w:r>
              <w:rPr>
                <w:sz w:val="24"/>
              </w:rPr>
              <w:t>PM</w:t>
            </w:r>
            <w:r>
              <w:rPr>
                <w:sz w:val="24"/>
                <w:vertAlign w:val="subscript"/>
              </w:rPr>
              <w:t>2.5</w:t>
            </w:r>
            <w:r>
              <w:rPr>
                <w:rFonts w:hint="eastAsia"/>
                <w:sz w:val="24"/>
              </w:rPr>
              <w:t>）</w:t>
            </w:r>
            <w:r>
              <w:rPr>
                <w:sz w:val="24"/>
              </w:rPr>
              <w:t>73</w:t>
            </w:r>
            <w:r>
              <w:rPr>
                <w:rFonts w:hint="eastAsia"/>
                <w:sz w:val="24"/>
              </w:rPr>
              <w:t>微克</w:t>
            </w:r>
            <w:r>
              <w:rPr>
                <w:sz w:val="24"/>
              </w:rPr>
              <w:t>/</w:t>
            </w:r>
            <w:r>
              <w:rPr>
                <w:rFonts w:hint="eastAsia"/>
                <w:sz w:val="24"/>
              </w:rPr>
              <w:t>立方米，同比改善</w:t>
            </w:r>
            <w:r>
              <w:rPr>
                <w:sz w:val="24"/>
              </w:rPr>
              <w:t>11.0%</w:t>
            </w:r>
            <w:r>
              <w:rPr>
                <w:rFonts w:hint="eastAsia"/>
                <w:sz w:val="24"/>
              </w:rPr>
              <w:t>；一氧化碳（</w:t>
            </w:r>
            <w:r>
              <w:rPr>
                <w:sz w:val="24"/>
              </w:rPr>
              <w:t>CO</w:t>
            </w:r>
            <w:r>
              <w:rPr>
                <w:rFonts w:hint="eastAsia"/>
                <w:sz w:val="24"/>
              </w:rPr>
              <w:t>）</w:t>
            </w:r>
            <w:r>
              <w:rPr>
                <w:sz w:val="24"/>
              </w:rPr>
              <w:t>1.6</w:t>
            </w:r>
            <w:r>
              <w:rPr>
                <w:rFonts w:hint="eastAsia"/>
                <w:sz w:val="24"/>
              </w:rPr>
              <w:t>毫克</w:t>
            </w:r>
            <w:r>
              <w:rPr>
                <w:sz w:val="24"/>
              </w:rPr>
              <w:t>/</w:t>
            </w:r>
            <w:r>
              <w:rPr>
                <w:rFonts w:hint="eastAsia"/>
                <w:sz w:val="24"/>
              </w:rPr>
              <w:t>立方米，同比持平；臭氧（</w:t>
            </w:r>
            <w:r>
              <w:rPr>
                <w:sz w:val="24"/>
              </w:rPr>
              <w:t>O</w:t>
            </w:r>
            <w:r>
              <w:rPr>
                <w:sz w:val="24"/>
                <w:vertAlign w:val="subscript"/>
              </w:rPr>
              <w:t>3</w:t>
            </w:r>
            <w:r>
              <w:rPr>
                <w:rFonts w:hint="eastAsia"/>
                <w:sz w:val="24"/>
              </w:rPr>
              <w:t>）</w:t>
            </w:r>
            <w:r>
              <w:rPr>
                <w:sz w:val="24"/>
              </w:rPr>
              <w:t>69</w:t>
            </w:r>
            <w:r>
              <w:rPr>
                <w:rFonts w:hint="eastAsia"/>
                <w:sz w:val="24"/>
              </w:rPr>
              <w:t>微克</w:t>
            </w:r>
            <w:r>
              <w:rPr>
                <w:sz w:val="24"/>
              </w:rPr>
              <w:t>/</w:t>
            </w:r>
            <w:r>
              <w:rPr>
                <w:rFonts w:hint="eastAsia"/>
                <w:sz w:val="24"/>
              </w:rPr>
              <w:t>立方米，同比改善</w:t>
            </w:r>
            <w:r>
              <w:rPr>
                <w:sz w:val="24"/>
              </w:rPr>
              <w:t>21.6%</w:t>
            </w:r>
            <w:r>
              <w:rPr>
                <w:rFonts w:hint="eastAsia"/>
                <w:sz w:val="24"/>
              </w:rPr>
              <w:t>。全市综合指数为</w:t>
            </w:r>
            <w:r>
              <w:rPr>
                <w:sz w:val="24"/>
              </w:rPr>
              <w:t>6.02</w:t>
            </w:r>
            <w:r>
              <w:rPr>
                <w:rFonts w:hint="eastAsia"/>
                <w:sz w:val="24"/>
              </w:rPr>
              <w:t>，同比改善</w:t>
            </w:r>
            <w:r>
              <w:rPr>
                <w:sz w:val="24"/>
              </w:rPr>
              <w:t>7.2%</w:t>
            </w:r>
            <w:r>
              <w:rPr>
                <w:rFonts w:hint="eastAsia"/>
                <w:sz w:val="24"/>
              </w:rPr>
              <w:t>。大气环境现状属于不达标区</w:t>
            </w:r>
            <w:r>
              <w:rPr>
                <w:rFonts w:hint="eastAsia"/>
                <w:sz w:val="24"/>
                <w:lang w:eastAsia="zh-CN"/>
              </w:rPr>
              <w:t>。</w:t>
            </w:r>
            <w:r>
              <w:rPr>
                <w:rFonts w:hint="eastAsia"/>
                <w:sz w:val="24"/>
              </w:rPr>
              <w:t>沂源县环境质量状况如下表：</w:t>
            </w:r>
          </w:p>
          <w:p>
            <w:pPr>
              <w:pStyle w:val="37"/>
              <w:spacing w:line="240" w:lineRule="auto"/>
              <w:ind w:left="0"/>
              <w:jc w:val="center"/>
            </w:pPr>
            <w:r>
              <w:rPr>
                <w:rFonts w:hint="eastAsia" w:ascii="Times New Roman" w:hAnsi="Times New Roman" w:eastAsia="宋体" w:cs="Times New Roman"/>
                <w:b/>
                <w:bCs/>
                <w:kern w:val="0"/>
                <w:sz w:val="21"/>
                <w:szCs w:val="21"/>
                <w:lang w:val="en-US" w:eastAsia="en-US" w:bidi="ar-SA"/>
              </w:rPr>
              <w:t xml:space="preserve">表3-1    </w:t>
            </w:r>
            <w:r>
              <w:rPr>
                <w:rFonts w:hint="eastAsia" w:ascii="Times New Roman" w:hAnsi="Times New Roman" w:cs="Times New Roman"/>
                <w:b/>
                <w:bCs/>
                <w:kern w:val="0"/>
                <w:sz w:val="21"/>
                <w:szCs w:val="21"/>
                <w:lang w:val="en-US" w:eastAsia="zh-CN" w:bidi="ar-SA"/>
              </w:rPr>
              <w:t>沂源</w:t>
            </w:r>
            <w:r>
              <w:rPr>
                <w:rFonts w:hint="eastAsia" w:ascii="Times New Roman" w:hAnsi="Times New Roman" w:eastAsia="宋体" w:cs="Times New Roman"/>
                <w:b/>
                <w:bCs/>
                <w:kern w:val="0"/>
                <w:sz w:val="21"/>
                <w:szCs w:val="21"/>
                <w:lang w:val="en-US" w:eastAsia="en-US" w:bidi="ar-SA"/>
              </w:rPr>
              <w:t>县例行监测点环境空气质量状况一览表（单位：</w:t>
            </w:r>
            <w:r>
              <w:rPr>
                <w:rFonts w:ascii="Times New Roman" w:hAnsi="Times New Roman" w:eastAsia="Times New Roman" w:cs="Times New Roman"/>
                <w:b/>
                <w:bCs/>
              </w:rPr>
              <w:t>ug/m³</w:t>
            </w:r>
            <w:r>
              <w:rPr>
                <w:rFonts w:hint="eastAsia" w:ascii="Times New Roman" w:hAnsi="Times New Roman" w:cs="Times New Roman"/>
                <w:b/>
                <w:bCs/>
                <w:lang w:eastAsia="zh-CN"/>
              </w:rPr>
              <w:t>）</w:t>
            </w:r>
          </w:p>
          <w:tbl>
            <w:tblPr>
              <w:tblStyle w:val="36"/>
              <w:tblpPr w:leftFromText="180" w:rightFromText="180" w:vertAnchor="text" w:horzAnchor="page" w:tblpX="-95" w:tblpY="301"/>
              <w:tblOverlap w:val="never"/>
              <w:tblW w:w="813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21"/>
              <w:gridCol w:w="2702"/>
              <w:gridCol w:w="923"/>
              <w:gridCol w:w="1000"/>
              <w:gridCol w:w="1175"/>
              <w:gridCol w:w="12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1121"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污染物</w:t>
                  </w:r>
                </w:p>
              </w:tc>
              <w:tc>
                <w:tcPr>
                  <w:tcW w:w="2702"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年评价指标</w:t>
                  </w:r>
                </w:p>
              </w:tc>
              <w:tc>
                <w:tcPr>
                  <w:tcW w:w="923"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现状浓度</w:t>
                  </w:r>
                </w:p>
              </w:tc>
              <w:tc>
                <w:tcPr>
                  <w:tcW w:w="1000"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评价标准</w:t>
                  </w:r>
                </w:p>
              </w:tc>
              <w:tc>
                <w:tcPr>
                  <w:tcW w:w="1175"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占标率（%）</w:t>
                  </w:r>
                </w:p>
              </w:tc>
              <w:tc>
                <w:tcPr>
                  <w:tcW w:w="1214"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1121"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ascii="Times New Roman" w:hAnsi="Times New Roman" w:eastAsia="Times New Roman" w:cs="Times New Roman"/>
                      <w:b/>
                      <w:bCs/>
                      <w:spacing w:val="-4"/>
                      <w:sz w:val="21"/>
                      <w:szCs w:val="21"/>
                    </w:rPr>
                    <w:t>SO</w:t>
                  </w:r>
                  <w:r>
                    <w:rPr>
                      <w:rFonts w:ascii="Times New Roman" w:hAnsi="Times New Roman" w:eastAsia="Times New Roman" w:cs="Times New Roman"/>
                      <w:b/>
                      <w:bCs/>
                      <w:spacing w:val="-4"/>
                      <w:position w:val="-2"/>
                      <w:sz w:val="14"/>
                      <w:szCs w:val="14"/>
                    </w:rPr>
                    <w:t>2</w:t>
                  </w:r>
                </w:p>
              </w:tc>
              <w:tc>
                <w:tcPr>
                  <w:tcW w:w="2702"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年平均质量标准</w:t>
                  </w:r>
                </w:p>
              </w:tc>
              <w:tc>
                <w:tcPr>
                  <w:tcW w:w="923"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12</w:t>
                  </w:r>
                </w:p>
              </w:tc>
              <w:tc>
                <w:tcPr>
                  <w:tcW w:w="1000"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60</w:t>
                  </w:r>
                </w:p>
              </w:tc>
              <w:tc>
                <w:tcPr>
                  <w:tcW w:w="1175"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20</w:t>
                  </w:r>
                </w:p>
              </w:tc>
              <w:tc>
                <w:tcPr>
                  <w:tcW w:w="1214"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1121"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ascii="Times New Roman" w:hAnsi="Times New Roman" w:eastAsia="Times New Roman" w:cs="Times New Roman"/>
                      <w:b/>
                      <w:bCs/>
                      <w:spacing w:val="-2"/>
                      <w:sz w:val="21"/>
                      <w:szCs w:val="21"/>
                    </w:rPr>
                    <w:t>NO</w:t>
                  </w:r>
                  <w:r>
                    <w:rPr>
                      <w:rFonts w:ascii="Times New Roman" w:hAnsi="Times New Roman" w:eastAsia="Times New Roman" w:cs="Times New Roman"/>
                      <w:b/>
                      <w:bCs/>
                      <w:spacing w:val="-2"/>
                      <w:position w:val="-2"/>
                      <w:sz w:val="14"/>
                      <w:szCs w:val="14"/>
                    </w:rPr>
                    <w:t>2</w:t>
                  </w:r>
                </w:p>
              </w:tc>
              <w:tc>
                <w:tcPr>
                  <w:tcW w:w="2702"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年平均质量标准</w:t>
                  </w:r>
                </w:p>
              </w:tc>
              <w:tc>
                <w:tcPr>
                  <w:tcW w:w="923"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34</w:t>
                  </w:r>
                </w:p>
              </w:tc>
              <w:tc>
                <w:tcPr>
                  <w:tcW w:w="1000"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40</w:t>
                  </w:r>
                </w:p>
              </w:tc>
              <w:tc>
                <w:tcPr>
                  <w:tcW w:w="1175"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85</w:t>
                  </w:r>
                </w:p>
              </w:tc>
              <w:tc>
                <w:tcPr>
                  <w:tcW w:w="1214"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bCs/>
                      <w:kern w:val="0"/>
                      <w:sz w:val="21"/>
                      <w:szCs w:val="21"/>
                      <w:lang w:bidi="en-US"/>
                    </w:rPr>
                    <w:t>达</w:t>
                  </w:r>
                  <w:r>
                    <w:rPr>
                      <w:bCs/>
                      <w:kern w:val="0"/>
                      <w:sz w:val="21"/>
                      <w:szCs w:val="21"/>
                      <w:lang w:bidi="en-US"/>
                    </w:rPr>
                    <w:t>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1121"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ascii="Times New Roman" w:hAnsi="Times New Roman" w:eastAsia="Times New Roman" w:cs="Times New Roman"/>
                      <w:b/>
                      <w:bCs/>
                      <w:spacing w:val="-2"/>
                      <w:sz w:val="21"/>
                      <w:szCs w:val="21"/>
                    </w:rPr>
                    <w:t>PM</w:t>
                  </w:r>
                  <w:r>
                    <w:rPr>
                      <w:rFonts w:ascii="Times New Roman" w:hAnsi="Times New Roman" w:eastAsia="Times New Roman" w:cs="Times New Roman"/>
                      <w:b/>
                      <w:bCs/>
                      <w:spacing w:val="-2"/>
                      <w:position w:val="-2"/>
                      <w:sz w:val="14"/>
                      <w:szCs w:val="14"/>
                    </w:rPr>
                    <w:t>10</w:t>
                  </w:r>
                </w:p>
              </w:tc>
              <w:tc>
                <w:tcPr>
                  <w:tcW w:w="2702"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年平均质量标准</w:t>
                  </w:r>
                </w:p>
              </w:tc>
              <w:tc>
                <w:tcPr>
                  <w:tcW w:w="923"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94</w:t>
                  </w:r>
                </w:p>
              </w:tc>
              <w:tc>
                <w:tcPr>
                  <w:tcW w:w="1000"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70</w:t>
                  </w:r>
                </w:p>
              </w:tc>
              <w:tc>
                <w:tcPr>
                  <w:tcW w:w="1175"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134</w:t>
                  </w:r>
                </w:p>
              </w:tc>
              <w:tc>
                <w:tcPr>
                  <w:tcW w:w="1214"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bCs/>
                      <w:kern w:val="0"/>
                      <w:sz w:val="21"/>
                      <w:szCs w:val="21"/>
                      <w:lang w:bidi="en-US"/>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1121"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ascii="Times New Roman" w:hAnsi="Times New Roman" w:eastAsia="Times New Roman" w:cs="Times New Roman"/>
                      <w:b/>
                      <w:bCs/>
                      <w:spacing w:val="-1"/>
                      <w:position w:val="1"/>
                      <w:sz w:val="21"/>
                      <w:szCs w:val="21"/>
                    </w:rPr>
                    <w:t>PM</w:t>
                  </w:r>
                  <w:r>
                    <w:rPr>
                      <w:rFonts w:ascii="Times New Roman" w:hAnsi="Times New Roman" w:eastAsia="Times New Roman" w:cs="Times New Roman"/>
                      <w:b/>
                      <w:bCs/>
                      <w:spacing w:val="-1"/>
                      <w:position w:val="-1"/>
                      <w:sz w:val="14"/>
                      <w:szCs w:val="14"/>
                    </w:rPr>
                    <w:t>2.5</w:t>
                  </w:r>
                </w:p>
              </w:tc>
              <w:tc>
                <w:tcPr>
                  <w:tcW w:w="2702"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年平均质量标准</w:t>
                  </w:r>
                </w:p>
              </w:tc>
              <w:tc>
                <w:tcPr>
                  <w:tcW w:w="923"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67</w:t>
                  </w:r>
                </w:p>
              </w:tc>
              <w:tc>
                <w:tcPr>
                  <w:tcW w:w="1000"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35</w:t>
                  </w:r>
                </w:p>
              </w:tc>
              <w:tc>
                <w:tcPr>
                  <w:tcW w:w="1175"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191</w:t>
                  </w:r>
                </w:p>
              </w:tc>
              <w:tc>
                <w:tcPr>
                  <w:tcW w:w="1214"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1121"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ascii="Times New Roman" w:hAnsi="Times New Roman" w:eastAsia="Times New Roman" w:cs="Times New Roman"/>
                      <w:b/>
                      <w:bCs/>
                      <w:spacing w:val="-3"/>
                      <w:sz w:val="21"/>
                      <w:szCs w:val="21"/>
                    </w:rPr>
                    <w:t>CO</w:t>
                  </w:r>
                </w:p>
              </w:tc>
              <w:tc>
                <w:tcPr>
                  <w:tcW w:w="2702"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95%保证率日平均浓度</w:t>
                  </w:r>
                </w:p>
              </w:tc>
              <w:tc>
                <w:tcPr>
                  <w:tcW w:w="923"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1.6</w:t>
                  </w:r>
                </w:p>
              </w:tc>
              <w:tc>
                <w:tcPr>
                  <w:tcW w:w="1000"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4.0</w:t>
                  </w:r>
                </w:p>
              </w:tc>
              <w:tc>
                <w:tcPr>
                  <w:tcW w:w="1175"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40</w:t>
                  </w:r>
                </w:p>
              </w:tc>
              <w:tc>
                <w:tcPr>
                  <w:tcW w:w="1214"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1121"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ascii="Times New Roman" w:hAnsi="Times New Roman" w:eastAsia="Times New Roman" w:cs="Times New Roman"/>
                      <w:b/>
                      <w:bCs/>
                      <w:spacing w:val="-2"/>
                      <w:sz w:val="21"/>
                      <w:szCs w:val="21"/>
                    </w:rPr>
                    <w:t>O</w:t>
                  </w:r>
                  <w:r>
                    <w:rPr>
                      <w:rFonts w:ascii="Times New Roman" w:hAnsi="Times New Roman" w:eastAsia="Times New Roman" w:cs="Times New Roman"/>
                      <w:b/>
                      <w:bCs/>
                      <w:spacing w:val="-2"/>
                      <w:position w:val="-2"/>
                      <w:sz w:val="14"/>
                      <w:szCs w:val="14"/>
                    </w:rPr>
                    <w:t>3</w:t>
                  </w:r>
                </w:p>
              </w:tc>
              <w:tc>
                <w:tcPr>
                  <w:tcW w:w="2702" w:type="dxa"/>
                  <w:noWrap w:val="0"/>
                  <w:vAlign w:val="top"/>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90%保证率日最大8小时</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平均质量标准</w:t>
                  </w:r>
                </w:p>
              </w:tc>
              <w:tc>
                <w:tcPr>
                  <w:tcW w:w="923"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86</w:t>
                  </w:r>
                </w:p>
              </w:tc>
              <w:tc>
                <w:tcPr>
                  <w:tcW w:w="1000"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160</w:t>
                  </w:r>
                </w:p>
              </w:tc>
              <w:tc>
                <w:tcPr>
                  <w:tcW w:w="1175"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bCs/>
                      <w:kern w:val="0"/>
                      <w:sz w:val="21"/>
                      <w:szCs w:val="21"/>
                      <w:lang w:bidi="en-US"/>
                    </w:rPr>
                    <w:t>53.75</w:t>
                  </w:r>
                </w:p>
              </w:tc>
              <w:tc>
                <w:tcPr>
                  <w:tcW w:w="1214" w:type="dxa"/>
                  <w:noWrap w:val="0"/>
                  <w:vAlign w:val="top"/>
                </w:tcPr>
                <w:p>
                  <w:pPr>
                    <w:widowControl/>
                    <w:snapToGrid w:val="0"/>
                    <w:ind w:left="-72" w:leftChars="-30" w:right="-72" w:rightChars="-3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bCs/>
                      <w:kern w:val="0"/>
                      <w:sz w:val="21"/>
                      <w:szCs w:val="21"/>
                      <w:lang w:bidi="en-US"/>
                    </w:rPr>
                    <w:t>达</w:t>
                  </w:r>
                  <w:r>
                    <w:rPr>
                      <w:bCs/>
                      <w:kern w:val="0"/>
                      <w:sz w:val="21"/>
                      <w:szCs w:val="21"/>
                      <w:lang w:bidi="en-US"/>
                    </w:rPr>
                    <w:t>标</w:t>
                  </w:r>
                </w:p>
              </w:tc>
            </w:tr>
          </w:tbl>
          <w:p>
            <w:pPr>
              <w:bidi w:val="0"/>
              <w:ind w:firstLine="440" w:firstLineChars="200"/>
              <w:rPr>
                <w:spacing w:val="-7"/>
              </w:rPr>
            </w:pPr>
            <w:r>
              <w:rPr>
                <w:rFonts w:ascii="Times New Roman" w:hAnsi="Times New Roman" w:eastAsia="Times New Roman" w:cs="Times New Roman"/>
                <w:spacing w:val="-10"/>
              </w:rPr>
              <w:t>202</w:t>
            </w:r>
            <w:r>
              <w:rPr>
                <w:rFonts w:hint="eastAsia" w:cs="Times New Roman"/>
                <w:spacing w:val="-10"/>
                <w:lang w:val="en-US" w:eastAsia="zh-CN"/>
              </w:rPr>
              <w:t>4</w:t>
            </w:r>
            <w:r>
              <w:rPr>
                <w:spacing w:val="-10"/>
              </w:rPr>
              <w:t>年</w:t>
            </w:r>
            <w:r>
              <w:rPr>
                <w:rFonts w:ascii="Times New Roman" w:hAnsi="Times New Roman" w:eastAsia="Times New Roman" w:cs="Times New Roman"/>
                <w:spacing w:val="-10"/>
              </w:rPr>
              <w:t>1</w:t>
            </w:r>
            <w:r>
              <w:rPr>
                <w:spacing w:val="-10"/>
              </w:rPr>
              <w:t>月</w:t>
            </w:r>
            <w:r>
              <w:rPr>
                <w:rFonts w:hint="eastAsia"/>
                <w:spacing w:val="-10"/>
              </w:rPr>
              <w:t>沂源县例行监测点</w:t>
            </w:r>
            <w:r>
              <w:rPr>
                <w:spacing w:val="-10"/>
              </w:rPr>
              <w:t>环境空气质量检测结果表明，</w:t>
            </w:r>
            <w:r>
              <w:rPr>
                <w:rFonts w:ascii="Times New Roman" w:hAnsi="Times New Roman" w:eastAsia="Times New Roman" w:cs="Times New Roman"/>
                <w:spacing w:val="-5"/>
              </w:rPr>
              <w:t>PM</w:t>
            </w:r>
            <w:r>
              <w:rPr>
                <w:rFonts w:ascii="Times New Roman" w:hAnsi="Times New Roman" w:eastAsia="Times New Roman" w:cs="Times New Roman"/>
                <w:spacing w:val="-5"/>
                <w:position w:val="-2"/>
                <w:sz w:val="15"/>
                <w:szCs w:val="15"/>
              </w:rPr>
              <w:t>2.5</w:t>
            </w:r>
            <w:r>
              <w:rPr>
                <w:spacing w:val="-5"/>
              </w:rPr>
              <w:t>、</w:t>
            </w:r>
            <w:r>
              <w:rPr>
                <w:rFonts w:ascii="Times New Roman" w:hAnsi="Times New Roman" w:eastAsia="Times New Roman" w:cs="Times New Roman"/>
                <w:spacing w:val="-5"/>
              </w:rPr>
              <w:t>PM</w:t>
            </w:r>
            <w:r>
              <w:rPr>
                <w:rFonts w:hint="eastAsia" w:eastAsia="宋体" w:cs="Times New Roman"/>
                <w:spacing w:val="-5"/>
                <w:position w:val="-2"/>
                <w:sz w:val="15"/>
                <w:szCs w:val="15"/>
                <w:lang w:val="en-US" w:eastAsia="zh-CN"/>
              </w:rPr>
              <w:t>10</w:t>
            </w:r>
            <w:r>
              <w:rPr>
                <w:spacing w:val="-5"/>
              </w:rPr>
              <w:t>不满足《环境空气质量标准》</w:t>
            </w:r>
            <w:r>
              <w:rPr>
                <w:rFonts w:hint="eastAsia"/>
                <w:spacing w:val="-5"/>
                <w:lang w:eastAsia="zh-CN"/>
              </w:rPr>
              <w:t>（</w:t>
            </w:r>
            <w:r>
              <w:rPr>
                <w:rFonts w:ascii="Times New Roman" w:hAnsi="Times New Roman" w:eastAsia="Times New Roman" w:cs="Times New Roman"/>
                <w:spacing w:val="-5"/>
              </w:rPr>
              <w:t>GB3095-2012</w:t>
            </w:r>
            <w:r>
              <w:rPr>
                <w:rFonts w:hint="eastAsia" w:ascii="Times New Roman" w:hAnsi="Times New Roman" w:cs="Times New Roman"/>
                <w:spacing w:val="-5"/>
                <w:lang w:eastAsia="zh-CN"/>
              </w:rPr>
              <w:t>）</w:t>
            </w:r>
            <w:r>
              <w:rPr>
                <w:spacing w:val="-5"/>
              </w:rPr>
              <w:t>二级标准要求，项目所在区域环境控制质量</w:t>
            </w:r>
            <w:r>
              <w:rPr>
                <w:spacing w:val="-6"/>
              </w:rPr>
              <w:t>属于不</w:t>
            </w:r>
            <w:r>
              <w:rPr>
                <w:spacing w:val="-10"/>
              </w:rPr>
              <w:t>达标区，</w:t>
            </w:r>
            <w:r>
              <w:rPr>
                <w:spacing w:val="-48"/>
              </w:rPr>
              <w:t xml:space="preserve"> </w:t>
            </w:r>
            <w:r>
              <w:rPr>
                <w:spacing w:val="-10"/>
              </w:rPr>
              <w:t>造成超标的</w:t>
            </w:r>
            <w:r>
              <w:rPr>
                <w:rFonts w:hint="eastAsia"/>
                <w:spacing w:val="-10"/>
                <w:lang w:eastAsia="zh-CN"/>
              </w:rPr>
              <w:t>主要原因是</w:t>
            </w:r>
            <w:r>
              <w:rPr>
                <w:rFonts w:hint="eastAsia"/>
                <w:spacing w:val="-10"/>
              </w:rPr>
              <w:t>该区域内道路扬尘、建设施工、汽车尾气、工业废气排放等因素</w:t>
            </w:r>
            <w:r>
              <w:rPr>
                <w:spacing w:val="-10"/>
              </w:rPr>
              <w:t>导致</w:t>
            </w:r>
            <w:r>
              <w:rPr>
                <w:spacing w:val="-55"/>
              </w:rPr>
              <w:t xml:space="preserve"> </w:t>
            </w:r>
            <w:r>
              <w:rPr>
                <w:rFonts w:ascii="Times New Roman" w:hAnsi="Times New Roman" w:eastAsia="Times New Roman" w:cs="Times New Roman"/>
                <w:spacing w:val="-10"/>
              </w:rPr>
              <w:t>PM</w:t>
            </w:r>
            <w:r>
              <w:rPr>
                <w:rFonts w:ascii="Times New Roman" w:hAnsi="Times New Roman" w:eastAsia="Times New Roman" w:cs="Times New Roman"/>
                <w:spacing w:val="-10"/>
                <w:position w:val="-2"/>
                <w:sz w:val="15"/>
                <w:szCs w:val="15"/>
              </w:rPr>
              <w:t>2.5</w:t>
            </w:r>
            <w:r>
              <w:rPr>
                <w:spacing w:val="-10"/>
              </w:rPr>
              <w:t>、</w:t>
            </w:r>
            <w:r>
              <w:rPr>
                <w:rFonts w:ascii="Times New Roman" w:hAnsi="Times New Roman" w:eastAsia="Times New Roman" w:cs="Times New Roman"/>
                <w:spacing w:val="-5"/>
              </w:rPr>
              <w:t>PM</w:t>
            </w:r>
            <w:r>
              <w:rPr>
                <w:rFonts w:hint="eastAsia" w:eastAsia="宋体" w:cs="Times New Roman"/>
                <w:spacing w:val="-5"/>
                <w:position w:val="-2"/>
                <w:sz w:val="15"/>
                <w:szCs w:val="15"/>
                <w:lang w:val="en-US" w:eastAsia="zh-CN"/>
              </w:rPr>
              <w:t>10</w:t>
            </w:r>
            <w:r>
              <w:rPr>
                <w:spacing w:val="-7"/>
              </w:rPr>
              <w:t>超标。</w:t>
            </w:r>
          </w:p>
          <w:p>
            <w:pPr>
              <w:bidi w:val="0"/>
              <w:ind w:firstLine="452" w:firstLineChars="200"/>
              <w:rPr>
                <w:rFonts w:ascii="Times New Roman" w:hAnsi="Times New Roman" w:eastAsia="宋体" w:cs="Times New Roman"/>
                <w:spacing w:val="-7"/>
              </w:rPr>
            </w:pPr>
            <w:r>
              <w:rPr>
                <w:rFonts w:ascii="Times New Roman" w:hAnsi="Times New Roman" w:eastAsia="宋体" w:cs="Times New Roman"/>
                <w:spacing w:val="-7"/>
              </w:rPr>
              <w:t>2、区域大气环境整治方案</w:t>
            </w:r>
          </w:p>
          <w:p>
            <w:pPr>
              <w:bidi w:val="0"/>
              <w:ind w:firstLine="440" w:firstLineChars="200"/>
              <w:rPr>
                <w:rFonts w:hint="eastAsia"/>
                <w:spacing w:val="-10"/>
              </w:rPr>
            </w:pPr>
            <w:r>
              <w:rPr>
                <w:rFonts w:hint="eastAsia"/>
                <w:spacing w:val="-10"/>
              </w:rPr>
              <w:t>根据《</w:t>
            </w:r>
            <w:r>
              <w:rPr>
                <w:rFonts w:hint="eastAsia"/>
                <w:spacing w:val="-10"/>
                <w:lang w:eastAsia="zh-CN"/>
              </w:rPr>
              <w:t>淄</w:t>
            </w:r>
            <w:r>
              <w:rPr>
                <w:rFonts w:hint="eastAsia"/>
                <w:spacing w:val="-10"/>
              </w:rPr>
              <w:t>博市“十四五”生态环境保护规划》要求，实施六大减排，改善环境空气质量。以持续降低PM</w:t>
            </w:r>
            <w:r>
              <w:rPr>
                <w:rFonts w:hint="eastAsia"/>
                <w:spacing w:val="-10"/>
                <w:vertAlign w:val="subscript"/>
              </w:rPr>
              <w:t>2.5</w:t>
            </w:r>
            <w:r>
              <w:rPr>
                <w:rFonts w:hint="eastAsia"/>
                <w:spacing w:val="-10"/>
              </w:rPr>
              <w:t>浓度，不断提高空气质量优良天数比例，逐步消除重污染天气为目标任务，实施产业结构升级、清洁能源替代、运输结构优化、扬尘精细管控、VOC</w:t>
            </w:r>
            <w:r>
              <w:rPr>
                <w:rFonts w:hint="eastAsia"/>
                <w:spacing w:val="-10"/>
                <w:lang w:val="en-US" w:eastAsia="zh-CN"/>
              </w:rPr>
              <w:t>s</w:t>
            </w:r>
            <w:r>
              <w:rPr>
                <w:rFonts w:hint="eastAsia"/>
                <w:spacing w:val="-10"/>
              </w:rPr>
              <w:t>深度治理、氮氧化物深度治理“六大减排工程”，全面推进重点行业、重点领域的全流程污染治理，逐步破解大气复合污染问题，加快绿色生态屏障建设。</w:t>
            </w:r>
          </w:p>
          <w:p>
            <w:pPr>
              <w:bidi w:val="0"/>
              <w:ind w:firstLine="440" w:firstLineChars="200"/>
              <w:rPr>
                <w:rFonts w:hint="eastAsia"/>
                <w:spacing w:val="-10"/>
              </w:rPr>
            </w:pPr>
            <w:r>
              <w:rPr>
                <w:rFonts w:hint="eastAsia"/>
                <w:spacing w:val="-10"/>
              </w:rPr>
              <w:t>沂源县大气污染治理工作主要工作任务如下：</w:t>
            </w:r>
          </w:p>
          <w:p>
            <w:pPr>
              <w:bidi w:val="0"/>
              <w:ind w:firstLine="440" w:firstLineChars="200"/>
              <w:rPr>
                <w:rFonts w:hint="eastAsia"/>
                <w:spacing w:val="-10"/>
              </w:rPr>
            </w:pPr>
            <w:r>
              <w:rPr>
                <w:rFonts w:hint="eastAsia"/>
                <w:spacing w:val="-10"/>
              </w:rPr>
              <w:t>（1）能源结构调整专项行动——压减煤炭消费总量，2022年全年压减煤炭总量50万吨。加强清洁取暖改造，对暂不具备清洁采暖条件的偏远山区和气源电源难以保证的地区，可使用清洁煤炭进行替代劣质煤炭，采用“洁净煤炭+节能环保炉具”模式；其他地区原则上全部实施“煤改气、煤改电”。2022年采暖季前，沂源县历山街道西沙沟村、东沙沟村、儒林集、东鱼台村、一村、三村、北大岩村、彩板峪村，南麻街道二村、西下高庄村、上高庄村、北埠东村、小田庄村、大田庄村、付家庄、东高庄村、西台村、栗行村、南埠东村、刘家大峪，20个村庄完成清洁取暖改造；</w:t>
            </w:r>
          </w:p>
          <w:p>
            <w:pPr>
              <w:bidi w:val="0"/>
              <w:ind w:firstLine="440" w:firstLineChars="200"/>
              <w:rPr>
                <w:rFonts w:hint="eastAsia"/>
                <w:spacing w:val="-10"/>
              </w:rPr>
            </w:pPr>
            <w:r>
              <w:rPr>
                <w:rFonts w:hint="eastAsia"/>
                <w:spacing w:val="-10"/>
              </w:rPr>
              <w:t>（2）淘汰中小煤电机组。2022年底前，制定中小煤电机组淘汰计划、方案，开展单机容量30万千瓦以下煤电机组关停整合，淘汰手续不完善的煤电机组。淘汰沂源县源能热电有限公司3台25MW，1台50MW煤电机组；</w:t>
            </w:r>
          </w:p>
          <w:p>
            <w:pPr>
              <w:bidi w:val="0"/>
              <w:ind w:firstLine="440" w:firstLineChars="200"/>
              <w:rPr>
                <w:rFonts w:hint="eastAsia"/>
                <w:spacing w:val="-10"/>
              </w:rPr>
            </w:pPr>
            <w:r>
              <w:rPr>
                <w:rFonts w:hint="eastAsia"/>
                <w:spacing w:val="-10"/>
              </w:rPr>
              <w:t>（3）产能结构调整专项行动——坚定不移去“落后产能”，2022年底前，完成直径3.2米及以下水泥磨机的整合退出工作。退出产能按照不低于2:1的比例进行减量置换。通过产能置换新建的水泥熟料生产线规模不得低于4000吨/日，水泥磨机直径不得小于3.8米。逾期未完成产能置换的水泥熟料生产线和水泥磨机，直接关停退出。2022年12月底淘汰山东沂源沂阳水泥有限公司1台直径3.2m水泥粉磨站；</w:t>
            </w:r>
          </w:p>
          <w:p>
            <w:pPr>
              <w:bidi w:val="0"/>
              <w:ind w:firstLine="440" w:firstLineChars="200"/>
              <w:rPr>
                <w:rFonts w:hint="eastAsia"/>
                <w:spacing w:val="-10"/>
              </w:rPr>
            </w:pPr>
            <w:r>
              <w:rPr>
                <w:rFonts w:hint="eastAsia"/>
                <w:spacing w:val="-10"/>
              </w:rPr>
              <w:t>（4）深入推进“退城入园”，2022年9月底前，完成沂源县山东省药用玻璃股份有限公司（总厂厂区）、山东沃源新型面料股份有限公司（印染车间）搬迁改造工作；</w:t>
            </w:r>
          </w:p>
          <w:p>
            <w:pPr>
              <w:bidi w:val="0"/>
              <w:ind w:firstLine="440" w:firstLineChars="200"/>
              <w:rPr>
                <w:rFonts w:hint="eastAsia"/>
                <w:spacing w:val="-10"/>
              </w:rPr>
            </w:pPr>
            <w:r>
              <w:rPr>
                <w:rFonts w:hint="eastAsia"/>
                <w:spacing w:val="-10"/>
              </w:rPr>
              <w:t>（5）打好重点行业污染治理攻坚战。沂源县山东药用玻璃有限公司、合力泰股份有限公司、源能热电有限公司、光大绿色环保再生能源（沂源）有限公司安装脱硫、脱</w:t>
            </w:r>
            <w:r>
              <w:rPr>
                <w:rFonts w:hint="eastAsia"/>
                <w:spacing w:val="-10"/>
                <w:lang w:eastAsia="zh-CN"/>
              </w:rPr>
              <w:t>硝</w:t>
            </w:r>
            <w:r>
              <w:rPr>
                <w:rFonts w:hint="eastAsia"/>
                <w:spacing w:val="-10"/>
              </w:rPr>
              <w:t>自动化控制；山东鲁中公路建设有限公司养护工程分公司、沂源县坤盈建材有限责任公司、沂源筑诚新型建材有限公司、沂源鼎固建材有限公司、淄博辰通建材科技有限公司等十余家公司安装PM</w:t>
            </w:r>
            <w:r>
              <w:rPr>
                <w:rFonts w:hint="eastAsia"/>
                <w:spacing w:val="-10"/>
                <w:vertAlign w:val="subscript"/>
              </w:rPr>
              <w:t>10</w:t>
            </w:r>
            <w:r>
              <w:rPr>
                <w:rFonts w:hint="eastAsia"/>
                <w:spacing w:val="-10"/>
              </w:rPr>
              <w:t>在线监测、智能喷淋连锁控制。</w:t>
            </w:r>
          </w:p>
          <w:p>
            <w:pPr>
              <w:bidi w:val="0"/>
              <w:ind w:firstLine="440" w:firstLineChars="200"/>
              <w:rPr>
                <w:rFonts w:hint="eastAsia"/>
                <w:spacing w:val="-10"/>
              </w:rPr>
            </w:pPr>
            <w:r>
              <w:rPr>
                <w:rFonts w:hint="eastAsia"/>
                <w:spacing w:val="-10"/>
              </w:rPr>
              <w:t>随着以上大气污染防治措施落实后，区域环境空气质量将得到进一步改善。</w:t>
            </w:r>
          </w:p>
          <w:p>
            <w:pPr>
              <w:bidi w:val="0"/>
              <w:ind w:firstLine="440" w:firstLineChars="200"/>
              <w:rPr>
                <w:rFonts w:hint="eastAsia" w:ascii="Times New Roman" w:hAnsi="Times New Roman" w:cs="Times New Roman"/>
                <w:spacing w:val="-10"/>
                <w:lang w:eastAsia="zh-CN"/>
              </w:rPr>
            </w:pPr>
            <w:r>
              <w:rPr>
                <w:rFonts w:hint="eastAsia" w:ascii="Times New Roman" w:hAnsi="Times New Roman" w:cs="Times New Roman"/>
                <w:spacing w:val="-10"/>
                <w:lang w:eastAsia="zh-CN"/>
              </w:rPr>
              <w:t>该项目的实施对大气环境影响主要在施工期，影响分析详见施工期环境影响分析，为确保降低施工期对大气环境的影响，施工期间，严格落实《淄博市建设领域扬尘污染专项治理实施方案》要求。具体分析见施工期影响分析、运营期影响分析，施工期生态保护措施和运营期生态保护措施。</w:t>
            </w:r>
          </w:p>
          <w:p>
            <w:pPr>
              <w:bidi w:val="0"/>
              <w:rPr>
                <w:b/>
                <w:bCs/>
              </w:rPr>
            </w:pPr>
            <w:r>
              <w:rPr>
                <w:b/>
                <w:bCs/>
              </w:rPr>
              <w:t>三、地表水</w:t>
            </w:r>
          </w:p>
          <w:p>
            <w:pPr>
              <w:bidi w:val="0"/>
              <w:ind w:firstLine="488" w:firstLineChars="200"/>
              <w:rPr>
                <w:rFonts w:hint="eastAsia"/>
                <w:snapToGrid w:val="0"/>
                <w:color w:val="000000"/>
                <w:spacing w:val="2"/>
                <w:kern w:val="0"/>
                <w:lang w:eastAsia="zh-CN"/>
              </w:rPr>
            </w:pPr>
            <w:r>
              <w:rPr>
                <w:rFonts w:hint="eastAsia"/>
                <w:snapToGrid w:val="0"/>
                <w:color w:val="000000"/>
                <w:spacing w:val="2"/>
                <w:kern w:val="0"/>
                <w:lang w:eastAsia="zh-CN"/>
              </w:rPr>
              <w:t>沂源县地势较高，无客水流过。有河谷1600余条，共建成各类水库125座，塘坝372座。沂河、弥河、汶河均发源于境内，形成3条水系，以沂河水系最大，属淮河流域。沂河水系主要河流是沂河，主河道由田庄水库流向东南，从韩旺乡西南部流出县境，境内长84.6km。它的主要支流有石沟河、仁里庄河、十八转河、儒林集河、悦庄河等河流。汶河水系在沂源县境内的主要支流有丈八丘河、黄庄河、新汶河，分别流入莱芜市和新泰市。弥河水系在沂源县境内主要支流有五井石河、两县河、三岔河，流入临朐县。</w:t>
            </w:r>
          </w:p>
          <w:p>
            <w:pPr>
              <w:bidi w:val="0"/>
              <w:ind w:firstLine="488" w:firstLineChars="200"/>
              <w:rPr>
                <w:rFonts w:hint="eastAsia" w:eastAsia="宋体"/>
                <w:snapToGrid w:val="0"/>
                <w:color w:val="000000"/>
                <w:spacing w:val="2"/>
                <w:kern w:val="0"/>
                <w:lang w:val="en-US" w:eastAsia="zh-CN"/>
              </w:rPr>
            </w:pPr>
            <w:r>
              <w:rPr>
                <w:rFonts w:hint="eastAsia"/>
                <w:snapToGrid w:val="0"/>
                <w:color w:val="000000"/>
                <w:spacing w:val="2"/>
                <w:kern w:val="0"/>
                <w:lang w:eastAsia="zh-CN"/>
              </w:rPr>
              <w:t>五井石河亦称小石河，为弥河一级支流，起源于沂源县南鲁山镇车场村，中途流入潍坊市临朐县五井镇嵩山水库，最终流入潍坊市冶源镇弥河。本项目五井石河沂源段起点为沂源县南鲁山镇车场村，终点为沂源县县界，流经南鲁山镇1个乡镇。五井石河沂源境内全长14.13km，流域面积105.26km</w:t>
            </w:r>
            <w:r>
              <w:rPr>
                <w:rFonts w:hint="eastAsia"/>
                <w:snapToGrid w:val="0"/>
                <w:color w:val="000000"/>
                <w:spacing w:val="2"/>
                <w:kern w:val="0"/>
                <w:vertAlign w:val="superscript"/>
                <w:lang w:eastAsia="zh-CN"/>
              </w:rPr>
              <w:t>2</w:t>
            </w:r>
            <w:r>
              <w:rPr>
                <w:rFonts w:hint="eastAsia"/>
                <w:snapToGrid w:val="0"/>
                <w:color w:val="000000"/>
                <w:spacing w:val="2"/>
                <w:kern w:val="0"/>
                <w:vertAlign w:val="baseline"/>
                <w:lang w:eastAsia="zh-CN"/>
              </w:rPr>
              <w:t>，东北流向，全长35.5</w:t>
            </w:r>
            <w:r>
              <w:rPr>
                <w:rFonts w:hint="eastAsia"/>
                <w:snapToGrid w:val="0"/>
                <w:color w:val="000000"/>
                <w:spacing w:val="2"/>
                <w:kern w:val="0"/>
                <w:lang w:eastAsia="zh-CN"/>
              </w:rPr>
              <w:t>km</w:t>
            </w:r>
            <w:r>
              <w:rPr>
                <w:rFonts w:hint="eastAsia"/>
                <w:snapToGrid w:val="0"/>
                <w:color w:val="000000"/>
                <w:spacing w:val="2"/>
                <w:kern w:val="0"/>
                <w:vertAlign w:val="baseline"/>
                <w:lang w:eastAsia="zh-CN"/>
              </w:rPr>
              <w:t>，流域面积264.2km</w:t>
            </w:r>
            <w:r>
              <w:rPr>
                <w:rFonts w:hint="eastAsia"/>
                <w:snapToGrid w:val="0"/>
                <w:color w:val="000000"/>
                <w:spacing w:val="2"/>
                <w:kern w:val="0"/>
                <w:vertAlign w:val="superscript"/>
                <w:lang w:eastAsia="zh-CN"/>
              </w:rPr>
              <w:t>2</w:t>
            </w:r>
            <w:r>
              <w:rPr>
                <w:rFonts w:hint="eastAsia"/>
                <w:snapToGrid w:val="0"/>
                <w:color w:val="000000"/>
                <w:spacing w:val="2"/>
                <w:kern w:val="0"/>
                <w:vertAlign w:val="baseline"/>
                <w:lang w:eastAsia="zh-CN"/>
              </w:rPr>
              <w:t>，河道平均比降13.6/1000。弥河主河槽250～300</w:t>
            </w:r>
            <w:r>
              <w:rPr>
                <w:rFonts w:hint="eastAsia"/>
                <w:snapToGrid w:val="0"/>
                <w:color w:val="000000"/>
                <w:spacing w:val="2"/>
                <w:kern w:val="0"/>
                <w:vertAlign w:val="baseline"/>
                <w:lang w:val="en-US" w:eastAsia="zh-CN"/>
              </w:rPr>
              <w:t>m</w:t>
            </w:r>
            <w:r>
              <w:rPr>
                <w:rFonts w:hint="eastAsia"/>
                <w:snapToGrid w:val="0"/>
                <w:color w:val="000000"/>
                <w:spacing w:val="2"/>
                <w:kern w:val="0"/>
                <w:vertAlign w:val="baseline"/>
                <w:lang w:eastAsia="zh-CN"/>
              </w:rPr>
              <w:t>，流量变幅较大，汛期旋泄洪水最大量达4000</w:t>
            </w:r>
            <w:r>
              <w:rPr>
                <w:rFonts w:hint="eastAsia"/>
                <w:snapToGrid w:val="0"/>
                <w:color w:val="auto"/>
                <w:spacing w:val="2"/>
                <w:kern w:val="0"/>
              </w:rPr>
              <w:t>m</w:t>
            </w:r>
            <w:r>
              <w:rPr>
                <w:rFonts w:hint="eastAsia"/>
                <w:snapToGrid w:val="0"/>
                <w:color w:val="auto"/>
                <w:spacing w:val="2"/>
                <w:kern w:val="0"/>
                <w:vertAlign w:val="superscript"/>
              </w:rPr>
              <w:t>3</w:t>
            </w:r>
            <w:r>
              <w:rPr>
                <w:rFonts w:hint="eastAsia"/>
                <w:snapToGrid w:val="0"/>
                <w:color w:val="000000"/>
                <w:spacing w:val="2"/>
                <w:kern w:val="0"/>
                <w:vertAlign w:val="baseline"/>
                <w:lang w:eastAsia="zh-CN"/>
              </w:rPr>
              <w:t>/</w:t>
            </w:r>
            <w:r>
              <w:rPr>
                <w:rFonts w:hint="eastAsia"/>
                <w:snapToGrid w:val="0"/>
                <w:color w:val="000000"/>
                <w:spacing w:val="2"/>
                <w:kern w:val="0"/>
                <w:vertAlign w:val="baseline"/>
                <w:lang w:val="en-US" w:eastAsia="zh-CN"/>
              </w:rPr>
              <w:t>s</w:t>
            </w:r>
            <w:r>
              <w:rPr>
                <w:rFonts w:hint="eastAsia"/>
                <w:snapToGrid w:val="0"/>
                <w:color w:val="000000"/>
                <w:spacing w:val="2"/>
                <w:kern w:val="0"/>
                <w:vertAlign w:val="baseline"/>
                <w:lang w:eastAsia="zh-CN"/>
              </w:rPr>
              <w:t>，枯水季节常断流。</w:t>
            </w:r>
          </w:p>
          <w:p>
            <w:pPr>
              <w:bidi w:val="0"/>
              <w:ind w:firstLine="488" w:firstLineChars="200"/>
              <w:rPr>
                <w:rFonts w:hint="eastAsia"/>
                <w:snapToGrid w:val="0"/>
                <w:color w:val="auto"/>
                <w:spacing w:val="2"/>
                <w:kern w:val="0"/>
              </w:rPr>
            </w:pPr>
            <w:r>
              <w:rPr>
                <w:rFonts w:hint="eastAsia"/>
                <w:snapToGrid w:val="0"/>
                <w:color w:val="auto"/>
                <w:spacing w:val="2"/>
                <w:kern w:val="0"/>
              </w:rPr>
              <w:t>根据《淄博市水环境功能区划》</w:t>
            </w:r>
            <w:r>
              <w:rPr>
                <w:rFonts w:hint="eastAsia"/>
                <w:snapToGrid w:val="0"/>
                <w:color w:val="auto"/>
                <w:spacing w:val="2"/>
                <w:kern w:val="0"/>
                <w:lang w:eastAsia="zh-CN"/>
              </w:rPr>
              <w:t>（</w:t>
            </w:r>
            <w:r>
              <w:rPr>
                <w:rFonts w:hint="eastAsia"/>
                <w:snapToGrid w:val="0"/>
                <w:color w:val="auto"/>
                <w:spacing w:val="2"/>
                <w:kern w:val="0"/>
              </w:rPr>
              <w:t>淄政字</w:t>
            </w:r>
            <w:r>
              <w:rPr>
                <w:rFonts w:hint="eastAsia"/>
                <w:snapToGrid w:val="0"/>
                <w:color w:val="auto"/>
                <w:spacing w:val="2"/>
                <w:kern w:val="0"/>
                <w:lang w:eastAsia="zh-CN"/>
              </w:rPr>
              <w:t>〔</w:t>
            </w:r>
            <w:r>
              <w:rPr>
                <w:rFonts w:hint="eastAsia"/>
                <w:snapToGrid w:val="0"/>
                <w:color w:val="auto"/>
                <w:spacing w:val="2"/>
                <w:kern w:val="0"/>
              </w:rPr>
              <w:t>2012</w:t>
            </w:r>
            <w:r>
              <w:rPr>
                <w:rFonts w:hint="eastAsia"/>
                <w:snapToGrid w:val="0"/>
                <w:color w:val="auto"/>
                <w:spacing w:val="2"/>
                <w:kern w:val="0"/>
                <w:lang w:eastAsia="zh-CN"/>
              </w:rPr>
              <w:t>〕</w:t>
            </w:r>
            <w:r>
              <w:rPr>
                <w:rFonts w:hint="eastAsia"/>
                <w:snapToGrid w:val="0"/>
                <w:color w:val="auto"/>
                <w:spacing w:val="2"/>
                <w:kern w:val="0"/>
              </w:rPr>
              <w:t>10号</w:t>
            </w:r>
            <w:r>
              <w:rPr>
                <w:rFonts w:hint="eastAsia"/>
                <w:snapToGrid w:val="0"/>
                <w:color w:val="auto"/>
                <w:spacing w:val="2"/>
                <w:kern w:val="0"/>
                <w:lang w:eastAsia="zh-CN"/>
              </w:rPr>
              <w:t>）</w:t>
            </w:r>
            <w:r>
              <w:rPr>
                <w:rFonts w:hint="eastAsia"/>
                <w:snapToGrid w:val="0"/>
                <w:color w:val="auto"/>
                <w:spacing w:val="2"/>
                <w:kern w:val="0"/>
              </w:rPr>
              <w:t>，</w:t>
            </w:r>
            <w:r>
              <w:rPr>
                <w:rFonts w:hint="eastAsia"/>
                <w:snapToGrid w:val="0"/>
                <w:color w:val="auto"/>
                <w:spacing w:val="2"/>
                <w:kern w:val="0"/>
                <w:lang w:eastAsia="zh-CN"/>
              </w:rPr>
              <w:t>本项目执行</w:t>
            </w:r>
            <w:r>
              <w:rPr>
                <w:rFonts w:hint="eastAsia"/>
                <w:snapToGrid w:val="0"/>
                <w:color w:val="auto"/>
                <w:spacing w:val="2"/>
                <w:kern w:val="0"/>
              </w:rPr>
              <w:t>《地表水环境质量标准》（GB3838-2002）Ⅳ类标准。</w:t>
            </w:r>
          </w:p>
          <w:p>
            <w:pPr>
              <w:numPr>
                <w:ilvl w:val="0"/>
                <w:numId w:val="3"/>
              </w:numPr>
              <w:bidi w:val="0"/>
              <w:ind w:firstLine="488" w:firstLineChars="200"/>
              <w:rPr>
                <w:rFonts w:hint="eastAsia"/>
                <w:snapToGrid w:val="0"/>
                <w:color w:val="auto"/>
                <w:spacing w:val="2"/>
                <w:kern w:val="0"/>
              </w:rPr>
            </w:pPr>
            <w:r>
              <w:rPr>
                <w:rFonts w:hint="eastAsia"/>
                <w:snapToGrid w:val="0"/>
                <w:color w:val="auto"/>
                <w:spacing w:val="2"/>
                <w:kern w:val="0"/>
              </w:rPr>
              <w:t>区域</w:t>
            </w:r>
            <w:r>
              <w:rPr>
                <w:rFonts w:hint="eastAsia"/>
                <w:snapToGrid w:val="0"/>
                <w:color w:val="auto"/>
                <w:spacing w:val="2"/>
                <w:kern w:val="0"/>
                <w:lang w:eastAsia="zh-CN"/>
              </w:rPr>
              <w:t>地表水</w:t>
            </w:r>
            <w:r>
              <w:rPr>
                <w:rFonts w:hint="eastAsia"/>
                <w:snapToGrid w:val="0"/>
                <w:color w:val="auto"/>
                <w:spacing w:val="2"/>
                <w:kern w:val="0"/>
              </w:rPr>
              <w:t>环境整治方案</w:t>
            </w:r>
          </w:p>
          <w:p>
            <w:pPr>
              <w:numPr>
                <w:ilvl w:val="0"/>
                <w:numId w:val="0"/>
              </w:numPr>
              <w:bidi w:val="0"/>
              <w:ind w:firstLine="244" w:firstLineChars="100"/>
              <w:rPr>
                <w:rFonts w:hint="eastAsia"/>
                <w:snapToGrid w:val="0"/>
                <w:color w:val="auto"/>
                <w:spacing w:val="2"/>
                <w:kern w:val="0"/>
              </w:rPr>
            </w:pPr>
            <w:r>
              <w:rPr>
                <w:rFonts w:hint="eastAsia"/>
                <w:snapToGrid w:val="0"/>
                <w:color w:val="auto"/>
                <w:spacing w:val="2"/>
                <w:kern w:val="0"/>
              </w:rPr>
              <w:t>根据《淄博市生态环境委员会办公室关于印发2021年全市生态环境保护综合治理工程任务清单的通知》</w:t>
            </w:r>
            <w:r>
              <w:rPr>
                <w:rFonts w:hint="eastAsia"/>
                <w:snapToGrid w:val="0"/>
                <w:color w:val="auto"/>
                <w:spacing w:val="2"/>
                <w:kern w:val="0"/>
                <w:lang w:eastAsia="zh-CN"/>
              </w:rPr>
              <w:t>（</w:t>
            </w:r>
            <w:r>
              <w:rPr>
                <w:rFonts w:hint="eastAsia"/>
                <w:snapToGrid w:val="0"/>
                <w:color w:val="auto"/>
                <w:spacing w:val="2"/>
                <w:kern w:val="0"/>
              </w:rPr>
              <w:t>淄环委办</w:t>
            </w:r>
            <w:r>
              <w:rPr>
                <w:rFonts w:hint="eastAsia"/>
                <w:snapToGrid w:val="0"/>
                <w:color w:val="auto"/>
                <w:spacing w:val="2"/>
                <w:kern w:val="0"/>
                <w:lang w:eastAsia="zh-CN"/>
              </w:rPr>
              <w:t>〔</w:t>
            </w:r>
            <w:r>
              <w:rPr>
                <w:rFonts w:hint="eastAsia"/>
                <w:snapToGrid w:val="0"/>
                <w:color w:val="auto"/>
                <w:spacing w:val="2"/>
                <w:kern w:val="0"/>
              </w:rPr>
              <w:t>2021</w:t>
            </w:r>
            <w:r>
              <w:rPr>
                <w:rFonts w:hint="eastAsia"/>
                <w:snapToGrid w:val="0"/>
                <w:color w:val="auto"/>
                <w:spacing w:val="2"/>
                <w:kern w:val="0"/>
                <w:lang w:eastAsia="zh-CN"/>
              </w:rPr>
              <w:t>〕</w:t>
            </w:r>
            <w:r>
              <w:rPr>
                <w:rFonts w:hint="eastAsia"/>
                <w:snapToGrid w:val="0"/>
                <w:color w:val="auto"/>
                <w:spacing w:val="2"/>
                <w:kern w:val="0"/>
              </w:rPr>
              <w:t>2号</w:t>
            </w:r>
            <w:r>
              <w:rPr>
                <w:rFonts w:hint="eastAsia"/>
                <w:snapToGrid w:val="0"/>
                <w:color w:val="auto"/>
                <w:spacing w:val="2"/>
                <w:kern w:val="0"/>
                <w:lang w:eastAsia="zh-CN"/>
              </w:rPr>
              <w:t>）</w:t>
            </w:r>
            <w:r>
              <w:rPr>
                <w:rFonts w:hint="eastAsia"/>
                <w:snapToGrid w:val="0"/>
                <w:color w:val="auto"/>
                <w:spacing w:val="2"/>
                <w:kern w:val="0"/>
              </w:rPr>
              <w:t>，沂源县水环境质量综合治理工程任务清单如下</w:t>
            </w:r>
            <w:r>
              <w:rPr>
                <w:rFonts w:hint="eastAsia"/>
                <w:snapToGrid w:val="0"/>
                <w:color w:val="auto"/>
                <w:spacing w:val="2"/>
                <w:kern w:val="0"/>
                <w:lang w:eastAsia="zh-CN"/>
              </w:rPr>
              <w:t>：</w:t>
            </w:r>
          </w:p>
          <w:p>
            <w:pPr>
              <w:numPr>
                <w:ilvl w:val="0"/>
                <w:numId w:val="0"/>
              </w:numPr>
              <w:bidi w:val="0"/>
              <w:ind w:left="480" w:leftChars="200" w:firstLine="56" w:firstLineChars="23"/>
              <w:rPr>
                <w:rFonts w:hint="eastAsia"/>
                <w:snapToGrid w:val="0"/>
                <w:color w:val="auto"/>
                <w:spacing w:val="2"/>
                <w:kern w:val="0"/>
              </w:rPr>
            </w:pPr>
            <w:r>
              <w:rPr>
                <w:rFonts w:hint="default" w:ascii="Times New Roman" w:hAnsi="Times New Roman" w:eastAsia="宋体" w:cs="Times New Roman"/>
                <w:snapToGrid w:val="0"/>
                <w:color w:val="auto"/>
                <w:spacing w:val="2"/>
                <w:kern w:val="0"/>
                <w:sz w:val="24"/>
                <w:szCs w:val="24"/>
                <w:lang w:val="en-US" w:eastAsia="zh-CN" w:bidi="ar-SA"/>
              </w:rPr>
              <w:t>1)</w:t>
            </w:r>
            <w:r>
              <w:rPr>
                <w:rFonts w:hint="eastAsia"/>
                <w:snapToGrid w:val="0"/>
                <w:color w:val="auto"/>
                <w:spacing w:val="2"/>
                <w:kern w:val="0"/>
              </w:rPr>
              <w:t>“八水统筹、水润淄博”工程。</w:t>
            </w:r>
          </w:p>
          <w:p>
            <w:pPr>
              <w:numPr>
                <w:ilvl w:val="0"/>
                <w:numId w:val="0"/>
              </w:numPr>
              <w:bidi w:val="0"/>
              <w:ind w:firstLine="488" w:firstLineChars="200"/>
              <w:rPr>
                <w:rFonts w:hint="eastAsia"/>
                <w:snapToGrid w:val="0"/>
                <w:color w:val="auto"/>
                <w:spacing w:val="2"/>
                <w:kern w:val="0"/>
              </w:rPr>
            </w:pPr>
            <w:r>
              <w:rPr>
                <w:rFonts w:hint="eastAsia"/>
                <w:snapToGrid w:val="0"/>
                <w:color w:val="auto"/>
                <w:spacing w:val="2"/>
                <w:kern w:val="0"/>
              </w:rPr>
              <w:t>1、表面涂装、包装印刷等行业源头替代项目</w:t>
            </w:r>
            <w:r>
              <w:rPr>
                <w:rFonts w:hint="eastAsia"/>
                <w:snapToGrid w:val="0"/>
                <w:color w:val="auto"/>
                <w:spacing w:val="2"/>
                <w:kern w:val="0"/>
                <w:lang w:eastAsia="zh-CN"/>
              </w:rPr>
              <w:t>：</w:t>
            </w:r>
            <w:r>
              <w:rPr>
                <w:rFonts w:hint="eastAsia"/>
                <w:snapToGrid w:val="0"/>
                <w:color w:val="auto"/>
                <w:spacing w:val="2"/>
                <w:kern w:val="0"/>
              </w:rPr>
              <w:t>包括淄博昌顺玻璃制品有限公司源头替代工程、淄博世俊金属制品有限公司源头替代工程、山东沂源美和工贸有限公司源头替代工程、山东远扬电器有限公司源头替代工程等4个表面涂装、包装印刷等行业源头替代项目。</w:t>
            </w:r>
          </w:p>
          <w:p>
            <w:pPr>
              <w:numPr>
                <w:ilvl w:val="0"/>
                <w:numId w:val="0"/>
              </w:numPr>
              <w:bidi w:val="0"/>
              <w:ind w:firstLine="488" w:firstLineChars="200"/>
              <w:rPr>
                <w:rFonts w:hint="eastAsia"/>
                <w:snapToGrid w:val="0"/>
                <w:color w:val="auto"/>
                <w:spacing w:val="2"/>
                <w:kern w:val="0"/>
              </w:rPr>
            </w:pPr>
            <w:r>
              <w:rPr>
                <w:rFonts w:hint="eastAsia"/>
                <w:snapToGrid w:val="0"/>
                <w:color w:val="auto"/>
                <w:spacing w:val="2"/>
                <w:kern w:val="0"/>
              </w:rPr>
              <w:t>2、沂源县第一污水处理厂提标改造、沂源县第二污水处理厂提标改造</w:t>
            </w:r>
            <w:r>
              <w:rPr>
                <w:rFonts w:hint="eastAsia"/>
                <w:snapToGrid w:val="0"/>
                <w:color w:val="auto"/>
                <w:spacing w:val="2"/>
                <w:kern w:val="0"/>
                <w:lang w:eastAsia="zh-CN"/>
              </w:rPr>
              <w:t>：</w:t>
            </w:r>
            <w:r>
              <w:rPr>
                <w:rFonts w:hint="eastAsia"/>
                <w:snapToGrid w:val="0"/>
                <w:color w:val="auto"/>
                <w:spacing w:val="2"/>
                <w:kern w:val="0"/>
              </w:rPr>
              <w:t>达到《地表水环境质量标准》</w:t>
            </w:r>
            <w:r>
              <w:rPr>
                <w:rFonts w:hint="eastAsia"/>
                <w:snapToGrid w:val="0"/>
                <w:color w:val="auto"/>
                <w:spacing w:val="2"/>
                <w:kern w:val="0"/>
                <w:lang w:eastAsia="zh-CN"/>
              </w:rPr>
              <w:t>Ⅳ类</w:t>
            </w:r>
            <w:r>
              <w:rPr>
                <w:rFonts w:hint="eastAsia"/>
                <w:snapToGrid w:val="0"/>
                <w:color w:val="auto"/>
                <w:spacing w:val="2"/>
                <w:kern w:val="0"/>
              </w:rPr>
              <w:t>水标准。</w:t>
            </w:r>
          </w:p>
          <w:p>
            <w:pPr>
              <w:numPr>
                <w:ilvl w:val="0"/>
                <w:numId w:val="0"/>
              </w:numPr>
              <w:bidi w:val="0"/>
              <w:ind w:firstLine="488" w:firstLineChars="200"/>
              <w:rPr>
                <w:rFonts w:hint="eastAsia"/>
                <w:snapToGrid w:val="0"/>
                <w:color w:val="auto"/>
                <w:spacing w:val="2"/>
                <w:kern w:val="0"/>
              </w:rPr>
            </w:pPr>
            <w:r>
              <w:rPr>
                <w:rFonts w:hint="eastAsia"/>
                <w:snapToGrid w:val="0"/>
                <w:color w:val="auto"/>
                <w:spacing w:val="2"/>
                <w:kern w:val="0"/>
              </w:rPr>
              <w:t>3、老旧小区雨污分流改造工程</w:t>
            </w:r>
            <w:r>
              <w:rPr>
                <w:rFonts w:hint="eastAsia"/>
                <w:snapToGrid w:val="0"/>
                <w:color w:val="auto"/>
                <w:spacing w:val="2"/>
                <w:kern w:val="0"/>
                <w:lang w:eastAsia="zh-CN"/>
              </w:rPr>
              <w:t>：</w:t>
            </w:r>
            <w:r>
              <w:rPr>
                <w:rFonts w:hint="eastAsia"/>
                <w:snapToGrid w:val="0"/>
                <w:color w:val="auto"/>
                <w:spacing w:val="2"/>
                <w:kern w:val="0"/>
              </w:rPr>
              <w:t>现代城、城中社区生活区、怡康社区生活区的小区内道路翻建、雨污水管道新建、建筑外立面整治、架空电缆落地等，污水管道约5公里。</w:t>
            </w:r>
          </w:p>
          <w:p>
            <w:pPr>
              <w:numPr>
                <w:ilvl w:val="0"/>
                <w:numId w:val="0"/>
              </w:numPr>
              <w:bidi w:val="0"/>
              <w:ind w:firstLine="488" w:firstLineChars="200"/>
              <w:rPr>
                <w:rFonts w:hint="eastAsia"/>
                <w:snapToGrid w:val="0"/>
                <w:color w:val="auto"/>
                <w:spacing w:val="2"/>
                <w:kern w:val="0"/>
              </w:rPr>
            </w:pPr>
            <w:r>
              <w:rPr>
                <w:rFonts w:hint="eastAsia"/>
                <w:snapToGrid w:val="0"/>
                <w:color w:val="auto"/>
                <w:spacing w:val="2"/>
                <w:kern w:val="0"/>
              </w:rPr>
              <w:t>4、雨污管网清淤</w:t>
            </w:r>
            <w:r>
              <w:rPr>
                <w:rFonts w:hint="eastAsia"/>
                <w:snapToGrid w:val="0"/>
                <w:color w:val="auto"/>
                <w:spacing w:val="2"/>
                <w:kern w:val="0"/>
                <w:lang w:eastAsia="zh-CN"/>
              </w:rPr>
              <w:t>：</w:t>
            </w:r>
            <w:r>
              <w:rPr>
                <w:rFonts w:hint="eastAsia"/>
                <w:snapToGrid w:val="0"/>
                <w:color w:val="auto"/>
                <w:spacing w:val="2"/>
                <w:kern w:val="0"/>
              </w:rPr>
              <w:t>汛期来临前对污水管网进行清淤疏浚，防止污水影响河道水质。</w:t>
            </w:r>
          </w:p>
          <w:p>
            <w:pPr>
              <w:numPr>
                <w:ilvl w:val="0"/>
                <w:numId w:val="0"/>
              </w:numPr>
              <w:bidi w:val="0"/>
              <w:ind w:firstLine="488" w:firstLineChars="200"/>
              <w:rPr>
                <w:rFonts w:hint="eastAsia"/>
                <w:snapToGrid w:val="0"/>
                <w:color w:val="auto"/>
                <w:spacing w:val="2"/>
                <w:kern w:val="0"/>
              </w:rPr>
            </w:pPr>
            <w:r>
              <w:rPr>
                <w:rFonts w:hint="eastAsia"/>
                <w:snapToGrid w:val="0"/>
                <w:color w:val="auto"/>
                <w:spacing w:val="2"/>
                <w:kern w:val="0"/>
              </w:rPr>
              <w:t>5、排污口重点整治工程</w:t>
            </w:r>
            <w:r>
              <w:rPr>
                <w:rFonts w:hint="eastAsia"/>
                <w:snapToGrid w:val="0"/>
                <w:color w:val="auto"/>
                <w:spacing w:val="2"/>
                <w:kern w:val="0"/>
                <w:lang w:eastAsia="zh-CN"/>
              </w:rPr>
              <w:t>：</w:t>
            </w:r>
            <w:r>
              <w:rPr>
                <w:rFonts w:hint="eastAsia"/>
                <w:snapToGrid w:val="0"/>
                <w:color w:val="auto"/>
                <w:spacing w:val="2"/>
                <w:kern w:val="0"/>
              </w:rPr>
              <w:t>对沿河雨污混排口、生活污水问题排口进行整治，共计105个。</w:t>
            </w:r>
          </w:p>
          <w:p>
            <w:pPr>
              <w:numPr>
                <w:ilvl w:val="0"/>
                <w:numId w:val="0"/>
              </w:numPr>
              <w:bidi w:val="0"/>
              <w:ind w:firstLine="488" w:firstLineChars="200"/>
              <w:rPr>
                <w:rFonts w:hint="eastAsia"/>
                <w:snapToGrid w:val="0"/>
                <w:color w:val="auto"/>
                <w:spacing w:val="2"/>
                <w:kern w:val="0"/>
              </w:rPr>
            </w:pPr>
            <w:r>
              <w:rPr>
                <w:rFonts w:hint="eastAsia"/>
                <w:snapToGrid w:val="0"/>
                <w:color w:val="auto"/>
                <w:spacing w:val="2"/>
                <w:kern w:val="0"/>
              </w:rPr>
              <w:t>6、沂河人工湿地建设工程</w:t>
            </w:r>
            <w:r>
              <w:rPr>
                <w:rFonts w:hint="eastAsia"/>
                <w:snapToGrid w:val="0"/>
                <w:color w:val="auto"/>
                <w:spacing w:val="2"/>
                <w:kern w:val="0"/>
                <w:lang w:eastAsia="zh-CN"/>
              </w:rPr>
              <w:t>：</w:t>
            </w:r>
            <w:r>
              <w:rPr>
                <w:rFonts w:hint="eastAsia"/>
                <w:snapToGrid w:val="0"/>
                <w:color w:val="auto"/>
                <w:spacing w:val="2"/>
                <w:kern w:val="0"/>
              </w:rPr>
              <w:t>沂河河道建设人工湿地净化工程，项目位于沂源县经济开发区南部，儒林河与饮马河下游及沂河段，项目总占地面积约4860亩，其中潜流人工湿地约50亩，表面流人工湿地约4810亩。工程进水为沂源县第二污水处理厂达标排放的废水，设计日处理能力30000m</w:t>
            </w:r>
            <w:r>
              <w:rPr>
                <w:rFonts w:hint="eastAsia"/>
                <w:snapToGrid w:val="0"/>
                <w:color w:val="auto"/>
                <w:spacing w:val="2"/>
                <w:kern w:val="0"/>
                <w:vertAlign w:val="superscript"/>
              </w:rPr>
              <w:t>3</w:t>
            </w:r>
            <w:r>
              <w:rPr>
                <w:rFonts w:hint="eastAsia"/>
                <w:snapToGrid w:val="0"/>
                <w:color w:val="auto"/>
                <w:spacing w:val="2"/>
                <w:kern w:val="0"/>
              </w:rPr>
              <w:t>/d，采用潜流人工湿地+多级表面流人工湿地组合工艺。</w:t>
            </w:r>
          </w:p>
          <w:p>
            <w:pPr>
              <w:numPr>
                <w:ilvl w:val="0"/>
                <w:numId w:val="0"/>
              </w:numPr>
              <w:bidi w:val="0"/>
              <w:ind w:left="427" w:leftChars="100" w:hanging="187" w:hangingChars="77"/>
              <w:rPr>
                <w:rFonts w:hint="eastAsia"/>
                <w:snapToGrid w:val="0"/>
                <w:color w:val="auto"/>
                <w:spacing w:val="2"/>
                <w:kern w:val="0"/>
              </w:rPr>
            </w:pPr>
            <w:r>
              <w:rPr>
                <w:rFonts w:hint="eastAsia" w:cs="Times New Roman"/>
                <w:snapToGrid w:val="0"/>
                <w:color w:val="auto"/>
                <w:spacing w:val="2"/>
                <w:kern w:val="0"/>
                <w:sz w:val="24"/>
                <w:szCs w:val="24"/>
                <w:lang w:val="en-US" w:eastAsia="zh-CN" w:bidi="ar-SA"/>
              </w:rPr>
              <w:t>2）</w:t>
            </w:r>
            <w:r>
              <w:rPr>
                <w:rFonts w:hint="eastAsia"/>
                <w:snapToGrid w:val="0"/>
                <w:color w:val="auto"/>
                <w:spacing w:val="2"/>
                <w:kern w:val="0"/>
              </w:rPr>
              <w:t>农业农村综合治理工程</w:t>
            </w:r>
          </w:p>
          <w:p>
            <w:pPr>
              <w:numPr>
                <w:ilvl w:val="0"/>
                <w:numId w:val="0"/>
              </w:numPr>
              <w:bidi w:val="0"/>
              <w:ind w:firstLine="488" w:firstLineChars="200"/>
              <w:rPr>
                <w:rFonts w:hint="eastAsia"/>
                <w:snapToGrid w:val="0"/>
                <w:color w:val="auto"/>
                <w:spacing w:val="2"/>
                <w:kern w:val="0"/>
              </w:rPr>
            </w:pPr>
            <w:r>
              <w:rPr>
                <w:rFonts w:hint="eastAsia"/>
                <w:snapToGrid w:val="0"/>
                <w:color w:val="auto"/>
                <w:spacing w:val="2"/>
                <w:kern w:val="0"/>
              </w:rPr>
              <w:t>沂源县农村生活污水提标治理工程</w:t>
            </w:r>
            <w:r>
              <w:rPr>
                <w:rFonts w:hint="eastAsia"/>
                <w:snapToGrid w:val="0"/>
                <w:color w:val="auto"/>
                <w:spacing w:val="2"/>
                <w:kern w:val="0"/>
                <w:lang w:eastAsia="zh-CN"/>
              </w:rPr>
              <w:t>：</w:t>
            </w:r>
            <w:r>
              <w:rPr>
                <w:rFonts w:hint="eastAsia"/>
                <w:snapToGrid w:val="0"/>
                <w:color w:val="auto"/>
                <w:spacing w:val="2"/>
                <w:kern w:val="0"/>
              </w:rPr>
              <w:t>因地制宜采取纳管、建站、符合国家和省级评估要求的其他方式，新增完成10%的行政村生活污水治理验收。</w:t>
            </w:r>
          </w:p>
          <w:p>
            <w:pPr>
              <w:numPr>
                <w:ilvl w:val="0"/>
                <w:numId w:val="0"/>
              </w:numPr>
              <w:bidi w:val="0"/>
              <w:ind w:firstLine="488" w:firstLineChars="200"/>
              <w:rPr>
                <w:rFonts w:hint="eastAsia"/>
                <w:snapToGrid w:val="0"/>
                <w:color w:val="auto"/>
                <w:spacing w:val="2"/>
                <w:kern w:val="0"/>
              </w:rPr>
            </w:pPr>
            <w:r>
              <w:rPr>
                <w:rFonts w:hint="eastAsia"/>
                <w:snapToGrid w:val="0"/>
                <w:color w:val="auto"/>
                <w:spacing w:val="2"/>
                <w:kern w:val="0"/>
              </w:rPr>
              <w:t>随着淄博市和沂源县地表水环境整治工作的进一步开展，区域地表水水质将进一步得到改善。</w:t>
            </w:r>
          </w:p>
          <w:p>
            <w:pPr>
              <w:bidi w:val="0"/>
              <w:rPr>
                <w:b/>
                <w:bCs/>
                <w:color w:val="auto"/>
              </w:rPr>
            </w:pPr>
            <w:r>
              <w:rPr>
                <w:b/>
                <w:bCs/>
                <w:color w:val="auto"/>
              </w:rPr>
              <w:t>四、地下水、土壤</w:t>
            </w:r>
          </w:p>
          <w:p>
            <w:pPr>
              <w:bidi w:val="0"/>
              <w:ind w:firstLine="488" w:firstLineChars="200"/>
              <w:rPr>
                <w:rFonts w:hint="eastAsia" w:cs="Times New Roman"/>
                <w:spacing w:val="2"/>
                <w:lang w:val="en-US" w:eastAsia="zh-CN"/>
              </w:rPr>
            </w:pPr>
            <w:r>
              <w:rPr>
                <w:rFonts w:hint="eastAsia" w:cs="Times New Roman"/>
                <w:spacing w:val="2"/>
                <w:lang w:val="en-US" w:eastAsia="zh-CN"/>
              </w:rPr>
              <w:t>根据《环境影响评价技术导则 地下水环境》（HJ610-2016）附录A中地下水环境影响评价行业分类表，本项目为A水利，4防洪治涝工程，属于</w:t>
            </w:r>
            <w:r>
              <w:rPr>
                <w:rFonts w:hint="eastAsia"/>
                <w:snapToGrid w:val="0"/>
                <w:color w:val="auto"/>
                <w:spacing w:val="2"/>
                <w:kern w:val="0"/>
              </w:rPr>
              <w:t>Ⅳ</w:t>
            </w:r>
            <w:r>
              <w:rPr>
                <w:rFonts w:hint="eastAsia" w:cs="Times New Roman"/>
                <w:spacing w:val="2"/>
                <w:lang w:val="en-US" w:eastAsia="zh-CN"/>
              </w:rPr>
              <w:t>类项目，不开展地下水环境影响评价。</w:t>
            </w:r>
          </w:p>
          <w:p>
            <w:pPr>
              <w:bidi w:val="0"/>
              <w:ind w:firstLine="488" w:firstLineChars="200"/>
              <w:rPr>
                <w:rFonts w:hint="eastAsia" w:cs="Times New Roman"/>
                <w:spacing w:val="2"/>
                <w:lang w:val="en-US" w:eastAsia="zh-CN"/>
              </w:rPr>
            </w:pPr>
            <w:r>
              <w:rPr>
                <w:rFonts w:hint="eastAsia" w:cs="Times New Roman"/>
                <w:spacing w:val="2"/>
                <w:lang w:val="en-US" w:eastAsia="zh-CN"/>
              </w:rPr>
              <w:t>根据淄博市生态环境局网站发布的《2022年12月集中式生活饮用水水源水质状况报告》，淄博市共监测19个集中式饮用水水源，监测的19个集中式饮用水源全部达标，达标率为100%。项目不涉及集中式饮用水源地。</w:t>
            </w:r>
          </w:p>
          <w:p>
            <w:pPr>
              <w:bidi w:val="0"/>
              <w:ind w:firstLine="488" w:firstLineChars="200"/>
              <w:rPr>
                <w:rFonts w:hint="eastAsia" w:cs="Times New Roman"/>
                <w:spacing w:val="2"/>
                <w:lang w:val="en-US" w:eastAsia="zh-CN"/>
              </w:rPr>
            </w:pPr>
            <w:r>
              <w:rPr>
                <w:rFonts w:hint="eastAsia" w:cs="Times New Roman"/>
                <w:spacing w:val="2"/>
                <w:lang w:val="en-US" w:eastAsia="zh-CN"/>
              </w:rPr>
              <w:t>根据《沂源县人民政府关于沂源县农村分散饮用水水源地保护区划定方案的批复》（源政字〔2018〕117号），项目涉及农村分散饮用水水源地1处—璞邱三村集中供水井。</w:t>
            </w:r>
          </w:p>
          <w:p>
            <w:pPr>
              <w:bidi w:val="0"/>
              <w:ind w:firstLine="480" w:firstLineChars="200"/>
              <w:rPr>
                <w:color w:val="auto"/>
              </w:rPr>
            </w:pPr>
            <w:r>
              <w:rPr>
                <w:color w:val="auto"/>
              </w:rPr>
              <w:t>项目周边</w:t>
            </w:r>
            <w:r>
              <w:rPr>
                <w:rFonts w:hint="eastAsia"/>
                <w:color w:val="auto"/>
                <w:lang w:val="en-US" w:eastAsia="zh-CN"/>
              </w:rPr>
              <w:t>2</w:t>
            </w:r>
            <w:r>
              <w:rPr>
                <w:color w:val="auto"/>
              </w:rPr>
              <w:t>00m范围内</w:t>
            </w:r>
            <w:r>
              <w:rPr>
                <w:rFonts w:hint="eastAsia"/>
                <w:color w:val="auto"/>
                <w:lang w:eastAsia="zh-CN"/>
              </w:rPr>
              <w:t>有</w:t>
            </w:r>
            <w:r>
              <w:rPr>
                <w:rFonts w:hint="eastAsia" w:cs="Times New Roman"/>
                <w:color w:val="auto"/>
                <w:spacing w:val="2"/>
                <w:lang w:val="en-US" w:eastAsia="zh-CN"/>
              </w:rPr>
              <w:t>农村分散饮用水水源保护区璞邱三村供水井二级保护区，项目所在区域地下水执行《地下水质量标准》(GB/T14848-2017)Ⅲ类标准。</w:t>
            </w:r>
            <w:r>
              <w:rPr>
                <w:color w:val="auto"/>
              </w:rPr>
              <w:t>项目周边</w:t>
            </w:r>
            <w:r>
              <w:rPr>
                <w:rFonts w:hint="eastAsia"/>
                <w:color w:val="auto"/>
                <w:lang w:val="en-US" w:eastAsia="zh-CN"/>
              </w:rPr>
              <w:t>2</w:t>
            </w:r>
            <w:r>
              <w:rPr>
                <w:color w:val="auto"/>
              </w:rPr>
              <w:t>00m范围内</w:t>
            </w:r>
            <w:r>
              <w:rPr>
                <w:rFonts w:hint="eastAsia"/>
                <w:color w:val="auto"/>
                <w:lang w:val="en-US" w:eastAsia="zh-CN"/>
              </w:rPr>
              <w:t>没有</w:t>
            </w:r>
            <w:r>
              <w:rPr>
                <w:rFonts w:hint="eastAsia"/>
                <w:color w:val="auto"/>
                <w:lang w:eastAsia="zh-CN"/>
              </w:rPr>
              <w:t>土壤</w:t>
            </w:r>
            <w:r>
              <w:rPr>
                <w:color w:val="auto"/>
              </w:rPr>
              <w:t>环境保护目标，不再对土壤进行现状调查评价。</w:t>
            </w:r>
          </w:p>
          <w:p>
            <w:pPr>
              <w:bidi w:val="0"/>
              <w:rPr>
                <w:rFonts w:hint="eastAsia"/>
                <w:b/>
                <w:bCs/>
                <w:color w:val="auto"/>
                <w:lang w:val="en-US" w:eastAsia="zh-CN"/>
              </w:rPr>
            </w:pPr>
            <w:r>
              <w:rPr>
                <w:b/>
                <w:bCs/>
                <w:color w:val="auto"/>
              </w:rPr>
              <w:t>五、</w:t>
            </w:r>
            <w:r>
              <w:rPr>
                <w:rFonts w:hint="eastAsia"/>
                <w:b/>
                <w:bCs/>
                <w:color w:val="auto"/>
                <w:lang w:val="en-US" w:eastAsia="zh-CN"/>
              </w:rPr>
              <w:t>声环境</w:t>
            </w:r>
          </w:p>
          <w:p>
            <w:pPr>
              <w:bidi w:val="0"/>
              <w:ind w:firstLine="488" w:firstLineChars="200"/>
              <w:rPr>
                <w:rFonts w:hint="eastAsia" w:cs="Times New Roman"/>
                <w:spacing w:val="2"/>
                <w:lang w:val="en-US" w:eastAsia="zh-CN"/>
              </w:rPr>
            </w:pPr>
            <w:r>
              <w:rPr>
                <w:rFonts w:hint="eastAsia" w:cs="Times New Roman"/>
                <w:spacing w:val="2"/>
                <w:lang w:val="en-US" w:eastAsia="zh-CN"/>
              </w:rPr>
              <w:t>本项目位于淄博市沂源县南鲁山镇五井石河。本项目周围声环境较好，能够达到《声环境质量标准》（GB3096-2008）2类功能区标准要求。项目周边200m范围内声环境保护目标车场村、南流水村、北流水村、璞邱村、璞邱小学、三岔店村、三岔中学噪声满足《声环境质量标准》(GB3096-2008)1类标准要求。</w:t>
            </w:r>
          </w:p>
          <w:p>
            <w:pPr>
              <w:bidi w:val="0"/>
              <w:ind w:firstLine="488" w:firstLineChars="200"/>
              <w:jc w:val="left"/>
              <w:rPr>
                <w:rFonts w:hint="eastAsia" w:eastAsia="宋体"/>
                <w:lang w:val="en-US" w:eastAsia="zh-CN"/>
              </w:rPr>
            </w:pPr>
            <w:r>
              <w:rPr>
                <w:rFonts w:hint="eastAsia" w:cs="Times New Roman"/>
                <w:color w:val="auto"/>
                <w:spacing w:val="2"/>
                <w:lang w:val="en-US" w:eastAsia="zh-CN"/>
              </w:rPr>
              <w:t>为了解本项目区域声环境质量现状，单位委托山东天智环境监测有限公司于2024年4月5日对项目中心线外两侧200m范围内的声环境敏感目标现状进行了监测。监测结果见下表3-1，噪声环境敏感监测点位的昼、夜间噪声均小于《声环境质量标准》（GB3096-2008）1类标准值。</w:t>
            </w:r>
            <w:r>
              <w:rPr>
                <w:rFonts w:hint="eastAsia" w:eastAsia="宋体"/>
                <w:lang w:val="en-US" w:eastAsia="zh-CN"/>
              </w:rPr>
              <w:drawing>
                <wp:inline distT="0" distB="0" distL="114300" distR="114300">
                  <wp:extent cx="4982210" cy="3446145"/>
                  <wp:effectExtent l="0" t="0" r="8890" b="1905"/>
                  <wp:docPr id="45" name="图片 45" descr="171142102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11421021352"/>
                          <pic:cNvPicPr>
                            <a:picLocks noChangeAspect="1"/>
                          </pic:cNvPicPr>
                        </pic:nvPicPr>
                        <pic:blipFill>
                          <a:blip r:embed="rId14"/>
                          <a:stretch>
                            <a:fillRect/>
                          </a:stretch>
                        </pic:blipFill>
                        <pic:spPr>
                          <a:xfrm>
                            <a:off x="0" y="0"/>
                            <a:ext cx="4982210" cy="3446145"/>
                          </a:xfrm>
                          <a:prstGeom prst="rect">
                            <a:avLst/>
                          </a:prstGeom>
                        </pic:spPr>
                      </pic:pic>
                    </a:graphicData>
                  </a:graphic>
                </wp:inline>
              </w:drawing>
            </w:r>
          </w:p>
          <w:p>
            <w:pPr>
              <w:pStyle w:val="39"/>
              <w:widowControl/>
              <w:kinsoku w:val="0"/>
              <w:autoSpaceDE w:val="0"/>
              <w:autoSpaceDN w:val="0"/>
              <w:adjustRightInd w:val="0"/>
              <w:spacing w:before="182" w:line="360" w:lineRule="auto"/>
              <w:ind w:left="-36" w:leftChars="-15" w:firstLine="268" w:firstLineChars="127"/>
              <w:contextualSpacing/>
              <w:jc w:val="center"/>
              <w:textAlignment w:val="baseline"/>
              <w:rPr>
                <w:rFonts w:hint="eastAsia" w:ascii="Times New Roman" w:hAnsi="Times New Roman" w:cs="Times New Roman"/>
                <w:b/>
                <w:snapToGrid w:val="0"/>
                <w:color w:val="000000"/>
                <w:spacing w:val="-1"/>
                <w:kern w:val="0"/>
                <w:lang w:eastAsia="zh-CN"/>
              </w:rPr>
            </w:pPr>
            <w:r>
              <w:rPr>
                <w:rFonts w:hint="eastAsia" w:ascii="Times New Roman" w:hAnsi="Times New Roman" w:cs="Times New Roman"/>
                <w:b/>
                <w:bCs/>
                <w:kern w:val="0"/>
                <w:sz w:val="21"/>
                <w:szCs w:val="21"/>
                <w:lang w:val="en-US" w:eastAsia="zh-CN" w:bidi="ar-SA"/>
              </w:rPr>
              <w:t>图3-1</w:t>
            </w:r>
            <w:r>
              <w:rPr>
                <w:rFonts w:hint="eastAsia" w:ascii="Times New Roman" w:hAnsi="Times New Roman" w:eastAsia="宋体" w:cs="Times New Roman"/>
                <w:b/>
                <w:bCs/>
                <w:kern w:val="0"/>
                <w:sz w:val="21"/>
                <w:szCs w:val="21"/>
                <w:lang w:val="en-US" w:eastAsia="zh-CN" w:bidi="ar-SA"/>
              </w:rPr>
              <w:t xml:space="preserve"> 环境噪声监测</w:t>
            </w:r>
            <w:r>
              <w:rPr>
                <w:rFonts w:hint="eastAsia" w:ascii="Times New Roman" w:hAnsi="Times New Roman" w:cs="Times New Roman"/>
                <w:b/>
                <w:bCs/>
                <w:kern w:val="0"/>
                <w:sz w:val="21"/>
                <w:szCs w:val="21"/>
                <w:lang w:val="en-US" w:eastAsia="zh-CN" w:bidi="ar-SA"/>
              </w:rPr>
              <w:t>布点图</w:t>
            </w:r>
          </w:p>
          <w:p>
            <w:pPr>
              <w:pStyle w:val="39"/>
              <w:widowControl/>
              <w:kinsoku w:val="0"/>
              <w:autoSpaceDE w:val="0"/>
              <w:autoSpaceDN w:val="0"/>
              <w:adjustRightInd w:val="0"/>
              <w:spacing w:before="182" w:line="360" w:lineRule="auto"/>
              <w:ind w:left="-36" w:leftChars="-15" w:firstLine="268" w:firstLineChars="127"/>
              <w:contextualSpacing/>
              <w:jc w:val="center"/>
              <w:textAlignment w:val="baseline"/>
              <w:rPr>
                <w:rFonts w:hint="eastAsia" w:ascii="Times New Roman" w:hAnsi="Times New Roman" w:cs="Times New Roman"/>
                <w:b/>
                <w:bCs/>
                <w:kern w:val="0"/>
                <w:sz w:val="21"/>
                <w:szCs w:val="21"/>
                <w:lang w:val="en-US" w:eastAsia="zh-CN" w:bidi="ar-SA"/>
              </w:rPr>
            </w:pPr>
            <w:r>
              <w:rPr>
                <w:rFonts w:hint="eastAsia" w:ascii="Times New Roman" w:hAnsi="Times New Roman" w:cs="Times New Roman"/>
                <w:b/>
                <w:bCs/>
                <w:kern w:val="0"/>
                <w:sz w:val="21"/>
                <w:szCs w:val="21"/>
                <w:lang w:val="en-US" w:eastAsia="zh-CN" w:bidi="ar-SA"/>
              </w:rPr>
              <w:t>表3-1  环境噪声监测结果一览表</w:t>
            </w:r>
          </w:p>
          <w:tbl>
            <w:tblPr>
              <w:tblStyle w:val="14"/>
              <w:tblW w:w="480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636"/>
              <w:gridCol w:w="1913"/>
              <w:gridCol w:w="1170"/>
              <w:gridCol w:w="1156"/>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exact"/>
              </w:trPr>
              <w:tc>
                <w:tcPr>
                  <w:tcW w:w="1537" w:type="pct"/>
                  <w:gridSpan w:val="2"/>
                  <w:vMerge w:val="restar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监测点位</w:t>
                  </w:r>
                </w:p>
              </w:tc>
              <w:tc>
                <w:tcPr>
                  <w:tcW w:w="1971" w:type="pct"/>
                  <w:gridSpan w:val="2"/>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4</w:t>
                  </w:r>
                  <w:r>
                    <w:rPr>
                      <w:rFonts w:hint="default" w:ascii="Times New Roman" w:hAnsi="Times New Roman" w:eastAsia="宋体" w:cs="Times New Roman"/>
                      <w:b w:val="0"/>
                      <w:bCs/>
                      <w:kern w:val="0"/>
                      <w:sz w:val="21"/>
                      <w:szCs w:val="21"/>
                      <w:lang w:val="en-US" w:eastAsia="zh-CN" w:bidi="en-US"/>
                    </w:rPr>
                    <w:t>月</w:t>
                  </w:r>
                  <w:r>
                    <w:rPr>
                      <w:rFonts w:hint="eastAsia" w:cs="Times New Roman"/>
                      <w:b w:val="0"/>
                      <w:bCs/>
                      <w:kern w:val="0"/>
                      <w:sz w:val="21"/>
                      <w:szCs w:val="21"/>
                      <w:lang w:val="en-US" w:eastAsia="zh-CN" w:bidi="en-US"/>
                    </w:rPr>
                    <w:t>5</w:t>
                  </w:r>
                  <w:r>
                    <w:rPr>
                      <w:rFonts w:hint="default" w:ascii="Times New Roman" w:hAnsi="Times New Roman" w:eastAsia="宋体" w:cs="Times New Roman"/>
                      <w:b w:val="0"/>
                      <w:bCs/>
                      <w:kern w:val="0"/>
                      <w:sz w:val="21"/>
                      <w:szCs w:val="21"/>
                      <w:lang w:val="en-US" w:eastAsia="zh-CN" w:bidi="en-US"/>
                    </w:rPr>
                    <w:t>日</w:t>
                  </w:r>
                </w:p>
              </w:tc>
              <w:tc>
                <w:tcPr>
                  <w:tcW w:w="1490" w:type="pct"/>
                  <w:gridSpan w:val="2"/>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exact"/>
              </w:trPr>
              <w:tc>
                <w:tcPr>
                  <w:tcW w:w="1537" w:type="pct"/>
                  <w:gridSpan w:val="2"/>
                  <w:vMerge w:val="continue"/>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p>
              </w:tc>
              <w:tc>
                <w:tcPr>
                  <w:tcW w:w="1223"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昼间</w:t>
                  </w:r>
                </w:p>
              </w:tc>
              <w:tc>
                <w:tcPr>
                  <w:tcW w:w="74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夜间</w:t>
                  </w:r>
                </w:p>
              </w:tc>
              <w:tc>
                <w:tcPr>
                  <w:tcW w:w="739"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昼间</w:t>
                  </w:r>
                </w:p>
              </w:tc>
              <w:tc>
                <w:tcPr>
                  <w:tcW w:w="750"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exact"/>
              </w:trPr>
              <w:tc>
                <w:tcPr>
                  <w:tcW w:w="491"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N1</w:t>
                  </w:r>
                </w:p>
              </w:tc>
              <w:tc>
                <w:tcPr>
                  <w:tcW w:w="1046" w:type="pct"/>
                  <w:noWrap w:val="0"/>
                  <w:vAlign w:val="center"/>
                </w:tcPr>
                <w:p>
                  <w:pPr>
                    <w:snapToGrid w:val="0"/>
                    <w:spacing w:line="240" w:lineRule="auto"/>
                    <w:ind w:firstLine="0" w:firstLineChars="0"/>
                    <w:jc w:val="center"/>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sz w:val="21"/>
                      <w:szCs w:val="21"/>
                      <w:lang w:val="zh-CN"/>
                    </w:rPr>
                    <w:t>车场村</w:t>
                  </w:r>
                </w:p>
              </w:tc>
              <w:tc>
                <w:tcPr>
                  <w:tcW w:w="1223" w:type="pct"/>
                  <w:noWrap w:val="0"/>
                  <w:vAlign w:val="center"/>
                </w:tcPr>
                <w:p>
                  <w:pPr>
                    <w:widowControl/>
                    <w:snapToGrid w:val="0"/>
                    <w:spacing w:line="240" w:lineRule="auto"/>
                    <w:ind w:left="-72" w:leftChars="-30" w:right="-72" w:rightChars="-30" w:firstLine="0" w:firstLineChars="0"/>
                    <w:jc w:val="center"/>
                    <w:textAlignment w:val="baseline"/>
                    <w:rPr>
                      <w:rFonts w:hint="default" w:cs="Times New Roman"/>
                      <w:b w:val="0"/>
                      <w:bCs/>
                      <w:kern w:val="0"/>
                      <w:sz w:val="21"/>
                      <w:szCs w:val="21"/>
                      <w:lang w:val="en-US" w:eastAsia="zh-CN" w:bidi="en-US"/>
                    </w:rPr>
                  </w:pPr>
                  <w:r>
                    <w:rPr>
                      <w:rFonts w:hint="eastAsia" w:cs="Times New Roman"/>
                      <w:b w:val="0"/>
                      <w:bCs/>
                      <w:kern w:val="0"/>
                      <w:sz w:val="21"/>
                      <w:szCs w:val="21"/>
                      <w:lang w:val="en-US" w:eastAsia="zh-CN" w:bidi="en-US"/>
                    </w:rPr>
                    <w:t>40.35</w:t>
                  </w:r>
                </w:p>
              </w:tc>
              <w:tc>
                <w:tcPr>
                  <w:tcW w:w="748" w:type="pct"/>
                  <w:noWrap w:val="0"/>
                  <w:vAlign w:val="center"/>
                </w:tcPr>
                <w:p>
                  <w:pPr>
                    <w:widowControl/>
                    <w:snapToGrid w:val="0"/>
                    <w:spacing w:line="240" w:lineRule="auto"/>
                    <w:ind w:left="-72" w:leftChars="-30" w:right="-72" w:rightChars="-30" w:firstLine="0" w:firstLineChars="0"/>
                    <w:jc w:val="center"/>
                    <w:textAlignment w:val="baseline"/>
                    <w:rPr>
                      <w:rFonts w:hint="default" w:cs="Times New Roman"/>
                      <w:b w:val="0"/>
                      <w:bCs/>
                      <w:kern w:val="0"/>
                      <w:sz w:val="21"/>
                      <w:szCs w:val="21"/>
                      <w:lang w:val="en-US" w:eastAsia="zh-CN" w:bidi="en-US"/>
                    </w:rPr>
                  </w:pPr>
                  <w:r>
                    <w:rPr>
                      <w:rFonts w:hint="eastAsia" w:cs="Times New Roman"/>
                      <w:b w:val="0"/>
                      <w:bCs/>
                      <w:kern w:val="0"/>
                      <w:sz w:val="21"/>
                      <w:szCs w:val="21"/>
                      <w:lang w:val="en-US" w:eastAsia="zh-CN" w:bidi="en-US"/>
                    </w:rPr>
                    <w:t>32.85</w:t>
                  </w:r>
                </w:p>
              </w:tc>
              <w:tc>
                <w:tcPr>
                  <w:tcW w:w="739" w:type="pct"/>
                  <w:vMerge w:val="restar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55</w:t>
                  </w:r>
                </w:p>
              </w:tc>
              <w:tc>
                <w:tcPr>
                  <w:tcW w:w="750" w:type="pct"/>
                  <w:vMerge w:val="restar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exact"/>
              </w:trPr>
              <w:tc>
                <w:tcPr>
                  <w:tcW w:w="491"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N2</w:t>
                  </w:r>
                </w:p>
              </w:tc>
              <w:tc>
                <w:tcPr>
                  <w:tcW w:w="1046" w:type="pct"/>
                  <w:noWrap w:val="0"/>
                  <w:vAlign w:val="center"/>
                </w:tcPr>
                <w:p>
                  <w:pPr>
                    <w:snapToGrid w:val="0"/>
                    <w:spacing w:line="240" w:lineRule="auto"/>
                    <w:ind w:firstLine="0" w:firstLineChars="0"/>
                    <w:jc w:val="center"/>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sz w:val="21"/>
                      <w:szCs w:val="21"/>
                      <w:lang w:val="zh-CN"/>
                    </w:rPr>
                    <w:t>南流水村</w:t>
                  </w:r>
                </w:p>
              </w:tc>
              <w:tc>
                <w:tcPr>
                  <w:tcW w:w="1223" w:type="pct"/>
                  <w:noWrap w:val="0"/>
                  <w:vAlign w:val="center"/>
                </w:tcPr>
                <w:p>
                  <w:pPr>
                    <w:widowControl/>
                    <w:snapToGrid w:val="0"/>
                    <w:spacing w:line="240" w:lineRule="auto"/>
                    <w:ind w:left="-72" w:leftChars="-30" w:right="-72" w:rightChars="-30" w:firstLine="0" w:firstLineChars="0"/>
                    <w:jc w:val="center"/>
                    <w:textAlignment w:val="baseline"/>
                    <w:rPr>
                      <w:rFonts w:hint="default" w:cs="Times New Roman"/>
                      <w:b w:val="0"/>
                      <w:bCs/>
                      <w:kern w:val="0"/>
                      <w:sz w:val="21"/>
                      <w:szCs w:val="21"/>
                      <w:lang w:val="en-US" w:eastAsia="zh-CN" w:bidi="en-US"/>
                    </w:rPr>
                  </w:pPr>
                  <w:r>
                    <w:rPr>
                      <w:rFonts w:hint="eastAsia" w:cs="Times New Roman"/>
                      <w:b w:val="0"/>
                      <w:bCs/>
                      <w:kern w:val="0"/>
                      <w:sz w:val="21"/>
                      <w:szCs w:val="21"/>
                      <w:lang w:val="en-US" w:eastAsia="zh-CN" w:bidi="en-US"/>
                    </w:rPr>
                    <w:t>36.3</w:t>
                  </w:r>
                </w:p>
              </w:tc>
              <w:tc>
                <w:tcPr>
                  <w:tcW w:w="748" w:type="pct"/>
                  <w:noWrap w:val="0"/>
                  <w:vAlign w:val="center"/>
                </w:tcPr>
                <w:p>
                  <w:pPr>
                    <w:widowControl/>
                    <w:snapToGrid w:val="0"/>
                    <w:spacing w:line="240" w:lineRule="auto"/>
                    <w:ind w:left="-72" w:leftChars="-30" w:right="-72" w:rightChars="-30" w:firstLine="0" w:firstLineChars="0"/>
                    <w:jc w:val="center"/>
                    <w:textAlignment w:val="baseline"/>
                    <w:rPr>
                      <w:rFonts w:hint="default" w:cs="Times New Roman"/>
                      <w:b w:val="0"/>
                      <w:bCs/>
                      <w:kern w:val="0"/>
                      <w:sz w:val="21"/>
                      <w:szCs w:val="21"/>
                      <w:lang w:val="en-US" w:eastAsia="zh-CN" w:bidi="en-US"/>
                    </w:rPr>
                  </w:pPr>
                  <w:r>
                    <w:rPr>
                      <w:rFonts w:hint="eastAsia" w:cs="Times New Roman"/>
                      <w:b w:val="0"/>
                      <w:bCs/>
                      <w:kern w:val="0"/>
                      <w:sz w:val="21"/>
                      <w:szCs w:val="21"/>
                      <w:lang w:val="en-US" w:eastAsia="zh-CN" w:bidi="en-US"/>
                    </w:rPr>
                    <w:t>35.575</w:t>
                  </w:r>
                </w:p>
              </w:tc>
              <w:tc>
                <w:tcPr>
                  <w:tcW w:w="739" w:type="pct"/>
                  <w:vMerge w:val="continue"/>
                  <w:noWrap w:val="0"/>
                  <w:vAlign w:val="center"/>
                </w:tcPr>
                <w:p>
                  <w:pPr>
                    <w:snapToGrid w:val="0"/>
                    <w:jc w:val="center"/>
                  </w:pPr>
                </w:p>
              </w:tc>
              <w:tc>
                <w:tcPr>
                  <w:tcW w:w="750" w:type="pct"/>
                  <w:vMerge w:val="continue"/>
                  <w:noWrap w:val="0"/>
                  <w:vAlign w:val="center"/>
                </w:tcPr>
                <w:p>
                  <w:pPr>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exact"/>
              </w:trPr>
              <w:tc>
                <w:tcPr>
                  <w:tcW w:w="491"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N3</w:t>
                  </w:r>
                </w:p>
              </w:tc>
              <w:tc>
                <w:tcPr>
                  <w:tcW w:w="1046" w:type="pct"/>
                  <w:noWrap w:val="0"/>
                  <w:vAlign w:val="center"/>
                </w:tcPr>
                <w:p>
                  <w:pPr>
                    <w:snapToGrid w:val="0"/>
                    <w:spacing w:line="240" w:lineRule="auto"/>
                    <w:ind w:firstLine="0" w:firstLineChars="0"/>
                    <w:jc w:val="center"/>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sz w:val="21"/>
                      <w:szCs w:val="21"/>
                      <w:lang w:val="zh-CN"/>
                    </w:rPr>
                    <w:t>北流水村</w:t>
                  </w:r>
                </w:p>
              </w:tc>
              <w:tc>
                <w:tcPr>
                  <w:tcW w:w="1223"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cs="Times New Roman"/>
                      <w:b w:val="0"/>
                      <w:bCs/>
                      <w:kern w:val="0"/>
                      <w:sz w:val="21"/>
                      <w:szCs w:val="21"/>
                      <w:lang w:val="en-US" w:eastAsia="zh-CN" w:bidi="en-US"/>
                    </w:rPr>
                  </w:pPr>
                  <w:r>
                    <w:rPr>
                      <w:rFonts w:hint="eastAsia" w:ascii="Times New Roman" w:hAnsi="Times New Roman" w:cs="Times New Roman"/>
                      <w:b w:val="0"/>
                      <w:bCs/>
                      <w:kern w:val="0"/>
                      <w:sz w:val="21"/>
                      <w:szCs w:val="21"/>
                      <w:lang w:val="en-US" w:eastAsia="zh-CN" w:bidi="en-US"/>
                    </w:rPr>
                    <w:t>37.175</w:t>
                  </w:r>
                </w:p>
              </w:tc>
              <w:tc>
                <w:tcPr>
                  <w:tcW w:w="74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cs="Times New Roman"/>
                      <w:b w:val="0"/>
                      <w:bCs/>
                      <w:kern w:val="0"/>
                      <w:sz w:val="21"/>
                      <w:szCs w:val="21"/>
                      <w:lang w:val="en-US" w:eastAsia="zh-CN" w:bidi="en-US"/>
                    </w:rPr>
                  </w:pPr>
                  <w:r>
                    <w:rPr>
                      <w:rFonts w:hint="eastAsia" w:ascii="Times New Roman" w:hAnsi="Times New Roman" w:cs="Times New Roman"/>
                      <w:b w:val="0"/>
                      <w:bCs/>
                      <w:kern w:val="0"/>
                      <w:sz w:val="21"/>
                      <w:szCs w:val="21"/>
                      <w:lang w:val="en-US" w:eastAsia="zh-CN" w:bidi="en-US"/>
                    </w:rPr>
                    <w:t>32.975</w:t>
                  </w:r>
                </w:p>
              </w:tc>
              <w:tc>
                <w:tcPr>
                  <w:tcW w:w="739" w:type="pct"/>
                  <w:vMerge w:val="continue"/>
                  <w:noWrap w:val="0"/>
                  <w:vAlign w:val="center"/>
                </w:tcPr>
                <w:p>
                  <w:pPr>
                    <w:snapToGrid w:val="0"/>
                    <w:jc w:val="center"/>
                  </w:pPr>
                </w:p>
              </w:tc>
              <w:tc>
                <w:tcPr>
                  <w:tcW w:w="750" w:type="pct"/>
                  <w:vMerge w:val="continue"/>
                  <w:noWrap w:val="0"/>
                  <w:vAlign w:val="center"/>
                </w:tcPr>
                <w:p>
                  <w:pPr>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exact"/>
              </w:trPr>
              <w:tc>
                <w:tcPr>
                  <w:tcW w:w="491"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N4</w:t>
                  </w:r>
                </w:p>
              </w:tc>
              <w:tc>
                <w:tcPr>
                  <w:tcW w:w="1046" w:type="pct"/>
                  <w:noWrap w:val="0"/>
                  <w:vAlign w:val="center"/>
                </w:tcPr>
                <w:p>
                  <w:pPr>
                    <w:snapToGrid w:val="0"/>
                    <w:spacing w:line="240" w:lineRule="auto"/>
                    <w:ind w:firstLine="0" w:firstLineChars="0"/>
                    <w:jc w:val="center"/>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sz w:val="21"/>
                      <w:szCs w:val="21"/>
                      <w:lang w:val="zh-CN"/>
                    </w:rPr>
                    <w:t>璞邱村</w:t>
                  </w:r>
                </w:p>
              </w:tc>
              <w:tc>
                <w:tcPr>
                  <w:tcW w:w="1223" w:type="pct"/>
                  <w:noWrap w:val="0"/>
                  <w:vAlign w:val="center"/>
                </w:tcPr>
                <w:tbl>
                  <w:tblPr>
                    <w:tblStyle w:val="14"/>
                    <w:tblW w:w="108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cs="Times New Roman"/>
                            <w:b w:val="0"/>
                            <w:bCs/>
                            <w:kern w:val="0"/>
                            <w:sz w:val="21"/>
                            <w:szCs w:val="21"/>
                            <w:lang w:val="en-US" w:eastAsia="zh-CN" w:bidi="en-US"/>
                          </w:rPr>
                        </w:pPr>
                        <w:r>
                          <w:rPr>
                            <w:rFonts w:hint="eastAsia" w:ascii="Times New Roman" w:hAnsi="Times New Roman" w:cs="Times New Roman"/>
                            <w:b w:val="0"/>
                            <w:bCs/>
                            <w:kern w:val="0"/>
                            <w:sz w:val="21"/>
                            <w:szCs w:val="21"/>
                            <w:lang w:val="en-US" w:eastAsia="zh-CN" w:bidi="en-US"/>
                          </w:rPr>
                          <w:t>37.875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cs="Times New Roman"/>
                            <w:b w:val="0"/>
                            <w:bCs/>
                            <w:kern w:val="0"/>
                            <w:sz w:val="21"/>
                            <w:szCs w:val="21"/>
                            <w:lang w:val="en-US" w:eastAsia="zh-CN" w:bidi="en-US"/>
                          </w:rPr>
                        </w:pPr>
                        <w:r>
                          <w:rPr>
                            <w:rFonts w:hint="eastAsia" w:ascii="Times New Roman" w:hAnsi="Times New Roman" w:cs="Times New Roman"/>
                            <w:b w:val="0"/>
                            <w:bCs/>
                            <w:kern w:val="0"/>
                            <w:sz w:val="21"/>
                            <w:szCs w:val="21"/>
                            <w:lang w:val="en-US" w:eastAsia="zh-CN" w:bidi="en-US"/>
                          </w:rPr>
                          <w:t>31.475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cs="Times New Roman"/>
                            <w:b w:val="0"/>
                            <w:bCs/>
                            <w:kern w:val="0"/>
                            <w:sz w:val="21"/>
                            <w:szCs w:val="21"/>
                            <w:lang w:val="en-US" w:eastAsia="zh-CN" w:bidi="en-US"/>
                          </w:rPr>
                        </w:pPr>
                        <w:r>
                          <w:rPr>
                            <w:rFonts w:hint="eastAsia" w:ascii="Times New Roman" w:hAnsi="Times New Roman" w:cs="Times New Roman"/>
                            <w:b w:val="0"/>
                            <w:bCs/>
                            <w:kern w:val="0"/>
                            <w:sz w:val="21"/>
                            <w:szCs w:val="21"/>
                            <w:lang w:val="en-US" w:eastAsia="zh-CN" w:bidi="en-US"/>
                          </w:rPr>
                          <w:t>37.475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cs="Times New Roman"/>
                            <w:b w:val="0"/>
                            <w:bCs/>
                            <w:kern w:val="0"/>
                            <w:sz w:val="21"/>
                            <w:szCs w:val="21"/>
                            <w:lang w:val="en-US" w:eastAsia="zh-CN" w:bidi="en-US"/>
                          </w:rPr>
                        </w:pPr>
                        <w:r>
                          <w:rPr>
                            <w:rFonts w:hint="eastAsia" w:ascii="Times New Roman" w:hAnsi="Times New Roman" w:cs="Times New Roman"/>
                            <w:b w:val="0"/>
                            <w:bCs/>
                            <w:kern w:val="0"/>
                            <w:sz w:val="21"/>
                            <w:szCs w:val="21"/>
                            <w:lang w:val="en-US" w:eastAsia="zh-CN" w:bidi="en-US"/>
                          </w:rPr>
                          <w:t>31.6</w:t>
                        </w:r>
                      </w:p>
                    </w:tc>
                  </w:tr>
                </w:tbl>
                <w:p>
                  <w:pPr>
                    <w:widowControl/>
                    <w:snapToGrid w:val="0"/>
                    <w:spacing w:line="240" w:lineRule="auto"/>
                    <w:ind w:left="-72" w:leftChars="-30" w:right="-72" w:rightChars="-30" w:firstLine="0" w:firstLineChars="0"/>
                    <w:jc w:val="center"/>
                    <w:textAlignment w:val="baseline"/>
                    <w:rPr>
                      <w:rFonts w:hint="default" w:ascii="Times New Roman" w:hAnsi="Times New Roman" w:cs="Times New Roman"/>
                      <w:b w:val="0"/>
                      <w:bCs/>
                      <w:kern w:val="0"/>
                      <w:sz w:val="21"/>
                      <w:szCs w:val="21"/>
                      <w:lang w:val="en-US" w:eastAsia="zh-CN" w:bidi="en-US"/>
                    </w:rPr>
                  </w:pPr>
                </w:p>
              </w:tc>
              <w:tc>
                <w:tcPr>
                  <w:tcW w:w="748"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cs="Times New Roman"/>
                      <w:b w:val="0"/>
                      <w:bCs/>
                      <w:kern w:val="0"/>
                      <w:sz w:val="21"/>
                      <w:szCs w:val="21"/>
                      <w:lang w:val="en-US" w:eastAsia="zh-CN" w:bidi="en-US"/>
                    </w:rPr>
                  </w:pPr>
                  <w:r>
                    <w:rPr>
                      <w:rFonts w:hint="eastAsia" w:ascii="Times New Roman" w:hAnsi="Times New Roman" w:cs="Times New Roman"/>
                      <w:b w:val="0"/>
                      <w:bCs/>
                      <w:kern w:val="0"/>
                      <w:sz w:val="21"/>
                      <w:szCs w:val="21"/>
                      <w:lang w:val="en-US" w:eastAsia="zh-CN" w:bidi="en-US"/>
                    </w:rPr>
                    <w:t>31.475</w:t>
                  </w:r>
                </w:p>
              </w:tc>
              <w:tc>
                <w:tcPr>
                  <w:tcW w:w="739" w:type="pct"/>
                  <w:vMerge w:val="continue"/>
                  <w:noWrap w:val="0"/>
                  <w:vAlign w:val="center"/>
                </w:tcPr>
                <w:p>
                  <w:pPr>
                    <w:snapToGrid w:val="0"/>
                    <w:jc w:val="center"/>
                  </w:pPr>
                </w:p>
              </w:tc>
              <w:tc>
                <w:tcPr>
                  <w:tcW w:w="750" w:type="pct"/>
                  <w:vMerge w:val="continue"/>
                  <w:noWrap w:val="0"/>
                  <w:vAlign w:val="center"/>
                </w:tcPr>
                <w:p>
                  <w:pPr>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exact"/>
              </w:trPr>
              <w:tc>
                <w:tcPr>
                  <w:tcW w:w="491"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N5</w:t>
                  </w:r>
                </w:p>
              </w:tc>
              <w:tc>
                <w:tcPr>
                  <w:tcW w:w="1046" w:type="pct"/>
                  <w:noWrap w:val="0"/>
                  <w:vAlign w:val="center"/>
                </w:tcPr>
                <w:p>
                  <w:pPr>
                    <w:snapToGrid w:val="0"/>
                    <w:spacing w:line="240" w:lineRule="auto"/>
                    <w:ind w:firstLine="0" w:firstLineChars="0"/>
                    <w:jc w:val="center"/>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sz w:val="21"/>
                      <w:szCs w:val="21"/>
                      <w:lang w:val="zh-CN"/>
                    </w:rPr>
                    <w:t>璞邱</w:t>
                  </w:r>
                  <w:r>
                    <w:rPr>
                      <w:rFonts w:hint="eastAsia" w:ascii="Times New Roman" w:hAnsi="Times New Roman" w:cs="Times New Roman"/>
                      <w:sz w:val="21"/>
                      <w:szCs w:val="21"/>
                      <w:lang w:val="zh-CN"/>
                    </w:rPr>
                    <w:t>小学</w:t>
                  </w:r>
                </w:p>
              </w:tc>
              <w:tc>
                <w:tcPr>
                  <w:tcW w:w="1223" w:type="pct"/>
                  <w:noWrap w:val="0"/>
                  <w:vAlign w:val="center"/>
                </w:tcPr>
                <w:p>
                  <w:pPr>
                    <w:widowControl/>
                    <w:snapToGrid w:val="0"/>
                    <w:spacing w:line="240" w:lineRule="auto"/>
                    <w:ind w:left="-72" w:leftChars="-30" w:right="-72" w:rightChars="-30" w:firstLine="0" w:firstLineChars="0"/>
                    <w:jc w:val="center"/>
                    <w:textAlignment w:val="baseline"/>
                    <w:rPr>
                      <w:rFonts w:hint="default" w:cs="Times New Roman"/>
                      <w:b w:val="0"/>
                      <w:bCs/>
                      <w:kern w:val="0"/>
                      <w:sz w:val="21"/>
                      <w:szCs w:val="21"/>
                      <w:lang w:val="en-US" w:eastAsia="zh-CN" w:bidi="en-US"/>
                    </w:rPr>
                  </w:pPr>
                  <w:r>
                    <w:rPr>
                      <w:rFonts w:hint="eastAsia" w:cs="Times New Roman"/>
                      <w:b w:val="0"/>
                      <w:bCs/>
                      <w:kern w:val="0"/>
                      <w:sz w:val="21"/>
                      <w:szCs w:val="21"/>
                      <w:lang w:val="en-US" w:eastAsia="zh-CN" w:bidi="en-US"/>
                    </w:rPr>
                    <w:t>37.475</w:t>
                  </w:r>
                </w:p>
              </w:tc>
              <w:tc>
                <w:tcPr>
                  <w:tcW w:w="748" w:type="pct"/>
                  <w:noWrap w:val="0"/>
                  <w:vAlign w:val="center"/>
                </w:tcPr>
                <w:p>
                  <w:pPr>
                    <w:widowControl/>
                    <w:snapToGrid w:val="0"/>
                    <w:spacing w:line="240" w:lineRule="auto"/>
                    <w:ind w:left="-72" w:leftChars="-30" w:right="-72" w:rightChars="-30" w:firstLine="0" w:firstLineChars="0"/>
                    <w:jc w:val="center"/>
                    <w:textAlignment w:val="baseline"/>
                    <w:rPr>
                      <w:rFonts w:hint="default" w:cs="Times New Roman"/>
                      <w:b w:val="0"/>
                      <w:bCs/>
                      <w:kern w:val="0"/>
                      <w:sz w:val="21"/>
                      <w:szCs w:val="21"/>
                      <w:lang w:val="en-US" w:eastAsia="zh-CN" w:bidi="en-US"/>
                    </w:rPr>
                  </w:pPr>
                  <w:r>
                    <w:rPr>
                      <w:rFonts w:hint="eastAsia" w:cs="Times New Roman"/>
                      <w:b w:val="0"/>
                      <w:bCs/>
                      <w:kern w:val="0"/>
                      <w:sz w:val="21"/>
                      <w:szCs w:val="21"/>
                      <w:lang w:val="en-US" w:eastAsia="zh-CN" w:bidi="en-US"/>
                    </w:rPr>
                    <w:t>31.6</w:t>
                  </w:r>
                </w:p>
              </w:tc>
              <w:tc>
                <w:tcPr>
                  <w:tcW w:w="739" w:type="pct"/>
                  <w:vMerge w:val="continue"/>
                  <w:noWrap w:val="0"/>
                  <w:vAlign w:val="center"/>
                </w:tcPr>
                <w:p>
                  <w:pPr>
                    <w:snapToGrid w:val="0"/>
                    <w:jc w:val="center"/>
                  </w:pPr>
                </w:p>
              </w:tc>
              <w:tc>
                <w:tcPr>
                  <w:tcW w:w="750" w:type="pct"/>
                  <w:vMerge w:val="continue"/>
                  <w:noWrap w:val="0"/>
                  <w:vAlign w:val="center"/>
                </w:tcPr>
                <w:p>
                  <w:pPr>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exact"/>
              </w:trPr>
              <w:tc>
                <w:tcPr>
                  <w:tcW w:w="491"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N6</w:t>
                  </w:r>
                </w:p>
              </w:tc>
              <w:tc>
                <w:tcPr>
                  <w:tcW w:w="1046" w:type="pct"/>
                  <w:noWrap w:val="0"/>
                  <w:vAlign w:val="center"/>
                </w:tcPr>
                <w:p>
                  <w:pPr>
                    <w:snapToGrid w:val="0"/>
                    <w:spacing w:line="240" w:lineRule="auto"/>
                    <w:ind w:firstLine="0" w:firstLineChars="0"/>
                    <w:jc w:val="center"/>
                    <w:rPr>
                      <w:rFonts w:hint="default" w:ascii="Times New Roman" w:hAnsi="Times New Roman" w:eastAsia="宋体" w:cs="Times New Roman"/>
                      <w:b w:val="0"/>
                      <w:bCs/>
                      <w:kern w:val="0"/>
                      <w:sz w:val="21"/>
                      <w:szCs w:val="21"/>
                      <w:lang w:val="en-US" w:eastAsia="zh-CN" w:bidi="en-US"/>
                    </w:rPr>
                  </w:pPr>
                  <w:r>
                    <w:rPr>
                      <w:rFonts w:hint="eastAsia" w:cs="Times New Roman"/>
                      <w:sz w:val="21"/>
                      <w:szCs w:val="21"/>
                      <w:lang w:val="zh-CN"/>
                    </w:rPr>
                    <w:t>三岔中学</w:t>
                  </w:r>
                </w:p>
              </w:tc>
              <w:tc>
                <w:tcPr>
                  <w:tcW w:w="1223" w:type="pct"/>
                  <w:noWrap w:val="0"/>
                  <w:vAlign w:val="center"/>
                </w:tcPr>
                <w:p>
                  <w:pPr>
                    <w:widowControl/>
                    <w:snapToGrid w:val="0"/>
                    <w:spacing w:line="240" w:lineRule="auto"/>
                    <w:ind w:left="-72" w:leftChars="-30" w:right="-72" w:rightChars="-30" w:firstLine="0" w:firstLineChars="0"/>
                    <w:jc w:val="center"/>
                    <w:textAlignment w:val="baseline"/>
                    <w:rPr>
                      <w:rFonts w:hint="default" w:cs="Times New Roman"/>
                      <w:b w:val="0"/>
                      <w:bCs/>
                      <w:kern w:val="0"/>
                      <w:sz w:val="21"/>
                      <w:szCs w:val="21"/>
                      <w:lang w:val="en-US" w:eastAsia="zh-CN" w:bidi="en-US"/>
                    </w:rPr>
                  </w:pPr>
                  <w:r>
                    <w:rPr>
                      <w:rFonts w:hint="eastAsia" w:cs="Times New Roman"/>
                      <w:b w:val="0"/>
                      <w:bCs/>
                      <w:kern w:val="0"/>
                      <w:sz w:val="21"/>
                      <w:szCs w:val="21"/>
                      <w:lang w:val="en-US" w:eastAsia="zh-CN" w:bidi="en-US"/>
                    </w:rPr>
                    <w:t>36.8</w:t>
                  </w:r>
                </w:p>
              </w:tc>
              <w:tc>
                <w:tcPr>
                  <w:tcW w:w="748" w:type="pct"/>
                  <w:noWrap w:val="0"/>
                  <w:vAlign w:val="center"/>
                </w:tcPr>
                <w:p>
                  <w:pPr>
                    <w:widowControl/>
                    <w:snapToGrid w:val="0"/>
                    <w:spacing w:line="240" w:lineRule="auto"/>
                    <w:ind w:left="-72" w:leftChars="-30" w:right="-72" w:rightChars="-30" w:firstLine="0" w:firstLineChars="0"/>
                    <w:jc w:val="center"/>
                    <w:textAlignment w:val="baseline"/>
                    <w:rPr>
                      <w:rFonts w:hint="default" w:cs="Times New Roman"/>
                      <w:b w:val="0"/>
                      <w:bCs/>
                      <w:kern w:val="0"/>
                      <w:sz w:val="21"/>
                      <w:szCs w:val="21"/>
                      <w:lang w:val="en-US" w:eastAsia="zh-CN" w:bidi="en-US"/>
                    </w:rPr>
                  </w:pPr>
                  <w:r>
                    <w:rPr>
                      <w:rFonts w:hint="eastAsia" w:cs="Times New Roman"/>
                      <w:b w:val="0"/>
                      <w:bCs/>
                      <w:kern w:val="0"/>
                      <w:sz w:val="21"/>
                      <w:szCs w:val="21"/>
                      <w:lang w:val="en-US" w:eastAsia="zh-CN" w:bidi="en-US"/>
                    </w:rPr>
                    <w:t>32.65</w:t>
                  </w:r>
                </w:p>
              </w:tc>
              <w:tc>
                <w:tcPr>
                  <w:tcW w:w="739" w:type="pct"/>
                  <w:vMerge w:val="continue"/>
                  <w:noWrap w:val="0"/>
                  <w:vAlign w:val="center"/>
                </w:tcPr>
                <w:p>
                  <w:pPr>
                    <w:snapToGrid w:val="0"/>
                    <w:jc w:val="center"/>
                  </w:pPr>
                </w:p>
              </w:tc>
              <w:tc>
                <w:tcPr>
                  <w:tcW w:w="750" w:type="pct"/>
                  <w:vMerge w:val="continue"/>
                  <w:noWrap w:val="0"/>
                  <w:vAlign w:val="center"/>
                </w:tcPr>
                <w:p>
                  <w:pPr>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491" w:type="pct"/>
                  <w:noWrap w:val="0"/>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en-US" w:eastAsia="zh-CN" w:bidi="en-US"/>
                    </w:rPr>
                    <w:t>N7</w:t>
                  </w:r>
                </w:p>
              </w:tc>
              <w:tc>
                <w:tcPr>
                  <w:tcW w:w="1046" w:type="pct"/>
                  <w:noWrap w:val="0"/>
                  <w:vAlign w:val="center"/>
                </w:tcPr>
                <w:p>
                  <w:pPr>
                    <w:snapToGrid w:val="0"/>
                    <w:spacing w:line="240" w:lineRule="auto"/>
                    <w:ind w:firstLine="0" w:firstLineChars="0"/>
                    <w:jc w:val="center"/>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sz w:val="21"/>
                      <w:szCs w:val="21"/>
                      <w:lang w:val="zh-CN"/>
                    </w:rPr>
                    <w:t>三岔店村</w:t>
                  </w:r>
                </w:p>
              </w:tc>
              <w:tc>
                <w:tcPr>
                  <w:tcW w:w="1223" w:type="pct"/>
                  <w:noWrap w:val="0"/>
                  <w:vAlign w:val="center"/>
                </w:tcPr>
                <w:p>
                  <w:pPr>
                    <w:widowControl/>
                    <w:snapToGrid w:val="0"/>
                    <w:spacing w:line="240" w:lineRule="auto"/>
                    <w:ind w:left="-72" w:leftChars="-30" w:right="-72" w:rightChars="-30" w:firstLine="0" w:firstLineChars="0"/>
                    <w:jc w:val="center"/>
                    <w:textAlignment w:val="baseline"/>
                    <w:rPr>
                      <w:rFonts w:hint="default" w:cs="Times New Roman"/>
                      <w:b w:val="0"/>
                      <w:bCs/>
                      <w:kern w:val="0"/>
                      <w:sz w:val="21"/>
                      <w:szCs w:val="21"/>
                      <w:lang w:val="en-US" w:eastAsia="zh-CN" w:bidi="en-US"/>
                    </w:rPr>
                  </w:pPr>
                  <w:r>
                    <w:rPr>
                      <w:rFonts w:hint="eastAsia" w:cs="Times New Roman"/>
                      <w:b w:val="0"/>
                      <w:bCs/>
                      <w:kern w:val="0"/>
                      <w:sz w:val="21"/>
                      <w:szCs w:val="21"/>
                      <w:lang w:val="en-US" w:eastAsia="zh-CN" w:bidi="en-US"/>
                    </w:rPr>
                    <w:t>36.45</w:t>
                  </w:r>
                </w:p>
              </w:tc>
              <w:tc>
                <w:tcPr>
                  <w:tcW w:w="748" w:type="pct"/>
                  <w:noWrap w:val="0"/>
                  <w:vAlign w:val="center"/>
                </w:tcPr>
                <w:p>
                  <w:pPr>
                    <w:widowControl/>
                    <w:snapToGrid w:val="0"/>
                    <w:spacing w:line="240" w:lineRule="auto"/>
                    <w:ind w:left="-72" w:leftChars="-30" w:right="-72" w:rightChars="-30" w:firstLine="0" w:firstLineChars="0"/>
                    <w:jc w:val="center"/>
                    <w:textAlignment w:val="baseline"/>
                    <w:rPr>
                      <w:rFonts w:hint="default" w:cs="Times New Roman"/>
                      <w:b w:val="0"/>
                      <w:bCs/>
                      <w:kern w:val="0"/>
                      <w:sz w:val="21"/>
                      <w:szCs w:val="21"/>
                      <w:lang w:val="en-US" w:eastAsia="zh-CN" w:bidi="en-US"/>
                    </w:rPr>
                  </w:pPr>
                  <w:r>
                    <w:rPr>
                      <w:rFonts w:hint="eastAsia" w:cs="Times New Roman"/>
                      <w:b w:val="0"/>
                      <w:bCs/>
                      <w:kern w:val="0"/>
                      <w:sz w:val="21"/>
                      <w:szCs w:val="21"/>
                      <w:lang w:val="en-US" w:eastAsia="zh-CN" w:bidi="en-US"/>
                    </w:rPr>
                    <w:t>30.975</w:t>
                  </w:r>
                </w:p>
              </w:tc>
              <w:tc>
                <w:tcPr>
                  <w:tcW w:w="739" w:type="pct"/>
                  <w:vMerge w:val="continue"/>
                  <w:noWrap w:val="0"/>
                  <w:vAlign w:val="center"/>
                </w:tcPr>
                <w:p>
                  <w:pPr>
                    <w:snapToGrid w:val="0"/>
                    <w:jc w:val="center"/>
                  </w:pPr>
                </w:p>
              </w:tc>
              <w:tc>
                <w:tcPr>
                  <w:tcW w:w="750" w:type="pct"/>
                  <w:vMerge w:val="continue"/>
                  <w:noWrap w:val="0"/>
                  <w:vAlign w:val="center"/>
                </w:tcPr>
                <w:p>
                  <w:pPr>
                    <w:snapToGrid w:val="0"/>
                    <w:jc w:val="center"/>
                  </w:pPr>
                </w:p>
              </w:tc>
            </w:tr>
          </w:tbl>
          <w:p>
            <w:pPr>
              <w:bidi w:val="0"/>
              <w:rPr>
                <w:rFonts w:hint="eastAsia"/>
                <w:b/>
                <w:bCs/>
                <w:lang w:eastAsia="zh-CN"/>
              </w:rPr>
            </w:pPr>
            <w:r>
              <w:rPr>
                <w:rFonts w:hint="eastAsia"/>
                <w:b/>
                <w:bCs/>
                <w:lang w:eastAsia="zh-CN"/>
              </w:rPr>
              <w:t>六、生态环境</w:t>
            </w:r>
          </w:p>
          <w:p>
            <w:pPr>
              <w:bidi w:val="0"/>
              <w:rPr>
                <w:rFonts w:hint="eastAsia"/>
                <w:lang w:eastAsia="zh-CN"/>
              </w:rPr>
            </w:pPr>
            <w:r>
              <w:rPr>
                <w:rFonts w:hint="eastAsia"/>
                <w:lang w:eastAsia="zh-CN"/>
              </w:rPr>
              <w:t>（1）调查范围和调查方法</w:t>
            </w:r>
          </w:p>
          <w:p>
            <w:pPr>
              <w:bidi w:val="0"/>
              <w:ind w:firstLine="480" w:firstLineChars="200"/>
              <w:rPr>
                <w:rFonts w:hint="eastAsia"/>
                <w:lang w:eastAsia="zh-CN"/>
              </w:rPr>
            </w:pPr>
            <w:r>
              <w:rPr>
                <w:rFonts w:hint="eastAsia"/>
                <w:lang w:eastAsia="zh-CN"/>
              </w:rPr>
              <w:t>项目施工区域两侧评价范围和临时占地范围，构成项目的调查评价区。主要调查内容包括评价区的土地利用、植被状况、生物量、物种数、水生生态、水土流失、景观等情况。</w:t>
            </w:r>
          </w:p>
          <w:p>
            <w:pPr>
              <w:bidi w:val="0"/>
              <w:ind w:firstLine="480" w:firstLineChars="200"/>
              <w:rPr>
                <w:rFonts w:hint="eastAsia"/>
                <w:lang w:eastAsia="zh-CN"/>
              </w:rPr>
            </w:pPr>
            <w:r>
              <w:rPr>
                <w:rFonts w:hint="eastAsia"/>
                <w:lang w:eastAsia="zh-CN"/>
              </w:rPr>
              <w:t>由于调查区域的范围较大，以及现有调查条件所限，生态环境的调查方法主要采用现场调查、资料收集相结合的方法等。</w:t>
            </w:r>
          </w:p>
          <w:p>
            <w:pPr>
              <w:bidi w:val="0"/>
              <w:ind w:firstLine="480" w:firstLineChars="200"/>
              <w:rPr>
                <w:rFonts w:hint="eastAsia"/>
                <w:lang w:eastAsia="zh-CN"/>
              </w:rPr>
            </w:pPr>
            <w:r>
              <w:rPr>
                <w:rFonts w:hint="eastAsia"/>
                <w:lang w:eastAsia="zh-CN"/>
              </w:rPr>
              <w:t>陆生生态调查主要以查阅《沂源县沂河源省级湿地公园总体规划》《沂源县鲁山森林公园总体规划》等陆生生态的相关规划为主，陆生动物资源调查采用资料查询、现场调查、群众访谈等获得，现场调查通过粪便、脚印、毛发以及实际所见动物来取得该区域动物资源的分布状况。群众访谈包括访问当地居民和公园管理人员，调查对象为哺乳类、鸟类、两栖类、爬行类等。水生生态调查河段鱼类区系及其特点、种群数量、分布等。调查时配合使用照相法、录像法、遥感法等方法记录生态现状。</w:t>
            </w:r>
          </w:p>
          <w:p>
            <w:pPr>
              <w:bidi w:val="0"/>
              <w:rPr>
                <w:rFonts w:hint="eastAsia"/>
                <w:lang w:eastAsia="zh-CN"/>
              </w:rPr>
            </w:pPr>
            <w:r>
              <w:rPr>
                <w:rFonts w:hint="eastAsia"/>
                <w:lang w:eastAsia="zh-CN"/>
              </w:rPr>
              <w:t>（2）评价区整体生态现状</w:t>
            </w:r>
          </w:p>
          <w:p>
            <w:pPr>
              <w:bidi w:val="0"/>
              <w:ind w:firstLine="480" w:firstLineChars="200"/>
              <w:rPr>
                <w:rFonts w:hint="eastAsia"/>
                <w:color w:val="auto"/>
                <w:lang w:eastAsia="zh-CN"/>
              </w:rPr>
            </w:pPr>
            <w:r>
              <w:rPr>
                <w:rFonts w:hint="eastAsia"/>
                <w:lang w:eastAsia="zh-CN"/>
              </w:rPr>
              <w:t>根据《山东生态省建设规划纲要》，</w:t>
            </w:r>
            <w:r>
              <w:rPr>
                <w:rFonts w:hint="eastAsia"/>
                <w:color w:val="auto"/>
                <w:lang w:eastAsia="zh-CN"/>
              </w:rPr>
              <w:t>项目所在的区域属于鲁中南山地丘陵生态区。本区是全省地势最高的地区，水系较发达，气候为暖温带季风气候，植被类型为暖温带落叶阔叶林，生物多样性也比较丰富。该区水热充足，地貌类型多样，已形成山东粮、油、干果、烤烟等生产基地，矿产资源和旅游资源丰富。本区的主导生态功能是水源涵养、水土保持和生物多样性维持。主要生态问题一是森林植被稀少、涵养水源能力低、水土流失严重；二是局部地区超采地下水形成漏斗区，岩溶塌陷时有发生，济南南部山区的开发建设已影响到泉水补给，城市的生态保障系统受到威胁；三是环境污染严重，空气质量超标，小清河等河流变成排污河，垃圾围城现象普遍；四是煤炭等开采导致地面塌陷，开山采石造成的生态破坏，严重影响城市周围、交通沿线的自然景观。</w:t>
            </w:r>
          </w:p>
          <w:p>
            <w:pPr>
              <w:bidi w:val="0"/>
              <w:ind w:firstLine="480" w:firstLineChars="200"/>
              <w:rPr>
                <w:rFonts w:hint="eastAsia"/>
                <w:lang w:eastAsia="zh-CN"/>
              </w:rPr>
            </w:pPr>
            <w:r>
              <w:rPr>
                <w:rFonts w:hint="eastAsia"/>
                <w:color w:val="auto"/>
                <w:lang w:eastAsia="zh-CN"/>
              </w:rPr>
              <w:t>本区保护与发展的主要方向和任务是：大面积营造水土保持林，恢复天然林，提高森林覆盖率；加快自然保护区和河流源头功能保护区建设；提高小流域综合治理效益，控制水土流失；坚决制止矿产资源的非法开采，加大对城市周围自然景观的管理和治理力度；严格限制地下水的开采强度；加快治理环境污染；增强济南作为区域性中心城市的辐射能力；以三孔、泉城、泰山、蒙山、沂山、鲁山为重点，加快生态旅游资源开发，形成人与自然和谐的生态旅游区。整个评价区是以旱地农田为基</w:t>
            </w:r>
            <w:r>
              <w:rPr>
                <w:rFonts w:hint="eastAsia"/>
                <w:lang w:eastAsia="zh-CN"/>
              </w:rPr>
              <w:t>质，以河流、道路为廊道，以草地、林地、村镇为斑块的景观生态系统。</w:t>
            </w:r>
          </w:p>
          <w:p>
            <w:pPr>
              <w:bidi w:val="0"/>
              <w:rPr>
                <w:rFonts w:hint="eastAsia"/>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2414270</wp:posOffset>
                      </wp:positionH>
                      <wp:positionV relativeFrom="paragraph">
                        <wp:posOffset>667385</wp:posOffset>
                      </wp:positionV>
                      <wp:extent cx="912495" cy="398145"/>
                      <wp:effectExtent l="194945" t="6350" r="16510" b="433705"/>
                      <wp:wrapNone/>
                      <wp:docPr id="13" name="矩形标注 13"/>
                      <wp:cNvGraphicFramePr/>
                      <a:graphic xmlns:a="http://schemas.openxmlformats.org/drawingml/2006/main">
                        <a:graphicData uri="http://schemas.microsoft.com/office/word/2010/wordprocessingShape">
                          <wps:wsp>
                            <wps:cNvSpPr/>
                            <wps:spPr>
                              <a:xfrm rot="10800000" flipH="1" flipV="1">
                                <a:off x="0" y="0"/>
                                <a:ext cx="912495" cy="398145"/>
                              </a:xfrm>
                              <a:prstGeom prst="wedgeRectCallout">
                                <a:avLst>
                                  <a:gd name="adj1" fmla="val -67606"/>
                                  <a:gd name="adj2" fmla="val 146810"/>
                                </a:avLst>
                              </a:prstGeom>
                              <a:solidFill>
                                <a:schemeClr val="bg2"/>
                              </a:solidFill>
                              <a:ln w="12700" cap="flat" cmpd="sng">
                                <a:solidFill>
                                  <a:srgbClr val="7030A0"/>
                                </a:solidFill>
                                <a:prstDash val="sysDash"/>
                                <a:miter/>
                                <a:headEnd type="none" w="med" len="med"/>
                                <a:tailEnd type="none" w="med" len="med"/>
                              </a:ln>
                            </wps:spPr>
                            <wps:txbx>
                              <w:txbxContent>
                                <w:p>
                                  <w:pPr>
                                    <w:spacing w:line="240" w:lineRule="atLeast"/>
                                    <w:ind w:left="0" w:leftChars="0" w:firstLine="0" w:firstLineChars="0"/>
                                    <w:rPr>
                                      <w:rFonts w:hint="eastAsia"/>
                                      <w:b/>
                                      <w:bCs/>
                                      <w:sz w:val="28"/>
                                      <w:szCs w:val="28"/>
                                    </w:rPr>
                                  </w:pPr>
                                  <w:r>
                                    <w:rPr>
                                      <w:rFonts w:hint="eastAsia"/>
                                      <w:b/>
                                      <w:bCs/>
                                      <w:sz w:val="28"/>
                                      <w:szCs w:val="28"/>
                                    </w:rPr>
                                    <w:t>项目位置</w:t>
                                  </w:r>
                                </w:p>
                              </w:txbxContent>
                            </wps:txbx>
                            <wps:bodyPr anchor="ctr" anchorCtr="0" upright="1"/>
                          </wps:wsp>
                        </a:graphicData>
                      </a:graphic>
                    </wp:anchor>
                  </w:drawing>
                </mc:Choice>
                <mc:Fallback>
                  <w:pict>
                    <v:shape id="_x0000_s1026" o:spid="_x0000_s1026" o:spt="61" type="#_x0000_t61" style="position:absolute;left:0pt;flip:x y;margin-left:190.1pt;margin-top:52.55pt;height:31.35pt;width:71.85pt;rotation:11796480f;z-index:251660288;v-text-anchor:middle;mso-width-relative:page;mso-height-relative:page;" fillcolor="#EEECE1 [3214]" filled="t" stroked="t" coordsize="21600,21600" o:gfxdata="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tmYk/aAAAACwEAAA8AAAAAAAAAAQAgAAAAIgAAAGRycy9kb3ducmV2LnhtbFBL&#10;AQIUABQAAAAIAIdO4kCeX/iDZgIAANAEAAAOAAAAAAAAAAEAIAAAACkBAABkcnMvZTJvRG9jLnht&#10;bFBLBQYAAAAABgAGAFkBAAABBgAAAAA=&#10;" adj="-3803,42511">
                      <v:fill on="t" focussize="0,0"/>
                      <v:stroke weight="1pt" color="#7030A0" joinstyle="miter" dashstyle="3 1"/>
                      <v:imagedata o:title=""/>
                      <o:lock v:ext="edit" aspectratio="f"/>
                      <v:textbox>
                        <w:txbxContent>
                          <w:p>
                            <w:pPr>
                              <w:spacing w:line="240" w:lineRule="atLeast"/>
                              <w:ind w:left="0" w:leftChars="0" w:firstLine="0" w:firstLineChars="0"/>
                              <w:rPr>
                                <w:rFonts w:hint="eastAsia"/>
                                <w:b/>
                                <w:bCs/>
                                <w:sz w:val="28"/>
                                <w:szCs w:val="28"/>
                              </w:rPr>
                            </w:pPr>
                            <w:r>
                              <w:rPr>
                                <w:rFonts w:hint="eastAsia"/>
                                <w:b/>
                                <w:bCs/>
                                <w:sz w:val="28"/>
                                <w:szCs w:val="28"/>
                              </w:rPr>
                              <w:t>项目位置</w:t>
                            </w:r>
                          </w:p>
                        </w:txbxContent>
                      </v:textbox>
                    </v:shape>
                  </w:pict>
                </mc:Fallback>
              </mc:AlternateContent>
            </w:r>
            <w:r>
              <w:drawing>
                <wp:inline distT="0" distB="0" distL="114300" distR="114300">
                  <wp:extent cx="4984750" cy="3376295"/>
                  <wp:effectExtent l="0" t="0" r="6350"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4984750" cy="3376295"/>
                          </a:xfrm>
                          <a:prstGeom prst="rect">
                            <a:avLst/>
                          </a:prstGeom>
                          <a:noFill/>
                          <a:ln>
                            <a:noFill/>
                          </a:ln>
                        </pic:spPr>
                      </pic:pic>
                    </a:graphicData>
                  </a:graphic>
                </wp:inline>
              </w:drawing>
            </w:r>
          </w:p>
          <w:p>
            <w:pPr>
              <w:pStyle w:val="37"/>
              <w:spacing w:line="240" w:lineRule="auto"/>
              <w:ind w:left="0"/>
              <w:jc w:val="center"/>
              <w:rPr>
                <w:rFonts w:hint="eastAsia" w:ascii="Times New Roman" w:hAnsi="Times New Roman" w:cs="Times New Roman"/>
                <w:b/>
                <w:bCs/>
                <w:kern w:val="0"/>
                <w:sz w:val="21"/>
                <w:szCs w:val="21"/>
                <w:lang w:val="en-US" w:eastAsia="zh-CN" w:bidi="ar-SA"/>
              </w:rPr>
            </w:pPr>
            <w:r>
              <w:rPr>
                <w:rFonts w:hint="eastAsia" w:ascii="Times New Roman" w:hAnsi="Times New Roman" w:cs="Times New Roman"/>
                <w:b/>
                <w:bCs/>
                <w:kern w:val="0"/>
                <w:sz w:val="21"/>
                <w:szCs w:val="21"/>
                <w:lang w:val="en-US" w:eastAsia="zh-CN" w:bidi="ar-SA"/>
              </w:rPr>
              <w:t>图3-2山东省生态功能区划图</w:t>
            </w:r>
          </w:p>
          <w:p>
            <w:pPr>
              <w:bidi w:val="0"/>
              <w:ind w:firstLine="480" w:firstLineChars="200"/>
              <w:rPr>
                <w:rFonts w:hint="default"/>
                <w:lang w:val="en-US" w:eastAsia="zh-CN"/>
              </w:rPr>
            </w:pPr>
            <w:r>
              <w:rPr>
                <w:rFonts w:hint="eastAsia"/>
                <w:lang w:eastAsia="zh-CN"/>
              </w:rPr>
              <w:t>从结构和功能分析，评价区景观生态体系：</w:t>
            </w:r>
            <w:r>
              <w:rPr>
                <w:rFonts w:hint="default"/>
                <w:lang w:val="en-US" w:eastAsia="zh-CN"/>
              </w:rPr>
              <w:t>农田生态系统以小麦、玉米等为主，呈片状、块状分布于评价区中；森林生态系统分布最广，遍布评价区各地，以杨树林等人工林为主；草地生态系统分布于林地和农田之间，在评价区多呈块状分布；水域生态系统在评价区以线状、块状分布；村镇生态系统中住宅用地、工业用地、交通用地等有序排列。</w:t>
            </w:r>
          </w:p>
          <w:p>
            <w:pPr>
              <w:bidi w:val="0"/>
              <w:ind w:firstLine="480" w:firstLineChars="200"/>
              <w:rPr>
                <w:rFonts w:hint="default"/>
                <w:lang w:val="en-US" w:eastAsia="zh-CN"/>
              </w:rPr>
            </w:pPr>
            <w:r>
              <w:rPr>
                <w:rFonts w:hint="eastAsia"/>
                <w:lang w:eastAsia="zh-CN"/>
              </w:rPr>
              <w:t>①</w:t>
            </w:r>
            <w:r>
              <w:rPr>
                <w:rFonts w:hint="default"/>
                <w:lang w:val="en-US" w:eastAsia="zh-CN"/>
              </w:rPr>
              <w:t>农田生态系统</w:t>
            </w:r>
          </w:p>
          <w:p>
            <w:pPr>
              <w:bidi w:val="0"/>
              <w:ind w:firstLine="480" w:firstLineChars="200"/>
              <w:rPr>
                <w:rFonts w:hint="default"/>
                <w:lang w:val="en-US" w:eastAsia="zh-CN"/>
              </w:rPr>
            </w:pPr>
            <w:r>
              <w:rPr>
                <w:rFonts w:hint="default"/>
                <w:lang w:val="en-US" w:eastAsia="zh-CN"/>
              </w:rPr>
              <w:t>此类拼块属于引进拼块中的种植拼块，是受人类干扰较为严重的拼块类型，连通程度高，该类生态系统占评价区总面积的19.21%。</w:t>
            </w:r>
          </w:p>
          <w:p>
            <w:pPr>
              <w:bidi w:val="0"/>
              <w:ind w:firstLine="480" w:firstLineChars="200"/>
              <w:rPr>
                <w:rFonts w:hint="default"/>
                <w:lang w:val="en-US" w:eastAsia="zh-CN"/>
              </w:rPr>
            </w:pPr>
            <w:r>
              <w:rPr>
                <w:rFonts w:hint="default"/>
                <w:lang w:val="en-US" w:eastAsia="zh-CN"/>
              </w:rPr>
              <w:t>农田生态系统呈片状分布在评价区内，农田生态系统的生产力水平相对最高，生产者主要为种植的作物，如小麦、玉米、棉花等，消费者主要为农田中的土壤动物和各种鸟类。农田生态系统的生物量是评价区内居民的粮食来源，也是当地农民收入的重要保障，其生产力高低直接影响农民的生活水平。</w:t>
            </w:r>
          </w:p>
          <w:p>
            <w:pPr>
              <w:bidi w:val="0"/>
              <w:ind w:firstLine="480" w:firstLineChars="200"/>
              <w:rPr>
                <w:rFonts w:hint="default"/>
                <w:lang w:val="en-US" w:eastAsia="zh-CN"/>
              </w:rPr>
            </w:pPr>
            <w:r>
              <w:rPr>
                <w:rFonts w:hint="eastAsia"/>
                <w:lang w:eastAsia="zh-CN"/>
              </w:rPr>
              <w:t>②</w:t>
            </w:r>
            <w:r>
              <w:rPr>
                <w:rFonts w:hint="default"/>
                <w:lang w:val="en-US" w:eastAsia="zh-CN"/>
              </w:rPr>
              <w:t>森林生态系统</w:t>
            </w:r>
          </w:p>
          <w:p>
            <w:pPr>
              <w:bidi w:val="0"/>
              <w:ind w:firstLine="480" w:firstLineChars="200"/>
              <w:rPr>
                <w:rFonts w:hint="default"/>
                <w:lang w:val="en-US" w:eastAsia="zh-CN"/>
              </w:rPr>
            </w:pPr>
            <w:r>
              <w:rPr>
                <w:rFonts w:hint="default"/>
                <w:lang w:val="en-US" w:eastAsia="zh-CN"/>
              </w:rPr>
              <w:t>此类生态系统属于环境资源型拼块类型，包括人工林和果园等，该类生态系统占评价区总面积的62.32%，其中人工林占39.18%，果园占23.14%，是对评价区环境质量起主要动态控制作用的拼块类型。</w:t>
            </w:r>
          </w:p>
          <w:p>
            <w:pPr>
              <w:bidi w:val="0"/>
              <w:ind w:firstLine="480" w:firstLineChars="200"/>
              <w:rPr>
                <w:rFonts w:hint="default"/>
                <w:lang w:val="en-US" w:eastAsia="zh-CN"/>
              </w:rPr>
            </w:pPr>
            <w:r>
              <w:rPr>
                <w:rFonts w:hint="default"/>
                <w:lang w:val="en-US" w:eastAsia="zh-CN"/>
              </w:rPr>
              <w:t>森林生态系统是评价区内的重要生态系统，其生产者主要为栽培的各种乔木、果树，消费者主要为一些鸟类和土壤动物。森林生态系统的生产力较高，对于改善局地气候、保持水土、绿化美化环境等具有重要的意义，同时也为当地居民带来一定的经济效益。</w:t>
            </w:r>
          </w:p>
          <w:p>
            <w:pPr>
              <w:bidi w:val="0"/>
              <w:ind w:firstLine="480" w:firstLineChars="200"/>
              <w:rPr>
                <w:rFonts w:hint="default"/>
                <w:lang w:val="en-US" w:eastAsia="zh-CN"/>
              </w:rPr>
            </w:pPr>
            <w:r>
              <w:rPr>
                <w:rFonts w:hint="eastAsia"/>
                <w:lang w:eastAsia="zh-CN"/>
              </w:rPr>
              <w:t>③</w:t>
            </w:r>
            <w:r>
              <w:rPr>
                <w:rFonts w:hint="default"/>
                <w:lang w:val="en-US" w:eastAsia="zh-CN"/>
              </w:rPr>
              <w:t>草地生态系统</w:t>
            </w:r>
          </w:p>
          <w:p>
            <w:pPr>
              <w:bidi w:val="0"/>
              <w:ind w:firstLine="480" w:firstLineChars="200"/>
              <w:rPr>
                <w:rFonts w:hint="default"/>
                <w:lang w:val="en-US" w:eastAsia="zh-CN"/>
              </w:rPr>
            </w:pPr>
            <w:r>
              <w:rPr>
                <w:rFonts w:hint="default"/>
                <w:lang w:val="en-US" w:eastAsia="zh-CN"/>
              </w:rPr>
              <w:t>草地生态系统主要指自然草本群落和花圃花坛群落，占评价区总面积的4.48%。评价区由于受长期人为活动的干扰和破坏，草本群落分布地域比较分散，其主要植物物种有狗尾草、黄花蒿等。</w:t>
            </w:r>
          </w:p>
          <w:p>
            <w:pPr>
              <w:bidi w:val="0"/>
              <w:ind w:firstLine="480" w:firstLineChars="200"/>
              <w:rPr>
                <w:rFonts w:hint="default"/>
                <w:lang w:val="en-US" w:eastAsia="zh-CN"/>
              </w:rPr>
            </w:pPr>
            <w:r>
              <w:rPr>
                <w:rFonts w:hint="eastAsia"/>
                <w:lang w:eastAsia="zh-CN"/>
              </w:rPr>
              <w:t>④</w:t>
            </w:r>
            <w:r>
              <w:rPr>
                <w:rFonts w:hint="default"/>
                <w:lang w:val="en-US" w:eastAsia="zh-CN"/>
              </w:rPr>
              <w:t>水域生态系统</w:t>
            </w:r>
          </w:p>
          <w:p>
            <w:pPr>
              <w:bidi w:val="0"/>
              <w:ind w:firstLine="480" w:firstLineChars="200"/>
              <w:rPr>
                <w:rFonts w:hint="default"/>
                <w:lang w:val="en-US" w:eastAsia="zh-CN"/>
              </w:rPr>
            </w:pPr>
            <w:r>
              <w:rPr>
                <w:rFonts w:hint="default"/>
                <w:lang w:val="en-US" w:eastAsia="zh-CN"/>
              </w:rPr>
              <w:t>此类生态系统属于环境资源型拼块类型，包括河流、灌渠、水塘、坑洼水面等。该系统在各类拼块占3.82%，对于调节区域气候、改善生态环境具有非常重要的作用。</w:t>
            </w:r>
          </w:p>
          <w:p>
            <w:pPr>
              <w:bidi w:val="0"/>
              <w:ind w:firstLine="480" w:firstLineChars="200"/>
              <w:rPr>
                <w:rFonts w:hint="default"/>
                <w:lang w:val="en-US" w:eastAsia="zh-CN"/>
              </w:rPr>
            </w:pPr>
            <w:r>
              <w:rPr>
                <w:rFonts w:hint="default"/>
                <w:lang w:val="en-US" w:eastAsia="zh-CN"/>
              </w:rPr>
              <w:t>受区域气候、地形的影响，河流生态系统较为单一。河道内植被稀疏，种类贫乏，主要有芦苇等，河流水生生物鱼、虾、螃蟹等物种较为稀少。</w:t>
            </w:r>
          </w:p>
          <w:p>
            <w:pPr>
              <w:numPr>
                <w:ilvl w:val="0"/>
                <w:numId w:val="0"/>
              </w:numPr>
              <w:bidi w:val="0"/>
              <w:ind w:left="0" w:leftChars="0" w:firstLine="480" w:firstLineChars="200"/>
              <w:rPr>
                <w:rFonts w:hint="default"/>
                <w:lang w:val="en-US" w:eastAsia="zh-CN"/>
              </w:rPr>
            </w:pPr>
            <w:r>
              <w:rPr>
                <w:rFonts w:hint="eastAsia" w:ascii="Times New Roman" w:hAnsi="Times New Roman" w:eastAsia="宋体" w:cs="Times New Roman"/>
                <w:kern w:val="2"/>
                <w:sz w:val="24"/>
                <w:szCs w:val="24"/>
                <w:lang w:val="en-US" w:eastAsia="zh-CN" w:bidi="ar-SA"/>
              </w:rPr>
              <w:t>⑤</w:t>
            </w:r>
            <w:r>
              <w:rPr>
                <w:rFonts w:hint="default"/>
                <w:lang w:val="en-US" w:eastAsia="zh-CN"/>
              </w:rPr>
              <w:t>村镇生态系统</w:t>
            </w:r>
          </w:p>
          <w:p>
            <w:pPr>
              <w:bidi w:val="0"/>
              <w:ind w:firstLine="480" w:firstLineChars="200"/>
              <w:rPr>
                <w:rFonts w:hint="default"/>
                <w:lang w:val="en-US" w:eastAsia="zh-CN"/>
              </w:rPr>
            </w:pPr>
            <w:r>
              <w:rPr>
                <w:rFonts w:hint="default"/>
                <w:lang w:val="en-US" w:eastAsia="zh-CN"/>
              </w:rPr>
              <w:t>此类拼块属引进拼块中的聚居地和厂矿企业，占评价区总面积的9.61%，是受人类干扰最强烈的景观组成部分，为人造生态系统，主要包括评价区内的居民聚居地、工业用地和交通用地。该类生态系统中作为生产者的绿色植被覆盖率较低，消费者主要是村镇居民和生产、建设施工人员。村镇生态系统以居住和经济生产为主体，呈小块状独立分布于评价区内，省级和乡村公路是其主要的联系通道，该生态系统的典型特征是相对独立分布、居住人群密集、工业经济活动发达、整体生产力水平较高。</w:t>
            </w:r>
          </w:p>
          <w:p>
            <w:pPr>
              <w:bidi w:val="0"/>
              <w:rPr>
                <w:rFonts w:hint="eastAsia"/>
                <w:lang w:eastAsia="zh-CN"/>
              </w:rPr>
            </w:pPr>
            <w:r>
              <w:rPr>
                <w:rFonts w:hint="eastAsia"/>
                <w:lang w:eastAsia="zh-CN"/>
              </w:rPr>
              <w:t>（3）土地利用现状</w:t>
            </w:r>
          </w:p>
          <w:p>
            <w:pPr>
              <w:bidi w:val="0"/>
              <w:ind w:firstLine="480" w:firstLineChars="200"/>
              <w:rPr>
                <w:rFonts w:hint="eastAsia"/>
                <w:lang w:eastAsia="zh-CN"/>
              </w:rPr>
            </w:pPr>
            <w:r>
              <w:rPr>
                <w:rFonts w:hint="eastAsia"/>
                <w:lang w:eastAsia="zh-CN"/>
              </w:rPr>
              <w:t>本次评价以评价区所在区域的土地利用遥感数据作为依据，采用沂源县第三次全国国土调查数据，对评价区的土地利用及覆盖情况进行研究。根据《土地利用现状分类标准》(GBT_21010-2007)，结合拟建项目沿线实际情况，本次评价共确定区分出以下9种土地利用和地表覆盖景观类型。</w:t>
            </w:r>
          </w:p>
          <w:p>
            <w:pPr>
              <w:bidi w:val="0"/>
              <w:ind w:firstLine="480" w:firstLineChars="200"/>
              <w:rPr>
                <w:rFonts w:hint="eastAsia"/>
                <w:lang w:eastAsia="zh-CN"/>
              </w:rPr>
            </w:pPr>
            <w:r>
              <w:rPr>
                <w:rFonts w:hint="eastAsia"/>
                <w:lang w:eastAsia="zh-CN"/>
              </w:rPr>
              <w:t>耕地：包括水浇地、旱田、水田等；</w:t>
            </w:r>
          </w:p>
          <w:p>
            <w:pPr>
              <w:bidi w:val="0"/>
              <w:ind w:firstLine="480" w:firstLineChars="200"/>
              <w:rPr>
                <w:rFonts w:hint="eastAsia"/>
                <w:lang w:eastAsia="zh-CN"/>
              </w:rPr>
            </w:pPr>
            <w:r>
              <w:rPr>
                <w:rFonts w:hint="eastAsia"/>
                <w:lang w:eastAsia="zh-CN"/>
              </w:rPr>
              <w:t>林地：包括乔木林地、灌木林地、竹林地和其他林地；</w:t>
            </w:r>
          </w:p>
          <w:p>
            <w:pPr>
              <w:bidi w:val="0"/>
              <w:ind w:firstLine="480" w:firstLineChars="200"/>
              <w:rPr>
                <w:rFonts w:hint="eastAsia"/>
                <w:lang w:eastAsia="zh-CN"/>
              </w:rPr>
            </w:pPr>
            <w:r>
              <w:rPr>
                <w:rFonts w:hint="eastAsia"/>
                <w:lang w:eastAsia="zh-CN"/>
              </w:rPr>
              <w:t>园地：包括果园等；</w:t>
            </w:r>
          </w:p>
          <w:p>
            <w:pPr>
              <w:bidi w:val="0"/>
              <w:ind w:firstLine="480" w:firstLineChars="200"/>
              <w:rPr>
                <w:rFonts w:hint="eastAsia"/>
                <w:lang w:eastAsia="zh-CN"/>
              </w:rPr>
            </w:pPr>
            <w:r>
              <w:rPr>
                <w:rFonts w:hint="eastAsia"/>
                <w:lang w:eastAsia="zh-CN"/>
              </w:rPr>
              <w:t>草地：包括天然牧草地、人工牧草地和其他草地；</w:t>
            </w:r>
          </w:p>
          <w:p>
            <w:pPr>
              <w:bidi w:val="0"/>
              <w:ind w:firstLine="480" w:firstLineChars="200"/>
              <w:rPr>
                <w:rFonts w:hint="eastAsia"/>
                <w:lang w:eastAsia="zh-CN"/>
              </w:rPr>
            </w:pPr>
            <w:r>
              <w:rPr>
                <w:rFonts w:hint="eastAsia"/>
                <w:lang w:eastAsia="zh-CN"/>
              </w:rPr>
              <w:t>水域及水利设施用地：包括河流水面、沟渠、水工建筑工地等。</w:t>
            </w:r>
          </w:p>
          <w:p>
            <w:pPr>
              <w:bidi w:val="0"/>
              <w:ind w:firstLine="480" w:firstLineChars="200"/>
              <w:rPr>
                <w:rFonts w:hint="eastAsia"/>
                <w:lang w:eastAsia="zh-CN"/>
              </w:rPr>
            </w:pPr>
            <w:r>
              <w:rPr>
                <w:rFonts w:hint="eastAsia"/>
                <w:lang w:eastAsia="zh-CN"/>
              </w:rPr>
              <w:t>建设用地：主要包括城镇住宅用地、农村宅基地等（不包含交通运输用地）；</w:t>
            </w:r>
          </w:p>
          <w:p>
            <w:pPr>
              <w:bidi w:val="0"/>
              <w:ind w:firstLine="480" w:firstLineChars="200"/>
              <w:rPr>
                <w:rFonts w:hint="eastAsia"/>
                <w:lang w:eastAsia="zh-CN"/>
              </w:rPr>
            </w:pPr>
            <w:r>
              <w:rPr>
                <w:rFonts w:hint="eastAsia"/>
                <w:lang w:eastAsia="zh-CN"/>
              </w:rPr>
              <w:t>交通运输用地：包括各类各级道路用地等；</w:t>
            </w:r>
          </w:p>
          <w:p>
            <w:pPr>
              <w:bidi w:val="0"/>
              <w:ind w:firstLine="480" w:firstLineChars="200"/>
              <w:rPr>
                <w:rFonts w:hint="eastAsia"/>
                <w:lang w:eastAsia="zh-CN"/>
              </w:rPr>
            </w:pPr>
            <w:r>
              <w:rPr>
                <w:rFonts w:hint="eastAsia"/>
                <w:lang w:eastAsia="zh-CN"/>
              </w:rPr>
              <w:t>工矿企业用地：包括工业用地、采矿用地等；</w:t>
            </w:r>
          </w:p>
          <w:p>
            <w:pPr>
              <w:bidi w:val="0"/>
              <w:ind w:firstLine="480" w:firstLineChars="200"/>
              <w:rPr>
                <w:rFonts w:hint="eastAsia"/>
                <w:lang w:eastAsia="zh-CN"/>
              </w:rPr>
            </w:pPr>
            <w:r>
              <w:rPr>
                <w:rFonts w:hint="eastAsia"/>
                <w:lang w:eastAsia="zh-CN"/>
              </w:rPr>
              <w:t>其他用地：包括空闲地、裸地、设施农用地等。</w:t>
            </w:r>
          </w:p>
          <w:p>
            <w:pPr>
              <w:bidi w:val="0"/>
              <w:ind w:firstLine="480" w:firstLineChars="200"/>
              <w:rPr>
                <w:rFonts w:hint="eastAsia"/>
                <w:color w:val="auto"/>
                <w:lang w:eastAsia="zh-CN"/>
              </w:rPr>
            </w:pPr>
            <w:r>
              <w:rPr>
                <w:rFonts w:hint="eastAsia"/>
                <w:lang w:eastAsia="zh-CN"/>
              </w:rPr>
              <w:t>地面附着物调查范围主要包括临时占地范围。工程范围内对地面附着物无影响。由主体占地可知，本工程无新增永久占地，施工中的临时占地，临占部分应沿五井石河沿岸两侧绿化区布置，</w:t>
            </w:r>
            <w:r>
              <w:rPr>
                <w:rFonts w:hint="eastAsia"/>
                <w:color w:val="auto"/>
                <w:lang w:eastAsia="zh-CN"/>
              </w:rPr>
              <w:t>临时占地面积</w:t>
            </w:r>
            <w:r>
              <w:rPr>
                <w:rFonts w:hint="eastAsia"/>
                <w:color w:val="auto"/>
                <w:lang w:val="en-US" w:eastAsia="zh-CN"/>
              </w:rPr>
              <w:t>1.60</w:t>
            </w:r>
            <w:r>
              <w:rPr>
                <w:rFonts w:hint="eastAsia"/>
                <w:color w:val="auto"/>
                <w:lang w:eastAsia="zh-CN"/>
              </w:rPr>
              <w:t>hm</w:t>
            </w:r>
            <w:r>
              <w:rPr>
                <w:rFonts w:hint="eastAsia"/>
                <w:color w:val="auto"/>
                <w:vertAlign w:val="superscript"/>
                <w:lang w:eastAsia="zh-CN"/>
              </w:rPr>
              <w:t>2</w:t>
            </w:r>
            <w:r>
              <w:rPr>
                <w:rFonts w:hint="eastAsia" w:ascii="Times New Roman"/>
                <w:sz w:val="24"/>
                <w:vertAlign w:val="baseline"/>
                <w:lang w:eastAsia="zh-CN"/>
              </w:rPr>
              <w:t>，</w:t>
            </w:r>
            <w:r>
              <w:rPr>
                <w:rFonts w:hint="eastAsia" w:ascii="Times New Roman" w:eastAsia="Times New Roman"/>
                <w:sz w:val="24"/>
                <w:vertAlign w:val="baseline"/>
              </w:rPr>
              <w:t>占地类型</w:t>
            </w:r>
            <w:r>
              <w:rPr>
                <w:rFonts w:hint="eastAsia" w:ascii="Times New Roman"/>
                <w:sz w:val="24"/>
                <w:vertAlign w:val="baseline"/>
                <w:lang w:eastAsia="zh-CN"/>
              </w:rPr>
              <w:t>为</w:t>
            </w:r>
            <w:r>
              <w:rPr>
                <w:rFonts w:hint="eastAsia" w:ascii="Times New Roman" w:eastAsia="Times New Roman"/>
                <w:sz w:val="24"/>
                <w:vertAlign w:val="baseline"/>
              </w:rPr>
              <w:t>草地</w:t>
            </w:r>
            <w:r>
              <w:rPr>
                <w:rFonts w:hint="eastAsia"/>
                <w:color w:val="auto"/>
                <w:lang w:eastAsia="zh-CN"/>
              </w:rPr>
              <w:t>。</w:t>
            </w:r>
          </w:p>
          <w:p>
            <w:pPr>
              <w:bidi w:val="0"/>
              <w:ind w:firstLine="480" w:firstLineChars="200"/>
              <w:rPr>
                <w:rFonts w:hint="eastAsia"/>
                <w:color w:val="auto"/>
                <w:lang w:eastAsia="zh-CN"/>
              </w:rPr>
            </w:pPr>
            <w:r>
              <w:rPr>
                <w:rFonts w:hint="eastAsia"/>
                <w:color w:val="auto"/>
                <w:lang w:eastAsia="zh-CN"/>
              </w:rPr>
              <w:t>工程完工后，对施工临时占地采取恢复原状措施，满足水土保持要求。从占地面积和数量上分析，弃土量较大，建议初步设计阶段，进一步优化设计，减少临时占地面积。从根源上减少对原地貌的扰动，进而减少水土流失的发生。</w:t>
            </w:r>
          </w:p>
          <w:p>
            <w:pPr>
              <w:bidi w:val="0"/>
              <w:ind w:firstLine="480" w:firstLineChars="200"/>
              <w:rPr>
                <w:rFonts w:hint="eastAsia"/>
                <w:color w:val="auto"/>
                <w:lang w:eastAsia="zh-CN"/>
              </w:rPr>
            </w:pPr>
            <w:r>
              <w:rPr>
                <w:rFonts w:hint="eastAsia"/>
                <w:color w:val="auto"/>
                <w:lang w:eastAsia="zh-CN"/>
              </w:rPr>
              <w:t>综上所述，本工程从占地性质和占地面积上基本符合水土保持的相关规定。</w:t>
            </w:r>
          </w:p>
          <w:p>
            <w:pPr>
              <w:bidi w:val="0"/>
              <w:rPr>
                <w:rFonts w:hint="eastAsia"/>
                <w:lang w:eastAsia="zh-CN"/>
              </w:rPr>
            </w:pPr>
            <w:r>
              <w:rPr>
                <w:rFonts w:hint="eastAsia"/>
                <w:lang w:eastAsia="zh-CN"/>
              </w:rPr>
              <w:t>（4）生物多样性</w:t>
            </w:r>
          </w:p>
          <w:p>
            <w:pPr>
              <w:bidi w:val="0"/>
              <w:ind w:firstLine="482" w:firstLineChars="200"/>
              <w:rPr>
                <w:rFonts w:hint="eastAsia" w:ascii="Times New Roman" w:hAnsi="Times New Roman" w:eastAsia="宋体" w:cs="Times New Roman"/>
                <w:b/>
                <w:bCs/>
                <w:lang w:eastAsia="zh-CN"/>
              </w:rPr>
            </w:pPr>
            <w:r>
              <w:rPr>
                <w:rFonts w:hint="default" w:ascii="Times New Roman" w:hAnsi="Times New Roman" w:eastAsia="宋体" w:cs="Times New Roman"/>
                <w:b/>
                <w:bCs/>
                <w:lang w:val="en-US" w:eastAsia="zh-CN"/>
              </w:rPr>
              <w:t>1</w:t>
            </w:r>
            <w:r>
              <w:rPr>
                <w:rFonts w:hint="eastAsia" w:ascii="Times New Roman" w:hAnsi="Times New Roman" w:eastAsia="宋体" w:cs="Times New Roman"/>
                <w:b/>
                <w:bCs/>
                <w:lang w:val="en-US" w:eastAsia="zh-CN"/>
              </w:rPr>
              <w:t>、生物分布现状</w:t>
            </w:r>
          </w:p>
          <w:p>
            <w:pPr>
              <w:numPr>
                <w:ilvl w:val="0"/>
                <w:numId w:val="0"/>
              </w:numPr>
              <w:bidi w:val="0"/>
              <w:ind w:left="0" w:leftChars="0" w:firstLine="480" w:firstLineChars="200"/>
              <w:rPr>
                <w:rFonts w:hint="eastAsia"/>
                <w:b w:val="0"/>
                <w:bCs w:val="0"/>
                <w:lang w:eastAsia="zh-CN"/>
              </w:rPr>
            </w:pPr>
            <w:r>
              <w:rPr>
                <w:rFonts w:hint="eastAsia" w:ascii="Times New Roman" w:hAnsi="Times New Roman" w:eastAsia="宋体" w:cs="Times New Roman"/>
                <w:b w:val="0"/>
                <w:bCs w:val="0"/>
                <w:kern w:val="2"/>
                <w:sz w:val="24"/>
                <w:szCs w:val="24"/>
                <w:lang w:val="en-US" w:eastAsia="zh-CN" w:bidi="ar-SA"/>
              </w:rPr>
              <w:t>①</w:t>
            </w:r>
            <w:r>
              <w:rPr>
                <w:rFonts w:hint="eastAsia"/>
                <w:b w:val="0"/>
                <w:bCs w:val="0"/>
                <w:lang w:eastAsia="zh-CN"/>
              </w:rPr>
              <w:t>植被分布现状</w:t>
            </w:r>
          </w:p>
          <w:p>
            <w:pPr>
              <w:numPr>
                <w:ilvl w:val="0"/>
                <w:numId w:val="0"/>
              </w:numPr>
              <w:bidi w:val="0"/>
              <w:ind w:left="0" w:leftChars="0" w:firstLine="480" w:firstLineChars="200"/>
              <w:rPr>
                <w:rFonts w:hint="eastAsia"/>
                <w:b w:val="0"/>
                <w:bCs w:val="0"/>
                <w:lang w:eastAsia="zh-CN"/>
              </w:rPr>
            </w:pPr>
            <w:r>
              <w:rPr>
                <w:rFonts w:hint="eastAsia"/>
                <w:b w:val="0"/>
                <w:bCs w:val="0"/>
                <w:lang w:eastAsia="zh-CN"/>
              </w:rPr>
              <w:t>评价区植被隶属于暖温带季风区域，改建项目沿线植被受人类生产和生活活动的长期影响，已无地带性自然植物优势群落的存在，现存植被均为次生植被，且以人工植被为主；由于本地土地利用程度很高，同时评价区又属于平原地区，因此农田栽培植被成为本区最主要的植被类型。农田栽培植被主要包括粮食作物，其种类主要有小麦、玉米等。人工种植的森林植被包括多种乔木和灌木，主要分布在沟渠两侧、路旁、地头、道路两侧、村庄四周和房前屋后，主要树种有欧美杨、果树等。</w:t>
            </w:r>
          </w:p>
          <w:p>
            <w:pPr>
              <w:numPr>
                <w:ilvl w:val="0"/>
                <w:numId w:val="0"/>
              </w:numPr>
              <w:bidi w:val="0"/>
              <w:ind w:left="0" w:leftChars="0" w:firstLine="480"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②珍稀濒危植物种类分布</w:t>
            </w:r>
          </w:p>
          <w:p>
            <w:pPr>
              <w:numPr>
                <w:ilvl w:val="0"/>
                <w:numId w:val="0"/>
              </w:numPr>
              <w:bidi w:val="0"/>
              <w:ind w:left="0" w:leftChars="0" w:firstLine="480" w:firstLineChars="200"/>
              <w:rPr>
                <w:rFonts w:hint="eastAsia"/>
                <w:b w:val="0"/>
                <w:bCs w:val="0"/>
                <w:lang w:eastAsia="zh-CN"/>
              </w:rPr>
            </w:pPr>
            <w:r>
              <w:rPr>
                <w:rFonts w:hint="eastAsia"/>
                <w:b w:val="0"/>
                <w:bCs w:val="0"/>
                <w:lang w:eastAsia="zh-CN"/>
              </w:rPr>
              <w:t>据《山东稀有濒危保护植物》研究统计，山东省主要珍稀濒危植物有86种其中一类保护植物15种（已列为或即将列为国家级保护植物），二类保护植物26种（建议为省级重点保护植物），三类保护植物35种（建议为省级一般保护植物），经逐一对照查询，项目区域内未发现珍稀濒危物种。</w:t>
            </w:r>
          </w:p>
          <w:p>
            <w:pPr>
              <w:widowControl w:val="0"/>
              <w:numPr>
                <w:ilvl w:val="0"/>
                <w:numId w:val="0"/>
              </w:numPr>
              <w:bidi w:val="0"/>
              <w:spacing w:line="360" w:lineRule="auto"/>
              <w:ind w:leftChars="200"/>
              <w:jc w:val="both"/>
              <w:rPr>
                <w:rFonts w:hint="eastAsia"/>
                <w:lang w:eastAsia="zh-CN"/>
              </w:rPr>
            </w:pPr>
            <w:r>
              <w:rPr>
                <w:rFonts w:hint="eastAsia"/>
                <w:lang w:eastAsia="zh-CN"/>
              </w:rPr>
              <w:t>③动物</w:t>
            </w:r>
          </w:p>
          <w:p>
            <w:pPr>
              <w:numPr>
                <w:ilvl w:val="0"/>
                <w:numId w:val="0"/>
              </w:numPr>
              <w:bidi w:val="0"/>
              <w:ind w:left="0" w:leftChars="0" w:firstLine="480" w:firstLineChars="200"/>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本评价以《沂源县鲁山森林公园总体规划》《沂源县沂河源省级湿地公园总体规划》、当地的地方志以及林业部门的野生动物本底记录为主，辅以工程范围内对民众及技术干部的询问、现场调查等综合记录本项目工程影响范围内可能出现的野生动物。</w:t>
            </w:r>
          </w:p>
          <w:p>
            <w:pPr>
              <w:numPr>
                <w:ilvl w:val="0"/>
                <w:numId w:val="0"/>
              </w:numPr>
              <w:bidi w:val="0"/>
              <w:ind w:left="0" w:leftChars="0" w:firstLine="480" w:firstLineChars="200"/>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根据《中国动物地理》（张荣祖科学出版社，2010），我国动物地理区划分属于世界动物地理分区的古北界与东洋界。两界在我国境内的分界线西起横断山脉北部，经过川北的岷山与陕南的秦岭，向东至淮河南岸，直抵长江口以北。我国动物区系根据陆栖脊椎动物，特别是哺乳类和鸟类的分布情况，可以分为东北区、华北区、蒙新区、青藏区、西南区、华中区及华南区7个区。其中前4个区属于古北界；后3个区属于东洋界。本工程位于山东省淄博市境内，动物区划属于古北界—华北区。</w:t>
            </w:r>
          </w:p>
          <w:p>
            <w:pPr>
              <w:numPr>
                <w:ilvl w:val="0"/>
                <w:numId w:val="0"/>
              </w:numPr>
              <w:bidi w:val="0"/>
              <w:ind w:left="0" w:leftChars="0" w:firstLine="480" w:firstLineChars="200"/>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t>由于评价区所在区域受人类生产生活活动影响较深，其原始野生动物生境已基本丧失，根据调查，评价区内无国家及省级重点保护珍稀濒危野生动物物种存在，调查过程中评价区内动物主要种类如下：</w:t>
            </w:r>
          </w:p>
          <w:p>
            <w:pPr>
              <w:numPr>
                <w:ilvl w:val="0"/>
                <w:numId w:val="0"/>
              </w:numPr>
              <w:bidi w:val="0"/>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eastAsia="zh-CN"/>
              </w:rPr>
              <w:drawing>
                <wp:inline distT="0" distB="0" distL="114300" distR="114300">
                  <wp:extent cx="4933950" cy="3374390"/>
                  <wp:effectExtent l="0" t="0" r="0" b="16510"/>
                  <wp:docPr id="15" name="图片 15" descr="170167234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01672349954"/>
                          <pic:cNvPicPr>
                            <a:picLocks noChangeAspect="1"/>
                          </pic:cNvPicPr>
                        </pic:nvPicPr>
                        <pic:blipFill>
                          <a:blip r:embed="rId16"/>
                          <a:stretch>
                            <a:fillRect/>
                          </a:stretch>
                        </pic:blipFill>
                        <pic:spPr>
                          <a:xfrm>
                            <a:off x="0" y="0"/>
                            <a:ext cx="4933950" cy="3374390"/>
                          </a:xfrm>
                          <a:prstGeom prst="rect">
                            <a:avLst/>
                          </a:prstGeom>
                        </pic:spPr>
                      </pic:pic>
                    </a:graphicData>
                  </a:graphic>
                </wp:inline>
              </w:drawing>
            </w:r>
          </w:p>
          <w:p>
            <w:pPr>
              <w:pStyle w:val="37"/>
              <w:spacing w:line="240" w:lineRule="auto"/>
              <w:ind w:left="0"/>
              <w:jc w:val="center"/>
              <w:rPr>
                <w:rFonts w:hint="eastAsia" w:ascii="Times New Roman" w:hAnsi="Times New Roman" w:cs="Times New Roman"/>
                <w:b/>
                <w:bCs/>
                <w:kern w:val="0"/>
                <w:sz w:val="21"/>
                <w:szCs w:val="21"/>
                <w:lang w:val="en-US" w:eastAsia="zh-CN" w:bidi="ar-SA"/>
              </w:rPr>
            </w:pPr>
            <w:r>
              <w:rPr>
                <w:rFonts w:hint="eastAsia" w:ascii="Times New Roman" w:hAnsi="Times New Roman" w:cs="Times New Roman"/>
                <w:b/>
                <w:bCs/>
                <w:kern w:val="0"/>
                <w:sz w:val="21"/>
                <w:szCs w:val="21"/>
                <w:lang w:val="en-US" w:eastAsia="zh-CN" w:bidi="ar-SA"/>
              </w:rPr>
              <w:t>图3-3中国动物地理区划图</w:t>
            </w:r>
          </w:p>
          <w:p>
            <w:pPr>
              <w:keepNext w:val="0"/>
              <w:keepLines w:val="0"/>
              <w:widowControl/>
              <w:suppressLineNumbers w:val="0"/>
              <w:ind w:firstLine="480" w:firstLineChars="20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）哺乳类</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项目区内的哺乳动物共有</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目</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科</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种，主要有刺猬、东方蝙蝠、赤狐、黄鼬、狗獾、草兔、大仓鼠、小家鼠等，常见于工程范围内及周边。</w:t>
            </w:r>
          </w:p>
          <w:p>
            <w:pPr>
              <w:keepNext w:val="0"/>
              <w:keepLines w:val="0"/>
              <w:widowControl/>
              <w:suppressLineNumbers w:val="0"/>
              <w:ind w:firstLine="480" w:firstLineChars="20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）鸟类</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项目区内的鸟类共有</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目</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科</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种，主要有苍鹭、白鹭、山斑鸠、大杜鹃、大斑啄木鸟、燕雀、家燕等。</w:t>
            </w:r>
          </w:p>
          <w:p>
            <w:pPr>
              <w:keepNext w:val="0"/>
              <w:keepLines w:val="0"/>
              <w:widowControl/>
              <w:suppressLineNumbers w:val="0"/>
              <w:ind w:firstLine="480" w:firstLineChars="200"/>
              <w:jc w:val="left"/>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）两栖类</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项目区内两栖动物共有</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目</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科</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种，即中华大蟾蜍</w:t>
            </w:r>
            <w:r>
              <w:rPr>
                <w:rFonts w:hint="default" w:ascii="Times New Roman" w:hAnsi="Times New Roman" w:eastAsia="宋体" w:cs="Times New Roman"/>
                <w:i/>
                <w:iCs/>
                <w:color w:val="000000"/>
                <w:kern w:val="0"/>
                <w:sz w:val="24"/>
                <w:szCs w:val="24"/>
                <w:lang w:val="en-US" w:eastAsia="zh-CN" w:bidi="ar"/>
              </w:rPr>
              <w:t>Bufobufogargarizans</w:t>
            </w:r>
            <w:r>
              <w:rPr>
                <w:rFonts w:hint="eastAsia" w:ascii="宋体" w:hAnsi="宋体" w:eastAsia="宋体" w:cs="宋体"/>
                <w:color w:val="000000"/>
                <w:kern w:val="0"/>
                <w:sz w:val="24"/>
                <w:szCs w:val="24"/>
                <w:lang w:val="en-US" w:eastAsia="zh-CN" w:bidi="ar"/>
              </w:rPr>
              <w:t>、黑斑蛙</w:t>
            </w:r>
            <w:r>
              <w:rPr>
                <w:rFonts w:hint="default" w:ascii="Times New Roman" w:hAnsi="Times New Roman" w:eastAsia="宋体" w:cs="Times New Roman"/>
                <w:i/>
                <w:iCs/>
                <w:color w:val="000000"/>
                <w:kern w:val="0"/>
                <w:sz w:val="24"/>
                <w:szCs w:val="24"/>
                <w:lang w:val="en-US" w:eastAsia="zh-CN" w:bidi="ar"/>
              </w:rPr>
              <w:t>Rananigromaculata</w:t>
            </w:r>
            <w:r>
              <w:rPr>
                <w:rFonts w:hint="eastAsia" w:ascii="宋体" w:hAnsi="宋体" w:eastAsia="宋体" w:cs="宋体"/>
                <w:color w:val="000000"/>
                <w:kern w:val="0"/>
                <w:sz w:val="24"/>
                <w:szCs w:val="24"/>
                <w:lang w:val="en-US" w:eastAsia="zh-CN" w:bidi="ar"/>
              </w:rPr>
              <w:t>、金线蛙</w:t>
            </w:r>
            <w:r>
              <w:rPr>
                <w:rFonts w:hint="default" w:ascii="Times New Roman" w:hAnsi="Times New Roman" w:eastAsia="宋体" w:cs="Times New Roman"/>
                <w:i/>
                <w:iCs/>
                <w:color w:val="000000"/>
                <w:kern w:val="0"/>
                <w:sz w:val="24"/>
                <w:szCs w:val="24"/>
                <w:lang w:val="en-US" w:eastAsia="zh-CN" w:bidi="ar"/>
              </w:rPr>
              <w:t>Ranaplancyi</w:t>
            </w:r>
            <w:r>
              <w:rPr>
                <w:rFonts w:hint="eastAsia" w:ascii="宋体" w:hAnsi="宋体" w:eastAsia="宋体" w:cs="宋体"/>
                <w:color w:val="000000"/>
                <w:kern w:val="0"/>
                <w:sz w:val="24"/>
                <w:szCs w:val="24"/>
                <w:lang w:val="en-US" w:eastAsia="zh-CN" w:bidi="ar"/>
              </w:rPr>
              <w:t>、泽蛙</w:t>
            </w:r>
            <w:r>
              <w:rPr>
                <w:rFonts w:hint="default" w:ascii="Times New Roman" w:hAnsi="Times New Roman" w:eastAsia="宋体" w:cs="Times New Roman"/>
                <w:color w:val="000000"/>
                <w:kern w:val="0"/>
                <w:sz w:val="24"/>
                <w:szCs w:val="24"/>
                <w:lang w:val="en-US" w:eastAsia="zh-CN" w:bidi="ar"/>
              </w:rPr>
              <w:t>Ranalimnocharis</w:t>
            </w:r>
            <w:r>
              <w:rPr>
                <w:rFonts w:hint="eastAsia" w:ascii="宋体" w:hAnsi="宋体" w:eastAsia="宋体" w:cs="宋体"/>
                <w:color w:val="000000"/>
                <w:kern w:val="0"/>
                <w:sz w:val="24"/>
                <w:szCs w:val="24"/>
                <w:lang w:val="en-US" w:eastAsia="zh-CN" w:bidi="ar"/>
              </w:rPr>
              <w:t>。</w:t>
            </w:r>
          </w:p>
          <w:p>
            <w:pPr>
              <w:keepNext w:val="0"/>
              <w:keepLines w:val="0"/>
              <w:widowControl/>
              <w:suppressLineNumbers w:val="0"/>
              <w:ind w:firstLine="480" w:firstLineChars="200"/>
              <w:jc w:val="left"/>
            </w:pP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）爬行类</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项目区爬行类共</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目</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科</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种，即无蹼壁虎、丽斑麻蜥、黄脊游蛇、红点锦蛇、虎斑游蛇、中华鳖等。</w:t>
            </w:r>
          </w:p>
          <w:p>
            <w:pPr>
              <w:keepNext w:val="0"/>
              <w:keepLines w:val="0"/>
              <w:widowControl/>
              <w:suppressLineNumbers w:val="0"/>
              <w:ind w:firstLine="480" w:firstLineChars="200"/>
              <w:jc w:val="left"/>
            </w:pP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）昆虫类</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昆虫是生物界种类极多，分布极广泛的一大类生物，在建设项目影响区域分布的昆虫亦多种多样，主要有螳螂、蟋蟀、蜂、蝶、蜻蜓、蜘蛛、瓢虫、蚱蜢、蚂蚁等。</w:t>
            </w:r>
          </w:p>
          <w:p>
            <w:pPr>
              <w:keepNext w:val="0"/>
              <w:keepLines w:val="0"/>
              <w:widowControl/>
              <w:suppressLineNumbers w:val="0"/>
              <w:ind w:firstLine="480" w:firstLineChars="200"/>
              <w:jc w:val="left"/>
            </w:pP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）家畜</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家畜主要为猪、牛、狗、兔等。</w:t>
            </w:r>
          </w:p>
          <w:p>
            <w:pPr>
              <w:keepNext w:val="0"/>
              <w:keepLines w:val="0"/>
              <w:widowControl/>
              <w:suppressLineNumbers w:val="0"/>
              <w:ind w:firstLine="480" w:firstLineChars="200"/>
              <w:jc w:val="left"/>
            </w:pP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）家禽</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家禽主要为鸡（</w:t>
            </w:r>
            <w:r>
              <w:rPr>
                <w:rFonts w:hint="default" w:ascii="Times New Roman" w:hAnsi="Times New Roman" w:eastAsia="宋体" w:cs="Times New Roman"/>
                <w:color w:val="000000"/>
                <w:kern w:val="0"/>
                <w:sz w:val="24"/>
                <w:szCs w:val="24"/>
                <w:lang w:val="en-US" w:eastAsia="zh-CN" w:bidi="ar"/>
              </w:rPr>
              <w:t>Gallusdomestiaus</w:t>
            </w:r>
            <w:r>
              <w:rPr>
                <w:rFonts w:hint="eastAsia" w:ascii="宋体" w:hAnsi="宋体" w:eastAsia="宋体" w:cs="宋体"/>
                <w:color w:val="000000"/>
                <w:kern w:val="0"/>
                <w:sz w:val="24"/>
                <w:szCs w:val="24"/>
                <w:lang w:val="en-US" w:eastAsia="zh-CN" w:bidi="ar"/>
              </w:rPr>
              <w:t>）、鸭（</w:t>
            </w:r>
            <w:r>
              <w:rPr>
                <w:rFonts w:hint="default" w:ascii="Times New Roman" w:hAnsi="Times New Roman" w:eastAsia="宋体" w:cs="Times New Roman"/>
                <w:color w:val="000000"/>
                <w:kern w:val="0"/>
                <w:sz w:val="24"/>
                <w:szCs w:val="24"/>
                <w:lang w:val="en-US" w:eastAsia="zh-CN" w:bidi="ar"/>
              </w:rPr>
              <w:t>Anasplatyrhynchos</w:t>
            </w:r>
            <w:r>
              <w:rPr>
                <w:rFonts w:hint="eastAsia" w:ascii="宋体" w:hAnsi="宋体" w:eastAsia="宋体" w:cs="宋体"/>
                <w:color w:val="000000"/>
                <w:kern w:val="0"/>
                <w:sz w:val="24"/>
                <w:szCs w:val="24"/>
                <w:lang w:val="en-US" w:eastAsia="zh-CN" w:bidi="ar"/>
              </w:rPr>
              <w:t>）、鹅（</w:t>
            </w:r>
            <w:r>
              <w:rPr>
                <w:rFonts w:hint="default" w:ascii="Times New Roman" w:hAnsi="Times New Roman" w:eastAsia="宋体" w:cs="Times New Roman"/>
                <w:color w:val="000000"/>
                <w:kern w:val="0"/>
                <w:sz w:val="24"/>
                <w:szCs w:val="24"/>
                <w:lang w:val="en-US" w:eastAsia="zh-CN" w:bidi="ar"/>
              </w:rPr>
              <w:t>Cygnus</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等。</w:t>
            </w:r>
          </w:p>
          <w:p>
            <w:pPr>
              <w:bidi w:val="0"/>
              <w:ind w:firstLine="482" w:firstLineChars="200"/>
              <w:rPr>
                <w:rFonts w:hint="eastAsia"/>
                <w:b/>
                <w:bCs/>
                <w:lang w:eastAsia="zh-CN"/>
              </w:rPr>
            </w:pPr>
            <w:r>
              <w:rPr>
                <w:rFonts w:hint="eastAsia"/>
                <w:b/>
                <w:bCs/>
                <w:lang w:eastAsia="zh-CN"/>
              </w:rPr>
              <w:t>2、植物物种量</w:t>
            </w:r>
          </w:p>
          <w:p>
            <w:pPr>
              <w:bidi w:val="0"/>
              <w:ind w:firstLine="480" w:firstLineChars="200"/>
              <w:rPr>
                <w:rFonts w:hint="eastAsia"/>
                <w:lang w:eastAsia="zh-CN"/>
              </w:rPr>
            </w:pPr>
            <w:r>
              <w:rPr>
                <w:rFonts w:hint="eastAsia"/>
                <w:lang w:eastAsia="zh-CN"/>
              </w:rPr>
              <w:t>①植物资源</w:t>
            </w:r>
          </w:p>
          <w:p>
            <w:pPr>
              <w:bidi w:val="0"/>
              <w:ind w:firstLine="480" w:firstLineChars="200"/>
              <w:rPr>
                <w:rFonts w:hint="eastAsia"/>
                <w:lang w:eastAsia="zh-CN"/>
              </w:rPr>
            </w:pPr>
            <w:r>
              <w:rPr>
                <w:rFonts w:hint="eastAsia"/>
                <w:lang w:eastAsia="zh-CN"/>
              </w:rPr>
              <w:t>植物种类鉴定采用野外采集与室内鉴定相结合的方法进行，乔木、灌木植物种类野外现场鉴定。</w:t>
            </w:r>
          </w:p>
          <w:p>
            <w:pPr>
              <w:bidi w:val="0"/>
              <w:ind w:firstLine="480" w:firstLineChars="200"/>
              <w:rPr>
                <w:rFonts w:hint="eastAsia"/>
                <w:lang w:eastAsia="zh-CN"/>
              </w:rPr>
            </w:pPr>
            <w:r>
              <w:rPr>
                <w:rFonts w:hint="eastAsia"/>
                <w:lang w:eastAsia="zh-CN"/>
              </w:rPr>
              <w:t>按照《山东植物区系地理》对山东省植物区系的划分方案，五井石河周边所在区域的植物区系属于泛北极植物区、中国－日本森林植物亚区、华北植物地区、鲁中南山地丘陵植物小区。</w:t>
            </w:r>
          </w:p>
          <w:p>
            <w:pPr>
              <w:bidi w:val="0"/>
              <w:ind w:firstLine="480" w:firstLineChars="200"/>
              <w:rPr>
                <w:rFonts w:hint="eastAsia"/>
                <w:lang w:eastAsia="zh-CN"/>
              </w:rPr>
            </w:pPr>
            <w:r>
              <w:rPr>
                <w:rFonts w:hint="eastAsia"/>
                <w:lang w:eastAsia="zh-CN"/>
              </w:rPr>
              <w:t>根据《中国植被区划》（孙世洲1999年），工程所在区域属I湿润、半湿润森林带的I3暖温带落叶阔叶林区域。</w:t>
            </w:r>
          </w:p>
          <w:p>
            <w:pPr>
              <w:bidi w:val="0"/>
              <w:ind w:firstLine="480" w:firstLineChars="200"/>
              <w:rPr>
                <w:rFonts w:hint="eastAsia"/>
                <w:lang w:eastAsia="zh-CN"/>
              </w:rPr>
            </w:pPr>
            <w:r>
              <w:rPr>
                <w:rFonts w:hint="eastAsia"/>
                <w:lang w:eastAsia="zh-CN"/>
              </w:rPr>
              <w:t>根据《中国自然地理图集》的中国华北地区植被类型图，工程所在区域主要分布有农业植被，结合现场调查，评价区耕地主要植被为玉米、小麦等旱地作物，林地主要植被为杨树、果树等林木，草地主要植被为草丛、灌丛。</w:t>
            </w:r>
          </w:p>
          <w:p>
            <w:pPr>
              <w:bidi w:val="0"/>
              <w:ind w:firstLine="480" w:firstLineChars="200"/>
              <w:rPr>
                <w:rFonts w:hint="eastAsia"/>
                <w:lang w:eastAsia="zh-CN"/>
              </w:rPr>
            </w:pPr>
            <w:r>
              <w:rPr>
                <w:rFonts w:hint="eastAsia"/>
                <w:lang w:eastAsia="zh-CN"/>
              </w:rPr>
              <w:t>通过查阅《山东植物区系地理》《山东植物志》《山东经济植物》《山东蔬菜》《山东树木志》《沂源县鲁山森林公园总体规划》《沂源县沂河源省级湿地公园总体规划》等有关资料，结合实地调查情况，评价区陆生植物种类共计36科83种，其中禾本科13种、蔷薇科7种、旋花科4种、杨柳科4种，这4个大科的种数占总种数的33.73%，评价区植物名录见下表。</w:t>
            </w:r>
          </w:p>
          <w:p>
            <w:pPr>
              <w:pStyle w:val="3"/>
              <w:jc w:val="center"/>
              <w:rPr>
                <w:rFonts w:hint="eastAsia"/>
                <w:lang w:eastAsia="zh-CN"/>
              </w:rPr>
            </w:pPr>
            <w:r>
              <w:rPr>
                <w:rFonts w:hint="eastAsia" w:ascii="Times New Roman" w:hAnsi="Times New Roman" w:eastAsia="宋体" w:cs="Times New Roman"/>
                <w:b/>
                <w:bCs/>
                <w:kern w:val="0"/>
                <w:sz w:val="21"/>
                <w:szCs w:val="21"/>
                <w:lang w:val="en-US" w:eastAsia="en-US" w:bidi="ar-SA"/>
              </w:rPr>
              <w:t>表3-</w:t>
            </w:r>
            <w:r>
              <w:rPr>
                <w:rFonts w:hint="eastAsia" w:ascii="Times New Roman" w:hAnsi="Times New Roman" w:cs="Times New Roman"/>
                <w:b/>
                <w:bCs/>
                <w:kern w:val="0"/>
                <w:sz w:val="21"/>
                <w:szCs w:val="21"/>
                <w:lang w:val="en-US" w:eastAsia="zh-CN" w:bidi="ar-SA"/>
              </w:rPr>
              <w:t>2</w:t>
            </w:r>
            <w:r>
              <w:rPr>
                <w:rFonts w:hint="eastAsia" w:ascii="Times New Roman" w:hAnsi="Times New Roman" w:eastAsia="宋体" w:cs="Times New Roman"/>
                <w:b/>
                <w:bCs/>
                <w:kern w:val="0"/>
                <w:sz w:val="21"/>
                <w:szCs w:val="21"/>
                <w:lang w:val="en-US" w:eastAsia="zh-CN" w:bidi="ar-SA"/>
              </w:rPr>
              <w:t>评价区植物名录一览表</w:t>
            </w:r>
          </w:p>
          <w:tbl>
            <w:tblPr>
              <w:tblStyle w:val="36"/>
              <w:tblW w:w="77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70"/>
              <w:gridCol w:w="1677"/>
              <w:gridCol w:w="1378"/>
              <w:gridCol w:w="1145"/>
              <w:gridCol w:w="31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序号</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科</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属</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种</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拉丁名称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1</w:t>
                  </w:r>
                </w:p>
              </w:tc>
              <w:tc>
                <w:tcPr>
                  <w:tcW w:w="1677" w:type="dxa"/>
                  <w:vMerge w:val="restart"/>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松科Pinaceae</w:t>
                  </w:r>
                </w:p>
              </w:tc>
              <w:tc>
                <w:tcPr>
                  <w:tcW w:w="1378" w:type="dxa"/>
                  <w:vMerge w:val="restart"/>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松属Pinus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油松</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Pinustabulaeformis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2</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黑松</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PinusthunbergiiParlatore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3</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雪松</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Cedrusdeodara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4</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柏科Cupressaceae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侧柏属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Platycladus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侧柏</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Platycladusorientalis(Linn.)Franco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5</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圆柏属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Juniperus</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chinensisL.</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圆柏</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Sabinachinensis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6</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龙柏</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Sabinachinensis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7</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杨柳科Salicaceae</w:t>
                  </w: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杨属Populus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毛白杨</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Populustomentosa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8</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欧美杨</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populus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9</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柳属Salix</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旱柳</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Salixmatsudana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10</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垂柳</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Salixbabylonica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11</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胡桃科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Juglandaceae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胡桃属Juglans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核桃</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Juglans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12</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榆科Ulmaceae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榆属Ulmus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榆树</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Ulmuspumila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13</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壳斗科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Fagaceae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栗属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Castanea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板栗</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Castaneamollissima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14</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马齿苋科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Portulacaceae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马齿苋属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Portulaca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马齿苋</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Portulacaoleracea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15</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十字花科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Cruciferae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芸薹属Brassica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白菜</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Brassicarapavar.glabraRegel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16</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荠菜属Capsella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荠菜</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HerbaCapsellae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17</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播娘蒿属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Descurainia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播娘蒿</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Descurainiasophia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18</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银杏科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Ginkgoaceae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银杏属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Ginkgo</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银杏</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GinkgobilobaL.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19</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蔷薇科Rosaceae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梨属Pyrus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杜梨</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Pyrusbetulifolia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20</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苹果属Malus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苹果</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Maluspumila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21</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山楂属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Crataegus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山楂</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Crataeguspinnatifida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22</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桃属Amygdalus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山桃</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Amygdalusdavidiana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23</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桃</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Amygdaluspersica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24</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杏属Armeniaca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杏</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Armeniacavulgaris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25</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野杏</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Armeniacavulgarisvar.ansu</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26</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豆科Leguminosae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苜蓿属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Medicago</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天蓝苜蓿</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Medicagolupulina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27</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紫荆属Cercis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紫荆</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Cercischinensis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28</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槐属Sophora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龙爪槐</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Sophorajaponicavar.japonicaf.pendula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29</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苦木科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Simaroubaceae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臭椿属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Ailanthus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臭椿</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Ailanthusaltissima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30</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楝科Meliaceae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香椿属Toona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香椿</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Toonasinensis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31</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鼠李科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Rhamnaceae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枣属Ziziphus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枣</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Ziziphusjujuba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32</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锦葵科Malvaceae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苘麻属Abutilon</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苘麻</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AbutilontheophrastiMedic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33</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木槿属Hibiscus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木槿</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Hibiscussyriacus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34</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梧桐科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Sterculiaceae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梧桐属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Firmiana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梧桐</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Firmianaplatanifolia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35</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堇菜科Violaceae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堇菜属Viola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紫花地丁</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Violaphilippica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36</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千屈菜科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Lythraceae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千屈菜属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Lythrum</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千屈菜</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Lythrumsalicaria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37</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紫薇属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Lagerstroemia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紫薇</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Lagerstroemiaindica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38</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石榴科Punicaceae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石榴属Punica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石榴</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Punicagranatum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39</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柿科Ebenaceae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柿属Diospyros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柿树</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DiospyroskakiThunb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40</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木犀科Oleaceae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梣属Fraxinus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白蜡</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Fraxinuschinensis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41</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连翘属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Forsythia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连翘</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Forsythiasuspensa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42</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女贞属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Ligustrum</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女贞</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Ligustrumlucidum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43</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萝藦科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Asclepiadaceae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鹅绒藤属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CynanchumLinn.</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鹅绒藤</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CynanchumchinenseR.Br.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44</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旋花科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Convolvulaceae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菟丝子属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Cuscuta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菟丝子</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Cuscutachinensis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45</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打碗花属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Calystegia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打碗花</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Calystegiahederacea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46</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牵牛属Pharbitis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圆叶牵牛</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Pharbitispurpurea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47</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牵牛</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Pharbitisnil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48</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茄科Solanaceae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枸杞属Lycium</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枸杞</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Lyciumchinense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49</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茄属Solanum</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龙葵</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Solanumnigrum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50</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车前科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Plantaginaceae</w:t>
                  </w: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车前属Plantago</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车前</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Plantagoasiatica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51</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大车前</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Plantagomajor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52</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忍冬科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Caprifoliaceae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忍冬属Lonicera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金银花</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LoniceraJaponica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53</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桔梗科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Campanulaceae</w:t>
                  </w: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桔梗属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Platycodon</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桔梗</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Platycodongrandiflorus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54</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山梗菜</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L.sessilifoliaLamb.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55</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菊科Compositae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苍耳属Xanthium</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苍耳</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Xanthiumsibiricum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56</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蒲公英属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Taraxacum</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蒲公英</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Taraxacummongolicum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57</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泽兰属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Eupatorium</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飞机草</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FragrantEupatoriumHerb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58</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猕猴桃科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Actinidiaceae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猕猴桃属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ActinidiaLindl.</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中华猕猴桃</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ActinidiachinensisPlanch.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59</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眼子菜科</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Potamogetonaceae</w:t>
                  </w: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眼子菜属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Potamogeton</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小眼子菜</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Potamogetonpusillus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60</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眼子菜</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P.distinctusA.Benn.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61</w:t>
                  </w:r>
                </w:p>
              </w:tc>
              <w:tc>
                <w:tcPr>
                  <w:tcW w:w="1677"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光叶眼子菜</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P.lucensL.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62</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菹草</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Potamogetoncrispus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63</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香蒲科Typhaceae</w:t>
                  </w: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香蒲属</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水烛（狭叶香蒲）</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T.angustifoliaL.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64</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香蒲</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T.orientalisPresl.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65</w:t>
                  </w:r>
                </w:p>
              </w:tc>
              <w:tc>
                <w:tcPr>
                  <w:tcW w:w="1677" w:type="dxa"/>
                  <w:vMerge w:val="restart"/>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禾本科Poaceae</w:t>
                  </w: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芦苇属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Phragmites</w:t>
                  </w:r>
                </w:p>
              </w:tc>
              <w:tc>
                <w:tcPr>
                  <w:tcW w:w="1145"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芦苇</w:t>
                  </w:r>
                </w:p>
              </w:tc>
              <w:tc>
                <w:tcPr>
                  <w:tcW w:w="3109"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Phragmitesaustralis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66</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3109"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67</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拂子茅属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Calamagrostis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拂子茅</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Calamagrostisepigeios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68</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鹅观草属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Roegneria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竖立鹅观草</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Roegneriajaponensis(Honda)Keng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69</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鹅观草</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Roegneriakamoji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70</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稗属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Echinochloa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稗</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Echinochloacrusgalli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71</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无芒稗</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Echinochloacrusgali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72</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长芒野稗</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Echinochloacaudata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73</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狗牙根属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Cynodon</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狗牙根</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Cynodondactylon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74</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野黍属Eriochloa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野黍</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Eriochloavillosa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75</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狗尾草属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Setaria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狗尾草</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Setariaviridis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76</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虎尾草属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ChlorisSw.</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虎尾草</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ChlorisvirgataSw.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77</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玉蜀黍属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ZeaL.</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玉米</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ZeamaysL.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78</w:t>
                  </w:r>
                </w:p>
              </w:tc>
              <w:tc>
                <w:tcPr>
                  <w:tcW w:w="1677" w:type="dxa"/>
                  <w:vMerge w:val="continue"/>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小麦属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Triticum</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小麦</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TriticumaestivumL.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79</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天南星科Araceae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菖蒲属Acorus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菖蒲</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Acoruscalamus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80</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浮萍科Lemnaceae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浮萍属lemna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浮萍</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LemnaminorL.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81</w:t>
                  </w:r>
                </w:p>
              </w:tc>
              <w:tc>
                <w:tcPr>
                  <w:tcW w:w="1677" w:type="dxa"/>
                  <w:vMerge w:val="restart"/>
                  <w:tcBorders>
                    <w:bottom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百合科Liliaceae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萱草属</w:t>
                  </w:r>
                </w:p>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Hemerocallis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黄花菜</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Hemerocalliscitrina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82</w:t>
                  </w:r>
                </w:p>
              </w:tc>
              <w:tc>
                <w:tcPr>
                  <w:tcW w:w="1677" w:type="dxa"/>
                  <w:vMerge w:val="continue"/>
                  <w:tcBorders>
                    <w:top w:val="nil"/>
                  </w:tcBorders>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铃兰属Convalla</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铃兰</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ConvallariamajalisL.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70"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83</w:t>
                  </w:r>
                </w:p>
              </w:tc>
              <w:tc>
                <w:tcPr>
                  <w:tcW w:w="1677"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鸢尾科ridaceae</w:t>
                  </w:r>
                </w:p>
              </w:tc>
              <w:tc>
                <w:tcPr>
                  <w:tcW w:w="1378"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鸢尾属Iris</w:t>
                  </w:r>
                </w:p>
              </w:tc>
              <w:tc>
                <w:tcPr>
                  <w:tcW w:w="1145"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野鸢尾</w:t>
                  </w:r>
                </w:p>
              </w:tc>
              <w:tc>
                <w:tcPr>
                  <w:tcW w:w="3109" w:type="dxa"/>
                  <w:vAlign w:val="center"/>
                </w:tcPr>
                <w:p>
                  <w:pPr>
                    <w:widowControl/>
                    <w:kinsoku/>
                    <w:autoSpaceDE/>
                    <w:autoSpaceDN/>
                    <w:adjustRightInd/>
                    <w:snapToGrid w:val="0"/>
                    <w:spacing w:line="240" w:lineRule="auto"/>
                    <w:ind w:left="-72" w:leftChars="-30" w:right="-72" w:rightChars="-30" w:firstLine="0" w:firstLineChars="0"/>
                    <w:jc w:val="center"/>
                    <w:textAlignment w:val="baseline"/>
                    <w:rPr>
                      <w:rFonts w:ascii="Times New Roman" w:hAnsi="Times New Roman" w:eastAsia="Times New Roman" w:cs="Times New Roman"/>
                      <w:b w:val="0"/>
                      <w:bCs w:val="0"/>
                      <w:snapToGrid/>
                      <w:spacing w:val="-3"/>
                      <w:kern w:val="2"/>
                      <w:sz w:val="21"/>
                      <w:szCs w:val="21"/>
                      <w:lang w:val="en-US" w:eastAsia="zh-CN"/>
                    </w:rPr>
                  </w:pPr>
                  <w:r>
                    <w:rPr>
                      <w:rFonts w:ascii="Times New Roman" w:hAnsi="Times New Roman" w:eastAsia="Times New Roman" w:cs="Times New Roman"/>
                      <w:b w:val="0"/>
                      <w:bCs w:val="0"/>
                      <w:snapToGrid/>
                      <w:spacing w:val="-3"/>
                      <w:kern w:val="2"/>
                      <w:sz w:val="21"/>
                      <w:szCs w:val="21"/>
                      <w:lang w:val="en-US" w:eastAsia="zh-CN"/>
                    </w:rPr>
                    <w:t>Irisdichotoma</w:t>
                  </w:r>
                </w:p>
              </w:tc>
            </w:tr>
          </w:tbl>
          <w:p>
            <w:pPr>
              <w:bidi w:val="0"/>
              <w:ind w:firstLine="480" w:firstLineChars="200"/>
              <w:rPr>
                <w:rFonts w:hint="eastAsia"/>
                <w:lang w:eastAsia="zh-CN"/>
              </w:rPr>
            </w:pPr>
            <w:r>
              <w:rPr>
                <w:rFonts w:hint="eastAsia"/>
                <w:lang w:eastAsia="zh-CN"/>
              </w:rPr>
              <w:t>评价区内陆生植物多样性具有如下特点：木本植物主要为栽培树种，没有发现珍稀濒危物种，所有木本植物在当地容易栽培，评价区范围内没有发现古树名木；乔灌木植物资源较丰富，主要为杨树、柏树；草本植物资源丰富，主要为田间杂草，未发现珍稀濒危物种；农业资源主要为小麦、玉米、棉花等农作物。</w:t>
            </w:r>
          </w:p>
          <w:p>
            <w:pPr>
              <w:bidi w:val="0"/>
              <w:ind w:firstLine="480" w:firstLineChars="200"/>
              <w:rPr>
                <w:rFonts w:hint="eastAsia"/>
                <w:lang w:eastAsia="zh-CN"/>
              </w:rPr>
            </w:pPr>
            <w:r>
              <w:rPr>
                <w:rFonts w:hint="eastAsia" w:ascii="Times New Roman" w:hAnsi="Times New Roman" w:eastAsia="宋体" w:cs="Times New Roman"/>
                <w:b w:val="0"/>
                <w:bCs w:val="0"/>
                <w:kern w:val="2"/>
                <w:sz w:val="24"/>
                <w:szCs w:val="24"/>
                <w:lang w:val="en-US" w:eastAsia="zh-CN" w:bidi="ar-SA"/>
              </w:rPr>
              <w:t>②</w:t>
            </w:r>
            <w:r>
              <w:rPr>
                <w:rFonts w:hint="eastAsia"/>
                <w:lang w:eastAsia="zh-CN"/>
              </w:rPr>
              <w:t>林木覆盖率和植被覆盖率</w:t>
            </w:r>
          </w:p>
          <w:p>
            <w:pPr>
              <w:bidi w:val="0"/>
              <w:ind w:firstLine="480" w:firstLineChars="200"/>
              <w:rPr>
                <w:rFonts w:hint="eastAsia"/>
                <w:lang w:eastAsia="zh-CN"/>
              </w:rPr>
            </w:pPr>
            <w:r>
              <w:rPr>
                <w:rFonts w:hint="eastAsia"/>
                <w:lang w:eastAsia="zh-CN"/>
              </w:rPr>
              <w:t>林木覆盖率指林木郁闭度大于0.2的面积率，植被覆盖率指有植被覆盖的面积率。评价区的林木覆盖率为62.32%，植被覆盖率为81.53%。评价区的农田所占比例较低，但由于林木覆盖率较高，因此植被覆盖率也较高。</w:t>
            </w:r>
          </w:p>
          <w:p>
            <w:pPr>
              <w:bidi w:val="0"/>
              <w:ind w:firstLine="482" w:firstLineChars="200"/>
              <w:rPr>
                <w:rFonts w:hint="eastAsia"/>
                <w:b/>
                <w:bCs/>
                <w:lang w:eastAsia="zh-CN"/>
              </w:rPr>
            </w:pPr>
            <w:r>
              <w:rPr>
                <w:rFonts w:hint="eastAsia"/>
                <w:b/>
                <w:bCs/>
                <w:lang w:val="en-US" w:eastAsia="zh-CN"/>
              </w:rPr>
              <w:t>3</w:t>
            </w:r>
            <w:r>
              <w:rPr>
                <w:rFonts w:hint="eastAsia"/>
                <w:b/>
                <w:bCs/>
                <w:lang w:eastAsia="zh-CN"/>
              </w:rPr>
              <w:t>、生物量</w:t>
            </w:r>
          </w:p>
          <w:p>
            <w:pPr>
              <w:bidi w:val="0"/>
              <w:ind w:firstLine="480" w:firstLineChars="200"/>
            </w:pPr>
            <w:r>
              <w:rPr>
                <w:rFonts w:hint="eastAsia"/>
                <w:lang w:eastAsia="zh-CN"/>
              </w:rPr>
              <w:t>生物量是指在一定时间内、一定区域内地表面所有有机物质的总量（本次以</w:t>
            </w:r>
            <w:r>
              <w:t>鲜重计），以t/亩或t/hm</w:t>
            </w:r>
            <w:r>
              <w:rPr>
                <w:vertAlign w:val="superscript"/>
              </w:rPr>
              <w:t>2</w:t>
            </w:r>
            <w:r>
              <w:t>表示，包括植物与动物生物量的总和，其中动物生物量很小，本次调查仅调查和计算植物的生物量。植物的生物量反映了被固定的太阳辐射能的大小。</w:t>
            </w:r>
          </w:p>
          <w:p>
            <w:pPr>
              <w:bidi w:val="0"/>
              <w:ind w:firstLine="480" w:firstLineChars="200"/>
            </w:pPr>
            <w:r>
              <w:t>生物量调查的范围：评价区范围内的各种生物群落的生物量，调查结果显示：由于人类活动的反复破坏，拟建项目所在区域原生植被大部分已不复存在，目前存在的植被主要有森林、农田和草本群落。</w:t>
            </w:r>
          </w:p>
          <w:p>
            <w:pPr>
              <w:bidi w:val="0"/>
              <w:ind w:firstLine="482" w:firstLineChars="200"/>
              <w:rPr>
                <w:b/>
                <w:bCs/>
              </w:rPr>
            </w:pPr>
            <w:r>
              <w:rPr>
                <w:rFonts w:hint="eastAsia"/>
                <w:b/>
                <w:bCs/>
                <w:lang w:val="en-US" w:eastAsia="zh-CN"/>
              </w:rPr>
              <w:t>4</w:t>
            </w:r>
            <w:r>
              <w:rPr>
                <w:rFonts w:hint="eastAsia"/>
                <w:b/>
                <w:bCs/>
                <w:lang w:eastAsia="zh-CN"/>
              </w:rPr>
              <w:t>、</w:t>
            </w:r>
            <w:r>
              <w:rPr>
                <w:b/>
                <w:bCs/>
              </w:rPr>
              <w:t>水域生态现状调查与评价</w:t>
            </w:r>
          </w:p>
          <w:p>
            <w:pPr>
              <w:bidi w:val="0"/>
              <w:ind w:firstLine="480" w:firstLineChars="200"/>
            </w:pPr>
            <w:r>
              <w:t>评价单位采用查阅资料和调查走访的形式对本区域内的水生生物现状进行了调查。调查内容包括水环境基本情况、水生植被、水生生物以及鱼类资源等。</w:t>
            </w:r>
          </w:p>
          <w:p>
            <w:pPr>
              <w:bidi w:val="0"/>
              <w:ind w:firstLine="480" w:firstLineChars="200"/>
            </w:pPr>
            <w:r>
              <w:t>①浮游植物</w:t>
            </w:r>
          </w:p>
          <w:p>
            <w:pPr>
              <w:bidi w:val="0"/>
              <w:ind w:firstLine="480" w:firstLineChars="200"/>
              <w:rPr>
                <w:rFonts w:hint="eastAsia"/>
              </w:rPr>
            </w:pPr>
            <w:r>
              <w:t>浮游植物含有叶绿素，能利用光能进行光合作用，将无机物转化成有机物，供其他消费性生物利用，是重要的初级生产者之一，也是食物链的第一个环节，在水生生态系统中具有重要地位。其种类组成和生物量的现状，是评价水域营养</w:t>
            </w:r>
            <w:r>
              <w:rPr>
                <w:rFonts w:hint="eastAsia"/>
              </w:rPr>
              <w:t>型和估算水体天然</w:t>
            </w:r>
            <w:r>
              <w:rPr>
                <w:rFonts w:hint="eastAsia"/>
                <w:lang w:eastAsia="zh-CN"/>
              </w:rPr>
              <w:t>渔产</w:t>
            </w:r>
            <w:r>
              <w:rPr>
                <w:rFonts w:hint="eastAsia"/>
              </w:rPr>
              <w:t>力的重要依据。</w:t>
            </w:r>
          </w:p>
          <w:p>
            <w:pPr>
              <w:bidi w:val="0"/>
              <w:ind w:firstLine="480" w:firstLineChars="200"/>
              <w:rPr>
                <w:rFonts w:hint="eastAsia"/>
              </w:rPr>
            </w:pPr>
            <w:r>
              <w:rPr>
                <w:rFonts w:hint="eastAsia"/>
              </w:rPr>
              <w:t>浮游植物组成中除硅藻外，绿藻和蓝藻也占较大比例。主要优势种有小环藻、小球藻、直链藻、纤维藻、双胞藻、隐藻等。</w:t>
            </w:r>
          </w:p>
          <w:p>
            <w:pPr>
              <w:bidi w:val="0"/>
              <w:ind w:firstLine="480" w:firstLineChars="200"/>
              <w:rPr>
                <w:rFonts w:hint="eastAsia"/>
              </w:rPr>
            </w:pPr>
            <w:r>
              <w:rPr>
                <w:rFonts w:hint="eastAsia"/>
              </w:rPr>
              <w:t>每年的5月份为现存量最大月份，优势种为绿藻，其次为蓝藻，2月份优势种为隐藻，其余各月优势种为硅藻。同时，评价检索相关文献，记载</w:t>
            </w:r>
            <w:r>
              <w:rPr>
                <w:rFonts w:hint="eastAsia"/>
                <w:lang w:eastAsia="zh-CN"/>
              </w:rPr>
              <w:t>五井石河</w:t>
            </w:r>
            <w:r>
              <w:rPr>
                <w:rFonts w:hint="eastAsia"/>
              </w:rPr>
              <w:t>内浮游植物种类相对较少，可见，</w:t>
            </w:r>
            <w:r>
              <w:rPr>
                <w:rFonts w:hint="eastAsia"/>
                <w:lang w:eastAsia="zh-CN"/>
              </w:rPr>
              <w:t>五井石河</w:t>
            </w:r>
            <w:r>
              <w:rPr>
                <w:rFonts w:hint="eastAsia"/>
              </w:rPr>
              <w:t>内浮游植物现存量处于较低水平。</w:t>
            </w:r>
          </w:p>
          <w:p>
            <w:pPr>
              <w:bidi w:val="0"/>
              <w:ind w:firstLine="480" w:firstLineChars="200"/>
              <w:rPr>
                <w:rFonts w:hint="eastAsia"/>
              </w:rPr>
            </w:pPr>
            <w:r>
              <w:rPr>
                <w:rFonts w:hint="eastAsia"/>
              </w:rPr>
              <w:t>浮游植物系河流初级生产力的主要成分，其数量多少代表河流初级生产力的高低。浮游植物的种类组成，又标志着河流初级生产的质量。因此，浮游植物群落结构既是河流生物资源生产力的基础，又是河流生态环境状况的重要指标，许多种类及其数量</w:t>
            </w:r>
            <w:r>
              <w:rPr>
                <w:rFonts w:hint="eastAsia"/>
                <w:lang w:eastAsia="zh-CN"/>
              </w:rPr>
              <w:t>即</w:t>
            </w:r>
            <w:r>
              <w:rPr>
                <w:rFonts w:hint="eastAsia"/>
              </w:rPr>
              <w:t>河流生态环境质量状况的良好指标。</w:t>
            </w:r>
          </w:p>
          <w:p>
            <w:pPr>
              <w:bidi w:val="0"/>
              <w:ind w:firstLine="480" w:firstLineChars="200"/>
              <w:rPr>
                <w:rFonts w:hint="eastAsia"/>
              </w:rPr>
            </w:pPr>
            <w:r>
              <w:rPr>
                <w:rFonts w:hint="eastAsia"/>
              </w:rPr>
              <w:t>②挺水植物</w:t>
            </w:r>
          </w:p>
          <w:p>
            <w:pPr>
              <w:bidi w:val="0"/>
              <w:ind w:firstLine="480" w:firstLineChars="200"/>
              <w:rPr>
                <w:rFonts w:hint="eastAsia"/>
              </w:rPr>
            </w:pPr>
            <w:r>
              <w:rPr>
                <w:rFonts w:hint="eastAsia"/>
              </w:rPr>
              <w:t>挺水植物的根、根茎生长在水的底泥之中，茎、叶挺出水面。常分布于0~1.5米的浅水处，其中有的种类生长于潮湿的岸边。这类植物在空气中的部分，具有陆生植物的特征；生长在水中的部分（根或地下茎），具有水生植物的特征。是鱼类等主要的栖息地。</w:t>
            </w:r>
          </w:p>
          <w:p>
            <w:pPr>
              <w:bidi w:val="0"/>
              <w:ind w:firstLine="480" w:firstLineChars="200"/>
              <w:rPr>
                <w:rFonts w:hint="eastAsia"/>
              </w:rPr>
            </w:pPr>
            <w:r>
              <w:rPr>
                <w:rFonts w:hint="eastAsia"/>
              </w:rPr>
              <w:t>根据本次调查及查阅资料，</w:t>
            </w:r>
            <w:r>
              <w:rPr>
                <w:rFonts w:hint="eastAsia"/>
                <w:lang w:eastAsia="zh-CN"/>
              </w:rPr>
              <w:t>五井石河</w:t>
            </w:r>
            <w:r>
              <w:rPr>
                <w:rFonts w:hint="eastAsia"/>
              </w:rPr>
              <w:t>沿岸常见挺水植物有芦苇、蒲草、荸荠、莲、香蒲等。</w:t>
            </w:r>
          </w:p>
          <w:p>
            <w:pPr>
              <w:bidi w:val="0"/>
              <w:ind w:firstLine="480" w:firstLineChars="200"/>
              <w:rPr>
                <w:rFonts w:hint="eastAsia"/>
              </w:rPr>
            </w:pPr>
            <w:r>
              <w:rPr>
                <w:rFonts w:hint="eastAsia"/>
              </w:rPr>
              <w:t>③浮游动物</w:t>
            </w:r>
          </w:p>
          <w:p>
            <w:pPr>
              <w:bidi w:val="0"/>
              <w:ind w:firstLine="480" w:firstLineChars="200"/>
              <w:rPr>
                <w:rFonts w:hint="eastAsia"/>
              </w:rPr>
            </w:pPr>
            <w:r>
              <w:rPr>
                <w:rFonts w:hint="eastAsia"/>
              </w:rPr>
              <w:t>浮游动物也是水域食物链中的重要一环，是不少鱼类的主要饵料，特别是幼鱼阶段，多数以浮游动物为食，故而其资源状况与渔业有密切关联。</w:t>
            </w:r>
            <w:r>
              <w:rPr>
                <w:rFonts w:hint="eastAsia"/>
                <w:lang w:eastAsia="zh-CN"/>
              </w:rPr>
              <w:t>五井石河</w:t>
            </w:r>
            <w:r>
              <w:rPr>
                <w:rFonts w:hint="eastAsia"/>
              </w:rPr>
              <w:t>中浮游动物夏秋季节高于冬春季节，原生动物和轮虫一年四季都存在，而枝角类和桡足类主要存在于水温较高季节。优势种包括：砂壳虫、晶囊轮虫、短尾秀体蚤、镖水蚤等。</w:t>
            </w:r>
          </w:p>
          <w:p>
            <w:pPr>
              <w:bidi w:val="0"/>
              <w:ind w:firstLine="480" w:firstLineChars="200"/>
              <w:rPr>
                <w:rFonts w:hint="eastAsia"/>
              </w:rPr>
            </w:pPr>
            <w:r>
              <w:rPr>
                <w:rFonts w:hint="eastAsia"/>
              </w:rPr>
              <w:t>④底栖生物</w:t>
            </w:r>
          </w:p>
          <w:p>
            <w:pPr>
              <w:bidi w:val="0"/>
              <w:ind w:firstLine="480" w:firstLineChars="200"/>
              <w:rPr>
                <w:rFonts w:hint="eastAsia"/>
              </w:rPr>
            </w:pPr>
            <w:r>
              <w:rPr>
                <w:rFonts w:hint="eastAsia"/>
              </w:rPr>
              <w:t>底栖动物是水体底部肉眼可见的动物群落，主要包括水生寡毛类（水蚯蚓等）、软体动物（螺蚌等）和水生昆虫幼虫（摇蚊幼虫等）。</w:t>
            </w:r>
          </w:p>
          <w:p>
            <w:pPr>
              <w:bidi w:val="0"/>
              <w:ind w:firstLine="480" w:firstLineChars="200"/>
              <w:rPr>
                <w:rFonts w:hint="eastAsia"/>
                <w:lang w:eastAsia="zh-CN"/>
              </w:rPr>
            </w:pPr>
            <w:r>
              <w:rPr>
                <w:rFonts w:hint="eastAsia"/>
              </w:rPr>
              <w:t>据不完全调查和统计，沿河左、右岸调查，共发现15个种别。线形动物1种</w:t>
            </w:r>
            <w:r>
              <w:rPr>
                <w:rFonts w:hint="eastAsia"/>
                <w:lang w:eastAsia="zh-CN"/>
              </w:rPr>
              <w:t>，环节动物4种，软体动物5种，节肢动物4种，水生昆虫1种。从采到的种类统计分析：摇蚊科幼虫出现的概率最高，其他比较常见的种类包括：水丝蚓、萝卜螺、秀丽白虾、日本沼虾等。</w:t>
            </w:r>
          </w:p>
          <w:p>
            <w:pPr>
              <w:bidi w:val="0"/>
              <w:ind w:firstLine="480" w:firstLineChars="200"/>
              <w:rPr>
                <w:rFonts w:hint="eastAsia"/>
                <w:lang w:eastAsia="zh-CN"/>
              </w:rPr>
            </w:pPr>
            <w:r>
              <w:rPr>
                <w:rFonts w:hint="eastAsia"/>
                <w:lang w:eastAsia="zh-CN"/>
              </w:rPr>
              <w:t>底栖动物是淡水生态系统的一个重要生态类群，主要包括寡毛类、软体动物和昆虫幼虫等，起促进有机质分解、加速自净过程等作用，是维持健康生态系统的关键成员。在区域水生生态系统中，底栖动物是鱼类等经济水生动物如鲤鱼、鲶鱼、鲫鱼、河蟹等的天然优质食料。</w:t>
            </w:r>
          </w:p>
          <w:p>
            <w:pPr>
              <w:bidi w:val="0"/>
              <w:ind w:firstLine="480" w:firstLineChars="200"/>
              <w:rPr>
                <w:rFonts w:hint="eastAsia"/>
                <w:lang w:eastAsia="zh-CN"/>
              </w:rPr>
            </w:pPr>
            <w:r>
              <w:rPr>
                <w:rFonts w:hint="eastAsia"/>
                <w:lang w:eastAsia="zh-CN"/>
              </w:rPr>
              <w:t>⑤鱼类</w:t>
            </w:r>
          </w:p>
          <w:p>
            <w:pPr>
              <w:bidi w:val="0"/>
              <w:ind w:firstLine="480" w:firstLineChars="200"/>
              <w:rPr>
                <w:rFonts w:hint="eastAsia"/>
                <w:lang w:eastAsia="zh-CN"/>
              </w:rPr>
            </w:pPr>
            <w:r>
              <w:rPr>
                <w:rFonts w:hint="eastAsia"/>
                <w:lang w:eastAsia="zh-CN"/>
              </w:rPr>
              <w:t>和其他类群相比，鱼类在水生态系统中的位置独特，是水生生态系统中的顶级群落，是水生生态调查与评价的重点。经调查和综合各方面资料，本河道属于季节性河流，冬季为枯水期，枯水期内河道中无鱼类。夏天本河段内的鱼类以鲫鱼、鲤鱼、鲢鱼、鲶鱼、泥鳅等为主，其中没有国家及省级保护性鱼类存在。</w:t>
            </w:r>
          </w:p>
          <w:p>
            <w:pPr>
              <w:bidi w:val="0"/>
              <w:ind w:firstLine="482" w:firstLineChars="200"/>
              <w:rPr>
                <w:rFonts w:hint="eastAsia"/>
                <w:b/>
                <w:bCs/>
                <w:lang w:eastAsia="zh-CN"/>
              </w:rPr>
            </w:pPr>
            <w:r>
              <w:rPr>
                <w:rFonts w:hint="eastAsia"/>
                <w:b/>
                <w:bCs/>
                <w:lang w:val="en-US" w:eastAsia="zh-CN"/>
              </w:rPr>
              <w:t>5、</w:t>
            </w:r>
            <w:r>
              <w:rPr>
                <w:rFonts w:hint="eastAsia"/>
                <w:b/>
                <w:bCs/>
                <w:lang w:eastAsia="zh-CN"/>
              </w:rPr>
              <w:t>景观生态现状评价</w:t>
            </w:r>
          </w:p>
          <w:p>
            <w:pPr>
              <w:bidi w:val="0"/>
              <w:ind w:firstLine="480" w:firstLineChars="200"/>
              <w:rPr>
                <w:rFonts w:hint="eastAsia"/>
                <w:lang w:eastAsia="zh-CN"/>
              </w:rPr>
            </w:pPr>
            <w:r>
              <w:rPr>
                <w:rFonts w:hint="eastAsia"/>
                <w:lang w:eastAsia="zh-CN"/>
              </w:rPr>
              <w:t>根据评价区内景观类型、结构、外貌特征，将区域内现状期的景观分为农田、森林、草地、水域、村镇、道路、其他景观等8种类型。评价区总体上以农田为基质，以河流、道路为廊道，以森林、果园、草地、村镇等为斑块，形成区域尺度上的景观生态系统，它是一个独特的、有着广泛影响的半自然生态系统。其整体结构和功能虽然受人工、自然等多种外来因素的干扰，但其整体功能仍然能维持区域生态环境平衡。</w:t>
            </w:r>
          </w:p>
          <w:p>
            <w:pPr>
              <w:bidi w:val="0"/>
              <w:ind w:firstLine="480" w:firstLineChars="200"/>
              <w:rPr>
                <w:rFonts w:hint="eastAsia"/>
                <w:lang w:eastAsia="zh-CN"/>
              </w:rPr>
            </w:pPr>
            <w:r>
              <w:rPr>
                <w:rFonts w:hint="eastAsia"/>
                <w:lang w:eastAsia="zh-CN"/>
              </w:rPr>
              <w:t>根据现场调查，评价区主要景观类型图片详见下图。</w:t>
            </w:r>
          </w:p>
          <w:tbl>
            <w:tblPr>
              <w:tblStyle w:val="36"/>
              <w:tblpPr w:leftFromText="180" w:rightFromText="180" w:vertAnchor="text" w:horzAnchor="page" w:tblpX="8" w:tblpY="241"/>
              <w:tblOverlap w:val="never"/>
              <w:tblW w:w="78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816"/>
              <w:gridCol w:w="40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9" w:hRule="atLeast"/>
              </w:trPr>
              <w:tc>
                <w:tcPr>
                  <w:tcW w:w="3772" w:type="dxa"/>
                  <w:vAlign w:val="top"/>
                </w:tcPr>
                <w:p>
                  <w:pPr>
                    <w:spacing w:before="23" w:line="3084" w:lineRule="exact"/>
                    <w:rPr>
                      <w:rFonts w:hint="eastAsia" w:eastAsia="宋体"/>
                      <w:lang w:eastAsia="zh-CN"/>
                    </w:rPr>
                  </w:pPr>
                  <w:r>
                    <w:rPr>
                      <w:rFonts w:hint="eastAsia" w:eastAsia="宋体"/>
                      <w:lang w:eastAsia="zh-CN"/>
                    </w:rPr>
                    <w:drawing>
                      <wp:inline distT="0" distB="0" distL="114300" distR="114300">
                        <wp:extent cx="2408555" cy="1504315"/>
                        <wp:effectExtent l="0" t="0" r="10795" b="635"/>
                        <wp:docPr id="33" name="图片 33" descr="eda7569072a3a7b5d69c6074d59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da7569072a3a7b5d69c6074d596829"/>
                                <pic:cNvPicPr>
                                  <a:picLocks noChangeAspect="1"/>
                                </pic:cNvPicPr>
                              </pic:nvPicPr>
                              <pic:blipFill>
                                <a:blip r:embed="rId17"/>
                                <a:stretch>
                                  <a:fillRect/>
                                </a:stretch>
                              </pic:blipFill>
                              <pic:spPr>
                                <a:xfrm>
                                  <a:off x="0" y="0"/>
                                  <a:ext cx="2408555" cy="1504315"/>
                                </a:xfrm>
                                <a:prstGeom prst="rect">
                                  <a:avLst/>
                                </a:prstGeom>
                              </pic:spPr>
                            </pic:pic>
                          </a:graphicData>
                        </a:graphic>
                      </wp:inline>
                    </w:drawing>
                  </w:r>
                </w:p>
              </w:tc>
              <w:tc>
                <w:tcPr>
                  <w:tcW w:w="4047" w:type="dxa"/>
                  <w:vAlign w:val="top"/>
                </w:tcPr>
                <w:p>
                  <w:pPr>
                    <w:spacing w:before="90" w:line="2950" w:lineRule="exact"/>
                  </w:pPr>
                  <w:r>
                    <w:rPr>
                      <w:position w:val="-59"/>
                    </w:rPr>
                    <w:drawing>
                      <wp:inline distT="0" distB="0" distL="0" distR="0">
                        <wp:extent cx="2496820" cy="1873250"/>
                        <wp:effectExtent l="0" t="0" r="17780" b="1270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8"/>
                                <a:stretch>
                                  <a:fillRect/>
                                </a:stretch>
                              </pic:blipFill>
                              <pic:spPr>
                                <a:xfrm>
                                  <a:off x="0" y="0"/>
                                  <a:ext cx="2496820" cy="187325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772" w:type="dxa"/>
                  <w:vAlign w:val="top"/>
                </w:tcPr>
                <w:p>
                  <w:pPr>
                    <w:pStyle w:val="39"/>
                    <w:spacing w:before="38" w:line="206" w:lineRule="auto"/>
                    <w:ind w:left="1948"/>
                    <w:rPr>
                      <w:sz w:val="24"/>
                      <w:szCs w:val="24"/>
                    </w:rPr>
                  </w:pPr>
                  <w:r>
                    <w:rPr>
                      <w:color w:val="FF0000"/>
                      <w:spacing w:val="-3"/>
                      <w:sz w:val="24"/>
                      <w:szCs w:val="24"/>
                    </w:rPr>
                    <w:t>农田</w:t>
                  </w:r>
                </w:p>
              </w:tc>
              <w:tc>
                <w:tcPr>
                  <w:tcW w:w="4047" w:type="dxa"/>
                  <w:vAlign w:val="top"/>
                </w:tcPr>
                <w:p>
                  <w:pPr>
                    <w:pStyle w:val="39"/>
                    <w:spacing w:before="38" w:line="206" w:lineRule="auto"/>
                    <w:ind w:left="1850"/>
                    <w:rPr>
                      <w:sz w:val="24"/>
                      <w:szCs w:val="24"/>
                    </w:rPr>
                  </w:pPr>
                  <w:r>
                    <w:rPr>
                      <w:spacing w:val="-3"/>
                      <w:sz w:val="24"/>
                      <w:szCs w:val="24"/>
                    </w:rPr>
                    <w:t>草地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3" w:hRule="atLeast"/>
              </w:trPr>
              <w:tc>
                <w:tcPr>
                  <w:tcW w:w="3772" w:type="dxa"/>
                  <w:vAlign w:val="top"/>
                </w:tcPr>
                <w:p>
                  <w:pPr>
                    <w:spacing w:before="55" w:line="4576" w:lineRule="exact"/>
                  </w:pPr>
                  <w:r>
                    <w:rPr>
                      <w:position w:val="-91"/>
                    </w:rPr>
                    <w:drawing>
                      <wp:inline distT="0" distB="0" distL="0" distR="0">
                        <wp:extent cx="2326005" cy="2905125"/>
                        <wp:effectExtent l="0" t="0" r="17145" b="9525"/>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9"/>
                                <a:stretch>
                                  <a:fillRect/>
                                </a:stretch>
                              </pic:blipFill>
                              <pic:spPr>
                                <a:xfrm>
                                  <a:off x="0" y="0"/>
                                  <a:ext cx="2326005" cy="2905759"/>
                                </a:xfrm>
                                <a:prstGeom prst="rect">
                                  <a:avLst/>
                                </a:prstGeom>
                              </pic:spPr>
                            </pic:pic>
                          </a:graphicData>
                        </a:graphic>
                      </wp:inline>
                    </w:drawing>
                  </w:r>
                </w:p>
              </w:tc>
              <w:tc>
                <w:tcPr>
                  <w:tcW w:w="4047" w:type="dxa"/>
                  <w:vAlign w:val="top"/>
                </w:tcPr>
                <w:p>
                  <w:pPr>
                    <w:spacing w:before="105" w:line="4476" w:lineRule="exact"/>
                  </w:pPr>
                  <w:r>
                    <w:rPr>
                      <w:position w:val="-89"/>
                    </w:rPr>
                    <w:drawing>
                      <wp:inline distT="0" distB="0" distL="0" distR="0">
                        <wp:extent cx="2120900" cy="2841625"/>
                        <wp:effectExtent l="0" t="0" r="12700" b="15875"/>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0"/>
                                <a:stretch>
                                  <a:fillRect/>
                                </a:stretch>
                              </pic:blipFill>
                              <pic:spPr>
                                <a:xfrm>
                                  <a:off x="0" y="0"/>
                                  <a:ext cx="2121534" cy="284225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772" w:type="dxa"/>
                  <w:vAlign w:val="top"/>
                </w:tcPr>
                <w:p>
                  <w:pPr>
                    <w:pStyle w:val="39"/>
                    <w:spacing w:before="42" w:line="205" w:lineRule="auto"/>
                    <w:ind w:left="1830"/>
                    <w:rPr>
                      <w:sz w:val="24"/>
                      <w:szCs w:val="24"/>
                    </w:rPr>
                  </w:pPr>
                  <w:r>
                    <w:rPr>
                      <w:spacing w:val="-3"/>
                      <w:sz w:val="24"/>
                      <w:szCs w:val="24"/>
                    </w:rPr>
                    <w:t>人工林</w:t>
                  </w:r>
                </w:p>
              </w:tc>
              <w:tc>
                <w:tcPr>
                  <w:tcW w:w="4047" w:type="dxa"/>
                  <w:vAlign w:val="top"/>
                </w:tcPr>
                <w:p>
                  <w:pPr>
                    <w:pStyle w:val="39"/>
                    <w:spacing w:before="42" w:line="205" w:lineRule="auto"/>
                    <w:ind w:left="1851"/>
                    <w:rPr>
                      <w:sz w:val="24"/>
                      <w:szCs w:val="24"/>
                    </w:rPr>
                  </w:pPr>
                  <w:r>
                    <w:rPr>
                      <w:spacing w:val="-4"/>
                      <w:sz w:val="24"/>
                      <w:szCs w:val="24"/>
                    </w:rPr>
                    <w:t>水域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5" w:hRule="atLeast"/>
              </w:trPr>
              <w:tc>
                <w:tcPr>
                  <w:tcW w:w="3772" w:type="dxa"/>
                  <w:vAlign w:val="top"/>
                </w:tcPr>
                <w:p>
                  <w:pPr>
                    <w:spacing w:before="180" w:line="2767" w:lineRule="exact"/>
                  </w:pPr>
                  <w:r>
                    <w:rPr>
                      <w:position w:val="-55"/>
                    </w:rPr>
                    <w:drawing>
                      <wp:inline distT="0" distB="0" distL="0" distR="0">
                        <wp:extent cx="2341880" cy="1757045"/>
                        <wp:effectExtent l="0" t="0" r="1270" b="14605"/>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1"/>
                                <a:stretch>
                                  <a:fillRect/>
                                </a:stretch>
                              </pic:blipFill>
                              <pic:spPr>
                                <a:xfrm>
                                  <a:off x="0" y="0"/>
                                  <a:ext cx="2341880" cy="1757045"/>
                                </a:xfrm>
                                <a:prstGeom prst="rect">
                                  <a:avLst/>
                                </a:prstGeom>
                              </pic:spPr>
                            </pic:pic>
                          </a:graphicData>
                        </a:graphic>
                      </wp:inline>
                    </w:drawing>
                  </w:r>
                </w:p>
              </w:tc>
              <w:tc>
                <w:tcPr>
                  <w:tcW w:w="4047" w:type="dxa"/>
                  <w:vAlign w:val="top"/>
                </w:tcPr>
                <w:p>
                  <w:pPr>
                    <w:spacing w:before="120" w:line="2890" w:lineRule="exact"/>
                  </w:pPr>
                  <w:r>
                    <w:rPr>
                      <w:position w:val="-57"/>
                    </w:rPr>
                    <w:drawing>
                      <wp:inline distT="0" distB="0" distL="0" distR="0">
                        <wp:extent cx="2004695" cy="1835150"/>
                        <wp:effectExtent l="0" t="0" r="14605" b="1270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2"/>
                                <a:stretch>
                                  <a:fillRect/>
                                </a:stretch>
                              </pic:blipFill>
                              <pic:spPr>
                                <a:xfrm>
                                  <a:off x="0" y="0"/>
                                  <a:ext cx="2005329" cy="183515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3772" w:type="dxa"/>
                  <w:vAlign w:val="top"/>
                </w:tcPr>
                <w:p>
                  <w:pPr>
                    <w:pStyle w:val="39"/>
                    <w:spacing w:before="40" w:line="208" w:lineRule="auto"/>
                    <w:ind w:left="1953"/>
                    <w:rPr>
                      <w:sz w:val="24"/>
                      <w:szCs w:val="24"/>
                    </w:rPr>
                  </w:pPr>
                  <w:r>
                    <w:rPr>
                      <w:spacing w:val="-4"/>
                      <w:sz w:val="24"/>
                      <w:szCs w:val="24"/>
                    </w:rPr>
                    <w:t>果园</w:t>
                  </w:r>
                </w:p>
              </w:tc>
              <w:tc>
                <w:tcPr>
                  <w:tcW w:w="4047" w:type="dxa"/>
                  <w:vAlign w:val="top"/>
                </w:tcPr>
                <w:p>
                  <w:pPr>
                    <w:pStyle w:val="39"/>
                    <w:spacing w:before="40" w:line="208" w:lineRule="auto"/>
                    <w:ind w:left="1847"/>
                    <w:rPr>
                      <w:sz w:val="24"/>
                      <w:szCs w:val="24"/>
                    </w:rPr>
                  </w:pPr>
                  <w:r>
                    <w:rPr>
                      <w:spacing w:val="-3"/>
                      <w:sz w:val="24"/>
                      <w:szCs w:val="24"/>
                    </w:rPr>
                    <w:t>道路</w:t>
                  </w:r>
                </w:p>
              </w:tc>
            </w:tr>
          </w:tbl>
          <w:p>
            <w:pPr>
              <w:pStyle w:val="37"/>
              <w:spacing w:line="240" w:lineRule="auto"/>
              <w:ind w:left="0"/>
              <w:jc w:val="center"/>
              <w:rPr>
                <w:rFonts w:hint="eastAsia" w:ascii="Times New Roman" w:hAnsi="Times New Roman" w:cs="Times New Roman"/>
                <w:b/>
                <w:bCs/>
                <w:kern w:val="0"/>
                <w:sz w:val="21"/>
                <w:szCs w:val="21"/>
                <w:lang w:val="en-US" w:eastAsia="zh-CN" w:bidi="ar-SA"/>
              </w:rPr>
            </w:pPr>
            <w:r>
              <w:rPr>
                <w:rFonts w:hint="eastAsia" w:ascii="Times New Roman" w:hAnsi="Times New Roman" w:cs="Times New Roman"/>
                <w:b/>
                <w:bCs/>
                <w:kern w:val="0"/>
                <w:sz w:val="21"/>
                <w:szCs w:val="21"/>
                <w:lang w:val="en-US" w:eastAsia="zh-CN" w:bidi="ar-SA"/>
              </w:rPr>
              <w:t>图3-4  评价区典型景观现场照片</w:t>
            </w:r>
          </w:p>
          <w:p>
            <w:pPr>
              <w:bidi w:val="0"/>
              <w:ind w:firstLine="480" w:firstLineChars="200"/>
              <w:rPr>
                <w:rFonts w:hint="eastAsia"/>
                <w:lang w:eastAsia="zh-CN"/>
              </w:rPr>
            </w:pPr>
            <w:r>
              <w:rPr>
                <w:rFonts w:hint="eastAsia"/>
                <w:lang w:eastAsia="zh-CN"/>
              </w:rPr>
              <w:t>本评价区是明显带有人类长期干扰痕迹的区域，综合分析认为：</w:t>
            </w:r>
          </w:p>
          <w:p>
            <w:pPr>
              <w:bidi w:val="0"/>
              <w:ind w:firstLine="480" w:firstLineChars="200"/>
              <w:rPr>
                <w:rFonts w:hint="eastAsia"/>
                <w:lang w:eastAsia="zh-CN"/>
              </w:rPr>
            </w:pPr>
            <w:r>
              <w:rPr>
                <w:rFonts w:hint="eastAsia"/>
                <w:lang w:eastAsia="zh-CN"/>
              </w:rPr>
              <w:t>①评价区人类干扰较严重，人工化、单一化现象比较严重，且生物组分异质化程度较低，因此认为评价区内阻抗稳定性较差。</w:t>
            </w:r>
          </w:p>
          <w:p>
            <w:pPr>
              <w:bidi w:val="0"/>
              <w:ind w:firstLine="480" w:firstLineChars="200"/>
              <w:rPr>
                <w:rFonts w:hint="eastAsia"/>
                <w:lang w:eastAsia="zh-CN"/>
              </w:rPr>
            </w:pPr>
            <w:r>
              <w:rPr>
                <w:rFonts w:hint="eastAsia"/>
                <w:lang w:eastAsia="zh-CN"/>
              </w:rPr>
              <w:t>②区域内景观生态体系的质量现状因区域内的自然环境、生物及人类社会之间复杂的相互作用而决定。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3" w:hRule="atLeast"/>
          <w:jc w:val="center"/>
        </w:trPr>
        <w:tc>
          <w:tcPr>
            <w:tcW w:w="1086"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与项目有关的原有环境污染和生态破坏问题</w:t>
            </w:r>
          </w:p>
        </w:tc>
        <w:tc>
          <w:tcPr>
            <w:tcW w:w="8071" w:type="dxa"/>
            <w:noWrap w:val="0"/>
            <w:vAlign w:val="center"/>
          </w:tcPr>
          <w:p>
            <w:pPr>
              <w:adjustRightInd w:val="0"/>
              <w:snapToGrid w:val="0"/>
              <w:ind w:firstLine="480" w:firstLineChars="200"/>
              <w:rPr>
                <w:rFonts w:hint="eastAsia" w:ascii="宋体" w:hAnsi="宋体" w:cs="宋体"/>
                <w:kern w:val="0"/>
                <w:szCs w:val="21"/>
                <w:lang w:eastAsia="zh-CN"/>
              </w:rPr>
            </w:pPr>
            <w:r>
              <w:rPr>
                <w:rFonts w:hint="eastAsia" w:ascii="宋体" w:hAnsi="宋体" w:cs="宋体"/>
                <w:kern w:val="0"/>
                <w:szCs w:val="21"/>
                <w:lang w:eastAsia="zh-CN"/>
              </w:rPr>
              <w:t>治理段河道存在诸多问题，</w:t>
            </w:r>
            <w:r>
              <w:rPr>
                <w:rFonts w:hint="eastAsia"/>
                <w:color w:val="000000"/>
                <w:sz w:val="24"/>
              </w:rPr>
              <w:t>河道</w:t>
            </w:r>
            <w:r>
              <w:rPr>
                <w:color w:val="000000"/>
                <w:sz w:val="24"/>
              </w:rPr>
              <w:t>现状照片详见附件</w:t>
            </w:r>
            <w:r>
              <w:rPr>
                <w:rFonts w:hint="eastAsia"/>
                <w:color w:val="000000"/>
                <w:sz w:val="24"/>
                <w:lang w:val="en-US" w:eastAsia="zh-CN"/>
              </w:rPr>
              <w:t>5</w:t>
            </w:r>
            <w:r>
              <w:rPr>
                <w:rFonts w:hint="eastAsia"/>
                <w:color w:val="000000"/>
                <w:sz w:val="24"/>
              </w:rPr>
              <w:t>。</w:t>
            </w:r>
            <w:r>
              <w:rPr>
                <w:rFonts w:hint="eastAsia" w:ascii="宋体" w:hAnsi="宋体" w:cs="宋体"/>
                <w:kern w:val="0"/>
                <w:szCs w:val="21"/>
                <w:lang w:eastAsia="zh-CN"/>
              </w:rPr>
              <w:t>结合对治理河段的现场实地踏勘，现总结如下：</w:t>
            </w:r>
          </w:p>
          <w:p>
            <w:pPr>
              <w:adjustRightInd w:val="0"/>
              <w:snapToGrid w:val="0"/>
              <w:ind w:firstLine="480" w:firstLineChars="200"/>
              <w:rPr>
                <w:rFonts w:hint="eastAsia" w:ascii="宋体" w:hAnsi="宋体" w:cs="宋体"/>
                <w:kern w:val="0"/>
                <w:szCs w:val="21"/>
                <w:lang w:eastAsia="zh-CN"/>
              </w:rPr>
            </w:pPr>
            <w:r>
              <w:rPr>
                <w:rFonts w:hint="eastAsia" w:ascii="宋体" w:hAnsi="宋体" w:cs="宋体"/>
                <w:kern w:val="0"/>
                <w:szCs w:val="21"/>
                <w:lang w:eastAsia="zh-CN"/>
              </w:rPr>
              <w:t>（1）治理范围内现状建筑物主要有拦砂坎23座，跨河桥梁15座；河道桥涵标准较低，阻水严重，现状多为简易涵桥，部分跨河建筑物质量差，损坏严重。</w:t>
            </w:r>
          </w:p>
          <w:p>
            <w:pPr>
              <w:adjustRightInd w:val="0"/>
              <w:snapToGrid w:val="0"/>
              <w:ind w:firstLine="480" w:firstLineChars="200"/>
              <w:rPr>
                <w:rFonts w:hint="eastAsia" w:ascii="宋体" w:hAnsi="宋体" w:cs="宋体"/>
                <w:kern w:val="0"/>
                <w:szCs w:val="21"/>
                <w:lang w:eastAsia="zh-CN"/>
              </w:rPr>
            </w:pPr>
            <w:r>
              <w:rPr>
                <w:rFonts w:hint="eastAsia" w:ascii="宋体" w:hAnsi="宋体" w:cs="宋体"/>
                <w:kern w:val="0"/>
                <w:szCs w:val="21"/>
                <w:lang w:eastAsia="zh-CN"/>
              </w:rPr>
              <w:t>（2）河道淤积、行洪障碍多</w:t>
            </w:r>
          </w:p>
          <w:p>
            <w:pPr>
              <w:adjustRightInd w:val="0"/>
              <w:snapToGrid w:val="0"/>
              <w:ind w:firstLine="480" w:firstLineChars="200"/>
              <w:rPr>
                <w:rFonts w:hint="eastAsia" w:ascii="宋体" w:hAnsi="宋体" w:cs="宋体"/>
                <w:kern w:val="0"/>
                <w:szCs w:val="21"/>
                <w:lang w:eastAsia="zh-CN"/>
              </w:rPr>
            </w:pPr>
            <w:r>
              <w:rPr>
                <w:rFonts w:hint="eastAsia" w:ascii="宋体" w:hAnsi="宋体" w:cs="宋体"/>
                <w:kern w:val="0"/>
                <w:szCs w:val="21"/>
                <w:lang w:eastAsia="zh-CN"/>
              </w:rPr>
              <w:t>村庄附近河道内乱堆乱倒垃圾，现有部分河段内长有大量树木及漂石、卵石等，降低了河道的行洪能力。</w:t>
            </w:r>
          </w:p>
          <w:p>
            <w:pPr>
              <w:adjustRightInd w:val="0"/>
              <w:snapToGrid w:val="0"/>
              <w:ind w:firstLine="480" w:firstLineChars="200"/>
              <w:rPr>
                <w:rFonts w:hint="eastAsia" w:ascii="宋体" w:hAnsi="宋体" w:cs="宋体"/>
                <w:kern w:val="0"/>
                <w:szCs w:val="21"/>
                <w:lang w:eastAsia="zh-CN"/>
              </w:rPr>
            </w:pPr>
            <w:r>
              <w:rPr>
                <w:rFonts w:hint="eastAsia" w:ascii="宋体" w:hAnsi="宋体" w:cs="宋体"/>
                <w:kern w:val="0"/>
                <w:szCs w:val="21"/>
                <w:lang w:eastAsia="zh-CN"/>
              </w:rPr>
              <w:t>（3）险工段较多，部分河岸堤脚冲刷严重</w:t>
            </w:r>
          </w:p>
          <w:p>
            <w:pPr>
              <w:adjustRightInd w:val="0"/>
              <w:snapToGrid w:val="0"/>
              <w:ind w:firstLine="480" w:firstLineChars="200"/>
              <w:rPr>
                <w:rFonts w:hint="eastAsia"/>
                <w:lang w:eastAsia="zh-CN"/>
              </w:rPr>
            </w:pPr>
            <w:r>
              <w:rPr>
                <w:rFonts w:hint="eastAsia" w:ascii="宋体" w:hAnsi="宋体" w:cs="宋体"/>
                <w:kern w:val="0"/>
                <w:szCs w:val="21"/>
                <w:lang w:eastAsia="zh-CN"/>
              </w:rPr>
              <w:t>治理段内干流有多处较大的弯道险工段，汛期山洪急速冲刷河道两岸，岸坡坍塌，岸脚冲刷严重。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4" w:hRule="atLeast"/>
          <w:jc w:val="center"/>
        </w:trPr>
        <w:tc>
          <w:tcPr>
            <w:tcW w:w="1086"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生态环境保护目标</w:t>
            </w:r>
          </w:p>
        </w:tc>
        <w:tc>
          <w:tcPr>
            <w:tcW w:w="8071" w:type="dxa"/>
            <w:noWrap w:val="0"/>
            <w:vAlign w:val="center"/>
          </w:tcPr>
          <w:p>
            <w:pPr>
              <w:adjustRightInd w:val="0"/>
              <w:snapToGrid w:val="0"/>
              <w:ind w:firstLine="480" w:firstLineChars="200"/>
              <w:rPr>
                <w:rFonts w:hint="eastAsia" w:ascii="宋体" w:hAnsi="宋体" w:eastAsia="宋体" w:cs="宋体"/>
                <w:color w:val="auto"/>
                <w:kern w:val="0"/>
                <w:szCs w:val="21"/>
                <w:lang w:eastAsia="zh-CN"/>
              </w:rPr>
            </w:pPr>
            <w:r>
              <w:rPr>
                <w:rFonts w:hint="eastAsia" w:ascii="宋体" w:hAnsi="宋体" w:cs="宋体"/>
                <w:kern w:val="0"/>
                <w:szCs w:val="21"/>
              </w:rPr>
              <w:t>根据《环境影响评价技术导则 生态影响》（HJ19-20</w:t>
            </w:r>
            <w:r>
              <w:rPr>
                <w:rFonts w:hint="eastAsia" w:ascii="宋体" w:hAnsi="宋体" w:cs="宋体"/>
                <w:kern w:val="0"/>
                <w:szCs w:val="21"/>
                <w:lang w:val="en-US" w:eastAsia="zh-CN"/>
              </w:rPr>
              <w:t>22</w:t>
            </w:r>
            <w:r>
              <w:rPr>
                <w:rFonts w:hint="eastAsia" w:ascii="宋体" w:hAnsi="宋体" w:cs="宋体"/>
                <w:kern w:val="0"/>
                <w:szCs w:val="21"/>
              </w:rPr>
              <w:t>），</w:t>
            </w:r>
            <w:r>
              <w:rPr>
                <w:rFonts w:hint="eastAsia" w:ascii="宋体" w:hAnsi="宋体" w:cs="宋体"/>
                <w:color w:val="auto"/>
                <w:kern w:val="0"/>
                <w:szCs w:val="21"/>
              </w:rPr>
              <w:t>线性工程穿越生态敏感区时，以线路穿越段向两端外延1km、线路中心线向两侧外延1km为参考评价范围，实际确定时应结合生态敏感区主要保护对象的分布、生态学特征、项目的穿越方式、周边地形地貌等适当调整</w:t>
            </w:r>
            <w:r>
              <w:rPr>
                <w:rFonts w:hint="eastAsia" w:ascii="宋体" w:hAnsi="宋体" w:cs="宋体"/>
                <w:color w:val="auto"/>
                <w:kern w:val="0"/>
                <w:szCs w:val="21"/>
                <w:lang w:eastAsia="zh-CN"/>
              </w:rPr>
              <w:t>；穿越非生态敏感区时，以线路中心线向两侧外延300m为参考评价范围。</w:t>
            </w:r>
          </w:p>
          <w:p>
            <w:pPr>
              <w:adjustRightInd w:val="0"/>
              <w:snapToGrid w:val="0"/>
              <w:ind w:firstLine="480" w:firstLineChars="200"/>
              <w:rPr>
                <w:rFonts w:hint="eastAsia" w:ascii="宋体" w:hAnsi="宋体" w:cs="宋体"/>
                <w:kern w:val="0"/>
                <w:szCs w:val="21"/>
                <w:lang w:eastAsia="zh-CN"/>
              </w:rPr>
            </w:pPr>
            <w:r>
              <w:rPr>
                <w:rFonts w:hint="eastAsia" w:ascii="宋体" w:hAnsi="宋体" w:cs="宋体"/>
                <w:kern w:val="0"/>
                <w:szCs w:val="21"/>
              </w:rPr>
              <w:t>确定本项目的评价范围为选址两侧各</w:t>
            </w:r>
            <w:r>
              <w:rPr>
                <w:rFonts w:hint="eastAsia" w:ascii="宋体" w:hAnsi="宋体" w:cs="宋体"/>
                <w:kern w:val="0"/>
                <w:szCs w:val="21"/>
                <w:lang w:val="en-US" w:eastAsia="zh-CN"/>
              </w:rPr>
              <w:t>3</w:t>
            </w:r>
            <w:r>
              <w:rPr>
                <w:rFonts w:hint="eastAsia" w:ascii="宋体" w:hAnsi="宋体" w:cs="宋体"/>
                <w:kern w:val="0"/>
                <w:szCs w:val="21"/>
              </w:rPr>
              <w:t>00m内区域</w:t>
            </w:r>
            <w:r>
              <w:rPr>
                <w:rFonts w:hint="eastAsia" w:ascii="宋体" w:hAnsi="宋体" w:cs="宋体"/>
                <w:kern w:val="0"/>
                <w:szCs w:val="21"/>
                <w:lang w:eastAsia="zh-CN"/>
              </w:rPr>
              <w:t>。</w:t>
            </w:r>
          </w:p>
          <w:p>
            <w:pPr>
              <w:pStyle w:val="5"/>
              <w:widowControl/>
              <w:spacing w:before="0" w:after="0" w:line="240" w:lineRule="auto"/>
              <w:ind w:right="0" w:firstLine="422" w:firstLineChars="20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3-4</w:t>
            </w:r>
            <w:r>
              <w:rPr>
                <w:rFonts w:hint="default" w:ascii="Times New Roman" w:hAnsi="Times New Roman" w:eastAsia="宋体" w:cs="Times New Roman"/>
                <w:b/>
                <w:bCs/>
                <w:sz w:val="21"/>
                <w:szCs w:val="21"/>
              </w:rPr>
              <w:t xml:space="preserve">     生态环境保护目标一览表</w:t>
            </w:r>
          </w:p>
          <w:tbl>
            <w:tblPr>
              <w:tblStyle w:val="15"/>
              <w:tblW w:w="8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394"/>
              <w:gridCol w:w="854"/>
              <w:gridCol w:w="261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保护目标名称</w:t>
                  </w:r>
                </w:p>
              </w:tc>
              <w:tc>
                <w:tcPr>
                  <w:tcW w:w="1394"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与建设项目</w:t>
                  </w:r>
                  <w:r>
                    <w:rPr>
                      <w:rFonts w:hint="eastAsia" w:ascii="Times New Roman" w:hAnsi="Times New Roman" w:eastAsia="宋体" w:cs="Times New Roman"/>
                      <w:b w:val="0"/>
                      <w:bCs/>
                      <w:kern w:val="0"/>
                      <w:sz w:val="21"/>
                      <w:szCs w:val="21"/>
                      <w:lang w:val="zh-CN" w:eastAsia="zh-CN" w:bidi="en-US"/>
                    </w:rPr>
                    <w:t>地</w:t>
                  </w:r>
                  <w:r>
                    <w:rPr>
                      <w:rFonts w:hint="default" w:ascii="Times New Roman" w:hAnsi="Times New Roman" w:eastAsia="宋体" w:cs="Times New Roman"/>
                      <w:b w:val="0"/>
                      <w:bCs/>
                      <w:kern w:val="0"/>
                      <w:sz w:val="21"/>
                      <w:szCs w:val="21"/>
                      <w:lang w:val="zh-CN" w:eastAsia="zh-CN" w:bidi="en-US"/>
                    </w:rPr>
                    <w:t>位置关系</w:t>
                  </w:r>
                </w:p>
              </w:tc>
              <w:tc>
                <w:tcPr>
                  <w:tcW w:w="854"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规模</w:t>
                  </w:r>
                </w:p>
              </w:tc>
              <w:tc>
                <w:tcPr>
                  <w:tcW w:w="261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主要保护对象</w:t>
                  </w:r>
                </w:p>
              </w:tc>
              <w:tc>
                <w:tcPr>
                  <w:tcW w:w="147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涉及的功能分区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水土流失</w:t>
                  </w:r>
                </w:p>
              </w:tc>
              <w:tc>
                <w:tcPr>
                  <w:tcW w:w="1394"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沿线分布</w:t>
                  </w:r>
                </w:p>
              </w:tc>
              <w:tc>
                <w:tcPr>
                  <w:tcW w:w="854"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w:t>
                  </w:r>
                </w:p>
              </w:tc>
              <w:tc>
                <w:tcPr>
                  <w:tcW w:w="261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施工期水土流失</w:t>
                  </w:r>
                </w:p>
              </w:tc>
              <w:tc>
                <w:tcPr>
                  <w:tcW w:w="147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植被</w:t>
                  </w:r>
                </w:p>
              </w:tc>
              <w:tc>
                <w:tcPr>
                  <w:tcW w:w="1394"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占用</w:t>
                  </w:r>
                </w:p>
              </w:tc>
              <w:tc>
                <w:tcPr>
                  <w:tcW w:w="854"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w:t>
                  </w:r>
                </w:p>
              </w:tc>
              <w:tc>
                <w:tcPr>
                  <w:tcW w:w="261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沿线的</w:t>
                  </w:r>
                  <w:r>
                    <w:rPr>
                      <w:rFonts w:hint="eastAsia" w:ascii="Times New Roman" w:hAnsi="Times New Roman" w:eastAsia="宋体" w:cs="Times New Roman"/>
                      <w:b w:val="0"/>
                      <w:bCs/>
                      <w:kern w:val="0"/>
                      <w:sz w:val="21"/>
                      <w:szCs w:val="21"/>
                      <w:lang w:val="zh-CN" w:eastAsia="zh-CN" w:bidi="en-US"/>
                    </w:rPr>
                    <w:t>农业</w:t>
                  </w:r>
                  <w:r>
                    <w:rPr>
                      <w:rFonts w:hint="default" w:ascii="Times New Roman" w:hAnsi="Times New Roman" w:eastAsia="宋体" w:cs="Times New Roman"/>
                      <w:b w:val="0"/>
                      <w:bCs/>
                      <w:kern w:val="0"/>
                      <w:sz w:val="21"/>
                      <w:szCs w:val="21"/>
                      <w:lang w:val="zh-CN" w:eastAsia="zh-CN" w:bidi="en-US"/>
                    </w:rPr>
                    <w:t>植被</w:t>
                  </w:r>
                </w:p>
              </w:tc>
              <w:tc>
                <w:tcPr>
                  <w:tcW w:w="147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动物</w:t>
                  </w:r>
                </w:p>
              </w:tc>
              <w:tc>
                <w:tcPr>
                  <w:tcW w:w="1394"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沿线分布</w:t>
                  </w:r>
                </w:p>
              </w:tc>
              <w:tc>
                <w:tcPr>
                  <w:tcW w:w="854"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w:t>
                  </w:r>
                </w:p>
              </w:tc>
              <w:tc>
                <w:tcPr>
                  <w:tcW w:w="2610" w:type="dxa"/>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评价区内无原始野生动物</w:t>
                  </w: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生境，无国家及省级珍稀</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濒危保护动物物种</w:t>
                  </w:r>
                </w:p>
              </w:tc>
              <w:tc>
                <w:tcPr>
                  <w:tcW w:w="147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zh-CN" w:eastAsia="zh-CN" w:bidi="en-US"/>
                    </w:rPr>
                    <w:t>《鲁山以东生物多样性维护生态保护红线区》（SD-03-B4-10）</w:t>
                  </w:r>
                </w:p>
              </w:tc>
              <w:tc>
                <w:tcPr>
                  <w:tcW w:w="1394" w:type="dxa"/>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zh-CN" w:eastAsia="zh-CN" w:bidi="en-US"/>
                    </w:rPr>
                    <w:t>西北方向</w:t>
                  </w:r>
                  <w:r>
                    <w:rPr>
                      <w:rFonts w:hint="eastAsia" w:ascii="Times New Roman" w:hAnsi="Times New Roman" w:eastAsia="宋体" w:cs="Times New Roman"/>
                      <w:b w:val="0"/>
                      <w:bCs/>
                      <w:kern w:val="0"/>
                      <w:sz w:val="21"/>
                      <w:szCs w:val="21"/>
                      <w:lang w:val="en-US" w:eastAsia="zh-CN" w:bidi="en-US"/>
                    </w:rPr>
                    <w:t>200米</w:t>
                  </w:r>
                </w:p>
              </w:tc>
              <w:tc>
                <w:tcPr>
                  <w:tcW w:w="854" w:type="dxa"/>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default" w:ascii="Times New Roman" w:hAnsi="Times New Roman" w:eastAsia="宋体" w:cs="Times New Roman"/>
                      <w:b w:val="0"/>
                      <w:bCs/>
                      <w:kern w:val="0"/>
                      <w:sz w:val="21"/>
                      <w:szCs w:val="21"/>
                      <w:lang w:val="zh-CN" w:eastAsia="zh-CN" w:bidi="en-US"/>
                    </w:rPr>
                    <w:t>/</w:t>
                  </w:r>
                </w:p>
              </w:tc>
              <w:tc>
                <w:tcPr>
                  <w:tcW w:w="261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zh-CN" w:eastAsia="zh-CN" w:bidi="en-US"/>
                    </w:rPr>
                    <w:t>森林及公益林</w:t>
                  </w:r>
                </w:p>
              </w:tc>
              <w:tc>
                <w:tcPr>
                  <w:tcW w:w="147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zh-CN" w:eastAsia="zh-CN" w:bidi="en-US"/>
                    </w:rPr>
                    <w:t>生物多样性维护、水源涵养</w:t>
                  </w:r>
                </w:p>
              </w:tc>
            </w:tr>
          </w:tbl>
          <w:p>
            <w:pPr>
              <w:pStyle w:val="5"/>
              <w:widowControl/>
              <w:spacing w:before="0" w:after="0" w:line="240" w:lineRule="auto"/>
              <w:ind w:right="0"/>
              <w:jc w:val="both"/>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zh-CN" w:eastAsia="zh-CN" w:bidi="ar-SA"/>
              </w:rPr>
              <w:t>备注：《山东省生态保护红线规划（2016-2020）》</w:t>
            </w:r>
            <w:r>
              <w:rPr>
                <w:rFonts w:hint="eastAsia" w:cs="Times New Roman"/>
                <w:kern w:val="2"/>
                <w:sz w:val="21"/>
                <w:szCs w:val="21"/>
                <w:lang w:val="zh-CN" w:eastAsia="zh-CN" w:bidi="ar-SA"/>
              </w:rPr>
              <w:t>已被沂源县三区三线替代，调整后的生态保护红线</w:t>
            </w:r>
            <w:r>
              <w:rPr>
                <w:rFonts w:hint="default" w:ascii="Times New Roman" w:hAnsi="Times New Roman" w:eastAsia="宋体" w:cs="Times New Roman"/>
                <w:kern w:val="2"/>
                <w:sz w:val="21"/>
                <w:szCs w:val="21"/>
                <w:lang w:val="zh-CN" w:eastAsia="zh-CN" w:bidi="ar-SA"/>
              </w:rPr>
              <w:t>区比较分散，</w:t>
            </w:r>
            <w:r>
              <w:rPr>
                <w:rFonts w:hint="eastAsia" w:cs="Times New Roman"/>
                <w:kern w:val="2"/>
                <w:sz w:val="21"/>
                <w:szCs w:val="21"/>
                <w:lang w:val="zh-CN" w:eastAsia="zh-CN" w:bidi="ar-SA"/>
              </w:rPr>
              <w:t>与项目区位置关系</w:t>
            </w:r>
            <w:r>
              <w:rPr>
                <w:rFonts w:hint="default" w:ascii="Times New Roman" w:hAnsi="Times New Roman" w:eastAsia="宋体" w:cs="Times New Roman"/>
                <w:kern w:val="2"/>
                <w:sz w:val="21"/>
                <w:szCs w:val="21"/>
                <w:lang w:val="zh-CN" w:eastAsia="zh-CN" w:bidi="ar-SA"/>
              </w:rPr>
              <w:t>详见</w:t>
            </w:r>
            <w:r>
              <w:rPr>
                <w:rFonts w:hint="eastAsia" w:cs="Times New Roman"/>
                <w:kern w:val="2"/>
                <w:sz w:val="21"/>
                <w:szCs w:val="21"/>
                <w:lang w:val="zh-CN" w:eastAsia="zh-CN" w:bidi="ar-SA"/>
              </w:rPr>
              <w:t>附</w:t>
            </w:r>
            <w:r>
              <w:rPr>
                <w:rFonts w:hint="default" w:ascii="Times New Roman" w:hAnsi="Times New Roman" w:eastAsia="宋体" w:cs="Times New Roman"/>
                <w:kern w:val="2"/>
                <w:sz w:val="21"/>
                <w:szCs w:val="21"/>
                <w:lang w:val="zh-CN" w:eastAsia="zh-CN" w:bidi="ar-SA"/>
              </w:rPr>
              <w:t>图</w:t>
            </w:r>
            <w:r>
              <w:rPr>
                <w:rFonts w:hint="eastAsia" w:cs="Times New Roman"/>
                <w:kern w:val="2"/>
                <w:sz w:val="21"/>
                <w:szCs w:val="21"/>
                <w:lang w:val="en-US" w:eastAsia="zh-CN" w:bidi="ar-SA"/>
              </w:rPr>
              <w:t>8</w:t>
            </w:r>
            <w:r>
              <w:rPr>
                <w:rFonts w:hint="default" w:ascii="Times New Roman" w:hAnsi="Times New Roman" w:eastAsia="宋体" w:cs="Times New Roman"/>
                <w:kern w:val="2"/>
                <w:sz w:val="21"/>
                <w:szCs w:val="21"/>
                <w:lang w:val="zh-CN" w:eastAsia="zh-CN" w:bidi="ar-SA"/>
              </w:rPr>
              <w:t>。</w:t>
            </w:r>
          </w:p>
          <w:p>
            <w:pPr>
              <w:pStyle w:val="5"/>
              <w:widowControl/>
              <w:spacing w:before="0" w:after="0" w:line="240" w:lineRule="auto"/>
              <w:ind w:right="0" w:firstLine="422" w:firstLineChars="20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rPr>
              <w:t xml:space="preserve">    主要敏感保护目标一览表</w:t>
            </w:r>
          </w:p>
          <w:tbl>
            <w:tblPr>
              <w:tblStyle w:val="36"/>
              <w:tblpPr w:leftFromText="180" w:rightFromText="180" w:vertAnchor="text" w:horzAnchor="page" w:tblpX="104" w:tblpY="163"/>
              <w:tblOverlap w:val="never"/>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93"/>
              <w:gridCol w:w="2175"/>
              <w:gridCol w:w="553"/>
              <w:gridCol w:w="1306"/>
              <w:gridCol w:w="1361"/>
              <w:gridCol w:w="1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673" w:type="pct"/>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环境要素</w:t>
                  </w:r>
                </w:p>
              </w:tc>
              <w:tc>
                <w:tcPr>
                  <w:tcW w:w="1338" w:type="pct"/>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环境保护对象名称</w:t>
                  </w:r>
                </w:p>
              </w:tc>
              <w:tc>
                <w:tcPr>
                  <w:tcW w:w="340" w:type="pct"/>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方位</w:t>
                  </w:r>
                </w:p>
              </w:tc>
              <w:tc>
                <w:tcPr>
                  <w:tcW w:w="803" w:type="pct"/>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距离（m）</w:t>
                  </w:r>
                </w:p>
              </w:tc>
              <w:tc>
                <w:tcPr>
                  <w:tcW w:w="837" w:type="pct"/>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规模</w:t>
                  </w:r>
                </w:p>
              </w:tc>
              <w:tc>
                <w:tcPr>
                  <w:tcW w:w="1005" w:type="pct"/>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环境功能区划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673" w:type="pct"/>
                  <w:vMerge w:val="restart"/>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环境空气</w:t>
                  </w:r>
                </w:p>
              </w:tc>
              <w:tc>
                <w:tcPr>
                  <w:tcW w:w="1338" w:type="pct"/>
                  <w:tcBorders>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车场村</w:t>
                  </w:r>
                </w:p>
              </w:tc>
              <w:tc>
                <w:tcPr>
                  <w:tcW w:w="340" w:type="pct"/>
                  <w:tcBorders>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N</w:t>
                  </w:r>
                </w:p>
              </w:tc>
              <w:tc>
                <w:tcPr>
                  <w:tcW w:w="803" w:type="pct"/>
                  <w:tcBorders>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0</w:t>
                  </w:r>
                </w:p>
              </w:tc>
              <w:tc>
                <w:tcPr>
                  <w:tcW w:w="837" w:type="pct"/>
                  <w:tcBorders>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1</w:t>
                  </w:r>
                  <w:r>
                    <w:rPr>
                      <w:rFonts w:hint="eastAsia" w:ascii="Times New Roman" w:hAnsi="Times New Roman" w:eastAsia="宋体" w:cs="Times New Roman"/>
                      <w:b w:val="0"/>
                      <w:bCs/>
                      <w:kern w:val="0"/>
                      <w:sz w:val="21"/>
                      <w:szCs w:val="21"/>
                      <w:lang w:val="en-US" w:eastAsia="zh-CN" w:bidi="en-US"/>
                    </w:rPr>
                    <w:t>1</w:t>
                  </w:r>
                  <w:r>
                    <w:rPr>
                      <w:rFonts w:hint="default" w:ascii="Times New Roman" w:hAnsi="Times New Roman" w:eastAsia="宋体" w:cs="Times New Roman"/>
                      <w:b w:val="0"/>
                      <w:bCs/>
                      <w:kern w:val="0"/>
                      <w:sz w:val="21"/>
                      <w:szCs w:val="21"/>
                      <w:lang w:val="zh-CN" w:eastAsia="zh-CN" w:bidi="en-US"/>
                    </w:rPr>
                    <w:t>00人</w:t>
                  </w:r>
                </w:p>
              </w:tc>
              <w:tc>
                <w:tcPr>
                  <w:tcW w:w="1005" w:type="pct"/>
                  <w:vMerge w:val="restart"/>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3</w:t>
                  </w:r>
                  <w:r>
                    <w:rPr>
                      <w:rFonts w:hint="default" w:ascii="Times New Roman" w:hAnsi="Times New Roman" w:eastAsia="宋体" w:cs="Times New Roman"/>
                      <w:b w:val="0"/>
                      <w:bCs/>
                      <w:kern w:val="0"/>
                      <w:sz w:val="21"/>
                      <w:szCs w:val="21"/>
                      <w:lang w:val="zh-CN" w:eastAsia="zh-CN" w:bidi="en-US"/>
                    </w:rPr>
                    <w:t>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73"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c>
                <w:tcPr>
                  <w:tcW w:w="1338"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南流水村</w:t>
                  </w:r>
                </w:p>
              </w:tc>
              <w:tc>
                <w:tcPr>
                  <w:tcW w:w="340"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N</w:t>
                  </w:r>
                </w:p>
              </w:tc>
              <w:tc>
                <w:tcPr>
                  <w:tcW w:w="803"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16</w:t>
                  </w:r>
                </w:p>
              </w:tc>
              <w:tc>
                <w:tcPr>
                  <w:tcW w:w="837"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1309</w:t>
                  </w:r>
                  <w:r>
                    <w:rPr>
                      <w:rFonts w:hint="default" w:ascii="Times New Roman" w:hAnsi="Times New Roman" w:eastAsia="宋体" w:cs="Times New Roman"/>
                      <w:b w:val="0"/>
                      <w:bCs/>
                      <w:kern w:val="0"/>
                      <w:sz w:val="21"/>
                      <w:szCs w:val="21"/>
                      <w:lang w:val="zh-CN" w:eastAsia="zh-CN" w:bidi="en-US"/>
                    </w:rPr>
                    <w:t>人</w:t>
                  </w:r>
                </w:p>
              </w:tc>
              <w:tc>
                <w:tcPr>
                  <w:tcW w:w="1005"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673"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c>
                <w:tcPr>
                  <w:tcW w:w="1338"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北流水村</w:t>
                  </w:r>
                </w:p>
              </w:tc>
              <w:tc>
                <w:tcPr>
                  <w:tcW w:w="340"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N</w:t>
                  </w:r>
                </w:p>
              </w:tc>
              <w:tc>
                <w:tcPr>
                  <w:tcW w:w="803"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12</w:t>
                  </w:r>
                </w:p>
              </w:tc>
              <w:tc>
                <w:tcPr>
                  <w:tcW w:w="837"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546</w:t>
                  </w:r>
                  <w:r>
                    <w:rPr>
                      <w:rFonts w:hint="default" w:ascii="Times New Roman" w:hAnsi="Times New Roman" w:eastAsia="宋体" w:cs="Times New Roman"/>
                      <w:b w:val="0"/>
                      <w:bCs/>
                      <w:kern w:val="0"/>
                      <w:sz w:val="21"/>
                      <w:szCs w:val="21"/>
                      <w:lang w:val="zh-CN" w:eastAsia="zh-CN" w:bidi="en-US"/>
                    </w:rPr>
                    <w:t>人</w:t>
                  </w:r>
                </w:p>
              </w:tc>
              <w:tc>
                <w:tcPr>
                  <w:tcW w:w="1005"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73"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c>
                <w:tcPr>
                  <w:tcW w:w="1338"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璞邱村</w:t>
                  </w:r>
                </w:p>
              </w:tc>
              <w:tc>
                <w:tcPr>
                  <w:tcW w:w="340"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NW</w:t>
                  </w:r>
                </w:p>
              </w:tc>
              <w:tc>
                <w:tcPr>
                  <w:tcW w:w="803"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20</w:t>
                  </w:r>
                </w:p>
              </w:tc>
              <w:tc>
                <w:tcPr>
                  <w:tcW w:w="837"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4361</w:t>
                  </w:r>
                  <w:r>
                    <w:rPr>
                      <w:rFonts w:hint="default" w:ascii="Times New Roman" w:hAnsi="Times New Roman" w:eastAsia="宋体" w:cs="Times New Roman"/>
                      <w:b w:val="0"/>
                      <w:bCs/>
                      <w:kern w:val="0"/>
                      <w:sz w:val="21"/>
                      <w:szCs w:val="21"/>
                      <w:lang w:val="zh-CN" w:eastAsia="zh-CN" w:bidi="en-US"/>
                    </w:rPr>
                    <w:t>人</w:t>
                  </w:r>
                </w:p>
              </w:tc>
              <w:tc>
                <w:tcPr>
                  <w:tcW w:w="1005"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73"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c>
                <w:tcPr>
                  <w:tcW w:w="1338"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璞邱</w:t>
                  </w:r>
                  <w:r>
                    <w:rPr>
                      <w:rFonts w:hint="eastAsia" w:ascii="Times New Roman" w:hAnsi="Times New Roman" w:eastAsia="宋体" w:cs="Times New Roman"/>
                      <w:b w:val="0"/>
                      <w:bCs/>
                      <w:kern w:val="0"/>
                      <w:sz w:val="21"/>
                      <w:szCs w:val="21"/>
                      <w:lang w:val="zh-CN" w:eastAsia="zh-CN" w:bidi="en-US"/>
                    </w:rPr>
                    <w:t>小学</w:t>
                  </w:r>
                </w:p>
              </w:tc>
              <w:tc>
                <w:tcPr>
                  <w:tcW w:w="340"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NW</w:t>
                  </w:r>
                </w:p>
              </w:tc>
              <w:tc>
                <w:tcPr>
                  <w:tcW w:w="803"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136</w:t>
                  </w:r>
                </w:p>
              </w:tc>
              <w:tc>
                <w:tcPr>
                  <w:tcW w:w="837"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450</w:t>
                  </w:r>
                  <w:r>
                    <w:rPr>
                      <w:rFonts w:hint="default" w:ascii="Times New Roman" w:hAnsi="Times New Roman" w:eastAsia="宋体" w:cs="Times New Roman"/>
                      <w:b w:val="0"/>
                      <w:bCs/>
                      <w:kern w:val="0"/>
                      <w:sz w:val="21"/>
                      <w:szCs w:val="21"/>
                      <w:lang w:val="zh-CN" w:eastAsia="zh-CN" w:bidi="en-US"/>
                    </w:rPr>
                    <w:t>人</w:t>
                  </w:r>
                </w:p>
              </w:tc>
              <w:tc>
                <w:tcPr>
                  <w:tcW w:w="1005"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673"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c>
                <w:tcPr>
                  <w:tcW w:w="1338"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三岔店村</w:t>
                  </w:r>
                </w:p>
              </w:tc>
              <w:tc>
                <w:tcPr>
                  <w:tcW w:w="340"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W</w:t>
                  </w:r>
                </w:p>
              </w:tc>
              <w:tc>
                <w:tcPr>
                  <w:tcW w:w="803"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18</w:t>
                  </w:r>
                </w:p>
              </w:tc>
              <w:tc>
                <w:tcPr>
                  <w:tcW w:w="837"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2</w:t>
                  </w:r>
                  <w:r>
                    <w:rPr>
                      <w:rFonts w:hint="default" w:ascii="Times New Roman" w:hAnsi="Times New Roman" w:eastAsia="宋体" w:cs="Times New Roman"/>
                      <w:b w:val="0"/>
                      <w:bCs/>
                      <w:kern w:val="0"/>
                      <w:sz w:val="21"/>
                      <w:szCs w:val="21"/>
                      <w:lang w:val="zh-CN" w:eastAsia="zh-CN" w:bidi="en-US"/>
                    </w:rPr>
                    <w:t>500人</w:t>
                  </w:r>
                </w:p>
              </w:tc>
              <w:tc>
                <w:tcPr>
                  <w:tcW w:w="1005"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673" w:type="pct"/>
                  <w:vMerge w:val="continue"/>
                  <w:tcBorders>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c>
                <w:tcPr>
                  <w:tcW w:w="1338"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zh-CN" w:eastAsia="zh-CN" w:bidi="en-US"/>
                    </w:rPr>
                    <w:t>三岔中学</w:t>
                  </w:r>
                </w:p>
              </w:tc>
              <w:tc>
                <w:tcPr>
                  <w:tcW w:w="340"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NW</w:t>
                  </w:r>
                </w:p>
              </w:tc>
              <w:tc>
                <w:tcPr>
                  <w:tcW w:w="803"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55</w:t>
                  </w:r>
                </w:p>
              </w:tc>
              <w:tc>
                <w:tcPr>
                  <w:tcW w:w="837" w:type="pct"/>
                  <w:tcBorders>
                    <w:top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300人</w:t>
                  </w:r>
                </w:p>
              </w:tc>
              <w:tc>
                <w:tcPr>
                  <w:tcW w:w="1005" w:type="pct"/>
                  <w:vMerge w:val="continue"/>
                  <w:tcBorders>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73" w:type="pct"/>
                  <w:tcBorders>
                    <w:top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地表水</w:t>
                  </w:r>
                </w:p>
              </w:tc>
              <w:tc>
                <w:tcPr>
                  <w:tcW w:w="1338" w:type="pct"/>
                  <w:tcBorders>
                    <w:top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嵩山水库</w:t>
                  </w:r>
                </w:p>
              </w:tc>
              <w:tc>
                <w:tcPr>
                  <w:tcW w:w="340" w:type="pct"/>
                  <w:tcBorders>
                    <w:top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NE</w:t>
                  </w:r>
                </w:p>
              </w:tc>
              <w:tc>
                <w:tcPr>
                  <w:tcW w:w="803" w:type="pct"/>
                  <w:tcBorders>
                    <w:top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10</w:t>
                  </w:r>
                  <w:r>
                    <w:rPr>
                      <w:rFonts w:hint="eastAsia" w:ascii="Times New Roman" w:hAnsi="Times New Roman" w:eastAsia="宋体" w:cs="Times New Roman"/>
                      <w:b w:val="0"/>
                      <w:bCs/>
                      <w:kern w:val="0"/>
                      <w:sz w:val="21"/>
                      <w:szCs w:val="21"/>
                      <w:lang w:val="en-US" w:eastAsia="zh-CN" w:bidi="en-US"/>
                    </w:rPr>
                    <w:t>0</w:t>
                  </w:r>
                  <w:r>
                    <w:rPr>
                      <w:rFonts w:hint="default" w:ascii="Times New Roman" w:hAnsi="Times New Roman" w:eastAsia="宋体" w:cs="Times New Roman"/>
                      <w:b w:val="0"/>
                      <w:bCs/>
                      <w:kern w:val="0"/>
                      <w:sz w:val="21"/>
                      <w:szCs w:val="21"/>
                      <w:lang w:val="zh-CN" w:eastAsia="zh-CN" w:bidi="en-US"/>
                    </w:rPr>
                    <w:t>1</w:t>
                  </w:r>
                </w:p>
              </w:tc>
              <w:tc>
                <w:tcPr>
                  <w:tcW w:w="837" w:type="pct"/>
                  <w:tcBorders>
                    <w:top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zh-CN" w:eastAsia="zh-CN" w:bidi="en-US"/>
                    </w:rPr>
                    <w:t>小型水库</w:t>
                  </w:r>
                </w:p>
              </w:tc>
              <w:tc>
                <w:tcPr>
                  <w:tcW w:w="1005" w:type="pct"/>
                  <w:tcBorders>
                    <w:top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3</w:t>
                  </w:r>
                  <w:r>
                    <w:rPr>
                      <w:rFonts w:hint="default" w:ascii="Times New Roman" w:hAnsi="Times New Roman" w:eastAsia="宋体" w:cs="Times New Roman"/>
                      <w:b w:val="0"/>
                      <w:bCs/>
                      <w:kern w:val="0"/>
                      <w:sz w:val="21"/>
                      <w:szCs w:val="21"/>
                      <w:lang w:val="zh-CN" w:eastAsia="zh-CN" w:bidi="en-US"/>
                    </w:rPr>
                    <w:t>类水质标准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673" w:type="pct"/>
                  <w:vMerge w:val="restart"/>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声环境</w:t>
                  </w:r>
                </w:p>
              </w:tc>
              <w:tc>
                <w:tcPr>
                  <w:tcW w:w="1338" w:type="pct"/>
                  <w:tcBorders>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车场村</w:t>
                  </w:r>
                </w:p>
              </w:tc>
              <w:tc>
                <w:tcPr>
                  <w:tcW w:w="340" w:type="pct"/>
                  <w:tcBorders>
                    <w:left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N</w:t>
                  </w:r>
                </w:p>
              </w:tc>
              <w:tc>
                <w:tcPr>
                  <w:tcW w:w="803" w:type="pct"/>
                  <w:tcBorders>
                    <w:left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0</w:t>
                  </w:r>
                </w:p>
              </w:tc>
              <w:tc>
                <w:tcPr>
                  <w:tcW w:w="837" w:type="pct"/>
                  <w:tcBorders>
                    <w:left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1</w:t>
                  </w:r>
                  <w:r>
                    <w:rPr>
                      <w:rFonts w:hint="eastAsia" w:ascii="Times New Roman" w:hAnsi="Times New Roman" w:eastAsia="宋体" w:cs="Times New Roman"/>
                      <w:b w:val="0"/>
                      <w:bCs/>
                      <w:kern w:val="0"/>
                      <w:sz w:val="21"/>
                      <w:szCs w:val="21"/>
                      <w:lang w:val="en-US" w:eastAsia="zh-CN" w:bidi="en-US"/>
                    </w:rPr>
                    <w:t>1</w:t>
                  </w:r>
                  <w:r>
                    <w:rPr>
                      <w:rFonts w:hint="default" w:ascii="Times New Roman" w:hAnsi="Times New Roman" w:eastAsia="宋体" w:cs="Times New Roman"/>
                      <w:b w:val="0"/>
                      <w:bCs/>
                      <w:kern w:val="0"/>
                      <w:sz w:val="21"/>
                      <w:szCs w:val="21"/>
                      <w:lang w:val="zh-CN" w:eastAsia="zh-CN" w:bidi="en-US"/>
                    </w:rPr>
                    <w:t>00人</w:t>
                  </w:r>
                </w:p>
              </w:tc>
              <w:tc>
                <w:tcPr>
                  <w:tcW w:w="1005" w:type="pct"/>
                  <w:vMerge w:val="restart"/>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2类区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73"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c>
                <w:tcPr>
                  <w:tcW w:w="1338" w:type="pct"/>
                  <w:tcBorders>
                    <w:top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南流水村</w:t>
                  </w:r>
                </w:p>
              </w:tc>
              <w:tc>
                <w:tcPr>
                  <w:tcW w:w="340" w:type="pct"/>
                  <w:tcBorders>
                    <w:top w:val="single" w:color="000000" w:sz="2" w:space="0"/>
                    <w:left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N</w:t>
                  </w:r>
                </w:p>
              </w:tc>
              <w:tc>
                <w:tcPr>
                  <w:tcW w:w="803" w:type="pct"/>
                  <w:tcBorders>
                    <w:top w:val="single" w:color="000000" w:sz="2" w:space="0"/>
                    <w:left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16</w:t>
                  </w:r>
                </w:p>
              </w:tc>
              <w:tc>
                <w:tcPr>
                  <w:tcW w:w="837" w:type="pct"/>
                  <w:tcBorders>
                    <w:top w:val="single" w:color="000000" w:sz="2" w:space="0"/>
                    <w:left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1309</w:t>
                  </w:r>
                  <w:r>
                    <w:rPr>
                      <w:rFonts w:hint="default" w:ascii="Times New Roman" w:hAnsi="Times New Roman" w:eastAsia="宋体" w:cs="Times New Roman"/>
                      <w:b w:val="0"/>
                      <w:bCs/>
                      <w:kern w:val="0"/>
                      <w:sz w:val="21"/>
                      <w:szCs w:val="21"/>
                      <w:lang w:val="zh-CN" w:eastAsia="zh-CN" w:bidi="en-US"/>
                    </w:rPr>
                    <w:t>人</w:t>
                  </w:r>
                </w:p>
              </w:tc>
              <w:tc>
                <w:tcPr>
                  <w:tcW w:w="1005"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673"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c>
                <w:tcPr>
                  <w:tcW w:w="1338" w:type="pct"/>
                  <w:tcBorders>
                    <w:top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北流水村</w:t>
                  </w:r>
                </w:p>
              </w:tc>
              <w:tc>
                <w:tcPr>
                  <w:tcW w:w="340" w:type="pct"/>
                  <w:tcBorders>
                    <w:top w:val="single" w:color="000000" w:sz="2" w:space="0"/>
                    <w:left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N</w:t>
                  </w:r>
                </w:p>
              </w:tc>
              <w:tc>
                <w:tcPr>
                  <w:tcW w:w="803" w:type="pct"/>
                  <w:tcBorders>
                    <w:top w:val="single" w:color="000000" w:sz="2" w:space="0"/>
                    <w:left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12</w:t>
                  </w:r>
                </w:p>
              </w:tc>
              <w:tc>
                <w:tcPr>
                  <w:tcW w:w="837" w:type="pct"/>
                  <w:tcBorders>
                    <w:top w:val="single" w:color="000000" w:sz="2" w:space="0"/>
                    <w:left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546</w:t>
                  </w:r>
                  <w:r>
                    <w:rPr>
                      <w:rFonts w:hint="default" w:ascii="Times New Roman" w:hAnsi="Times New Roman" w:eastAsia="宋体" w:cs="Times New Roman"/>
                      <w:b w:val="0"/>
                      <w:bCs/>
                      <w:kern w:val="0"/>
                      <w:sz w:val="21"/>
                      <w:szCs w:val="21"/>
                      <w:lang w:val="zh-CN" w:eastAsia="zh-CN" w:bidi="en-US"/>
                    </w:rPr>
                    <w:t>人</w:t>
                  </w:r>
                </w:p>
              </w:tc>
              <w:tc>
                <w:tcPr>
                  <w:tcW w:w="1005"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73"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c>
                <w:tcPr>
                  <w:tcW w:w="1338" w:type="pct"/>
                  <w:tcBorders>
                    <w:top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璞邱村</w:t>
                  </w:r>
                </w:p>
              </w:tc>
              <w:tc>
                <w:tcPr>
                  <w:tcW w:w="340" w:type="pct"/>
                  <w:tcBorders>
                    <w:top w:val="single" w:color="000000" w:sz="2" w:space="0"/>
                    <w:left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N</w:t>
                  </w:r>
                </w:p>
              </w:tc>
              <w:tc>
                <w:tcPr>
                  <w:tcW w:w="803" w:type="pct"/>
                  <w:tcBorders>
                    <w:top w:val="single" w:color="000000" w:sz="2" w:space="0"/>
                    <w:left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20</w:t>
                  </w:r>
                </w:p>
              </w:tc>
              <w:tc>
                <w:tcPr>
                  <w:tcW w:w="837" w:type="pct"/>
                  <w:tcBorders>
                    <w:top w:val="single" w:color="000000" w:sz="2" w:space="0"/>
                    <w:left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4361</w:t>
                  </w:r>
                  <w:r>
                    <w:rPr>
                      <w:rFonts w:hint="default" w:ascii="Times New Roman" w:hAnsi="Times New Roman" w:eastAsia="宋体" w:cs="Times New Roman"/>
                      <w:b w:val="0"/>
                      <w:bCs/>
                      <w:kern w:val="0"/>
                      <w:sz w:val="21"/>
                      <w:szCs w:val="21"/>
                      <w:lang w:val="zh-CN" w:eastAsia="zh-CN" w:bidi="en-US"/>
                    </w:rPr>
                    <w:t>人</w:t>
                  </w:r>
                </w:p>
              </w:tc>
              <w:tc>
                <w:tcPr>
                  <w:tcW w:w="1005"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73"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c>
                <w:tcPr>
                  <w:tcW w:w="1338" w:type="pct"/>
                  <w:tcBorders>
                    <w:top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璞邱</w:t>
                  </w:r>
                  <w:r>
                    <w:rPr>
                      <w:rFonts w:hint="eastAsia" w:ascii="Times New Roman" w:hAnsi="Times New Roman" w:eastAsia="宋体" w:cs="Times New Roman"/>
                      <w:b w:val="0"/>
                      <w:bCs/>
                      <w:kern w:val="0"/>
                      <w:sz w:val="21"/>
                      <w:szCs w:val="21"/>
                      <w:lang w:val="zh-CN" w:eastAsia="zh-CN" w:bidi="en-US"/>
                    </w:rPr>
                    <w:t>小学</w:t>
                  </w:r>
                </w:p>
              </w:tc>
              <w:tc>
                <w:tcPr>
                  <w:tcW w:w="340" w:type="pct"/>
                  <w:tcBorders>
                    <w:top w:val="single" w:color="000000" w:sz="2" w:space="0"/>
                    <w:left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NW</w:t>
                  </w:r>
                </w:p>
              </w:tc>
              <w:tc>
                <w:tcPr>
                  <w:tcW w:w="803" w:type="pct"/>
                  <w:tcBorders>
                    <w:top w:val="single" w:color="000000" w:sz="2" w:space="0"/>
                    <w:left w:val="single" w:color="000000" w:sz="2" w:space="0"/>
                    <w:bottom w:val="single" w:color="000000" w:sz="2"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136</w:t>
                  </w:r>
                </w:p>
              </w:tc>
              <w:tc>
                <w:tcPr>
                  <w:tcW w:w="837" w:type="pct"/>
                  <w:tcBorders>
                    <w:top w:val="single" w:color="000000" w:sz="2" w:space="0"/>
                    <w:left w:val="single" w:color="000000" w:sz="2" w:space="0"/>
                    <w:bottom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450</w:t>
                  </w:r>
                  <w:r>
                    <w:rPr>
                      <w:rFonts w:hint="default" w:ascii="Times New Roman" w:hAnsi="Times New Roman" w:eastAsia="宋体" w:cs="Times New Roman"/>
                      <w:b w:val="0"/>
                      <w:bCs/>
                      <w:kern w:val="0"/>
                      <w:sz w:val="21"/>
                      <w:szCs w:val="21"/>
                      <w:lang w:val="zh-CN" w:eastAsia="zh-CN" w:bidi="en-US"/>
                    </w:rPr>
                    <w:t>人</w:t>
                  </w:r>
                </w:p>
              </w:tc>
              <w:tc>
                <w:tcPr>
                  <w:tcW w:w="1005"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673"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c>
                <w:tcPr>
                  <w:tcW w:w="1338" w:type="pct"/>
                  <w:tcBorders>
                    <w:top w:val="single" w:color="000000" w:sz="2" w:space="0"/>
                    <w:bottom w:val="single" w:color="auto" w:sz="4"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三岔店村</w:t>
                  </w:r>
                </w:p>
              </w:tc>
              <w:tc>
                <w:tcPr>
                  <w:tcW w:w="340" w:type="pct"/>
                  <w:tcBorders>
                    <w:top w:val="single" w:color="000000" w:sz="2" w:space="0"/>
                    <w:left w:val="single" w:color="000000" w:sz="2" w:space="0"/>
                    <w:bottom w:val="single" w:color="auto" w:sz="4"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W</w:t>
                  </w:r>
                </w:p>
              </w:tc>
              <w:tc>
                <w:tcPr>
                  <w:tcW w:w="803" w:type="pct"/>
                  <w:tcBorders>
                    <w:top w:val="single" w:color="000000" w:sz="2" w:space="0"/>
                    <w:left w:val="single" w:color="000000" w:sz="2" w:space="0"/>
                    <w:bottom w:val="single" w:color="auto" w:sz="4"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18</w:t>
                  </w:r>
                </w:p>
              </w:tc>
              <w:tc>
                <w:tcPr>
                  <w:tcW w:w="837" w:type="pct"/>
                  <w:tcBorders>
                    <w:top w:val="single" w:color="000000" w:sz="2" w:space="0"/>
                    <w:left w:val="single" w:color="000000" w:sz="2" w:space="0"/>
                    <w:bottom w:val="single" w:color="auto" w:sz="4"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2</w:t>
                  </w:r>
                  <w:r>
                    <w:rPr>
                      <w:rFonts w:hint="default" w:ascii="Times New Roman" w:hAnsi="Times New Roman" w:eastAsia="宋体" w:cs="Times New Roman"/>
                      <w:b w:val="0"/>
                      <w:bCs/>
                      <w:kern w:val="0"/>
                      <w:sz w:val="21"/>
                      <w:szCs w:val="21"/>
                      <w:lang w:val="zh-CN" w:eastAsia="zh-CN" w:bidi="en-US"/>
                    </w:rPr>
                    <w:t>500人</w:t>
                  </w:r>
                </w:p>
              </w:tc>
              <w:tc>
                <w:tcPr>
                  <w:tcW w:w="1005" w:type="pct"/>
                  <w:vMerge w:val="continue"/>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673" w:type="pct"/>
                  <w:vMerge w:val="continue"/>
                  <w:tcBorders>
                    <w:bottom w:val="single" w:color="auto" w:sz="4"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c>
                <w:tcPr>
                  <w:tcW w:w="1338" w:type="pct"/>
                  <w:tcBorders>
                    <w:top w:val="single" w:color="000000" w:sz="2" w:space="0"/>
                    <w:bottom w:val="single" w:color="auto" w:sz="4"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zh-CN" w:eastAsia="zh-CN" w:bidi="en-US"/>
                    </w:rPr>
                    <w:t>三岔中学</w:t>
                  </w:r>
                </w:p>
              </w:tc>
              <w:tc>
                <w:tcPr>
                  <w:tcW w:w="340" w:type="pct"/>
                  <w:tcBorders>
                    <w:top w:val="single" w:color="000000" w:sz="2" w:space="0"/>
                    <w:left w:val="single" w:color="000000" w:sz="2" w:space="0"/>
                    <w:bottom w:val="single" w:color="auto" w:sz="4"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NW</w:t>
                  </w:r>
                </w:p>
              </w:tc>
              <w:tc>
                <w:tcPr>
                  <w:tcW w:w="803" w:type="pct"/>
                  <w:tcBorders>
                    <w:top w:val="single" w:color="000000" w:sz="2" w:space="0"/>
                    <w:left w:val="single" w:color="000000" w:sz="2" w:space="0"/>
                    <w:bottom w:val="single" w:color="auto" w:sz="4"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55</w:t>
                  </w:r>
                </w:p>
              </w:tc>
              <w:tc>
                <w:tcPr>
                  <w:tcW w:w="837" w:type="pct"/>
                  <w:tcBorders>
                    <w:top w:val="single" w:color="000000" w:sz="2" w:space="0"/>
                    <w:left w:val="single" w:color="000000" w:sz="2" w:space="0"/>
                    <w:bottom w:val="single" w:color="auto" w:sz="4" w:space="0"/>
                  </w:tcBorders>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300人</w:t>
                  </w:r>
                </w:p>
              </w:tc>
              <w:tc>
                <w:tcPr>
                  <w:tcW w:w="1005" w:type="pct"/>
                  <w:vMerge w:val="continue"/>
                  <w:tcBorders>
                    <w:bottom w:val="single" w:color="auto" w:sz="4"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673" w:type="pct"/>
                  <w:tcBorders>
                    <w:top w:val="single" w:color="auto" w:sz="4" w:space="0"/>
                    <w:left w:val="single" w:color="auto" w:sz="4" w:space="0"/>
                    <w:bottom w:val="single" w:color="auto" w:sz="4"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地下水</w:t>
                  </w:r>
                </w:p>
              </w:tc>
              <w:tc>
                <w:tcPr>
                  <w:tcW w:w="1338" w:type="pct"/>
                  <w:tcBorders>
                    <w:top w:val="single" w:color="auto" w:sz="4" w:space="0"/>
                    <w:bottom w:val="single" w:color="auto" w:sz="4"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璞邱三村供水井</w:t>
                  </w:r>
                </w:p>
              </w:tc>
              <w:tc>
                <w:tcPr>
                  <w:tcW w:w="340" w:type="pct"/>
                  <w:tcBorders>
                    <w:top w:val="single" w:color="auto" w:sz="4" w:space="0"/>
                    <w:left w:val="single" w:color="000000" w:sz="2" w:space="0"/>
                    <w:bottom w:val="single" w:color="auto" w:sz="4"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NW</w:t>
                  </w:r>
                </w:p>
              </w:tc>
              <w:tc>
                <w:tcPr>
                  <w:tcW w:w="803" w:type="pct"/>
                  <w:tcBorders>
                    <w:top w:val="single" w:color="auto" w:sz="4" w:space="0"/>
                    <w:left w:val="single" w:color="000000" w:sz="2" w:space="0"/>
                    <w:bottom w:val="single" w:color="auto" w:sz="4" w:space="0"/>
                    <w:right w:val="single" w:color="000000" w:sz="2"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123</w:t>
                  </w:r>
                </w:p>
              </w:tc>
              <w:tc>
                <w:tcPr>
                  <w:tcW w:w="837" w:type="pct"/>
                  <w:tcBorders>
                    <w:top w:val="single" w:color="auto" w:sz="4" w:space="0"/>
                    <w:left w:val="single" w:color="000000" w:sz="2" w:space="0"/>
                    <w:bottom w:val="single" w:color="auto" w:sz="4"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default" w:ascii="Times New Roman" w:hAnsi="Times New Roman" w:eastAsia="宋体" w:cs="Times New Roman"/>
                      <w:b w:val="0"/>
                      <w:bCs/>
                      <w:kern w:val="0"/>
                      <w:sz w:val="21"/>
                      <w:szCs w:val="21"/>
                      <w:lang w:val="zh-CN" w:eastAsia="zh-CN" w:bidi="en-US"/>
                    </w:rPr>
                    <w:t>二级保护区</w:t>
                  </w:r>
                </w:p>
              </w:tc>
              <w:tc>
                <w:tcPr>
                  <w:tcW w:w="1005" w:type="pct"/>
                  <w:tcBorders>
                    <w:top w:val="single" w:color="auto" w:sz="4" w:space="0"/>
                    <w:bottom w:val="single" w:color="auto" w:sz="4" w:space="0"/>
                    <w:right w:val="single" w:color="auto" w:sz="4" w:space="0"/>
                  </w:tcBorders>
                  <w:vAlign w:val="center"/>
                </w:tcPr>
                <w:p>
                  <w:pPr>
                    <w:widowControl/>
                    <w:snapToGrid w:val="0"/>
                    <w:spacing w:line="240" w:lineRule="auto"/>
                    <w:ind w:left="-72" w:leftChars="-30" w:right="-72" w:rightChars="-30" w:firstLine="0" w:firstLineChars="0"/>
                    <w:jc w:val="center"/>
                    <w:textAlignment w:val="baseline"/>
                    <w:rPr>
                      <w:rFonts w:hint="default" w:ascii="Times New Roman" w:hAnsi="Times New Roman" w:eastAsia="宋体" w:cs="Times New Roman"/>
                      <w:b w:val="0"/>
                      <w:bCs/>
                      <w:kern w:val="0"/>
                      <w:sz w:val="21"/>
                      <w:szCs w:val="21"/>
                      <w:lang w:val="zh-CN" w:eastAsia="zh-CN" w:bidi="en-US"/>
                    </w:rPr>
                  </w:pPr>
                  <w:r>
                    <w:rPr>
                      <w:rFonts w:hint="eastAsia" w:ascii="Times New Roman" w:hAnsi="Times New Roman" w:eastAsia="宋体" w:cs="Times New Roman"/>
                      <w:b w:val="0"/>
                      <w:bCs/>
                      <w:kern w:val="0"/>
                      <w:sz w:val="21"/>
                      <w:szCs w:val="21"/>
                      <w:lang w:val="en-US" w:eastAsia="zh-CN" w:bidi="en-US"/>
                    </w:rPr>
                    <w:t>3</w:t>
                  </w:r>
                  <w:r>
                    <w:rPr>
                      <w:rFonts w:hint="default" w:ascii="Times New Roman" w:hAnsi="Times New Roman" w:eastAsia="宋体" w:cs="Times New Roman"/>
                      <w:b w:val="0"/>
                      <w:bCs/>
                      <w:kern w:val="0"/>
                      <w:sz w:val="21"/>
                      <w:szCs w:val="21"/>
                      <w:lang w:val="zh-CN" w:eastAsia="zh-CN" w:bidi="en-US"/>
                    </w:rPr>
                    <w:t>类</w:t>
                  </w:r>
                </w:p>
              </w:tc>
            </w:tr>
          </w:tbl>
          <w:p>
            <w:pPr>
              <w:adjustRightInd w:val="0"/>
              <w:snapToGrid w:val="0"/>
              <w:ind w:firstLine="480" w:firstLineChars="200"/>
              <w:rPr>
                <w:rFonts w:hint="eastAsia"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1086"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评价</w:t>
            </w:r>
          </w:p>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标准</w:t>
            </w:r>
          </w:p>
        </w:tc>
        <w:tc>
          <w:tcPr>
            <w:tcW w:w="8071" w:type="dxa"/>
            <w:noWrap w:val="0"/>
            <w:vAlign w:val="center"/>
          </w:tcPr>
          <w:p>
            <w:pPr>
              <w:adjustRightInd w:val="0"/>
              <w:snapToGrid w:val="0"/>
              <w:rPr>
                <w:rFonts w:hint="eastAsia" w:ascii="宋体" w:hAnsi="宋体" w:cs="宋体"/>
                <w:kern w:val="0"/>
                <w:szCs w:val="21"/>
              </w:rPr>
            </w:pPr>
            <w:r>
              <w:rPr>
                <w:rFonts w:hint="eastAsia" w:ascii="宋体" w:hAnsi="宋体" w:cs="宋体"/>
                <w:kern w:val="0"/>
                <w:szCs w:val="21"/>
              </w:rPr>
              <w:t>1、环境质量</w:t>
            </w:r>
          </w:p>
          <w:p>
            <w:pPr>
              <w:adjustRightInd w:val="0"/>
              <w:snapToGrid w:val="0"/>
              <w:ind w:firstLine="240" w:firstLineChars="100"/>
              <w:rPr>
                <w:rFonts w:hint="eastAsia" w:ascii="宋体" w:hAnsi="宋体" w:cs="宋体"/>
                <w:color w:val="auto"/>
                <w:kern w:val="0"/>
                <w:szCs w:val="21"/>
              </w:rPr>
            </w:pPr>
            <w:r>
              <w:rPr>
                <w:rFonts w:hint="eastAsia" w:ascii="宋体" w:hAnsi="宋体" w:cs="宋体"/>
                <w:color w:val="auto"/>
                <w:kern w:val="0"/>
                <w:szCs w:val="21"/>
              </w:rPr>
              <w:t>（1）环境空气：《环境空气质量标准》（GB3095-2012）二级标准；</w:t>
            </w:r>
          </w:p>
          <w:p>
            <w:pPr>
              <w:adjustRightInd w:val="0"/>
              <w:snapToGrid w:val="0"/>
              <w:ind w:firstLine="240" w:firstLineChars="100"/>
              <w:rPr>
                <w:rFonts w:hint="eastAsia" w:ascii="宋体" w:hAnsi="宋体" w:cs="宋体"/>
                <w:color w:val="auto"/>
                <w:kern w:val="0"/>
                <w:szCs w:val="21"/>
              </w:rPr>
            </w:pPr>
            <w:r>
              <w:rPr>
                <w:rFonts w:hint="eastAsia" w:ascii="宋体" w:hAnsi="宋体" w:cs="宋体"/>
                <w:color w:val="auto"/>
                <w:kern w:val="0"/>
                <w:szCs w:val="21"/>
              </w:rPr>
              <w:t>（2）地表水：《地表水环境质量标准》（GB3838-2002）Ⅳ类标准；</w:t>
            </w:r>
          </w:p>
          <w:p>
            <w:pPr>
              <w:adjustRightInd w:val="0"/>
              <w:snapToGrid w:val="0"/>
              <w:ind w:firstLine="240" w:firstLineChars="100"/>
              <w:rPr>
                <w:rFonts w:hint="eastAsia" w:ascii="宋体" w:hAnsi="宋体" w:cs="宋体"/>
                <w:kern w:val="0"/>
                <w:szCs w:val="21"/>
              </w:rPr>
            </w:pPr>
            <w:r>
              <w:rPr>
                <w:rFonts w:hint="eastAsia" w:ascii="宋体" w:hAnsi="宋体" w:cs="宋体"/>
                <w:kern w:val="0"/>
                <w:szCs w:val="21"/>
              </w:rPr>
              <w:t>（3）地下水：《地下水质量标准》（GB/T14848-2017）Ⅲ类标准；</w:t>
            </w:r>
          </w:p>
          <w:p>
            <w:pPr>
              <w:adjustRightInd w:val="0"/>
              <w:snapToGrid w:val="0"/>
              <w:ind w:firstLine="240" w:firstLineChars="100"/>
              <w:rPr>
                <w:rFonts w:hint="eastAsia" w:ascii="宋体" w:hAnsi="宋体" w:cs="宋体"/>
                <w:kern w:val="0"/>
                <w:szCs w:val="21"/>
              </w:rPr>
            </w:pPr>
            <w:r>
              <w:rPr>
                <w:rFonts w:hint="eastAsia" w:ascii="宋体" w:hAnsi="宋体" w:cs="宋体"/>
                <w:kern w:val="0"/>
                <w:szCs w:val="21"/>
              </w:rPr>
              <w:t>（4）声环境：《声环境质量标准》（GB3096-2008）2类标准。</w:t>
            </w:r>
          </w:p>
          <w:p>
            <w:pPr>
              <w:adjustRightInd w:val="0"/>
              <w:snapToGrid w:val="0"/>
              <w:ind w:firstLine="240" w:firstLineChars="100"/>
              <w:rPr>
                <w:rFonts w:hint="eastAsia" w:ascii="宋体" w:hAnsi="宋体" w:cs="宋体"/>
                <w:kern w:val="0"/>
                <w:szCs w:val="21"/>
              </w:rPr>
            </w:pPr>
            <w:r>
              <w:rPr>
                <w:rFonts w:hint="eastAsia" w:ascii="宋体" w:hAnsi="宋体" w:cs="宋体"/>
                <w:kern w:val="0"/>
                <w:szCs w:val="21"/>
              </w:rPr>
              <w:t>（5）土壤环境：《土壤环境质量建设用地土壤污染风险管控标准（试行）》</w:t>
            </w:r>
          </w:p>
          <w:p>
            <w:pPr>
              <w:adjustRightInd w:val="0"/>
              <w:snapToGrid w:val="0"/>
              <w:rPr>
                <w:rFonts w:hint="eastAsia" w:ascii="宋体" w:hAnsi="宋体" w:cs="宋体"/>
                <w:kern w:val="0"/>
                <w:szCs w:val="21"/>
              </w:rPr>
            </w:pPr>
            <w:r>
              <w:rPr>
                <w:rFonts w:hint="eastAsia" w:ascii="宋体" w:hAnsi="宋体" w:cs="宋体"/>
                <w:kern w:val="0"/>
                <w:szCs w:val="21"/>
              </w:rPr>
              <w:t>（GB36600-2018）中筛选值中第二类用地标准。</w:t>
            </w:r>
          </w:p>
          <w:p>
            <w:pPr>
              <w:adjustRightInd w:val="0"/>
              <w:snapToGrid w:val="0"/>
              <w:rPr>
                <w:rFonts w:hint="eastAsia" w:ascii="宋体" w:hAnsi="宋体" w:cs="宋体"/>
                <w:kern w:val="0"/>
                <w:szCs w:val="21"/>
              </w:rPr>
            </w:pPr>
            <w:r>
              <w:rPr>
                <w:rFonts w:hint="eastAsia" w:ascii="宋体" w:hAnsi="宋体" w:cs="宋体"/>
                <w:kern w:val="0"/>
                <w:szCs w:val="21"/>
              </w:rPr>
              <w:t>2、污染物排放控制标准</w:t>
            </w:r>
          </w:p>
          <w:p>
            <w:pPr>
              <w:adjustRightInd w:val="0"/>
              <w:snapToGrid w:val="0"/>
              <w:ind w:firstLine="240" w:firstLineChars="100"/>
              <w:rPr>
                <w:rFonts w:hint="eastAsia" w:ascii="宋体" w:hAnsi="宋体" w:cs="宋体"/>
                <w:kern w:val="0"/>
                <w:szCs w:val="21"/>
              </w:rPr>
            </w:pPr>
            <w:r>
              <w:rPr>
                <w:rFonts w:hint="eastAsia" w:ascii="宋体" w:hAnsi="宋体" w:cs="宋体"/>
                <w:kern w:val="0"/>
                <w:szCs w:val="21"/>
              </w:rPr>
              <w:t>（1）废气：</w:t>
            </w:r>
            <w:r>
              <w:rPr>
                <w:rFonts w:hint="eastAsia" w:ascii="宋体" w:hAnsi="宋体" w:cs="宋体"/>
                <w:color w:val="auto"/>
                <w:kern w:val="0"/>
                <w:szCs w:val="21"/>
                <w:lang w:eastAsia="zh-CN"/>
              </w:rPr>
              <w:t>本项目</w:t>
            </w:r>
            <w:r>
              <w:rPr>
                <w:rFonts w:hint="eastAsia" w:ascii="宋体" w:hAnsi="宋体" w:cs="宋体"/>
                <w:color w:val="auto"/>
                <w:kern w:val="0"/>
                <w:szCs w:val="21"/>
              </w:rPr>
              <w:t>在施工期车辆运输产生的废气参照执行《大气污染物综合排放标准》（GB16297-2022）中的无组织排放浓度限值。</w:t>
            </w:r>
            <w:r>
              <w:rPr>
                <w:rFonts w:hint="eastAsia" w:ascii="宋体" w:hAnsi="宋体" w:cs="宋体"/>
                <w:kern w:val="0"/>
                <w:szCs w:val="21"/>
              </w:rPr>
              <w:t>施工期扬尘参照执行《防治城市扬尘污染技术规范》（HJ/T393-2007）及《山东省扬尘污染防治管理办法》（山东省人民政府令，第248号）、</w:t>
            </w:r>
            <w:r>
              <w:rPr>
                <w:rFonts w:hint="eastAsia" w:ascii="宋体" w:hAnsi="宋体" w:cs="宋体"/>
                <w:color w:val="auto"/>
                <w:kern w:val="0"/>
                <w:szCs w:val="21"/>
              </w:rPr>
              <w:t>《淄博市建设领域扬尘污染专项治理实施方案》相关规定。</w:t>
            </w:r>
            <w:r>
              <w:rPr>
                <w:rFonts w:hint="eastAsia" w:ascii="宋体" w:hAnsi="宋体" w:cs="宋体"/>
                <w:kern w:val="0"/>
                <w:szCs w:val="21"/>
              </w:rPr>
              <w:t>施工期淤泥</w:t>
            </w:r>
            <w:r>
              <w:rPr>
                <w:rFonts w:hint="eastAsia" w:ascii="宋体" w:hAnsi="宋体" w:cs="宋体"/>
                <w:kern w:val="0"/>
                <w:szCs w:val="21"/>
                <w:lang w:eastAsia="zh-CN"/>
              </w:rPr>
              <w:t>产生的</w:t>
            </w:r>
            <w:r>
              <w:rPr>
                <w:rFonts w:hint="eastAsia" w:ascii="宋体" w:hAnsi="宋体" w:cs="宋体"/>
                <w:kern w:val="0"/>
                <w:szCs w:val="21"/>
              </w:rPr>
              <w:t>废气参照执行《恶臭污染物排放标准》（GB14554-93）表1二级标准（氨≤1.5mg/m³、硫化氢≤0.06mg/m³、臭气浓度≤20mg/m³</w:t>
            </w:r>
            <w:r>
              <w:rPr>
                <w:rFonts w:hint="eastAsia" w:ascii="宋体" w:hAnsi="宋体" w:cs="宋体"/>
                <w:kern w:val="0"/>
                <w:szCs w:val="21"/>
                <w:lang w:eastAsia="zh-CN"/>
              </w:rPr>
              <w:t>）</w:t>
            </w:r>
            <w:r>
              <w:rPr>
                <w:rFonts w:hint="eastAsia" w:ascii="宋体" w:hAnsi="宋体" w:cs="宋体"/>
                <w:kern w:val="0"/>
                <w:szCs w:val="21"/>
              </w:rPr>
              <w:t>。</w:t>
            </w:r>
          </w:p>
          <w:p>
            <w:pPr>
              <w:adjustRightInd w:val="0"/>
              <w:snapToGrid w:val="0"/>
              <w:ind w:firstLine="480" w:firstLineChars="200"/>
              <w:rPr>
                <w:rFonts w:hint="eastAsia" w:ascii="宋体" w:hAnsi="宋体" w:eastAsia="宋体" w:cs="宋体"/>
                <w:kern w:val="0"/>
                <w:szCs w:val="21"/>
                <w:lang w:eastAsia="zh-CN"/>
              </w:rPr>
            </w:pPr>
            <w:r>
              <w:rPr>
                <w:rFonts w:hint="eastAsia" w:ascii="宋体" w:hAnsi="宋体" w:cs="宋体"/>
                <w:kern w:val="0"/>
                <w:szCs w:val="21"/>
              </w:rPr>
              <w:t>项目运营期无</w:t>
            </w:r>
            <w:r>
              <w:rPr>
                <w:rFonts w:hint="eastAsia" w:ascii="宋体" w:hAnsi="宋体" w:cs="宋体"/>
                <w:kern w:val="0"/>
                <w:szCs w:val="21"/>
                <w:lang w:eastAsia="zh-CN"/>
              </w:rPr>
              <w:t>废气</w:t>
            </w:r>
            <w:r>
              <w:rPr>
                <w:rFonts w:hint="eastAsia" w:ascii="宋体" w:hAnsi="宋体" w:cs="宋体"/>
                <w:kern w:val="0"/>
                <w:szCs w:val="21"/>
              </w:rPr>
              <w:t>产生，运营期</w:t>
            </w:r>
            <w:r>
              <w:rPr>
                <w:rFonts w:hint="eastAsia" w:ascii="宋体" w:hAnsi="宋体" w:cs="宋体"/>
                <w:kern w:val="0"/>
                <w:szCs w:val="21"/>
                <w:lang w:eastAsia="zh-CN"/>
              </w:rPr>
              <w:t>大气</w:t>
            </w:r>
            <w:r>
              <w:rPr>
                <w:rFonts w:hint="eastAsia" w:ascii="宋体" w:hAnsi="宋体" w:cs="宋体"/>
                <w:kern w:val="0"/>
                <w:szCs w:val="21"/>
              </w:rPr>
              <w:t>环境质量执行《环境空气质量标准》（GB3095-201</w:t>
            </w:r>
            <w:r>
              <w:rPr>
                <w:rFonts w:hint="eastAsia" w:ascii="宋体" w:hAnsi="宋体" w:cs="宋体"/>
                <w:kern w:val="0"/>
                <w:szCs w:val="21"/>
                <w:lang w:val="en-US" w:eastAsia="zh-CN"/>
              </w:rPr>
              <w:t>2</w:t>
            </w:r>
            <w:r>
              <w:rPr>
                <w:rFonts w:hint="eastAsia" w:ascii="宋体" w:hAnsi="宋体" w:cs="宋体"/>
                <w:kern w:val="0"/>
                <w:szCs w:val="21"/>
              </w:rPr>
              <w:t>）中二级标准。</w:t>
            </w:r>
          </w:p>
          <w:p>
            <w:pPr>
              <w:adjustRightInd w:val="0"/>
              <w:snapToGrid w:val="0"/>
              <w:ind w:firstLine="240" w:firstLineChars="100"/>
              <w:rPr>
                <w:rFonts w:hint="eastAsia" w:ascii="宋体" w:hAnsi="宋体" w:eastAsia="宋体" w:cs="宋体"/>
                <w:kern w:val="0"/>
                <w:szCs w:val="21"/>
                <w:lang w:eastAsia="zh-CN"/>
              </w:rPr>
            </w:pPr>
            <w:r>
              <w:rPr>
                <w:rFonts w:hint="eastAsia" w:ascii="宋体" w:hAnsi="宋体" w:cs="宋体"/>
                <w:kern w:val="0"/>
                <w:szCs w:val="21"/>
              </w:rPr>
              <w:t>（2）噪声：施工期执行《建筑施工场界环境噪声排放标准》（GB12523-2011）中标准，昼间≤70dB(A)，夜间≤55dB(A)；</w:t>
            </w:r>
            <w:r>
              <w:rPr>
                <w:rFonts w:hint="eastAsia" w:ascii="宋体" w:hAnsi="宋体" w:cs="宋体"/>
                <w:kern w:val="0"/>
                <w:szCs w:val="21"/>
                <w:lang w:eastAsia="zh-CN"/>
              </w:rPr>
              <w:t>村庄敏感点执行《声环境质量标准》(GB3096-2008)1类标准。</w:t>
            </w:r>
            <w:r>
              <w:rPr>
                <w:rFonts w:hint="eastAsia" w:ascii="宋体" w:hAnsi="宋体" w:cs="宋体"/>
                <w:kern w:val="0"/>
                <w:szCs w:val="21"/>
              </w:rPr>
              <w:t>项目运营期无噪声产生，运营期声环境质量执行《声环境质量标准》（GB3096-2008）2类标准</w:t>
            </w:r>
            <w:r>
              <w:rPr>
                <w:rFonts w:hint="eastAsia" w:ascii="宋体" w:hAnsi="宋体" w:cs="宋体"/>
                <w:kern w:val="0"/>
                <w:szCs w:val="21"/>
                <w:lang w:eastAsia="zh-CN"/>
              </w:rPr>
              <w:t>。</w:t>
            </w:r>
          </w:p>
          <w:p>
            <w:pPr>
              <w:adjustRightInd w:val="0"/>
              <w:snapToGrid w:val="0"/>
              <w:ind w:firstLine="240" w:firstLineChars="100"/>
              <w:rPr>
                <w:rFonts w:hint="eastAsia" w:ascii="宋体" w:hAnsi="宋体" w:cs="宋体"/>
                <w:kern w:val="0"/>
                <w:szCs w:val="21"/>
              </w:rPr>
            </w:pPr>
            <w:r>
              <w:rPr>
                <w:rFonts w:hint="eastAsia" w:ascii="宋体" w:hAnsi="宋体" w:cs="宋体"/>
                <w:kern w:val="0"/>
                <w:szCs w:val="21"/>
              </w:rPr>
              <w:t>（3）</w:t>
            </w:r>
            <w:r>
              <w:rPr>
                <w:rFonts w:hint="eastAsia" w:ascii="宋体" w:hAnsi="宋体" w:cs="宋体"/>
                <w:kern w:val="0"/>
                <w:szCs w:val="21"/>
                <w:lang w:eastAsia="zh-CN"/>
              </w:rPr>
              <w:t>固废：本项目淤泥主要为砂砾淤泥，该部分淤泥将在施工过程中利用泥浆泵输送至沉砂池污泥锥斗中。锥斗中泥沙定期统一清理作为建筑材料综合利用，主要用于低洼岸坡的堆砌。一般工业固体废物暂存应符合《中华人民共和国固体废物污染环境防治法》相关要求，采取防扬散、防流失、防渗漏或者其他防止污染环境的措施，不得擅自倾倒、堆放、丢弃、遗撒，一般工业固体废物管理过程中还应执行《一般工业固体废物管理台账制定指南（试行）》（公告2021年第82号）要求。</w:t>
            </w:r>
          </w:p>
          <w:p>
            <w:pPr>
              <w:adjustRightInd w:val="0"/>
              <w:snapToGrid w:val="0"/>
              <w:ind w:firstLine="240" w:firstLineChars="100"/>
              <w:rPr>
                <w:rFonts w:hint="eastAsia" w:ascii="宋体" w:hAnsi="宋体" w:eastAsia="宋体" w:cs="宋体"/>
                <w:kern w:val="0"/>
                <w:szCs w:val="21"/>
                <w:lang w:eastAsia="zh-CN"/>
              </w:rPr>
            </w:pPr>
            <w:r>
              <w:rPr>
                <w:rFonts w:hint="eastAsia" w:ascii="宋体" w:hAnsi="宋体" w:cs="宋体"/>
                <w:kern w:val="0"/>
                <w:szCs w:val="21"/>
              </w:rPr>
              <w:t>（</w:t>
            </w:r>
            <w:r>
              <w:rPr>
                <w:rFonts w:hint="eastAsia" w:ascii="宋体" w:hAnsi="宋体" w:cs="宋体"/>
                <w:kern w:val="0"/>
                <w:szCs w:val="21"/>
                <w:lang w:val="en-US" w:eastAsia="zh-CN"/>
              </w:rPr>
              <w:t>4</w:t>
            </w:r>
            <w:r>
              <w:rPr>
                <w:rFonts w:hint="eastAsia" w:ascii="宋体" w:hAnsi="宋体" w:cs="宋体"/>
                <w:kern w:val="0"/>
                <w:szCs w:val="21"/>
              </w:rPr>
              <w:t>）生活垃圾的分类、收集、暂存等环节应执行《山东省城市生活垃圾收集、清运服务规范》（DB37／T945－2007）。施工期产生的建筑垃圾应执行</w:t>
            </w:r>
            <w:r>
              <w:rPr>
                <w:rFonts w:hint="eastAsia" w:ascii="宋体" w:hAnsi="宋体" w:cs="宋体"/>
                <w:color w:val="auto"/>
                <w:kern w:val="0"/>
                <w:szCs w:val="21"/>
              </w:rPr>
              <w:t>《淄博市城市建筑垃圾处置管理办法》（淄政办字〔2014〕30号）</w:t>
            </w:r>
            <w:r>
              <w:rPr>
                <w:rFonts w:hint="eastAsia" w:ascii="宋体" w:hAnsi="宋体" w:cs="宋体"/>
                <w:kern w:val="0"/>
                <w:szCs w:val="21"/>
              </w:rPr>
              <w:t>要求</w:t>
            </w:r>
            <w:r>
              <w:rPr>
                <w:rFonts w:hint="eastAsia" w:ascii="宋体" w:hAnsi="宋体" w:cs="宋体"/>
                <w:kern w:val="0"/>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1086"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其他</w:t>
            </w:r>
          </w:p>
        </w:tc>
        <w:tc>
          <w:tcPr>
            <w:tcW w:w="8071" w:type="dxa"/>
            <w:noWrap w:val="0"/>
            <w:vAlign w:val="center"/>
          </w:tcPr>
          <w:p>
            <w:pPr>
              <w:adjustRightInd w:val="0"/>
              <w:snapToGrid w:val="0"/>
              <w:ind w:firstLine="480" w:firstLineChars="200"/>
              <w:jc w:val="both"/>
              <w:rPr>
                <w:rFonts w:hint="eastAsia" w:ascii="宋体" w:hAnsi="宋体" w:eastAsia="宋体" w:cs="宋体"/>
                <w:kern w:val="0"/>
                <w:szCs w:val="21"/>
                <w:lang w:eastAsia="zh-CN"/>
              </w:rPr>
            </w:pPr>
            <w:r>
              <w:rPr>
                <w:rFonts w:hint="eastAsia" w:ascii="宋体" w:hAnsi="宋体" w:cs="宋体"/>
                <w:kern w:val="0"/>
                <w:szCs w:val="21"/>
              </w:rPr>
              <w:t>项目为防洪治理工程，运营过程无总量控制污染物产生、排放，无需申请总量控制指标</w:t>
            </w:r>
            <w:r>
              <w:rPr>
                <w:rFonts w:hint="eastAsia" w:ascii="宋体" w:hAnsi="宋体" w:cs="宋体"/>
                <w:kern w:val="0"/>
                <w:szCs w:val="21"/>
                <w:lang w:eastAsia="zh-CN"/>
              </w:rPr>
              <w:t>。</w:t>
            </w:r>
          </w:p>
        </w:tc>
      </w:tr>
    </w:tbl>
    <w:p>
      <w:pPr>
        <w:pStyle w:val="11"/>
        <w:adjustRightInd w:val="0"/>
        <w:snapToGrid/>
        <w:spacing w:before="0" w:beforeAutospacing="0" w:after="0" w:afterAutospacing="0" w:line="360" w:lineRule="auto"/>
        <w:ind w:left="0" w:leftChars="0" w:right="0" w:rightChars="0" w:firstLine="560" w:firstLineChars="200"/>
        <w:jc w:val="left"/>
        <w:outlineLvl w:val="0"/>
        <w:rPr>
          <w:rFonts w:ascii="Times New Roman" w:hAnsi="黑体" w:eastAsia="宋体"/>
          <w:snapToGrid w:val="0"/>
          <w:kern w:val="2"/>
          <w:sz w:val="28"/>
          <w:szCs w:val="36"/>
        </w:rPr>
      </w:pPr>
    </w:p>
    <w:p>
      <w:pPr>
        <w:pStyle w:val="11"/>
        <w:snapToGrid/>
        <w:spacing w:before="312" w:beforeLines="100" w:beforeAutospacing="0" w:after="156" w:afterLines="50" w:afterAutospacing="0" w:line="360" w:lineRule="auto"/>
        <w:ind w:left="0" w:leftChars="0" w:right="0" w:rightChars="0" w:firstLine="0" w:firstLineChars="0"/>
        <w:jc w:val="left"/>
        <w:outlineLvl w:val="0"/>
        <w:rPr>
          <w:rFonts w:ascii="Times New Roman" w:hAnsi="黑体" w:eastAsia="宋体"/>
          <w:b/>
          <w:snapToGrid w:val="0"/>
          <w:sz w:val="32"/>
          <w:szCs w:val="30"/>
        </w:rPr>
      </w:pPr>
      <w:r>
        <w:rPr>
          <w:rFonts w:ascii="Times New Roman" w:hAnsi="黑体" w:eastAsia="宋体"/>
          <w:b/>
          <w:snapToGrid w:val="0"/>
          <w:kern w:val="2"/>
          <w:sz w:val="32"/>
          <w:szCs w:val="36"/>
        </w:rPr>
        <w:br w:type="page"/>
      </w:r>
      <w:r>
        <w:rPr>
          <w:rFonts w:hint="eastAsia" w:ascii="Times New Roman" w:hAnsi="黑体" w:eastAsia="宋体"/>
          <w:b/>
          <w:snapToGrid w:val="0"/>
          <w:sz w:val="32"/>
          <w:szCs w:val="30"/>
        </w:rPr>
        <w:t>四、生态环境影响分析</w:t>
      </w:r>
    </w:p>
    <w:tbl>
      <w:tblPr>
        <w:tblStyle w:val="14"/>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879" w:type="dxa"/>
            <w:noWrap w:val="0"/>
            <w:tcMar>
              <w:left w:w="28" w:type="dxa"/>
              <w:right w:w="28" w:type="dxa"/>
            </w:tcMar>
            <w:vAlign w:val="center"/>
          </w:tcPr>
          <w:p>
            <w:pPr>
              <w:autoSpaceDE w:val="0"/>
              <w:autoSpaceDN w:val="0"/>
              <w:adjustRightInd w:val="0"/>
              <w:snapToGrid w:val="0"/>
              <w:jc w:val="center"/>
              <w:rPr>
                <w:rFonts w:hint="eastAsia" w:ascii="宋体" w:hAnsi="宋体" w:eastAsia="宋体" w:cs="宋体"/>
                <w:kern w:val="0"/>
                <w:sz w:val="24"/>
                <w:szCs w:val="24"/>
              </w:rPr>
            </w:pPr>
            <w:bookmarkStart w:id="2" w:name="_Hlk49796138"/>
            <w:r>
              <w:rPr>
                <w:rFonts w:hint="eastAsia" w:ascii="宋体" w:hAnsi="宋体" w:eastAsia="宋体" w:cs="宋体"/>
                <w:kern w:val="0"/>
                <w:sz w:val="24"/>
                <w:szCs w:val="24"/>
              </w:rPr>
              <w:t>施工期生态环境影响分析</w:t>
            </w:r>
            <w:bookmarkEnd w:id="2"/>
          </w:p>
        </w:tc>
        <w:tc>
          <w:tcPr>
            <w:tcW w:w="8363" w:type="dxa"/>
            <w:noWrap w:val="0"/>
            <w:vAlign w:val="top"/>
          </w:tcPr>
          <w:p>
            <w:pPr>
              <w:adjustRightInd w:val="0"/>
              <w:snapToGrid w:val="0"/>
              <w:rPr>
                <w:rFonts w:hint="eastAsia" w:ascii="宋体" w:hAnsi="宋体" w:cs="宋体"/>
                <w:b/>
                <w:bCs w:val="0"/>
                <w:szCs w:val="21"/>
              </w:rPr>
            </w:pPr>
            <w:r>
              <w:rPr>
                <w:rFonts w:hint="eastAsia" w:ascii="宋体" w:hAnsi="宋体" w:cs="宋体"/>
                <w:b/>
                <w:bCs w:val="0"/>
                <w:szCs w:val="21"/>
              </w:rPr>
              <w:t>一、生态环境影响分析</w:t>
            </w:r>
          </w:p>
          <w:p>
            <w:pPr>
              <w:adjustRightInd w:val="0"/>
              <w:snapToGrid w:val="0"/>
              <w:ind w:firstLine="480" w:firstLineChars="200"/>
              <w:rPr>
                <w:rFonts w:hint="eastAsia" w:ascii="宋体" w:hAnsi="宋体" w:cs="宋体"/>
                <w:bCs/>
                <w:szCs w:val="21"/>
              </w:rPr>
            </w:pPr>
            <w:r>
              <w:rPr>
                <w:rFonts w:hint="eastAsia" w:ascii="宋体" w:hAnsi="宋体" w:cs="宋体"/>
                <w:bCs/>
                <w:szCs w:val="21"/>
              </w:rPr>
              <w:t>项目施工期对生态环境的影响主要表现在土地利用、生物多样性和生物量、景观生态、水土流失等方面。</w:t>
            </w:r>
          </w:p>
          <w:p>
            <w:pPr>
              <w:adjustRightInd w:val="0"/>
              <w:snapToGrid w:val="0"/>
              <w:ind w:firstLine="480" w:firstLineChars="200"/>
              <w:rPr>
                <w:rFonts w:hint="eastAsia" w:ascii="宋体" w:hAnsi="宋体" w:cs="宋体"/>
                <w:bCs/>
                <w:szCs w:val="21"/>
              </w:rPr>
            </w:pPr>
            <w:r>
              <w:rPr>
                <w:rFonts w:hint="eastAsia" w:ascii="宋体" w:hAnsi="宋体" w:cs="宋体"/>
                <w:bCs/>
                <w:szCs w:val="21"/>
              </w:rPr>
              <w:t>1、土地利用影响分析</w:t>
            </w:r>
          </w:p>
          <w:p>
            <w:pPr>
              <w:adjustRightInd w:val="0"/>
              <w:snapToGrid w:val="0"/>
              <w:ind w:firstLine="480" w:firstLineChars="200"/>
              <w:rPr>
                <w:rFonts w:hint="eastAsia" w:ascii="宋体" w:hAnsi="宋体" w:cs="宋体"/>
                <w:bCs/>
                <w:szCs w:val="21"/>
              </w:rPr>
            </w:pPr>
            <w:r>
              <w:rPr>
                <w:rFonts w:hint="eastAsia" w:ascii="宋体" w:hAnsi="宋体" w:cs="宋体"/>
                <w:bCs/>
                <w:szCs w:val="21"/>
              </w:rPr>
              <w:t>本项目位于</w:t>
            </w:r>
            <w:r>
              <w:rPr>
                <w:rFonts w:hint="eastAsia" w:ascii="宋体" w:hAnsi="宋体" w:cs="宋体"/>
                <w:bCs/>
                <w:color w:val="auto"/>
                <w:szCs w:val="21"/>
                <w:lang w:eastAsia="zh-CN"/>
              </w:rPr>
              <w:t>五井石河</w:t>
            </w:r>
            <w:r>
              <w:rPr>
                <w:rFonts w:hint="eastAsia" w:ascii="宋体" w:hAnsi="宋体" w:cs="宋体"/>
                <w:bCs/>
                <w:szCs w:val="21"/>
              </w:rPr>
              <w:t>，无新增永久占地，不占用基本农田，不会改变当地土地利用总体格局，对土地资源的影响较小。</w:t>
            </w:r>
          </w:p>
          <w:p>
            <w:pPr>
              <w:adjustRightInd w:val="0"/>
              <w:snapToGrid w:val="0"/>
              <w:ind w:firstLine="480" w:firstLineChars="200"/>
              <w:rPr>
                <w:rFonts w:hint="eastAsia" w:ascii="宋体" w:hAnsi="宋体" w:cs="宋体"/>
                <w:bCs/>
                <w:szCs w:val="21"/>
              </w:rPr>
            </w:pPr>
            <w:r>
              <w:rPr>
                <w:rFonts w:hint="eastAsia" w:ascii="宋体" w:hAnsi="宋体" w:cs="宋体"/>
                <w:bCs/>
                <w:szCs w:val="21"/>
              </w:rPr>
              <w:t>2、生物多样性和生物量影响分析</w:t>
            </w:r>
          </w:p>
          <w:p>
            <w:pPr>
              <w:adjustRightInd w:val="0"/>
              <w:snapToGrid w:val="0"/>
              <w:ind w:firstLine="480" w:firstLineChars="200"/>
              <w:rPr>
                <w:rFonts w:hint="eastAsia" w:ascii="宋体" w:hAnsi="宋体" w:cs="宋体"/>
                <w:bCs/>
                <w:szCs w:val="21"/>
              </w:rPr>
            </w:pPr>
            <w:r>
              <w:rPr>
                <w:rFonts w:hint="eastAsia" w:ascii="宋体" w:hAnsi="宋体" w:cs="宋体"/>
                <w:bCs/>
                <w:szCs w:val="21"/>
              </w:rPr>
              <w:t>（1）对植被的影响</w:t>
            </w:r>
          </w:p>
          <w:p>
            <w:pPr>
              <w:adjustRightInd w:val="0"/>
              <w:snapToGrid w:val="0"/>
              <w:ind w:firstLine="480" w:firstLineChars="200"/>
              <w:rPr>
                <w:rFonts w:hint="eastAsia" w:ascii="宋体" w:hAnsi="宋体" w:cs="宋体"/>
                <w:bCs/>
                <w:szCs w:val="21"/>
              </w:rPr>
            </w:pPr>
            <w:r>
              <w:rPr>
                <w:rFonts w:hint="eastAsia" w:ascii="宋体" w:hAnsi="宋体" w:cs="宋体"/>
                <w:bCs/>
                <w:szCs w:val="21"/>
              </w:rPr>
              <w:t>施工</w:t>
            </w:r>
            <w:r>
              <w:rPr>
                <w:rFonts w:hint="eastAsia" w:ascii="宋体" w:hAnsi="宋体" w:cs="宋体"/>
                <w:bCs/>
                <w:szCs w:val="21"/>
                <w:lang w:eastAsia="zh-CN"/>
              </w:rPr>
              <w:t>期间</w:t>
            </w:r>
            <w:r>
              <w:rPr>
                <w:rFonts w:hint="eastAsia" w:ascii="宋体" w:hAnsi="宋体" w:cs="宋体"/>
                <w:bCs/>
                <w:szCs w:val="21"/>
              </w:rPr>
              <w:t>，将破坏项目占地区域内原有植被的生长。施工过程中会有大量的人流和车流进入，如果施工管理不善，对施工场地周围的植被破坏较大，甚至导致其消失。</w:t>
            </w:r>
          </w:p>
          <w:p>
            <w:pPr>
              <w:adjustRightInd w:val="0"/>
              <w:snapToGrid w:val="0"/>
              <w:ind w:firstLine="480" w:firstLineChars="200"/>
              <w:rPr>
                <w:rFonts w:hint="eastAsia" w:ascii="宋体" w:hAnsi="宋体" w:cs="宋体"/>
                <w:bCs/>
                <w:szCs w:val="21"/>
              </w:rPr>
            </w:pPr>
            <w:r>
              <w:rPr>
                <w:rFonts w:hint="eastAsia" w:ascii="宋体" w:hAnsi="宋体" w:cs="宋体"/>
                <w:bCs/>
                <w:szCs w:val="21"/>
              </w:rPr>
              <w:t>项目施工过程中，运输车辆产生的扬尘、施工过程洒落的石灰和水泥，会对周围植物的生长带来直接的影响。这些尘土降落到植物的叶面上，会堵塞毛孔，影响植物的光合作用，从而使之生长减缓甚至死去。石灰和水泥若被雨水冲刷渗入地下，会导致土壤板结，影响植物根系对水分和矿物质的吸收。另外，原材料的堆放、车辆漏油，还会污染土壤，从而间接影响植物的生长。虽然随着施工的结束不再产生扬尘，情况会有所好转，但是这些影响并不会随施工的结束而得到解决，它们的影响将持续较长一段时间。因此施工过程中，一定要处理好原材料和废弃料的处理，对于运输车辆，也要尽量走固定的路线，将影响减小到</w:t>
            </w:r>
            <w:r>
              <w:rPr>
                <w:rFonts w:hint="eastAsia" w:ascii="宋体" w:hAnsi="宋体" w:cs="宋体"/>
                <w:bCs/>
                <w:szCs w:val="21"/>
                <w:lang w:eastAsia="zh-CN"/>
              </w:rPr>
              <w:t>最小范围</w:t>
            </w:r>
            <w:r>
              <w:rPr>
                <w:rFonts w:hint="eastAsia" w:ascii="宋体" w:hAnsi="宋体" w:cs="宋体"/>
                <w:bCs/>
                <w:szCs w:val="21"/>
              </w:rPr>
              <w:t>。</w:t>
            </w:r>
          </w:p>
          <w:p>
            <w:pPr>
              <w:adjustRightInd w:val="0"/>
              <w:snapToGrid w:val="0"/>
              <w:ind w:firstLine="480" w:firstLineChars="200"/>
              <w:rPr>
                <w:rFonts w:hint="eastAsia" w:ascii="宋体" w:hAnsi="宋体" w:cs="宋体"/>
                <w:bCs/>
                <w:szCs w:val="21"/>
              </w:rPr>
            </w:pPr>
            <w:r>
              <w:rPr>
                <w:rFonts w:hint="eastAsia" w:ascii="宋体" w:hAnsi="宋体" w:cs="宋体"/>
                <w:bCs/>
                <w:szCs w:val="21"/>
              </w:rPr>
              <w:t>这一时期损失的植被可以通过加强垂直绿化和隙地绿化适当补偿，关键是补偿植被减少造成的生态功能损失。</w:t>
            </w:r>
          </w:p>
          <w:p>
            <w:pPr>
              <w:adjustRightInd w:val="0"/>
              <w:snapToGrid w:val="0"/>
              <w:ind w:firstLine="480" w:firstLineChars="200"/>
              <w:rPr>
                <w:rFonts w:hint="eastAsia" w:ascii="宋体" w:hAnsi="宋体" w:cs="宋体"/>
                <w:bCs/>
                <w:szCs w:val="21"/>
              </w:rPr>
            </w:pPr>
            <w:r>
              <w:rPr>
                <w:rFonts w:hint="eastAsia" w:ascii="宋体" w:hAnsi="宋体" w:cs="宋体"/>
                <w:bCs/>
                <w:szCs w:val="21"/>
              </w:rPr>
              <w:t>经实地调查，项目评价范围生态类型较简单，多为人工绿地植被，基本无野生植被，选址沿线无珍稀野生植物，由于施工扰动，导致原有的植被破坏，相应减少植被的数量。</w:t>
            </w:r>
          </w:p>
          <w:p>
            <w:pPr>
              <w:adjustRightInd w:val="0"/>
              <w:snapToGrid w:val="0"/>
              <w:ind w:firstLine="480" w:firstLineChars="200"/>
              <w:rPr>
                <w:rFonts w:hint="eastAsia" w:ascii="宋体" w:hAnsi="宋体" w:cs="宋体"/>
                <w:bCs/>
                <w:szCs w:val="21"/>
              </w:rPr>
            </w:pPr>
            <w:r>
              <w:rPr>
                <w:rFonts w:hint="eastAsia" w:ascii="宋体" w:hAnsi="宋体" w:cs="宋体"/>
                <w:bCs/>
                <w:szCs w:val="21"/>
              </w:rPr>
              <w:t>但本项目施工作业面很窄，局段施工期短暂，施工期结束后随着人工恢复及自然演替过程，不会对植被的数量及多样性产生影响。</w:t>
            </w:r>
          </w:p>
          <w:p>
            <w:pPr>
              <w:adjustRightInd w:val="0"/>
              <w:snapToGrid w:val="0"/>
              <w:ind w:firstLine="480" w:firstLineChars="200"/>
              <w:rPr>
                <w:rFonts w:hint="eastAsia" w:ascii="宋体" w:hAnsi="宋体" w:cs="宋体"/>
                <w:bCs/>
                <w:szCs w:val="21"/>
              </w:rPr>
            </w:pPr>
            <w:r>
              <w:rPr>
                <w:rFonts w:hint="eastAsia" w:ascii="宋体" w:hAnsi="宋体" w:cs="宋体"/>
                <w:bCs/>
                <w:szCs w:val="21"/>
              </w:rPr>
              <w:t>施工过程中，</w:t>
            </w:r>
            <w:r>
              <w:rPr>
                <w:rFonts w:hint="eastAsia" w:ascii="宋体" w:hAnsi="宋体" w:cs="宋体"/>
                <w:bCs/>
                <w:szCs w:val="21"/>
                <w:lang w:eastAsia="zh-CN"/>
              </w:rPr>
              <w:t>基坑开挖</w:t>
            </w:r>
            <w:r>
              <w:rPr>
                <w:rFonts w:hint="eastAsia" w:ascii="宋体" w:hAnsi="宋体" w:cs="宋体"/>
                <w:bCs/>
                <w:szCs w:val="21"/>
              </w:rPr>
              <w:t>将底土翻出，将使土体结构几乎完全改变，挖掘区的植被全部遭到毁灭性破坏，选址两侧</w:t>
            </w:r>
            <w:r>
              <w:rPr>
                <w:rFonts w:hint="eastAsia" w:ascii="宋体" w:hAnsi="宋体" w:cs="宋体"/>
                <w:bCs/>
                <w:szCs w:val="21"/>
                <w:lang w:eastAsia="zh-CN"/>
              </w:rPr>
              <w:t>其他</w:t>
            </w:r>
            <w:r>
              <w:rPr>
                <w:rFonts w:hint="eastAsia" w:ascii="宋体" w:hAnsi="宋体" w:cs="宋体"/>
                <w:bCs/>
                <w:szCs w:val="21"/>
              </w:rPr>
              <w:t>区域的植被则受到不同程度的破坏和影响。施工作业区</w:t>
            </w:r>
            <w:r>
              <w:rPr>
                <w:rFonts w:hint="eastAsia" w:ascii="宋体" w:hAnsi="宋体" w:cs="宋体"/>
                <w:bCs/>
                <w:szCs w:val="21"/>
                <w:lang w:eastAsia="zh-CN"/>
              </w:rPr>
              <w:t>的</w:t>
            </w:r>
            <w:r>
              <w:rPr>
                <w:rFonts w:hint="eastAsia" w:ascii="宋体" w:hAnsi="宋体" w:cs="宋体"/>
                <w:bCs/>
                <w:szCs w:val="21"/>
              </w:rPr>
              <w:t>范围内，植被遭到严重破坏，原有植被成分基本消失，植物的根系也受到彻底破坏。</w:t>
            </w:r>
          </w:p>
          <w:p>
            <w:pPr>
              <w:adjustRightInd w:val="0"/>
              <w:snapToGrid w:val="0"/>
              <w:ind w:firstLine="480" w:firstLineChars="200"/>
              <w:rPr>
                <w:rFonts w:hint="eastAsia" w:ascii="宋体" w:hAnsi="宋体" w:cs="宋体"/>
                <w:bCs/>
                <w:szCs w:val="21"/>
              </w:rPr>
            </w:pPr>
            <w:r>
              <w:rPr>
                <w:rFonts w:hint="eastAsia" w:ascii="宋体" w:hAnsi="宋体" w:cs="宋体"/>
                <w:bCs/>
                <w:szCs w:val="21"/>
              </w:rPr>
              <w:t>按照生态学理论，选址沿线的植被破坏具有暂时性，一般施工结束</w:t>
            </w:r>
            <w:r>
              <w:rPr>
                <w:rFonts w:hint="eastAsia" w:ascii="宋体" w:hAnsi="宋体" w:cs="宋体"/>
                <w:bCs/>
                <w:szCs w:val="21"/>
                <w:lang w:eastAsia="zh-CN"/>
              </w:rPr>
              <w:t>后</w:t>
            </w:r>
            <w:r>
              <w:rPr>
                <w:rFonts w:hint="eastAsia" w:ascii="宋体" w:hAnsi="宋体" w:cs="宋体"/>
                <w:bCs/>
                <w:szCs w:val="21"/>
              </w:rPr>
              <w:t>终止。根据选址所经地区的土壤、气候等自然条件分析，施工结束后，周围植物渐次侵入，开始进入恢复演替过程。</w:t>
            </w:r>
          </w:p>
          <w:p>
            <w:pPr>
              <w:adjustRightInd w:val="0"/>
              <w:snapToGrid w:val="0"/>
              <w:ind w:firstLine="480" w:firstLineChars="200"/>
              <w:rPr>
                <w:rFonts w:hint="eastAsia" w:ascii="宋体" w:hAnsi="宋体" w:cs="宋体"/>
                <w:bCs/>
                <w:szCs w:val="21"/>
              </w:rPr>
            </w:pPr>
            <w:r>
              <w:rPr>
                <w:rFonts w:hint="eastAsia" w:ascii="宋体" w:hAnsi="宋体" w:cs="宋体"/>
                <w:bCs/>
                <w:szCs w:val="21"/>
              </w:rPr>
              <w:t>如果采用人工植树种草的措施恢复植被的覆盖度，比自然恢复可以加快恢复进程，一般区域2～3年可恢复草本植被，3～5年恢复灌木植被，10～15年恢复乔木植被。本工程采用人工植树种草的方式。</w:t>
            </w:r>
          </w:p>
          <w:p>
            <w:pPr>
              <w:adjustRightInd w:val="0"/>
              <w:snapToGrid w:val="0"/>
              <w:ind w:firstLine="480" w:firstLineChars="200"/>
              <w:rPr>
                <w:rFonts w:hint="eastAsia" w:ascii="宋体" w:hAnsi="宋体" w:cs="宋体"/>
                <w:bCs/>
                <w:szCs w:val="21"/>
              </w:rPr>
            </w:pPr>
            <w:r>
              <w:rPr>
                <w:rFonts w:hint="eastAsia" w:ascii="宋体" w:hAnsi="宋体" w:cs="宋体"/>
                <w:bCs/>
                <w:szCs w:val="21"/>
              </w:rPr>
              <w:t>需要指出的是，恢复的含义</w:t>
            </w:r>
            <w:r>
              <w:rPr>
                <w:rFonts w:hint="eastAsia" w:ascii="宋体" w:hAnsi="宋体" w:cs="宋体"/>
                <w:bCs/>
                <w:szCs w:val="21"/>
                <w:lang w:eastAsia="zh-CN"/>
              </w:rPr>
              <w:t>并非</w:t>
            </w:r>
            <w:r>
              <w:rPr>
                <w:rFonts w:hint="eastAsia" w:ascii="宋体" w:hAnsi="宋体" w:cs="宋体"/>
                <w:bCs/>
                <w:szCs w:val="21"/>
              </w:rPr>
              <w:t>完全恢复原施工前的植被种类组成和相对数量比例，而只是恢复至种类组成近似，物种多样性指数值近似的状态，但仍有所降低。</w:t>
            </w:r>
          </w:p>
          <w:p>
            <w:pPr>
              <w:adjustRightInd w:val="0"/>
              <w:snapToGrid w:val="0"/>
              <w:ind w:firstLine="480" w:firstLineChars="200"/>
              <w:rPr>
                <w:rFonts w:hint="eastAsia" w:ascii="宋体" w:hAnsi="宋体" w:cs="宋体"/>
                <w:bCs/>
                <w:szCs w:val="21"/>
              </w:rPr>
            </w:pPr>
            <w:r>
              <w:rPr>
                <w:rFonts w:hint="eastAsia" w:ascii="宋体" w:hAnsi="宋体" w:cs="宋体"/>
                <w:bCs/>
                <w:szCs w:val="21"/>
              </w:rPr>
              <w:t>（2）动物的影响</w:t>
            </w:r>
          </w:p>
          <w:p>
            <w:pPr>
              <w:adjustRightInd w:val="0"/>
              <w:snapToGrid w:val="0"/>
              <w:ind w:firstLine="480" w:firstLineChars="200"/>
              <w:rPr>
                <w:rFonts w:hint="eastAsia" w:ascii="宋体" w:hAnsi="宋体" w:cs="宋体"/>
                <w:bCs/>
                <w:szCs w:val="21"/>
              </w:rPr>
            </w:pPr>
            <w:r>
              <w:rPr>
                <w:rFonts w:hint="eastAsia" w:ascii="宋体" w:hAnsi="宋体" w:cs="宋体"/>
                <w:bCs/>
                <w:szCs w:val="21"/>
              </w:rPr>
              <w:t>施工期间，对两栖动物和爬行动物的活动有一定的影响，但它们会迁移到非施工区，对其生存不会造成威胁。施工期间，评价区域的鸟类和兽类将被迫离开原来的领域，邻近领域的鸟类和兽类，由于受到施工噪声的惊吓，也将远离原来的栖息地。</w:t>
            </w:r>
          </w:p>
          <w:p>
            <w:pPr>
              <w:adjustRightInd w:val="0"/>
              <w:snapToGrid w:val="0"/>
              <w:ind w:firstLine="480" w:firstLineChars="200"/>
              <w:rPr>
                <w:rFonts w:hint="eastAsia" w:ascii="宋体" w:hAnsi="宋体" w:cs="宋体"/>
                <w:bCs/>
                <w:szCs w:val="21"/>
              </w:rPr>
            </w:pPr>
            <w:r>
              <w:rPr>
                <w:rFonts w:hint="eastAsia" w:ascii="宋体" w:hAnsi="宋体" w:cs="宋体"/>
                <w:bCs/>
                <w:szCs w:val="21"/>
              </w:rPr>
              <w:t>施工开始，道路上行驶车辆增多，昼夜行驶，压死两栖、爬行动物经常可见，尤以早晚夜间更多。</w:t>
            </w:r>
          </w:p>
          <w:p>
            <w:pPr>
              <w:adjustRightInd w:val="0"/>
              <w:snapToGrid w:val="0"/>
              <w:ind w:firstLine="480" w:firstLineChars="200"/>
              <w:rPr>
                <w:rFonts w:hint="eastAsia" w:ascii="宋体" w:hAnsi="宋体" w:cs="宋体"/>
                <w:bCs/>
                <w:szCs w:val="21"/>
              </w:rPr>
            </w:pPr>
            <w:r>
              <w:rPr>
                <w:rFonts w:hint="eastAsia" w:ascii="宋体" w:hAnsi="宋体" w:cs="宋体"/>
                <w:bCs/>
                <w:szCs w:val="21"/>
              </w:rPr>
              <w:t>这种破坏是短暂的、可逆的，待施工结束后将予以恢复。由于项目不新增永久占地，因此，项目建设对陆生野生动物的影响将是微弱的。</w:t>
            </w:r>
          </w:p>
          <w:p>
            <w:pPr>
              <w:adjustRightInd w:val="0"/>
              <w:snapToGrid w:val="0"/>
              <w:ind w:firstLine="480" w:firstLineChars="200"/>
              <w:rPr>
                <w:rFonts w:hint="eastAsia" w:ascii="宋体" w:hAnsi="宋体" w:cs="宋体"/>
                <w:bCs/>
                <w:szCs w:val="21"/>
              </w:rPr>
            </w:pPr>
            <w:r>
              <w:rPr>
                <w:rFonts w:hint="eastAsia" w:ascii="宋体" w:hAnsi="宋体" w:cs="宋体"/>
                <w:bCs/>
                <w:szCs w:val="21"/>
              </w:rPr>
              <w:t>（3）生物量的影响</w:t>
            </w:r>
          </w:p>
          <w:p>
            <w:pPr>
              <w:adjustRightInd w:val="0"/>
              <w:snapToGrid w:val="0"/>
              <w:ind w:firstLine="480" w:firstLineChars="200"/>
              <w:rPr>
                <w:rFonts w:hint="eastAsia" w:ascii="宋体" w:hAnsi="宋体" w:cs="宋体"/>
                <w:bCs/>
                <w:szCs w:val="21"/>
              </w:rPr>
            </w:pPr>
            <w:r>
              <w:rPr>
                <w:rFonts w:hint="eastAsia" w:ascii="宋体" w:hAnsi="宋体" w:cs="宋体"/>
                <w:bCs/>
                <w:szCs w:val="21"/>
              </w:rPr>
              <w:t>本项目不新增永久占地，项目临时占地会造成一定的生物量损失。根据调查，项目占地范围内的植物物种都是当地周边常见的普通植物，因此项目的建设对区域植物多样性的影响甚微。施工后期，由于逐步采取绿化措施，物种量和生物量都将有所增加。因此施工期植物物种量和生物量是变化的，由急剧减少到逐步增加。施工结束后，项目区的绿化建设及植被的恢复，可逐渐弥补植物物种多样性的损失。</w:t>
            </w:r>
          </w:p>
          <w:p>
            <w:pPr>
              <w:adjustRightInd w:val="0"/>
              <w:snapToGrid w:val="0"/>
              <w:ind w:firstLine="480" w:firstLineChars="200"/>
              <w:rPr>
                <w:rFonts w:hint="eastAsia" w:ascii="宋体" w:hAnsi="宋体" w:cs="宋体"/>
                <w:bCs/>
                <w:szCs w:val="21"/>
              </w:rPr>
            </w:pPr>
            <w:r>
              <w:rPr>
                <w:rFonts w:hint="eastAsia" w:ascii="宋体" w:hAnsi="宋体" w:cs="宋体"/>
                <w:bCs/>
                <w:szCs w:val="21"/>
              </w:rPr>
              <w:t>3、景观生态影响分析</w:t>
            </w:r>
          </w:p>
          <w:p>
            <w:pPr>
              <w:adjustRightInd w:val="0"/>
              <w:snapToGrid w:val="0"/>
              <w:ind w:firstLine="480" w:firstLineChars="200"/>
              <w:rPr>
                <w:rFonts w:hint="eastAsia" w:ascii="宋体" w:hAnsi="宋体" w:cs="宋体"/>
                <w:bCs/>
                <w:szCs w:val="21"/>
              </w:rPr>
            </w:pPr>
            <w:r>
              <w:rPr>
                <w:rFonts w:hint="eastAsia" w:ascii="宋体" w:hAnsi="宋体" w:cs="宋体"/>
                <w:bCs/>
                <w:szCs w:val="21"/>
              </w:rPr>
              <w:t>项目施工期，由于工程施工活动频繁，对作业区景观环境影响较大。由于作业区多集中于项目区用地范围内，工程直接影响范围相对较小，但占地、施工场地及作业活动会改变原有地貌景观，可能产生视觉污染。主要表现为：</w:t>
            </w:r>
          </w:p>
          <w:p>
            <w:pPr>
              <w:adjustRightInd w:val="0"/>
              <w:snapToGrid w:val="0"/>
              <w:ind w:firstLine="480" w:firstLineChars="200"/>
              <w:rPr>
                <w:rFonts w:hint="eastAsia" w:ascii="宋体" w:hAnsi="宋体" w:cs="宋体"/>
                <w:bCs/>
                <w:szCs w:val="21"/>
              </w:rPr>
            </w:pPr>
            <w:r>
              <w:rPr>
                <w:rFonts w:hint="eastAsia" w:ascii="宋体" w:hAnsi="宋体" w:cs="宋体"/>
                <w:bCs/>
                <w:szCs w:val="21"/>
              </w:rPr>
              <w:t>（1）对地貌形态的影响</w:t>
            </w:r>
          </w:p>
          <w:p>
            <w:pPr>
              <w:adjustRightInd w:val="0"/>
              <w:snapToGrid w:val="0"/>
              <w:ind w:firstLine="480" w:firstLineChars="200"/>
              <w:rPr>
                <w:rFonts w:hint="eastAsia" w:ascii="宋体" w:hAnsi="宋体" w:cs="宋体"/>
                <w:bCs/>
                <w:szCs w:val="21"/>
              </w:rPr>
            </w:pPr>
            <w:r>
              <w:rPr>
                <w:rFonts w:hint="eastAsia" w:ascii="宋体" w:hAnsi="宋体" w:cs="宋体"/>
                <w:bCs/>
                <w:szCs w:val="21"/>
              </w:rPr>
              <w:t>项目主要位处平原地貌单元中，地形起伏不大，工程布设以地形为依托。本项目在原有河堤基础上进行建设，因此，不会在境内平原地貌单元内构成一个新的地理分界线，进而改变现有的地貌单元构成，不会改变原有地表径流汇水区域的基本格局。通过上述分析来看，项目建设不会改变其所在区域以平原为主体的地貌类型构成，也不会由此产生新的地貌单元，因此，不会对区域地貌形态产生影响。</w:t>
            </w:r>
          </w:p>
          <w:p>
            <w:pPr>
              <w:adjustRightInd w:val="0"/>
              <w:snapToGrid w:val="0"/>
              <w:ind w:firstLine="480" w:firstLineChars="200"/>
              <w:rPr>
                <w:rFonts w:hint="eastAsia" w:ascii="宋体" w:hAnsi="宋体" w:cs="宋体"/>
                <w:bCs/>
                <w:szCs w:val="21"/>
              </w:rPr>
            </w:pPr>
            <w:r>
              <w:rPr>
                <w:rFonts w:hint="eastAsia" w:ascii="宋体" w:hAnsi="宋体" w:cs="宋体"/>
                <w:bCs/>
                <w:szCs w:val="21"/>
              </w:rPr>
              <w:t>（2）工程填挖作业对景观环境的影响</w:t>
            </w:r>
          </w:p>
          <w:p>
            <w:pPr>
              <w:adjustRightInd w:val="0"/>
              <w:snapToGrid w:val="0"/>
              <w:ind w:firstLine="480" w:firstLineChars="200"/>
              <w:rPr>
                <w:rFonts w:hint="eastAsia" w:ascii="宋体" w:hAnsi="宋体" w:cs="宋体"/>
                <w:bCs/>
                <w:szCs w:val="21"/>
              </w:rPr>
            </w:pPr>
            <w:r>
              <w:rPr>
                <w:rFonts w:hint="eastAsia" w:ascii="宋体" w:hAnsi="宋体" w:cs="宋体"/>
                <w:bCs/>
                <w:szCs w:val="21"/>
              </w:rPr>
              <w:t>工程填挖作业主要指现状河堤的开挖、废弃渣料堆置等。工程对景观环境的影响主要为对地表植被的破坏。此外，地表开挖使局部地形、地貌景观破碎化程度加剧，进而使景观性质发生改变，景观异质性明显增强。</w:t>
            </w:r>
          </w:p>
          <w:p>
            <w:pPr>
              <w:adjustRightInd w:val="0"/>
              <w:snapToGrid w:val="0"/>
              <w:ind w:firstLine="480" w:firstLineChars="200"/>
              <w:rPr>
                <w:rFonts w:hint="eastAsia" w:ascii="宋体" w:hAnsi="宋体" w:cs="宋体"/>
                <w:bCs/>
                <w:szCs w:val="21"/>
              </w:rPr>
            </w:pPr>
            <w:r>
              <w:rPr>
                <w:rFonts w:hint="eastAsia" w:ascii="宋体" w:hAnsi="宋体" w:cs="宋体"/>
                <w:bCs/>
                <w:szCs w:val="21"/>
              </w:rPr>
              <w:t>项目的修建过程中将产生一定数量的裸露边坡，对视觉景观产生一定的影响，并造成水土流失。裸露的地表与周围的自然景观产生明显的视觉反差。如果在施工中随意扩大施工作业面、滥砍滥伐树木或不规范取土，地表裸露段的视觉反差将会更大。</w:t>
            </w:r>
          </w:p>
          <w:p>
            <w:pPr>
              <w:adjustRightInd w:val="0"/>
              <w:snapToGrid w:val="0"/>
              <w:ind w:firstLine="480" w:firstLineChars="200"/>
              <w:rPr>
                <w:rFonts w:hint="eastAsia" w:ascii="宋体" w:hAnsi="宋体" w:cs="宋体"/>
                <w:bCs/>
                <w:szCs w:val="21"/>
              </w:rPr>
            </w:pPr>
            <w:r>
              <w:rPr>
                <w:rFonts w:hint="eastAsia" w:ascii="宋体" w:hAnsi="宋体" w:cs="宋体"/>
                <w:bCs/>
                <w:szCs w:val="21"/>
              </w:rPr>
              <w:t>4、水土流失影响分析</w:t>
            </w:r>
          </w:p>
          <w:p>
            <w:pPr>
              <w:adjustRightInd w:val="0"/>
              <w:snapToGrid w:val="0"/>
              <w:ind w:firstLine="480" w:firstLineChars="200"/>
              <w:rPr>
                <w:rFonts w:hint="eastAsia" w:ascii="宋体" w:hAnsi="宋体" w:cs="宋体"/>
                <w:bCs/>
                <w:szCs w:val="21"/>
              </w:rPr>
            </w:pPr>
            <w:r>
              <w:rPr>
                <w:rFonts w:hint="eastAsia" w:ascii="宋体" w:hAnsi="宋体" w:cs="宋体"/>
                <w:bCs/>
                <w:szCs w:val="21"/>
              </w:rPr>
              <w:t>项目在建设过程中会形成部分陆地形态的裸地，因此项目建设不可避免地产生人为水土流失。工程建设中产生临时弃土的堆积，堆放过程中可能因洪水或雨水的冲刷造成水土流失。施工对地表植被的破坏造成水土保持设施的破坏，对沿线生态环境造成危害。</w:t>
            </w:r>
          </w:p>
          <w:p>
            <w:pPr>
              <w:adjustRightInd w:val="0"/>
              <w:snapToGrid w:val="0"/>
              <w:ind w:firstLine="480" w:firstLineChars="200"/>
              <w:rPr>
                <w:rFonts w:hint="eastAsia" w:ascii="宋体" w:hAnsi="宋体" w:cs="宋体"/>
                <w:bCs/>
                <w:szCs w:val="21"/>
              </w:rPr>
            </w:pPr>
            <w:r>
              <w:rPr>
                <w:rFonts w:hint="eastAsia" w:ascii="宋体" w:hAnsi="宋体" w:cs="宋体"/>
                <w:bCs/>
                <w:szCs w:val="21"/>
              </w:rPr>
              <w:t>施工中土石方开挖、填筑、碾压、弃土等活动，造成原地表的水土保持设施的损坏，而植被的损坏使其截留降水、涵蓄水分、滞缓径流、固土拦泥的作用降低，造成水土保持功能下降，加剧水土流失。</w:t>
            </w:r>
          </w:p>
          <w:p>
            <w:pPr>
              <w:adjustRightInd w:val="0"/>
              <w:snapToGrid w:val="0"/>
              <w:ind w:firstLine="480" w:firstLineChars="200"/>
              <w:rPr>
                <w:rFonts w:hint="eastAsia" w:ascii="宋体" w:hAnsi="宋体" w:cs="宋体"/>
                <w:bCs/>
                <w:szCs w:val="21"/>
              </w:rPr>
            </w:pPr>
            <w:r>
              <w:rPr>
                <w:rFonts w:hint="eastAsia" w:ascii="宋体" w:hAnsi="宋体" w:cs="宋体"/>
                <w:bCs/>
                <w:szCs w:val="21"/>
              </w:rPr>
              <w:t>施工期间造成的水土流失及施工占地对现有植被的破坏是临时的，并且施工料场占地面积不大，所以对生态环境的负面影响不会太大。</w:t>
            </w:r>
          </w:p>
          <w:p>
            <w:pPr>
              <w:adjustRightInd w:val="0"/>
              <w:snapToGrid w:val="0"/>
              <w:rPr>
                <w:rFonts w:hint="eastAsia" w:ascii="宋体" w:hAnsi="宋体" w:cs="宋体"/>
                <w:b/>
                <w:bCs w:val="0"/>
                <w:szCs w:val="21"/>
              </w:rPr>
            </w:pPr>
            <w:r>
              <w:rPr>
                <w:rFonts w:hint="eastAsia" w:ascii="宋体" w:hAnsi="宋体" w:cs="宋体"/>
                <w:b/>
                <w:bCs w:val="0"/>
                <w:szCs w:val="21"/>
              </w:rPr>
              <w:t>二、废气</w:t>
            </w:r>
          </w:p>
          <w:p>
            <w:pPr>
              <w:adjustRightInd w:val="0"/>
              <w:snapToGrid w:val="0"/>
              <w:ind w:firstLine="480" w:firstLineChars="200"/>
              <w:rPr>
                <w:rFonts w:hint="eastAsia" w:ascii="宋体" w:hAnsi="宋体" w:cs="宋体"/>
                <w:bCs/>
                <w:szCs w:val="21"/>
              </w:rPr>
            </w:pPr>
            <w:r>
              <w:rPr>
                <w:rFonts w:hint="eastAsia" w:ascii="宋体" w:hAnsi="宋体" w:cs="宋体"/>
                <w:bCs/>
                <w:szCs w:val="21"/>
              </w:rPr>
              <w:t>为方便施工，</w:t>
            </w:r>
            <w:r>
              <w:rPr>
                <w:rFonts w:hint="eastAsia" w:ascii="宋体" w:hAnsi="宋体" w:cs="宋体"/>
                <w:bCs/>
                <w:color w:val="auto"/>
                <w:szCs w:val="21"/>
              </w:rPr>
              <w:t>项目租用当地村民房屋设置1处施工营地。</w:t>
            </w:r>
          </w:p>
          <w:p>
            <w:pPr>
              <w:adjustRightInd w:val="0"/>
              <w:snapToGrid w:val="0"/>
              <w:ind w:firstLine="480" w:firstLineChars="200"/>
              <w:rPr>
                <w:rFonts w:hint="eastAsia" w:ascii="宋体" w:hAnsi="宋体" w:cs="宋体"/>
                <w:bCs/>
                <w:szCs w:val="21"/>
              </w:rPr>
            </w:pPr>
            <w:r>
              <w:rPr>
                <w:rFonts w:hint="eastAsia" w:ascii="宋体" w:hAnsi="宋体" w:cs="宋体"/>
                <w:bCs/>
                <w:szCs w:val="21"/>
              </w:rPr>
              <w:t>1、扬尘</w:t>
            </w:r>
          </w:p>
          <w:p>
            <w:pPr>
              <w:adjustRightInd w:val="0"/>
              <w:snapToGrid w:val="0"/>
              <w:ind w:firstLine="480" w:firstLineChars="200"/>
              <w:rPr>
                <w:rFonts w:hint="eastAsia" w:ascii="宋体" w:hAnsi="宋体" w:cs="宋体"/>
                <w:bCs/>
                <w:szCs w:val="21"/>
              </w:rPr>
            </w:pPr>
            <w:r>
              <w:rPr>
                <w:rFonts w:hint="eastAsia" w:ascii="宋体" w:hAnsi="宋体" w:cs="宋体"/>
                <w:bCs/>
                <w:szCs w:val="21"/>
              </w:rPr>
              <w:t>项目现状为项目评价范围内现状为河流、农田和空地，在施工期主要污染物是扬尘、粉尘。施工扬尘污染主要来自以下几个方面：</w:t>
            </w:r>
          </w:p>
          <w:p>
            <w:pPr>
              <w:adjustRightInd w:val="0"/>
              <w:snapToGrid w:val="0"/>
              <w:ind w:firstLine="480" w:firstLineChars="200"/>
              <w:rPr>
                <w:rFonts w:hint="eastAsia" w:ascii="宋体" w:hAnsi="宋体" w:cs="宋体"/>
                <w:bCs/>
                <w:szCs w:val="21"/>
              </w:rPr>
            </w:pPr>
            <w:r>
              <w:rPr>
                <w:rFonts w:hint="eastAsia" w:ascii="宋体" w:hAnsi="宋体" w:cs="宋体"/>
                <w:bCs/>
                <w:szCs w:val="21"/>
              </w:rPr>
              <w:t>（1）施工期如遇大风天气，会造成粉尘、扬尘等大气污染；</w:t>
            </w:r>
          </w:p>
          <w:p>
            <w:pPr>
              <w:adjustRightInd w:val="0"/>
              <w:snapToGrid w:val="0"/>
              <w:ind w:firstLine="480" w:firstLineChars="200"/>
              <w:rPr>
                <w:rFonts w:hint="eastAsia" w:ascii="宋体" w:hAnsi="宋体" w:cs="宋体"/>
                <w:bCs/>
                <w:szCs w:val="21"/>
              </w:rPr>
            </w:pPr>
            <w:r>
              <w:rPr>
                <w:rFonts w:hint="eastAsia" w:ascii="宋体" w:hAnsi="宋体" w:cs="宋体"/>
                <w:bCs/>
                <w:szCs w:val="21"/>
              </w:rPr>
              <w:t>（2）水泥、砂石、混凝土等建筑材料，如运输、装卸、仓库储存方式不当，可能造成泄漏，产生扬尘污染；</w:t>
            </w:r>
          </w:p>
          <w:p>
            <w:pPr>
              <w:adjustRightInd w:val="0"/>
              <w:snapToGrid w:val="0"/>
              <w:ind w:firstLine="480" w:firstLineChars="200"/>
              <w:rPr>
                <w:rFonts w:hint="eastAsia" w:ascii="宋体" w:hAnsi="宋体" w:cs="宋体"/>
                <w:bCs/>
                <w:szCs w:val="21"/>
              </w:rPr>
            </w:pPr>
            <w:r>
              <w:rPr>
                <w:rFonts w:hint="eastAsia" w:ascii="宋体" w:hAnsi="宋体" w:cs="宋体"/>
                <w:bCs/>
                <w:szCs w:val="21"/>
              </w:rPr>
              <w:t>（3）物料运输车辆在施工便道及施工场地运行过程中将产生大量尘土。</w:t>
            </w:r>
          </w:p>
          <w:p>
            <w:pPr>
              <w:adjustRightInd w:val="0"/>
              <w:snapToGrid w:val="0"/>
              <w:ind w:firstLine="480" w:firstLineChars="200"/>
              <w:rPr>
                <w:rFonts w:hint="eastAsia" w:ascii="宋体" w:hAnsi="宋体" w:cs="宋体"/>
                <w:bCs/>
                <w:szCs w:val="21"/>
              </w:rPr>
            </w:pPr>
            <w:r>
              <w:rPr>
                <w:rFonts w:hint="eastAsia" w:ascii="宋体" w:hAnsi="宋体" w:cs="宋体"/>
                <w:bCs/>
                <w:szCs w:val="21"/>
              </w:rPr>
              <w:t>本项目不在施工现场进行混凝土拌和，直接购买外运的商品混凝土进行铺设，因此大大减少了施工过程中产生的扬尘。因此，本项目扬尘主要是材料运输、装卸和堆放过程中产生的扬尘。</w:t>
            </w:r>
          </w:p>
          <w:p>
            <w:pPr>
              <w:adjustRightInd w:val="0"/>
              <w:snapToGrid w:val="0"/>
              <w:ind w:firstLine="480" w:firstLineChars="200"/>
              <w:rPr>
                <w:rFonts w:hint="eastAsia" w:ascii="宋体" w:hAnsi="宋体" w:cs="宋体"/>
                <w:bCs/>
                <w:szCs w:val="21"/>
              </w:rPr>
            </w:pPr>
            <w:r>
              <w:rPr>
                <w:rFonts w:hint="eastAsia" w:ascii="宋体" w:hAnsi="宋体" w:cs="宋体"/>
                <w:bCs/>
                <w:szCs w:val="21"/>
              </w:rPr>
              <w:t>一般情况下，场地、道路在自然风作用下产生的扬尘影响范围在100m以内。实验结果表明，实施每天洒水4～5次抑尘，可有效控制施工扬尘。因此，正常情况下扬尘不会对周围环境造成不良影响；但如果不经处理或处理不当，会对周边环境产生一定的危害。</w:t>
            </w:r>
          </w:p>
          <w:p>
            <w:pPr>
              <w:adjustRightInd w:val="0"/>
              <w:snapToGrid w:val="0"/>
              <w:ind w:firstLine="480" w:firstLineChars="200"/>
              <w:rPr>
                <w:rFonts w:hint="eastAsia" w:ascii="宋体" w:hAnsi="宋体" w:cs="宋体"/>
                <w:bCs/>
                <w:szCs w:val="21"/>
              </w:rPr>
            </w:pPr>
            <w:r>
              <w:rPr>
                <w:rFonts w:hint="eastAsia" w:ascii="宋体" w:hAnsi="宋体" w:cs="宋体"/>
                <w:bCs/>
                <w:szCs w:val="21"/>
              </w:rPr>
              <w:t>2、燃油废气</w:t>
            </w:r>
          </w:p>
          <w:p>
            <w:pPr>
              <w:adjustRightInd w:val="0"/>
              <w:snapToGrid w:val="0"/>
              <w:ind w:firstLine="480" w:firstLineChars="200"/>
              <w:rPr>
                <w:rFonts w:hint="eastAsia" w:ascii="宋体" w:hAnsi="宋体" w:cs="宋体"/>
                <w:bCs/>
                <w:szCs w:val="21"/>
              </w:rPr>
            </w:pPr>
            <w:r>
              <w:rPr>
                <w:rFonts w:hint="eastAsia" w:ascii="宋体" w:hAnsi="宋体" w:cs="宋体"/>
                <w:bCs/>
                <w:szCs w:val="21"/>
              </w:rPr>
              <w:t>施工机械和汽车运输时所排放的燃油废气，主要对作业点周围和运输路线两侧局部范围产生一定影响。建议燃油机车和施工机械尽可能使用柴油，若使用汽油，必须使用无铅汽油；对排烟量大的施工机械安装消烟装置，以减轻对大气环境的污染。由于废气排放量不大，所以不会对当地环境空气质量造成不良影响。</w:t>
            </w:r>
          </w:p>
          <w:p>
            <w:pPr>
              <w:adjustRightInd w:val="0"/>
              <w:snapToGrid w:val="0"/>
              <w:ind w:firstLine="480" w:firstLineChars="200"/>
              <w:rPr>
                <w:rFonts w:hint="eastAsia" w:ascii="宋体" w:hAnsi="宋体" w:cs="宋体"/>
                <w:bCs/>
                <w:szCs w:val="21"/>
              </w:rPr>
            </w:pPr>
            <w:r>
              <w:rPr>
                <w:rFonts w:hint="eastAsia" w:ascii="宋体" w:hAnsi="宋体" w:cs="宋体"/>
                <w:bCs/>
                <w:szCs w:val="21"/>
              </w:rPr>
              <w:t>3、臭气</w:t>
            </w:r>
          </w:p>
          <w:p>
            <w:pPr>
              <w:adjustRightInd w:val="0"/>
              <w:snapToGrid w:val="0"/>
              <w:ind w:firstLine="480" w:firstLineChars="200"/>
              <w:rPr>
                <w:rFonts w:hint="eastAsia" w:ascii="宋体" w:hAnsi="宋体" w:cs="宋体"/>
                <w:bCs/>
                <w:szCs w:val="21"/>
              </w:rPr>
            </w:pPr>
            <w:r>
              <w:rPr>
                <w:rFonts w:hint="eastAsia" w:ascii="宋体" w:hAnsi="宋体" w:cs="宋体"/>
                <w:bCs/>
                <w:szCs w:val="21"/>
              </w:rPr>
              <w:t>项目河道清理、淤泥清除产生臭气。河道清理淤泥清除产生的淤泥通过喷洒除臭剂等方式除臭，同时淤泥随产随清，用于</w:t>
            </w:r>
            <w:r>
              <w:rPr>
                <w:rFonts w:hint="eastAsia" w:ascii="宋体" w:hAnsi="宋体" w:cs="宋体"/>
                <w:bCs/>
                <w:color w:val="auto"/>
                <w:szCs w:val="21"/>
                <w:lang w:eastAsia="zh-CN"/>
              </w:rPr>
              <w:t>五井石河</w:t>
            </w:r>
            <w:r>
              <w:rPr>
                <w:rFonts w:hint="eastAsia" w:ascii="宋体" w:hAnsi="宋体" w:cs="宋体"/>
                <w:bCs/>
                <w:szCs w:val="21"/>
              </w:rPr>
              <w:t>治理工程，确保施工</w:t>
            </w:r>
            <w:r>
              <w:rPr>
                <w:rFonts w:hint="eastAsia" w:ascii="宋体" w:hAnsi="宋体" w:cs="宋体"/>
                <w:bCs/>
                <w:szCs w:val="21"/>
                <w:lang w:eastAsia="zh-CN"/>
              </w:rPr>
              <w:t>场</w:t>
            </w:r>
            <w:r>
              <w:rPr>
                <w:rFonts w:hint="eastAsia" w:ascii="宋体" w:hAnsi="宋体" w:cs="宋体"/>
                <w:bCs/>
                <w:szCs w:val="21"/>
              </w:rPr>
              <w:t>界恶臭污染物《恶臭污染物排放标准》（GB14554-93）表1二级标准。</w:t>
            </w:r>
          </w:p>
          <w:p>
            <w:pPr>
              <w:adjustRightInd w:val="0"/>
              <w:snapToGrid w:val="0"/>
              <w:rPr>
                <w:rFonts w:hint="eastAsia" w:ascii="宋体" w:hAnsi="宋体" w:cs="宋体"/>
                <w:b/>
                <w:bCs w:val="0"/>
                <w:szCs w:val="21"/>
              </w:rPr>
            </w:pPr>
            <w:r>
              <w:rPr>
                <w:rFonts w:hint="eastAsia" w:ascii="宋体" w:hAnsi="宋体" w:cs="宋体"/>
                <w:b/>
                <w:bCs w:val="0"/>
                <w:szCs w:val="21"/>
              </w:rPr>
              <w:t>三、废水</w:t>
            </w:r>
          </w:p>
          <w:p>
            <w:pPr>
              <w:adjustRightInd w:val="0"/>
              <w:snapToGrid w:val="0"/>
              <w:ind w:firstLine="480" w:firstLineChars="200"/>
              <w:rPr>
                <w:rFonts w:hint="eastAsia" w:ascii="宋体" w:hAnsi="宋体" w:eastAsia="宋体" w:cs="宋体"/>
                <w:bCs/>
                <w:szCs w:val="21"/>
                <w:lang w:eastAsia="zh-CN"/>
              </w:rPr>
            </w:pPr>
            <w:r>
              <w:rPr>
                <w:rFonts w:hint="eastAsia" w:ascii="宋体" w:hAnsi="宋体" w:cs="宋体"/>
                <w:bCs/>
                <w:szCs w:val="21"/>
              </w:rPr>
              <w:t>在距项目西北方向</w:t>
            </w:r>
            <w:r>
              <w:rPr>
                <w:rFonts w:hint="eastAsia" w:ascii="宋体" w:hAnsi="宋体" w:cs="宋体"/>
                <w:bCs/>
                <w:szCs w:val="21"/>
                <w:lang w:val="en-US" w:eastAsia="zh-CN"/>
              </w:rPr>
              <w:t>1</w:t>
            </w:r>
            <w:r>
              <w:rPr>
                <w:rFonts w:hint="eastAsia" w:ascii="宋体" w:hAnsi="宋体" w:cs="宋体"/>
                <w:bCs/>
                <w:szCs w:val="21"/>
              </w:rPr>
              <w:t>23米处，存在一处农村分散饮用水水源地—璞邱三村集中供水井。涉及的饮用水水源保护区属于农村分散饮用水水源二级保护区，禁止在饮用水水源保护区内设立临时占地，加强对施工机械和施工材料的现场管理，规范固体废物和废水的排放，严禁施工废水排放</w:t>
            </w:r>
            <w:r>
              <w:rPr>
                <w:rFonts w:hint="eastAsia" w:ascii="宋体" w:hAnsi="宋体" w:cs="宋体"/>
                <w:bCs/>
                <w:szCs w:val="21"/>
                <w:lang w:eastAsia="zh-CN"/>
              </w:rPr>
              <w:t>。</w:t>
            </w:r>
            <w:r>
              <w:rPr>
                <w:rFonts w:hint="eastAsia" w:ascii="宋体" w:hAnsi="宋体" w:cs="宋体"/>
                <w:bCs/>
                <w:szCs w:val="21"/>
              </w:rPr>
              <w:t>在施工期间，本项目将采取严格的防渗漏措施，实施水质监测</w:t>
            </w:r>
            <w:r>
              <w:rPr>
                <w:rFonts w:hint="eastAsia" w:ascii="宋体" w:hAnsi="宋体" w:cs="宋体"/>
                <w:bCs/>
                <w:szCs w:val="21"/>
                <w:lang w:eastAsia="zh-CN"/>
              </w:rPr>
              <w:t>，</w:t>
            </w:r>
            <w:r>
              <w:rPr>
                <w:rFonts w:hint="eastAsia" w:ascii="宋体" w:hAnsi="宋体" w:cs="宋体"/>
                <w:bCs/>
                <w:szCs w:val="21"/>
              </w:rPr>
              <w:t>并密切关注集中供水井取水口的水质状况。以确保璞邱三村的农村分散饮用水水源地不受任何影响。</w:t>
            </w:r>
          </w:p>
          <w:p>
            <w:pPr>
              <w:adjustRightInd w:val="0"/>
              <w:snapToGrid w:val="0"/>
              <w:ind w:firstLine="480" w:firstLineChars="200"/>
              <w:rPr>
                <w:rFonts w:hint="eastAsia" w:ascii="宋体" w:hAnsi="宋体" w:cs="宋体"/>
                <w:bCs/>
                <w:szCs w:val="21"/>
              </w:rPr>
            </w:pPr>
            <w:r>
              <w:rPr>
                <w:rFonts w:hint="eastAsia" w:ascii="宋体" w:hAnsi="宋体" w:cs="宋体"/>
                <w:bCs/>
                <w:szCs w:val="21"/>
              </w:rPr>
              <w:t>建设项目施工废水主要包括建筑施工人员的生活污水、施工废水（泥浆水、机械清洗水等）和管道试压水，因不同阶段用水和排水差异很大，其中较稳定部分为施工人员生活用水，由于本项目规模较小，生活废水经依托租用民居的化粪池处理，由当地环卫部门清运处置。</w:t>
            </w:r>
          </w:p>
          <w:p>
            <w:pPr>
              <w:adjustRightInd w:val="0"/>
              <w:snapToGrid w:val="0"/>
              <w:spacing w:line="360" w:lineRule="auto"/>
              <w:ind w:firstLine="480" w:firstLineChars="200"/>
              <w:rPr>
                <w:rFonts w:hint="eastAsia" w:ascii="宋体" w:hAnsi="宋体" w:cs="宋体"/>
                <w:bCs/>
                <w:szCs w:val="21"/>
              </w:rPr>
            </w:pPr>
            <w:r>
              <w:rPr>
                <w:rFonts w:hint="eastAsia" w:ascii="宋体" w:hAnsi="宋体" w:cs="宋体"/>
                <w:bCs/>
                <w:szCs w:val="21"/>
              </w:rPr>
              <w:t>施工期间产生的机械清洗水等工程废水，排放水质SS浓度高，据类比调查一般为1000</w:t>
            </w:r>
            <w:r>
              <w:rPr>
                <w:rFonts w:hint="eastAsia" w:ascii="宋体" w:hAnsi="宋体" w:cs="宋体"/>
                <w:bCs/>
                <w:szCs w:val="21"/>
                <w:lang w:eastAsia="zh-CN"/>
              </w:rPr>
              <w:t>—</w:t>
            </w:r>
            <w:r>
              <w:rPr>
                <w:rFonts w:hint="eastAsia" w:ascii="宋体" w:hAnsi="宋体" w:cs="宋体"/>
                <w:bCs/>
                <w:szCs w:val="21"/>
              </w:rPr>
              <w:t>3000mg/L。因此必须严禁未经任何处理将水排放，同时做好建筑材料和建筑废料的管理，避免地面水体二次污染。由于施工期废水污染物主要为SS，经沉淀池沉淀处理后可回用到工程中，沉淀物进行工程回填不排入外环境。</w:t>
            </w:r>
          </w:p>
          <w:p>
            <w:pPr>
              <w:adjustRightInd w:val="0"/>
              <w:snapToGrid w:val="0"/>
              <w:spacing w:line="360" w:lineRule="auto"/>
              <w:ind w:firstLine="480" w:firstLineChars="200"/>
              <w:rPr>
                <w:rFonts w:hint="eastAsia" w:ascii="宋体" w:hAnsi="宋体" w:cs="宋体"/>
                <w:bCs/>
                <w:color w:val="FF0000"/>
                <w:szCs w:val="21"/>
              </w:rPr>
            </w:pPr>
            <w:r>
              <w:rPr>
                <w:rFonts w:hint="eastAsia" w:ascii="Times New Roman" w:hAnsi="Times New Roman" w:eastAsia="宋体" w:cs="Times New Roman"/>
                <w:color w:val="FF0000"/>
                <w:sz w:val="24"/>
                <w:lang w:val="en-US" w:eastAsia="zh-CN"/>
              </w:rPr>
              <w:t>施工期间的机械清洗水经隔油沉淀处理后的施工废水将全部回用于施工场地的洒水抑尘，不外排，不会对地表水体产生污染，隔油池中的浮油等收集后送有相应危废处置资质的单位处理。</w:t>
            </w:r>
          </w:p>
          <w:p>
            <w:pPr>
              <w:adjustRightInd w:val="0"/>
              <w:snapToGrid w:val="0"/>
              <w:rPr>
                <w:rFonts w:hint="eastAsia" w:ascii="宋体" w:hAnsi="宋体" w:cs="宋体"/>
                <w:b/>
                <w:bCs w:val="0"/>
                <w:szCs w:val="21"/>
              </w:rPr>
            </w:pPr>
            <w:r>
              <w:rPr>
                <w:rFonts w:hint="eastAsia" w:ascii="宋体" w:hAnsi="宋体" w:cs="宋体"/>
                <w:b/>
                <w:bCs w:val="0"/>
                <w:szCs w:val="21"/>
              </w:rPr>
              <w:t>四、噪声</w:t>
            </w:r>
          </w:p>
          <w:p>
            <w:pPr>
              <w:adjustRightInd w:val="0"/>
              <w:snapToGrid w:val="0"/>
              <w:ind w:firstLine="480" w:firstLineChars="200"/>
              <w:rPr>
                <w:rFonts w:hint="eastAsia" w:ascii="宋体" w:hAnsi="宋体" w:cs="宋体"/>
                <w:bCs/>
                <w:color w:val="auto"/>
                <w:szCs w:val="21"/>
              </w:rPr>
            </w:pPr>
            <w:r>
              <w:rPr>
                <w:rFonts w:hint="eastAsia" w:ascii="宋体" w:hAnsi="宋体" w:cs="宋体"/>
                <w:bCs/>
                <w:color w:val="auto"/>
                <w:szCs w:val="21"/>
              </w:rPr>
              <w:t>项目周边200m范围内敏感目标为</w:t>
            </w:r>
            <w:r>
              <w:rPr>
                <w:rFonts w:hint="eastAsia" w:ascii="宋体" w:hAnsi="宋体" w:cs="宋体"/>
                <w:bCs/>
                <w:color w:val="auto"/>
                <w:szCs w:val="21"/>
                <w:lang w:eastAsia="zh-CN"/>
              </w:rPr>
              <w:t>车场村、南流水村、北流水村、璞邱村、三岔店村</w:t>
            </w:r>
            <w:r>
              <w:rPr>
                <w:rFonts w:hint="eastAsia" w:ascii="宋体" w:hAnsi="宋体" w:cs="宋体"/>
                <w:bCs/>
                <w:color w:val="auto"/>
                <w:szCs w:val="21"/>
              </w:rPr>
              <w:t>等敏感目标，在项目施工过程中，施工噪声有可能对周边敏感表噪声一定的影响。</w:t>
            </w:r>
          </w:p>
          <w:p>
            <w:pPr>
              <w:adjustRightInd w:val="0"/>
              <w:snapToGrid w:val="0"/>
              <w:ind w:firstLine="480" w:firstLineChars="200"/>
              <w:rPr>
                <w:rFonts w:hint="eastAsia" w:ascii="宋体" w:hAnsi="宋体" w:cs="宋体"/>
                <w:bCs/>
                <w:szCs w:val="21"/>
              </w:rPr>
            </w:pPr>
            <w:r>
              <w:rPr>
                <w:rFonts w:hint="eastAsia" w:ascii="宋体" w:hAnsi="宋体" w:cs="宋体"/>
                <w:bCs/>
                <w:szCs w:val="21"/>
              </w:rPr>
              <w:t>整个项目各建筑物的建设过程中所进行的场地平整、掘土、基础设施建设、地基深层处理及土石方、建筑材料运输、设备装配等施工行为，在一定时段内都将会对周围环境造成一定的影响。但这种影响一般是属于可逆的，待施工期结束后将一并消失。本项目所在地土质较松软，不存在基岩等，故项目地基掘土无需爆破。</w:t>
            </w:r>
          </w:p>
          <w:p>
            <w:pPr>
              <w:adjustRightInd w:val="0"/>
              <w:snapToGrid w:val="0"/>
              <w:ind w:firstLine="480" w:firstLineChars="200"/>
              <w:rPr>
                <w:rFonts w:hint="eastAsia" w:ascii="宋体" w:hAnsi="宋体" w:cs="宋体"/>
                <w:bCs/>
                <w:szCs w:val="21"/>
              </w:rPr>
            </w:pPr>
            <w:r>
              <w:rPr>
                <w:rFonts w:hint="eastAsia" w:ascii="宋体" w:hAnsi="宋体" w:cs="宋体"/>
                <w:bCs/>
                <w:szCs w:val="21"/>
              </w:rPr>
              <w:t>施工噪声主要可分为机械噪声、施工作业噪声和施工车辆噪声。机械噪声主要由施工机械所造成，如挖土机机械、打桩机械、混凝土搅拌机等，多为点源；施工作业噪声主要指一些零星的敲打声、装卸车辆的撞击声、吆喝声、拆卸模板的撞击声等，多为瞬时噪声；施工车辆运输土石方及建筑器材过程中产生的噪声属于交通噪声。在这些施工噪声中，对声环境影响最大的是机械噪声。不同施工机械的噪声源强见下表。在多台机械设备同时作业时，各台设备产生的噪声会产生叠加，根据类比调查，叠加后的噪声增值约为3-8dB。</w:t>
            </w:r>
          </w:p>
          <w:p>
            <w:pPr>
              <w:adjustRightInd w:val="0"/>
              <w:snapToGrid w:val="0"/>
              <w:ind w:firstLine="480" w:firstLineChars="200"/>
              <w:rPr>
                <w:rFonts w:hint="eastAsia" w:ascii="宋体" w:hAnsi="宋体" w:cs="宋体"/>
                <w:bCs/>
                <w:szCs w:val="21"/>
              </w:rPr>
            </w:pPr>
            <w:r>
              <w:rPr>
                <w:rFonts w:hint="eastAsia" w:ascii="宋体" w:hAnsi="宋体" w:cs="宋体"/>
                <w:bCs/>
                <w:szCs w:val="21"/>
              </w:rPr>
              <w:t>施工期噪声具有临时性、阶段性和不固定性等特点，不同的施工设备产生的噪声不同，在多台机械设备同时作业时，各台设备产生的噪声会产生叠加，使噪声值增加3～8dB（A），并在空旷地带的传播距离较远。</w:t>
            </w:r>
          </w:p>
          <w:p>
            <w:pPr>
              <w:adjustRightInd w:val="0"/>
              <w:snapToGrid w:val="0"/>
              <w:ind w:firstLine="480" w:firstLineChars="200"/>
              <w:rPr>
                <w:rFonts w:hint="eastAsia" w:ascii="宋体" w:hAnsi="宋体" w:cs="宋体"/>
                <w:bCs/>
                <w:szCs w:val="21"/>
              </w:rPr>
            </w:pPr>
            <w:r>
              <w:rPr>
                <w:rFonts w:hint="eastAsia" w:ascii="宋体" w:hAnsi="宋体" w:cs="宋体"/>
                <w:bCs/>
                <w:szCs w:val="21"/>
              </w:rPr>
              <w:t>施工现场高噪声器械噪声值按最大值96dB（A）算，根据噪声衰减公式：</w:t>
            </w:r>
          </w:p>
          <w:p>
            <w:pPr>
              <w:adjustRightInd w:val="0"/>
              <w:snapToGrid w:val="0"/>
              <w:ind w:firstLine="480" w:firstLineChars="200"/>
              <w:rPr>
                <w:rFonts w:hint="eastAsia" w:ascii="宋体" w:hAnsi="宋体" w:cs="宋体"/>
                <w:bCs/>
                <w:szCs w:val="21"/>
              </w:rPr>
            </w:pPr>
            <w:r>
              <w:rPr>
                <w:rFonts w:hint="eastAsia" w:ascii="宋体" w:hAnsi="宋体" w:cs="宋体"/>
                <w:bCs/>
                <w:szCs w:val="21"/>
              </w:rPr>
              <w:t>△L</w:t>
            </w:r>
            <w:r>
              <w:rPr>
                <w:rFonts w:hint="eastAsia" w:ascii="宋体" w:hAnsi="宋体" w:cs="宋体"/>
                <w:bCs/>
                <w:szCs w:val="21"/>
                <w:vertAlign w:val="subscript"/>
              </w:rPr>
              <w:t>2</w:t>
            </w:r>
            <w:r>
              <w:rPr>
                <w:rFonts w:hint="eastAsia" w:ascii="宋体" w:hAnsi="宋体" w:cs="宋体"/>
                <w:bCs/>
                <w:szCs w:val="21"/>
              </w:rPr>
              <w:t>=20lgr+6×10</w:t>
            </w:r>
            <w:r>
              <w:rPr>
                <w:rFonts w:hint="eastAsia" w:ascii="宋体" w:hAnsi="宋体" w:cs="宋体"/>
                <w:bCs/>
                <w:szCs w:val="21"/>
                <w:vertAlign w:val="superscript"/>
              </w:rPr>
              <w:t>-6</w:t>
            </w:r>
            <w:r>
              <w:rPr>
                <w:rFonts w:hint="eastAsia" w:ascii="宋体" w:hAnsi="宋体" w:cs="宋体"/>
                <w:bCs/>
                <w:szCs w:val="21"/>
              </w:rPr>
              <w:t>f·r+8</w:t>
            </w:r>
          </w:p>
          <w:p>
            <w:pPr>
              <w:adjustRightInd w:val="0"/>
              <w:snapToGrid w:val="0"/>
              <w:ind w:firstLine="480" w:firstLineChars="200"/>
              <w:rPr>
                <w:rFonts w:hint="eastAsia" w:ascii="宋体" w:hAnsi="宋体" w:cs="宋体"/>
                <w:bCs/>
                <w:szCs w:val="21"/>
              </w:rPr>
            </w:pPr>
            <w:r>
              <w:rPr>
                <w:rFonts w:hint="eastAsia" w:ascii="宋体" w:hAnsi="宋体" w:cs="宋体"/>
                <w:bCs/>
                <w:szCs w:val="21"/>
              </w:rPr>
              <w:t>式中：△L2——噪声衰减值，dB；</w:t>
            </w:r>
          </w:p>
          <w:p>
            <w:pPr>
              <w:adjustRightInd w:val="0"/>
              <w:snapToGrid w:val="0"/>
              <w:ind w:firstLine="480" w:firstLineChars="200"/>
              <w:rPr>
                <w:rFonts w:hint="eastAsia" w:ascii="宋体" w:hAnsi="宋体" w:cs="宋体"/>
                <w:bCs/>
                <w:szCs w:val="21"/>
              </w:rPr>
            </w:pPr>
            <w:r>
              <w:rPr>
                <w:rFonts w:hint="eastAsia" w:ascii="宋体" w:hAnsi="宋体" w:cs="宋体"/>
                <w:bCs/>
                <w:szCs w:val="21"/>
              </w:rPr>
              <w:t>r——噪声源与受点间的距离，m；</w:t>
            </w:r>
          </w:p>
          <w:p>
            <w:pPr>
              <w:adjustRightInd w:val="0"/>
              <w:snapToGrid w:val="0"/>
              <w:ind w:firstLine="480" w:firstLineChars="200"/>
              <w:rPr>
                <w:rFonts w:hint="eastAsia" w:ascii="宋体" w:hAnsi="宋体" w:cs="宋体"/>
                <w:bCs/>
                <w:szCs w:val="21"/>
              </w:rPr>
            </w:pPr>
            <w:r>
              <w:rPr>
                <w:rFonts w:hint="eastAsia" w:ascii="宋体" w:hAnsi="宋体" w:cs="宋体"/>
                <w:bCs/>
                <w:szCs w:val="21"/>
              </w:rPr>
              <w:t>6×10</w:t>
            </w:r>
            <w:r>
              <w:rPr>
                <w:rFonts w:hint="eastAsia" w:ascii="宋体" w:hAnsi="宋体" w:cs="宋体"/>
                <w:bCs/>
                <w:szCs w:val="21"/>
                <w:vertAlign w:val="superscript"/>
              </w:rPr>
              <w:t>-6</w:t>
            </w:r>
            <w:r>
              <w:rPr>
                <w:rFonts w:hint="eastAsia" w:ascii="宋体" w:hAnsi="宋体" w:cs="宋体"/>
                <w:bCs/>
                <w:szCs w:val="21"/>
              </w:rPr>
              <w:t>f·r——由空气吸收引起的衰减值，dB，r＜200m时，此值为零。</w:t>
            </w:r>
          </w:p>
          <w:p>
            <w:pPr>
              <w:adjustRightInd w:val="0"/>
              <w:snapToGrid w:val="0"/>
              <w:ind w:firstLine="480" w:firstLineChars="200"/>
              <w:rPr>
                <w:rFonts w:hint="eastAsia" w:ascii="宋体" w:hAnsi="宋体" w:cs="宋体"/>
                <w:bCs/>
                <w:szCs w:val="21"/>
              </w:rPr>
            </w:pPr>
            <w:r>
              <w:rPr>
                <w:rFonts w:hint="eastAsia" w:ascii="宋体" w:hAnsi="宋体" w:cs="宋体"/>
                <w:bCs/>
                <w:szCs w:val="21"/>
              </w:rPr>
              <w:t>经计算，考虑施工屏障情况下，各种施工机械设备噪声随距离的衰减情况具体见下表：</w:t>
            </w:r>
          </w:p>
          <w:p>
            <w:pPr>
              <w:adjustRightInd w:val="0"/>
              <w:snapToGrid w:val="0"/>
              <w:jc w:val="center"/>
              <w:rPr>
                <w:rFonts w:hint="eastAsia"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cs="Times New Roman"/>
                <w:b/>
                <w:bCs/>
                <w:sz w:val="21"/>
                <w:szCs w:val="21"/>
                <w:lang w:val="en-US" w:eastAsia="zh-CN"/>
              </w:rPr>
              <w:t>4</w:t>
            </w:r>
            <w:r>
              <w:rPr>
                <w:rFonts w:hint="default" w:ascii="Times New Roman" w:hAnsi="Times New Roman" w:eastAsia="宋体" w:cs="Times New Roman"/>
                <w:b/>
                <w:bCs/>
                <w:sz w:val="21"/>
                <w:szCs w:val="21"/>
              </w:rPr>
              <w:t>-</w:t>
            </w:r>
            <w:r>
              <w:rPr>
                <w:rFonts w:hint="eastAsia" w:ascii="Times New Roman" w:hAnsi="Times New Roman" w:cs="Times New Roman"/>
                <w:b/>
                <w:bCs/>
                <w:sz w:val="21"/>
                <w:szCs w:val="21"/>
                <w:lang w:val="en-US" w:eastAsia="zh-CN"/>
              </w:rPr>
              <w:t>1</w:t>
            </w:r>
            <w:r>
              <w:rPr>
                <w:rFonts w:hint="eastAsia" w:ascii="Times New Roman" w:hAnsi="Times New Roman" w:eastAsia="宋体" w:cs="Times New Roman"/>
                <w:b/>
                <w:bCs/>
                <w:sz w:val="21"/>
                <w:szCs w:val="21"/>
              </w:rPr>
              <w:t>主要施工机械噪声级    单位： dB(A)</w:t>
            </w:r>
          </w:p>
          <w:tbl>
            <w:tblPr>
              <w:tblStyle w:val="36"/>
              <w:tblpPr w:leftFromText="180" w:rightFromText="180" w:vertAnchor="text" w:horzAnchor="page" w:tblpX="-73" w:tblpY="209"/>
              <w:tblOverlap w:val="never"/>
              <w:tblW w:w="82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108"/>
              <w:gridCol w:w="766"/>
              <w:gridCol w:w="629"/>
              <w:gridCol w:w="675"/>
              <w:gridCol w:w="675"/>
              <w:gridCol w:w="705"/>
              <w:gridCol w:w="675"/>
              <w:gridCol w:w="705"/>
              <w:gridCol w:w="705"/>
              <w:gridCol w:w="645"/>
              <w:gridCol w:w="4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10" w:type="dxa"/>
                  <w:vMerge w:val="restart"/>
                  <w:tcBorders>
                    <w:bottom w:val="nil"/>
                  </w:tcBorders>
                  <w:textDirection w:val="tbRlV"/>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序 号</w:t>
                  </w:r>
                </w:p>
              </w:tc>
              <w:tc>
                <w:tcPr>
                  <w:tcW w:w="1108" w:type="dxa"/>
                  <w:vMerge w:val="restart"/>
                  <w:tcBorders>
                    <w:bottom w:val="nil"/>
                  </w:tcBorders>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声源名称</w:t>
                  </w:r>
                </w:p>
              </w:tc>
              <w:tc>
                <w:tcPr>
                  <w:tcW w:w="766" w:type="dxa"/>
                  <w:vMerge w:val="restart"/>
                  <w:tcBorders>
                    <w:bottom w:val="nil"/>
                  </w:tcBorders>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噪声</w:t>
                  </w:r>
                </w:p>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强度</w:t>
                  </w:r>
                </w:p>
              </w:tc>
              <w:tc>
                <w:tcPr>
                  <w:tcW w:w="5849" w:type="dxa"/>
                  <w:gridSpan w:val="9"/>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距声源不同距离处的噪声值（m）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10" w:type="dxa"/>
                  <w:vMerge w:val="continue"/>
                  <w:tcBorders>
                    <w:top w:val="nil"/>
                  </w:tcBorders>
                  <w:textDirection w:val="tbRlV"/>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1108" w:type="dxa"/>
                  <w:vMerge w:val="continue"/>
                  <w:tcBorders>
                    <w:top w:val="nil"/>
                  </w:tcBorders>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766" w:type="dxa"/>
                  <w:vMerge w:val="continue"/>
                  <w:tcBorders>
                    <w:top w:val="nil"/>
                  </w:tcBorders>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629"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10</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20</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40</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60</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80</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100</w:t>
                  </w:r>
                </w:p>
              </w:tc>
              <w:tc>
                <w:tcPr>
                  <w:tcW w:w="64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140</w:t>
                  </w:r>
                </w:p>
              </w:tc>
              <w:tc>
                <w:tcPr>
                  <w:tcW w:w="43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510"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w:t>
                  </w:r>
                </w:p>
              </w:tc>
              <w:tc>
                <w:tcPr>
                  <w:tcW w:w="110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挖掘机</w:t>
                  </w:r>
                </w:p>
              </w:tc>
              <w:tc>
                <w:tcPr>
                  <w:tcW w:w="766"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96</w:t>
                  </w:r>
                </w:p>
              </w:tc>
              <w:tc>
                <w:tcPr>
                  <w:tcW w:w="629"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73.64</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67.88</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60.64</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52.42</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48.31</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45.53</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43.42</w:t>
                  </w:r>
                </w:p>
              </w:tc>
              <w:tc>
                <w:tcPr>
                  <w:tcW w:w="64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42.26</w:t>
                  </w:r>
                </w:p>
              </w:tc>
              <w:tc>
                <w:tcPr>
                  <w:tcW w:w="43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10"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w:t>
                  </w:r>
                </w:p>
              </w:tc>
              <w:tc>
                <w:tcPr>
                  <w:tcW w:w="110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压路机</w:t>
                  </w:r>
                </w:p>
              </w:tc>
              <w:tc>
                <w:tcPr>
                  <w:tcW w:w="766"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95</w:t>
                  </w:r>
                </w:p>
              </w:tc>
              <w:tc>
                <w:tcPr>
                  <w:tcW w:w="629"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72.64</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66.88</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59.64</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51.42</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47.31</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44.53</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42.42</w:t>
                  </w:r>
                </w:p>
              </w:tc>
              <w:tc>
                <w:tcPr>
                  <w:tcW w:w="64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41.26</w:t>
                  </w:r>
                </w:p>
              </w:tc>
              <w:tc>
                <w:tcPr>
                  <w:tcW w:w="43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10"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w:t>
                  </w:r>
                </w:p>
              </w:tc>
              <w:tc>
                <w:tcPr>
                  <w:tcW w:w="110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切割机</w:t>
                  </w:r>
                </w:p>
              </w:tc>
              <w:tc>
                <w:tcPr>
                  <w:tcW w:w="766"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95</w:t>
                  </w:r>
                </w:p>
              </w:tc>
              <w:tc>
                <w:tcPr>
                  <w:tcW w:w="629"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72.64</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66.88</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59.64</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51.42</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47.31</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44.53</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42.42</w:t>
                  </w:r>
                </w:p>
              </w:tc>
              <w:tc>
                <w:tcPr>
                  <w:tcW w:w="64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41.26</w:t>
                  </w:r>
                </w:p>
              </w:tc>
              <w:tc>
                <w:tcPr>
                  <w:tcW w:w="43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510"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w:t>
                  </w:r>
                </w:p>
              </w:tc>
              <w:tc>
                <w:tcPr>
                  <w:tcW w:w="110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车辆运输</w:t>
                  </w:r>
                </w:p>
              </w:tc>
              <w:tc>
                <w:tcPr>
                  <w:tcW w:w="766"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85</w:t>
                  </w:r>
                </w:p>
              </w:tc>
              <w:tc>
                <w:tcPr>
                  <w:tcW w:w="629"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62.64</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56.88</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49.64</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41.42</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37.31</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34.53</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32.42</w:t>
                  </w:r>
                </w:p>
              </w:tc>
              <w:tc>
                <w:tcPr>
                  <w:tcW w:w="64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31.26</w:t>
                  </w:r>
                </w:p>
              </w:tc>
              <w:tc>
                <w:tcPr>
                  <w:tcW w:w="43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10"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w:t>
                  </w:r>
                </w:p>
              </w:tc>
              <w:tc>
                <w:tcPr>
                  <w:tcW w:w="110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破碎机</w:t>
                  </w:r>
                </w:p>
              </w:tc>
              <w:tc>
                <w:tcPr>
                  <w:tcW w:w="766"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95</w:t>
                  </w:r>
                </w:p>
              </w:tc>
              <w:tc>
                <w:tcPr>
                  <w:tcW w:w="629"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72.64</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66.88</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59.64</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51.42</w:t>
                  </w:r>
                </w:p>
              </w:tc>
              <w:tc>
                <w:tcPr>
                  <w:tcW w:w="67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47.31</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44.53</w:t>
                  </w:r>
                </w:p>
              </w:tc>
              <w:tc>
                <w:tcPr>
                  <w:tcW w:w="70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42.42</w:t>
                  </w:r>
                </w:p>
              </w:tc>
              <w:tc>
                <w:tcPr>
                  <w:tcW w:w="64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41.26</w:t>
                  </w:r>
                </w:p>
              </w:tc>
              <w:tc>
                <w:tcPr>
                  <w:tcW w:w="435"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w:t>
                  </w:r>
                </w:p>
              </w:tc>
            </w:tr>
          </w:tbl>
          <w:p>
            <w:pPr>
              <w:adjustRightInd w:val="0"/>
              <w:snapToGrid w:val="0"/>
              <w:ind w:firstLine="480" w:firstLineChars="200"/>
              <w:rPr>
                <w:rFonts w:hint="eastAsia" w:ascii="宋体" w:hAnsi="宋体" w:cs="宋体"/>
                <w:bCs/>
                <w:szCs w:val="21"/>
              </w:rPr>
            </w:pPr>
            <w:r>
              <w:rPr>
                <w:rFonts w:hint="eastAsia" w:ascii="宋体" w:hAnsi="宋体" w:cs="宋体"/>
                <w:bCs/>
                <w:szCs w:val="21"/>
              </w:rPr>
              <w:t>由上表计算结果可知，各种施工机械设备在不计房屋、树木、空气等因素的影响下，经距离自然衰减后，在施工范围10m处，噪声值基本达到《建筑施工场界环境噪声排放标准》（GB12523-2011）的昼间标准限值要求。从计算也可以看出，在该项目施工建设过程中，在考虑到房屋、树木等因素的减噪作用情况下，按减噪10dB</w:t>
            </w:r>
            <w:r>
              <w:rPr>
                <w:rFonts w:hint="eastAsia" w:ascii="宋体" w:hAnsi="宋体" w:cs="宋体"/>
                <w:bCs/>
                <w:szCs w:val="21"/>
                <w:lang w:eastAsia="zh-CN"/>
              </w:rPr>
              <w:t>（</w:t>
            </w:r>
            <w:r>
              <w:rPr>
                <w:rFonts w:hint="eastAsia" w:ascii="宋体" w:hAnsi="宋体" w:cs="宋体"/>
                <w:bCs/>
                <w:szCs w:val="21"/>
              </w:rPr>
              <w:t>A</w:t>
            </w:r>
            <w:r>
              <w:rPr>
                <w:rFonts w:hint="eastAsia" w:ascii="宋体" w:hAnsi="宋体" w:cs="宋体"/>
                <w:bCs/>
                <w:szCs w:val="21"/>
                <w:lang w:eastAsia="zh-CN"/>
              </w:rPr>
              <w:t>）</w:t>
            </w:r>
            <w:r>
              <w:rPr>
                <w:rFonts w:hint="eastAsia" w:ascii="宋体" w:hAnsi="宋体" w:cs="宋体"/>
                <w:bCs/>
                <w:szCs w:val="21"/>
              </w:rPr>
              <w:t>考虑，则在施工区域四周100m处，各施工机械设备产生的噪声值可达到《声环境质量标准》（GB3096-2008）的2类标准值要求。</w:t>
            </w:r>
          </w:p>
          <w:p>
            <w:pPr>
              <w:numPr>
                <w:ilvl w:val="0"/>
                <w:numId w:val="0"/>
              </w:numPr>
              <w:adjustRightInd w:val="0"/>
              <w:snapToGrid w:val="0"/>
              <w:rPr>
                <w:rFonts w:hint="eastAsia" w:ascii="宋体" w:hAnsi="宋体" w:cs="宋体"/>
                <w:b/>
                <w:bCs w:val="0"/>
                <w:szCs w:val="21"/>
              </w:rPr>
            </w:pPr>
            <w:r>
              <w:rPr>
                <w:rFonts w:hint="eastAsia" w:ascii="宋体" w:hAnsi="宋体" w:eastAsia="宋体" w:cs="宋体"/>
                <w:b/>
                <w:bCs w:val="0"/>
                <w:kern w:val="2"/>
                <w:sz w:val="24"/>
                <w:szCs w:val="21"/>
                <w:lang w:val="en-US" w:eastAsia="zh-CN" w:bidi="ar-SA"/>
              </w:rPr>
              <w:t>五、</w:t>
            </w:r>
            <w:r>
              <w:rPr>
                <w:rFonts w:hint="eastAsia" w:ascii="宋体" w:hAnsi="宋体" w:cs="宋体"/>
                <w:b/>
                <w:bCs w:val="0"/>
                <w:szCs w:val="21"/>
              </w:rPr>
              <w:t>固体废弃物</w:t>
            </w:r>
          </w:p>
          <w:p>
            <w:pPr>
              <w:bidi w:val="0"/>
              <w:ind w:firstLine="480" w:firstLineChars="200"/>
            </w:pPr>
            <w:r>
              <w:t>施工期项目的固体废物主要是河道淤泥、建筑垃圾和施工人员的生活垃圾。在施工期间将有一定数量废弃的建筑材料如</w:t>
            </w:r>
            <w:r>
              <w:rPr>
                <w:rFonts w:hint="eastAsia"/>
                <w:lang w:eastAsia="zh-CN"/>
              </w:rPr>
              <w:t>砂石</w:t>
            </w:r>
            <w:r>
              <w:t>、石灰、混凝土、土石方等。</w:t>
            </w:r>
          </w:p>
          <w:p>
            <w:pPr>
              <w:bidi w:val="0"/>
              <w:ind w:firstLine="480" w:firstLineChars="200"/>
            </w:pPr>
            <w:r>
              <w:t>1、淤泥</w:t>
            </w:r>
          </w:p>
          <w:p>
            <w:pPr>
              <w:bidi w:val="0"/>
              <w:ind w:firstLine="480" w:firstLineChars="200"/>
              <w:rPr>
                <w:color w:val="auto"/>
              </w:rPr>
            </w:pPr>
            <w:r>
              <w:rPr>
                <w:rFonts w:hint="eastAsia"/>
              </w:rPr>
              <w:t>本项目淤泥主要为</w:t>
            </w:r>
            <w:r>
              <w:rPr>
                <w:rFonts w:hint="eastAsia"/>
                <w:lang w:eastAsia="zh-CN"/>
              </w:rPr>
              <w:t>砂砾</w:t>
            </w:r>
            <w:r>
              <w:rPr>
                <w:rFonts w:hint="eastAsia"/>
              </w:rPr>
              <w:t>淤泥，该部分沙砾淤泥将在施工过程中利用泥浆泵输送至沉砂池污泥锥斗中。锥斗中砂石定期统一清理作为建筑材料综合利用，主要用于低洼岸坡的堆砌。</w:t>
            </w:r>
          </w:p>
          <w:p>
            <w:pPr>
              <w:bidi w:val="0"/>
              <w:ind w:firstLine="480" w:firstLineChars="200"/>
            </w:pPr>
            <w:r>
              <w:t>2、建筑垃圾</w:t>
            </w:r>
          </w:p>
          <w:p>
            <w:pPr>
              <w:bidi w:val="0"/>
              <w:ind w:firstLine="480" w:firstLineChars="200"/>
            </w:pPr>
            <w:r>
              <w:t>建设单位应要求施工单位实行标准施工、规划运输，不能随地洒落物料，不能随意倾倒建筑垃圾、制造新的“垃圾堆场”。施工结束后，应及时清运多余或废弃的建筑材料、建筑垃圾，不然会对周围环境造成影响。运输</w:t>
            </w:r>
            <w:r>
              <w:rPr>
                <w:rFonts w:hint="eastAsia"/>
                <w:lang w:eastAsia="zh-CN"/>
              </w:rPr>
              <w:t>砂石</w:t>
            </w:r>
            <w:r>
              <w:t>和建筑材料时，应选择对城市环境影响最小的运输路线，运输车集中运输，上路前须加强车体、车胎清洗，装土适宜，防止沿路抛洒以及道路扬尘，适当洒水，检验合格后方可上路。</w:t>
            </w:r>
          </w:p>
          <w:p>
            <w:pPr>
              <w:bidi w:val="0"/>
              <w:ind w:firstLine="480" w:firstLineChars="200"/>
            </w:pPr>
            <w:r>
              <w:rPr>
                <w:color w:val="auto"/>
              </w:rPr>
              <w:t>根据项目水土保持方案，项</w:t>
            </w:r>
            <w:r>
              <w:t>目土方开挖总</w:t>
            </w:r>
            <w:r>
              <w:rPr>
                <w:color w:val="auto"/>
              </w:rPr>
              <w:t>计</w:t>
            </w:r>
            <w:r>
              <w:rPr>
                <w:rFonts w:hint="eastAsia"/>
                <w:color w:val="auto"/>
              </w:rPr>
              <w:t>53.01</w:t>
            </w:r>
            <w:r>
              <w:rPr>
                <w:color w:val="auto"/>
              </w:rPr>
              <w:t>万m³</w:t>
            </w:r>
            <w:r>
              <w:rPr>
                <w:rFonts w:hint="eastAsia"/>
                <w:color w:val="auto"/>
                <w:lang w:eastAsia="zh-CN"/>
              </w:rPr>
              <w:t>，</w:t>
            </w:r>
            <w:r>
              <w:rPr>
                <w:color w:val="auto"/>
              </w:rPr>
              <w:t>经</w:t>
            </w:r>
            <w:r>
              <w:t>土方平衡后，开挖土方主要用于堤防填筑、人工造滩、子堤填筑等，土方开挖全部采用挖掘机配自卸车挖运方式，用于上述工程</w:t>
            </w:r>
            <w:r>
              <w:rPr>
                <w:color w:val="auto"/>
              </w:rPr>
              <w:t>回填后剩余</w:t>
            </w:r>
            <w:r>
              <w:rPr>
                <w:rFonts w:hint="eastAsia"/>
                <w:color w:val="auto"/>
              </w:rPr>
              <w:t>48.81万</w:t>
            </w:r>
            <w:r>
              <w:rPr>
                <w:color w:val="auto"/>
              </w:rPr>
              <w:t>m³</w:t>
            </w:r>
            <w:r>
              <w:rPr>
                <w:rFonts w:hint="eastAsia"/>
                <w:color w:val="auto"/>
                <w:lang w:eastAsia="zh-CN"/>
              </w:rPr>
              <w:t>，</w:t>
            </w:r>
            <w:r>
              <w:rPr>
                <w:color w:val="auto"/>
              </w:rPr>
              <w:t>余</w:t>
            </w:r>
            <w:r>
              <w:t>方包括淤泥和一般土方，用于</w:t>
            </w:r>
            <w:r>
              <w:rPr>
                <w:rFonts w:hint="eastAsia"/>
                <w:lang w:eastAsia="zh-CN"/>
              </w:rPr>
              <w:t>五井石河</w:t>
            </w:r>
            <w:r>
              <w:t>治理。</w:t>
            </w:r>
          </w:p>
          <w:p>
            <w:pPr>
              <w:bidi w:val="0"/>
              <w:ind w:firstLine="480" w:firstLineChars="200"/>
              <w:rPr>
                <w:rFonts w:hint="eastAsia"/>
              </w:rPr>
            </w:pPr>
            <w:r>
              <w:rPr>
                <w:rFonts w:hint="eastAsia"/>
              </w:rPr>
              <w:t>3、生活垃圾</w:t>
            </w:r>
          </w:p>
          <w:p>
            <w:pPr>
              <w:bidi w:val="0"/>
              <w:ind w:firstLine="480" w:firstLineChars="200"/>
              <w:rPr>
                <w:rFonts w:hint="eastAsia"/>
              </w:rPr>
            </w:pPr>
            <w:r>
              <w:rPr>
                <w:rFonts w:hint="eastAsia"/>
              </w:rPr>
              <w:t>施工期生活垃圾应集中定点存放，及时清运至环卫垃圾填埋场处理，不能在施工场地内随意和长期堆放，清运过程中车辆应遮盖，严禁沿途散落。</w:t>
            </w:r>
          </w:p>
          <w:p>
            <w:pPr>
              <w:bidi w:val="0"/>
              <w:rPr>
                <w:rFonts w:hint="eastAsia"/>
                <w:b/>
                <w:bCs/>
              </w:rPr>
            </w:pPr>
            <w:r>
              <w:rPr>
                <w:rFonts w:hint="eastAsia"/>
                <w:b/>
                <w:bCs/>
                <w:lang w:eastAsia="zh-CN"/>
              </w:rPr>
              <w:t>六</w:t>
            </w:r>
            <w:r>
              <w:rPr>
                <w:rFonts w:hint="eastAsia"/>
                <w:b/>
                <w:bCs/>
              </w:rPr>
              <w:t>、环境风险</w:t>
            </w:r>
          </w:p>
          <w:p>
            <w:pPr>
              <w:bidi w:val="0"/>
              <w:ind w:firstLine="480" w:firstLineChars="200"/>
              <w:rPr>
                <w:rFonts w:hint="eastAsia"/>
              </w:rPr>
            </w:pPr>
            <w:r>
              <w:rPr>
                <w:rFonts w:hint="eastAsia"/>
              </w:rPr>
              <w:t>施工过程现场可能危害周围环境的活动，主要与工程项目所在区地质结构、工程类型、工序、施工装置有关。</w:t>
            </w:r>
          </w:p>
          <w:p>
            <w:pPr>
              <w:bidi w:val="0"/>
              <w:ind w:firstLine="480" w:firstLineChars="200"/>
              <w:rPr>
                <w:rFonts w:hint="eastAsia"/>
              </w:rPr>
            </w:pPr>
            <w:r>
              <w:rPr>
                <w:rFonts w:hint="eastAsia"/>
              </w:rPr>
              <w:t>1、施工期事故风险分析</w:t>
            </w:r>
          </w:p>
          <w:p>
            <w:pPr>
              <w:bidi w:val="0"/>
              <w:ind w:firstLine="480" w:firstLineChars="200"/>
              <w:rPr>
                <w:rFonts w:hint="eastAsia"/>
                <w:color w:val="auto"/>
              </w:rPr>
            </w:pPr>
            <w:r>
              <w:rPr>
                <w:rFonts w:hint="eastAsia"/>
              </w:rPr>
              <w:t>因设计方案、误操作、防护不足等造成发生施工场所及周围已有建筑及设施损</w:t>
            </w:r>
            <w:r>
              <w:rPr>
                <w:rFonts w:hint="eastAsia"/>
                <w:color w:val="auto"/>
              </w:rPr>
              <w:t>坏、人员伤亡等意外。</w:t>
            </w:r>
          </w:p>
          <w:p>
            <w:pPr>
              <w:bidi w:val="0"/>
              <w:ind w:firstLine="480" w:firstLineChars="200"/>
              <w:rPr>
                <w:rFonts w:hint="eastAsia"/>
                <w:color w:val="auto"/>
              </w:rPr>
            </w:pPr>
            <w:r>
              <w:rPr>
                <w:rFonts w:hint="eastAsia"/>
                <w:color w:val="auto"/>
              </w:rPr>
              <w:t>项目施工范围内无输油、输气管道、光缆、高速等工程，穿越S317临历线、Y015三九路。</w:t>
            </w:r>
          </w:p>
          <w:p>
            <w:pPr>
              <w:bidi w:val="0"/>
              <w:ind w:firstLine="480" w:firstLineChars="200"/>
              <w:rPr>
                <w:rFonts w:hint="eastAsia"/>
              </w:rPr>
            </w:pPr>
            <w:r>
              <w:rPr>
                <w:rFonts w:hint="eastAsia"/>
              </w:rPr>
              <w:t>2、防范措施</w:t>
            </w:r>
          </w:p>
          <w:p>
            <w:pPr>
              <w:bidi w:val="0"/>
              <w:ind w:firstLine="480" w:firstLineChars="200"/>
              <w:rPr>
                <w:rFonts w:hint="eastAsia"/>
              </w:rPr>
            </w:pPr>
            <w:r>
              <w:rPr>
                <w:rFonts w:hint="eastAsia"/>
              </w:rPr>
              <w:t>①在国家现行</w:t>
            </w:r>
            <w:r>
              <w:rPr>
                <w:rFonts w:hint="eastAsia"/>
                <w:lang w:eastAsia="zh-CN"/>
              </w:rPr>
              <w:t>法律法规</w:t>
            </w:r>
            <w:r>
              <w:rPr>
                <w:rFonts w:hint="eastAsia"/>
              </w:rPr>
              <w:t>的指导下，建立和完善建设施工安全规章、制度体系，出台配套的实施细则，依法管理。</w:t>
            </w:r>
          </w:p>
          <w:p>
            <w:pPr>
              <w:bidi w:val="0"/>
              <w:ind w:firstLine="480" w:firstLineChars="200"/>
              <w:rPr>
                <w:rFonts w:hint="eastAsia"/>
              </w:rPr>
            </w:pPr>
            <w:r>
              <w:rPr>
                <w:rFonts w:hint="eastAsia"/>
              </w:rPr>
              <w:t>②应加强和完善施工安全监督机构建设。</w:t>
            </w:r>
          </w:p>
          <w:p>
            <w:pPr>
              <w:bidi w:val="0"/>
              <w:ind w:firstLine="480" w:firstLineChars="200"/>
              <w:rPr>
                <w:rFonts w:hint="eastAsia"/>
              </w:rPr>
            </w:pPr>
            <w:r>
              <w:rPr>
                <w:rFonts w:hint="eastAsia"/>
              </w:rPr>
              <w:t>③及时与有关部门沟通项目施工进度、施工路线，施工过程中一旦发现输油、输气管道，应立即停止施工，禁止烟火，第一时间向安全、公安等部门汇报，防止火灾、爆炸的发生，防止由安全事故引发二次污染环境事件。</w:t>
            </w:r>
          </w:p>
          <w:p>
            <w:pPr>
              <w:bidi w:val="0"/>
              <w:ind w:firstLine="480" w:firstLineChars="200"/>
              <w:rPr>
                <w:rFonts w:hint="eastAsia"/>
              </w:rPr>
            </w:pPr>
            <w:r>
              <w:rPr>
                <w:rFonts w:hint="eastAsia"/>
              </w:rPr>
              <w:t>④项目穿越</w:t>
            </w:r>
            <w:r>
              <w:rPr>
                <w:rFonts w:hint="eastAsia"/>
                <w:color w:val="auto"/>
              </w:rPr>
              <w:t>S317临历线、Y015三九路等交通干线</w:t>
            </w:r>
            <w:r>
              <w:rPr>
                <w:rFonts w:hint="eastAsia"/>
                <w:color w:val="auto"/>
                <w:lang w:val="en-US" w:eastAsia="zh-CN"/>
              </w:rPr>
              <w:t>2</w:t>
            </w:r>
            <w:r>
              <w:rPr>
                <w:rFonts w:hint="eastAsia"/>
                <w:color w:val="auto"/>
              </w:rPr>
              <w:t>条</w:t>
            </w:r>
            <w:r>
              <w:rPr>
                <w:rFonts w:hint="eastAsia"/>
              </w:rPr>
              <w:t>，此处施工为河道清淤，施工前，与公路部门接洽，根据桥梁建设高度、桥墩深度，施工采用小型设备，对淤泥进行</w:t>
            </w:r>
            <w:r>
              <w:rPr>
                <w:rFonts w:hint="eastAsia"/>
                <w:lang w:eastAsia="zh-CN"/>
              </w:rPr>
              <w:t>少量多次</w:t>
            </w:r>
            <w:r>
              <w:rPr>
                <w:rFonts w:hint="eastAsia"/>
              </w:rPr>
              <w:t>清挖，建设期间，应加强对桥梁、桥墩的保护，施工过程中一旦触碰到桥梁、桥墩，应立即上报公路部门，由公路部门负责检验质量情况。</w:t>
            </w:r>
          </w:p>
          <w:p>
            <w:pPr>
              <w:bidi w:val="0"/>
              <w:ind w:firstLine="480" w:firstLineChars="200"/>
              <w:rPr>
                <w:rFonts w:hint="eastAsia"/>
              </w:rPr>
            </w:pPr>
            <w:r>
              <w:rPr>
                <w:rFonts w:hint="eastAsia"/>
              </w:rPr>
              <w:t>清挖淤泥深度应结合桥墩的安全深度和淤泥情况清挖，不得影响桥墩安全。</w:t>
            </w:r>
          </w:p>
          <w:p>
            <w:pPr>
              <w:bidi w:val="0"/>
              <w:rPr>
                <w:rFonts w:hint="eastAsia"/>
                <w:b/>
                <w:bCs/>
              </w:rPr>
            </w:pPr>
            <w:r>
              <w:rPr>
                <w:rFonts w:hint="eastAsia"/>
                <w:b/>
                <w:bCs/>
                <w:lang w:eastAsia="zh-CN"/>
              </w:rPr>
              <w:t>七</w:t>
            </w:r>
            <w:r>
              <w:rPr>
                <w:rFonts w:hint="eastAsia"/>
                <w:b/>
                <w:bCs/>
              </w:rPr>
              <w:t>、临时设施环境影响分析</w:t>
            </w:r>
          </w:p>
          <w:p>
            <w:pPr>
              <w:adjustRightInd w:val="0"/>
              <w:snapToGrid w:val="0"/>
              <w:spacing w:line="360" w:lineRule="auto"/>
              <w:ind w:firstLine="480" w:firstLineChars="200"/>
              <w:rPr>
                <w:sz w:val="24"/>
              </w:rPr>
            </w:pPr>
            <w:r>
              <w:rPr>
                <w:sz w:val="24"/>
              </w:rPr>
              <w:t>1、施工临时</w:t>
            </w:r>
            <w:r>
              <w:rPr>
                <w:rFonts w:hint="eastAsia"/>
                <w:sz w:val="24"/>
              </w:rPr>
              <w:t>设施恢复</w:t>
            </w:r>
            <w:r>
              <w:rPr>
                <w:sz w:val="24"/>
              </w:rPr>
              <w:t>措施</w:t>
            </w:r>
          </w:p>
          <w:p>
            <w:pPr>
              <w:adjustRightInd w:val="0"/>
              <w:snapToGrid w:val="0"/>
              <w:spacing w:line="360" w:lineRule="auto"/>
              <w:ind w:firstLine="480" w:firstLineChars="200"/>
              <w:rPr>
                <w:sz w:val="24"/>
              </w:rPr>
            </w:pPr>
            <w:r>
              <w:rPr>
                <w:rFonts w:hint="eastAsia"/>
                <w:sz w:val="24"/>
              </w:rPr>
              <w:t>砂石料堆放、</w:t>
            </w:r>
            <w:r>
              <w:rPr>
                <w:sz w:val="24"/>
              </w:rPr>
              <w:t>机械修配及综合加工厂等临时设施周边均为河道两侧的空地。砂石料堆放区</w:t>
            </w:r>
            <w:r>
              <w:rPr>
                <w:rFonts w:hint="eastAsia"/>
                <w:sz w:val="24"/>
              </w:rPr>
              <w:t>等</w:t>
            </w:r>
            <w:r>
              <w:rPr>
                <w:sz w:val="24"/>
              </w:rPr>
              <w:t>区域，土地容易板结；施工临时</w:t>
            </w:r>
            <w:r>
              <w:rPr>
                <w:rFonts w:hint="eastAsia"/>
                <w:sz w:val="24"/>
              </w:rPr>
              <w:t>设施</w:t>
            </w:r>
            <w:r>
              <w:rPr>
                <w:sz w:val="24"/>
              </w:rPr>
              <w:t>恢复分为两</w:t>
            </w:r>
            <w:r>
              <w:rPr>
                <w:rFonts w:hint="eastAsia"/>
                <w:sz w:val="24"/>
              </w:rPr>
              <w:t>个</w:t>
            </w:r>
            <w:r>
              <w:rPr>
                <w:sz w:val="24"/>
              </w:rPr>
              <w:t>阶段：第一阶段是主体工程完成后将生活垃圾和建筑垃圾清理外运，并结合原有高程及坡向，对多余土方摊平处理，同时恢复沟路渠等原有地貌</w:t>
            </w:r>
            <w:r>
              <w:rPr>
                <w:rFonts w:hint="eastAsia"/>
                <w:sz w:val="24"/>
              </w:rPr>
              <w:t>。</w:t>
            </w:r>
            <w:r>
              <w:rPr>
                <w:sz w:val="24"/>
              </w:rPr>
              <w:t>第二阶段是在第一阶段完成并交地的基础上进行的复垦，主要是结合邻近地块坡向、高程及种植习惯由土地所有者对土地自行精细整平并恢复原有田埂。</w:t>
            </w:r>
          </w:p>
          <w:p>
            <w:pPr>
              <w:adjustRightInd w:val="0"/>
              <w:snapToGrid w:val="0"/>
              <w:spacing w:line="360" w:lineRule="auto"/>
              <w:ind w:firstLine="480" w:firstLineChars="200"/>
              <w:rPr>
                <w:sz w:val="24"/>
              </w:rPr>
            </w:pPr>
            <w:r>
              <w:rPr>
                <w:sz w:val="24"/>
              </w:rPr>
              <w:t>2、弃土区临时用地</w:t>
            </w:r>
            <w:r>
              <w:rPr>
                <w:rFonts w:hint="eastAsia"/>
                <w:sz w:val="24"/>
              </w:rPr>
              <w:t>恢复措施</w:t>
            </w:r>
          </w:p>
          <w:p>
            <w:pPr>
              <w:adjustRightInd w:val="0"/>
              <w:snapToGrid w:val="0"/>
              <w:spacing w:line="360" w:lineRule="auto"/>
              <w:ind w:firstLine="480" w:firstLineChars="200"/>
              <w:rPr>
                <w:rFonts w:hint="eastAsia"/>
              </w:rPr>
            </w:pPr>
            <w:r>
              <w:rPr>
                <w:sz w:val="24"/>
              </w:rPr>
              <w:t>弃土区临时用地复垦共分四个阶段，第一阶段是临时用地表层土（耕作层）的剥离、集中堆放、看护和表层土回填整平等，第二阶段是土方堆填工程，第三阶段是表层土回覆、平整处理工程，同时将生活垃圾和建筑垃圾清理外运，并结合原有高程及坡向，对多余土方摊平处理，同时恢复沟路渠等原有地貌；第四阶段是在第一、二、三阶段完成并交地的基础上进行的复垦，主要是结合邻近地块坡向、高程及种植习惯由土地所有者对土地自行精细整平并恢复原有田埂、灌排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879" w:type="dxa"/>
            <w:noWrap w:val="0"/>
            <w:tcMar>
              <w:left w:w="28" w:type="dxa"/>
              <w:right w:w="28" w:type="dxa"/>
            </w:tcMar>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运营期生态环境影响分析</w:t>
            </w:r>
          </w:p>
        </w:tc>
        <w:tc>
          <w:tcPr>
            <w:tcW w:w="8363" w:type="dxa"/>
            <w:noWrap w:val="0"/>
            <w:vAlign w:val="top"/>
          </w:tcPr>
          <w:p>
            <w:pPr>
              <w:bidi w:val="0"/>
              <w:ind w:firstLine="480" w:firstLineChars="200"/>
              <w:rPr>
                <w:rFonts w:hint="eastAsia"/>
              </w:rPr>
            </w:pPr>
            <w:r>
              <w:rPr>
                <w:rFonts w:hint="eastAsia"/>
              </w:rPr>
              <w:t>1、生态环境影响分析</w:t>
            </w:r>
          </w:p>
          <w:p>
            <w:pPr>
              <w:bidi w:val="0"/>
              <w:ind w:firstLine="480" w:firstLineChars="200"/>
              <w:rPr>
                <w:rFonts w:hint="eastAsia"/>
              </w:rPr>
            </w:pPr>
            <w:r>
              <w:rPr>
                <w:rFonts w:hint="eastAsia"/>
              </w:rPr>
              <w:t>项目运营期对生态环境的影响主要表现在土地利用、生物多样性和生物量、景观生态、水土流失等方面。</w:t>
            </w:r>
          </w:p>
          <w:p>
            <w:pPr>
              <w:bidi w:val="0"/>
              <w:ind w:firstLine="480" w:firstLineChars="200"/>
              <w:rPr>
                <w:rFonts w:hint="eastAsia"/>
              </w:rPr>
            </w:pPr>
            <w:r>
              <w:rPr>
                <w:rFonts w:hint="eastAsia"/>
              </w:rPr>
              <w:t>（1）土地利用影响分析</w:t>
            </w:r>
          </w:p>
          <w:p>
            <w:pPr>
              <w:bidi w:val="0"/>
              <w:ind w:firstLine="480" w:firstLineChars="200"/>
              <w:rPr>
                <w:rFonts w:hint="eastAsia"/>
              </w:rPr>
            </w:pPr>
            <w:r>
              <w:rPr>
                <w:rFonts w:hint="eastAsia"/>
              </w:rPr>
              <w:t>本项目无新增永久占地。项目建成后，临时占用的土地将恢复为原有土地利用类型，评价区的各种土地利用类型发生的变化较小。</w:t>
            </w:r>
          </w:p>
          <w:p>
            <w:pPr>
              <w:bidi w:val="0"/>
              <w:ind w:firstLine="480" w:firstLineChars="200"/>
              <w:rPr>
                <w:rFonts w:hint="eastAsia"/>
              </w:rPr>
            </w:pPr>
            <w:r>
              <w:rPr>
                <w:rFonts w:hint="eastAsia"/>
              </w:rPr>
              <w:t>（2）生物多样性和生物量影响分析</w:t>
            </w:r>
          </w:p>
          <w:p>
            <w:pPr>
              <w:bidi w:val="0"/>
              <w:ind w:firstLine="480" w:firstLineChars="200"/>
              <w:rPr>
                <w:rFonts w:hint="eastAsia"/>
              </w:rPr>
            </w:pPr>
            <w:r>
              <w:rPr>
                <w:rFonts w:hint="eastAsia"/>
              </w:rPr>
              <w:t>①对植被</w:t>
            </w:r>
            <w:r>
              <w:rPr>
                <w:rFonts w:hint="eastAsia"/>
                <w:lang w:eastAsia="zh-CN"/>
              </w:rPr>
              <w:t>的</w:t>
            </w:r>
            <w:r>
              <w:rPr>
                <w:rFonts w:hint="eastAsia"/>
              </w:rPr>
              <w:t>影响</w:t>
            </w:r>
          </w:p>
          <w:p>
            <w:pPr>
              <w:bidi w:val="0"/>
              <w:ind w:firstLine="480" w:firstLineChars="200"/>
              <w:rPr>
                <w:rFonts w:hint="eastAsia"/>
              </w:rPr>
            </w:pPr>
            <w:r>
              <w:rPr>
                <w:rFonts w:hint="eastAsia"/>
              </w:rPr>
              <w:t>项目无新增永久占地，对沿线地区的地貌景观影响较小，对选址沿线地区的植被产生的影响不会太大。同时，在施工结束后，建设单位在项目区可绿化区域进行绿化，来弥补植被的损失。由于项目占地在评价区所占</w:t>
            </w:r>
            <w:r>
              <w:rPr>
                <w:rFonts w:hint="eastAsia"/>
                <w:lang w:eastAsia="zh-CN"/>
              </w:rPr>
              <w:t>地</w:t>
            </w:r>
            <w:r>
              <w:rPr>
                <w:rFonts w:hint="eastAsia"/>
              </w:rPr>
              <w:t>比例不大，故植被的损失对当地的气候、降水等不会产生较大的影响。</w:t>
            </w:r>
          </w:p>
          <w:p>
            <w:pPr>
              <w:bidi w:val="0"/>
              <w:ind w:firstLine="480" w:firstLineChars="200"/>
              <w:rPr>
                <w:rFonts w:hint="eastAsia"/>
              </w:rPr>
            </w:pPr>
            <w:r>
              <w:rPr>
                <w:rFonts w:hint="eastAsia"/>
              </w:rPr>
              <w:t>②对动物的影响</w:t>
            </w:r>
          </w:p>
          <w:p>
            <w:pPr>
              <w:bidi w:val="0"/>
              <w:ind w:firstLine="480" w:firstLineChars="200"/>
              <w:rPr>
                <w:rFonts w:hint="eastAsia"/>
              </w:rPr>
            </w:pPr>
            <w:r>
              <w:rPr>
                <w:rFonts w:hint="eastAsia"/>
              </w:rPr>
              <w:t>在运营初期，动物对外环境的适应性使它们逐步接近或回到其原有的生活环境，种群结构基本没有变化；运营期，沿线不会对其迁移产生明显的影响。</w:t>
            </w:r>
          </w:p>
          <w:p>
            <w:pPr>
              <w:bidi w:val="0"/>
              <w:ind w:firstLine="480" w:firstLineChars="200"/>
              <w:rPr>
                <w:rFonts w:hint="eastAsia"/>
              </w:rPr>
            </w:pPr>
            <w:r>
              <w:rPr>
                <w:rFonts w:hint="eastAsia"/>
              </w:rPr>
              <w:t>在运营初期，因遭受汽车高速行驶及噪声的惊吓，鼠、喜鹊、青蛙等动物普遍采取规避方式，随着时间的推移，动物对外环境的适应性使它们逐步接近或回到其原有的生活环境，种群结构基本没有变化。运营期，坚固的防洪堤对沿线陆生野生动物的迁移将产生一定程度上的阻隔，但由于项目为全开放，基本鼠、青蛙等动物跨越防洪堤的需求影响不大，不会对其迁移产生明显的影响；喜鹊等鸟类具有较好的飞翔能力，项目对其迁移不会产生影响；但由于昆虫普遍具有较强的繁殖能力，因此，项目建设对沿线昆虫种群将不会产生明显的影响。</w:t>
            </w:r>
          </w:p>
          <w:p>
            <w:pPr>
              <w:bidi w:val="0"/>
              <w:ind w:firstLine="480" w:firstLineChars="200"/>
              <w:rPr>
                <w:rFonts w:hint="eastAsia"/>
              </w:rPr>
            </w:pPr>
            <w:r>
              <w:rPr>
                <w:rFonts w:hint="eastAsia"/>
              </w:rPr>
              <w:t>项目区现场调查时没有发现国家和省级珍稀濒危动物物种存在，因此，不涉及对沿线珍稀濒危动物的影响问题。</w:t>
            </w:r>
          </w:p>
          <w:p>
            <w:pPr>
              <w:bidi w:val="0"/>
              <w:ind w:firstLine="480" w:firstLineChars="200"/>
              <w:rPr>
                <w:rFonts w:hint="eastAsia"/>
              </w:rPr>
            </w:pPr>
            <w:r>
              <w:rPr>
                <w:rFonts w:hint="eastAsia"/>
              </w:rPr>
              <w:t>③生物量的影响</w:t>
            </w:r>
          </w:p>
          <w:p>
            <w:pPr>
              <w:adjustRightInd w:val="0"/>
              <w:snapToGrid w:val="0"/>
              <w:ind w:firstLine="480" w:firstLineChars="200"/>
              <w:rPr>
                <w:rFonts w:hint="eastAsia"/>
              </w:rPr>
            </w:pPr>
            <w:r>
              <w:rPr>
                <w:rFonts w:hint="eastAsia"/>
              </w:rPr>
              <w:t>项目建设占地会使项目区的植被受到破坏，从植被分布现状调查的结果看，可能受到项目直接影响的植被主要为人工草地、树木等，这些人工植被面积的减少将造成生物量的减少，通过采取绿化措施会对这种影响进行补偿。因此，项目破坏</w:t>
            </w:r>
            <w:r>
              <w:rPr>
                <w:rFonts w:hint="eastAsia"/>
                <w:lang w:eastAsia="zh-CN"/>
              </w:rPr>
              <w:t>的</w:t>
            </w:r>
            <w:r>
              <w:rPr>
                <w:rFonts w:hint="eastAsia"/>
              </w:rPr>
              <w:t>植被对沿线生态系统的生物量和生态功能会产生一定的影响，但这种影响很小。</w:t>
            </w:r>
          </w:p>
          <w:p>
            <w:pPr>
              <w:adjustRightInd w:val="0"/>
              <w:snapToGrid w:val="0"/>
              <w:ind w:firstLine="480" w:firstLineChars="200"/>
              <w:rPr>
                <w:rFonts w:hint="eastAsia"/>
              </w:rPr>
            </w:pPr>
            <w:r>
              <w:rPr>
                <w:rFonts w:hint="eastAsia"/>
              </w:rPr>
              <w:t>（3）景观生态影响分析</w:t>
            </w:r>
          </w:p>
          <w:p>
            <w:pPr>
              <w:adjustRightInd w:val="0"/>
              <w:snapToGrid w:val="0"/>
              <w:ind w:firstLine="480" w:firstLineChars="200"/>
              <w:rPr>
                <w:rFonts w:hint="eastAsia"/>
              </w:rPr>
            </w:pPr>
            <w:r>
              <w:rPr>
                <w:rFonts w:hint="eastAsia"/>
              </w:rPr>
              <w:t>项目各项工程本身都是各具特色的景观，若人为设计不当，对工程自身的景观也会带来负面影响。对于项目各项工程自身景观的协调，在工程的线形、起伏、色彩、绿化等方面均进行专业的设计。只要设计科学合理，本项目的自身景观可以达到和谐统一。项目为人文景观，呈带状分布在</w:t>
            </w:r>
            <w:r>
              <w:rPr>
                <w:rFonts w:hint="eastAsia"/>
                <w:lang w:eastAsia="zh-CN"/>
              </w:rPr>
              <w:t>五井石河</w:t>
            </w:r>
            <w:r>
              <w:rPr>
                <w:rFonts w:hint="eastAsia"/>
              </w:rPr>
              <w:t>，由于河堤的历史性存在，对现有景观无分割。</w:t>
            </w:r>
          </w:p>
          <w:p>
            <w:pPr>
              <w:adjustRightInd w:val="0"/>
              <w:snapToGrid w:val="0"/>
              <w:ind w:firstLine="480" w:firstLineChars="200"/>
              <w:rPr>
                <w:rFonts w:hint="eastAsia"/>
              </w:rPr>
            </w:pPr>
            <w:r>
              <w:rPr>
                <w:rFonts w:hint="eastAsia"/>
              </w:rPr>
              <w:t>（4）水土流失影响分析</w:t>
            </w:r>
          </w:p>
          <w:p>
            <w:pPr>
              <w:adjustRightInd w:val="0"/>
              <w:snapToGrid w:val="0"/>
              <w:ind w:firstLine="480" w:firstLineChars="200"/>
              <w:rPr>
                <w:rFonts w:hint="eastAsia"/>
              </w:rPr>
            </w:pPr>
            <w:r>
              <w:rPr>
                <w:rFonts w:hint="eastAsia"/>
              </w:rPr>
              <w:t>根据防洪工程建设的经验，运营期占地范围内地面得以恢复，不再产生水土流失，但在地面两侧的绿地等未恢复区域，仍会产生水土流失，由于绿化作用，其水土流失将比施工期大为减少。</w:t>
            </w:r>
          </w:p>
          <w:p>
            <w:pPr>
              <w:adjustRightInd w:val="0"/>
              <w:snapToGrid w:val="0"/>
              <w:ind w:firstLine="480" w:firstLineChars="200"/>
              <w:rPr>
                <w:rFonts w:hint="eastAsia"/>
              </w:rPr>
            </w:pPr>
            <w:r>
              <w:rPr>
                <w:rFonts w:hint="eastAsia"/>
              </w:rPr>
              <w:t>2、废气</w:t>
            </w:r>
          </w:p>
          <w:p>
            <w:pPr>
              <w:adjustRightInd w:val="0"/>
              <w:snapToGrid w:val="0"/>
              <w:ind w:firstLine="480" w:firstLineChars="200"/>
              <w:rPr>
                <w:rFonts w:hint="eastAsia"/>
              </w:rPr>
            </w:pPr>
            <w:r>
              <w:rPr>
                <w:rFonts w:hint="eastAsia"/>
              </w:rPr>
              <w:t>项目不设收费站、服务区及管理处，运营期无废气产生、无废气排放。</w:t>
            </w:r>
          </w:p>
          <w:p>
            <w:pPr>
              <w:adjustRightInd w:val="0"/>
              <w:snapToGrid w:val="0"/>
              <w:ind w:firstLine="480" w:firstLineChars="200"/>
              <w:rPr>
                <w:rFonts w:hint="eastAsia"/>
              </w:rPr>
            </w:pPr>
            <w:r>
              <w:rPr>
                <w:rFonts w:hint="eastAsia"/>
              </w:rPr>
              <w:t>3、废水</w:t>
            </w:r>
          </w:p>
          <w:p>
            <w:pPr>
              <w:adjustRightInd w:val="0"/>
              <w:snapToGrid w:val="0"/>
              <w:ind w:firstLine="480" w:firstLineChars="200"/>
              <w:rPr>
                <w:rFonts w:hint="eastAsia"/>
              </w:rPr>
            </w:pPr>
            <w:r>
              <w:rPr>
                <w:rFonts w:hint="eastAsia"/>
              </w:rPr>
              <w:t>项目不设收费站、服务区及管理处，运营期无废水产生。</w:t>
            </w:r>
          </w:p>
          <w:p>
            <w:pPr>
              <w:adjustRightInd w:val="0"/>
              <w:snapToGrid w:val="0"/>
              <w:ind w:firstLine="480" w:firstLineChars="200"/>
              <w:rPr>
                <w:rFonts w:hint="eastAsia"/>
              </w:rPr>
            </w:pPr>
            <w:r>
              <w:rPr>
                <w:rFonts w:hint="eastAsia"/>
              </w:rPr>
              <w:t>4、噪声</w:t>
            </w:r>
          </w:p>
          <w:p>
            <w:pPr>
              <w:adjustRightInd w:val="0"/>
              <w:snapToGrid w:val="0"/>
              <w:ind w:firstLine="480" w:firstLineChars="200"/>
              <w:rPr>
                <w:rFonts w:hint="eastAsia"/>
                <w:lang w:eastAsia="zh-CN"/>
              </w:rPr>
            </w:pPr>
            <w:r>
              <w:rPr>
                <w:rFonts w:hint="eastAsia"/>
              </w:rPr>
              <w:t>项目不设收费站、服务区及管理处，运营期</w:t>
            </w:r>
            <w:r>
              <w:rPr>
                <w:rFonts w:hint="eastAsia"/>
                <w:lang w:eastAsia="zh-CN"/>
              </w:rPr>
              <w:t>无</w:t>
            </w:r>
            <w:r>
              <w:rPr>
                <w:rFonts w:hint="eastAsia"/>
              </w:rPr>
              <w:t>噪声</w:t>
            </w:r>
            <w:r>
              <w:rPr>
                <w:rFonts w:hint="eastAsia"/>
                <w:lang w:eastAsia="zh-CN"/>
              </w:rPr>
              <w:t>产生。</w:t>
            </w:r>
          </w:p>
          <w:p>
            <w:pPr>
              <w:adjustRightInd w:val="0"/>
              <w:snapToGrid w:val="0"/>
              <w:ind w:firstLine="480" w:firstLineChars="200"/>
              <w:rPr>
                <w:rFonts w:hint="eastAsia"/>
                <w:lang w:eastAsia="zh-CN"/>
              </w:rPr>
            </w:pPr>
            <w:r>
              <w:rPr>
                <w:rFonts w:hint="eastAsia"/>
                <w:lang w:eastAsia="zh-CN"/>
              </w:rPr>
              <w:t>5、固废</w:t>
            </w:r>
          </w:p>
          <w:p>
            <w:pPr>
              <w:adjustRightInd w:val="0"/>
              <w:snapToGrid w:val="0"/>
              <w:ind w:firstLine="480" w:firstLineChars="200"/>
              <w:rPr>
                <w:rFonts w:hint="eastAsia"/>
                <w:lang w:eastAsia="zh-CN"/>
              </w:rPr>
            </w:pPr>
            <w:r>
              <w:rPr>
                <w:rFonts w:hint="eastAsia"/>
                <w:lang w:eastAsia="zh-CN"/>
              </w:rPr>
              <w:t>项目不设收费站、服务区及管理处，故营运期无固体废物产生。</w:t>
            </w:r>
          </w:p>
          <w:p>
            <w:pPr>
              <w:adjustRightInd w:val="0"/>
              <w:snapToGrid w:val="0"/>
              <w:ind w:firstLine="480" w:firstLineChars="200"/>
              <w:rPr>
                <w:rFonts w:hint="eastAsia"/>
                <w:lang w:eastAsia="zh-CN"/>
              </w:rPr>
            </w:pPr>
            <w:r>
              <w:rPr>
                <w:rFonts w:hint="eastAsia"/>
                <w:lang w:eastAsia="zh-CN"/>
              </w:rPr>
              <w:t>6、环境风险</w:t>
            </w:r>
          </w:p>
          <w:p>
            <w:pPr>
              <w:adjustRightInd w:val="0"/>
              <w:snapToGrid w:val="0"/>
              <w:ind w:firstLine="480" w:firstLineChars="200"/>
              <w:rPr>
                <w:rFonts w:hint="eastAsia"/>
                <w:lang w:eastAsia="zh-CN"/>
              </w:rPr>
            </w:pPr>
            <w:r>
              <w:rPr>
                <w:rFonts w:hint="eastAsia"/>
                <w:lang w:eastAsia="zh-CN"/>
              </w:rPr>
              <w:t>项目运营期无突发环境风险。</w:t>
            </w:r>
          </w:p>
          <w:p>
            <w:pPr>
              <w:adjustRightInd w:val="0"/>
              <w:snapToGrid w:val="0"/>
              <w:rPr>
                <w:rFonts w:ascii="宋体" w:hAnsi="宋体" w:cs="宋体"/>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1" w:hRule="atLeast"/>
          <w:jc w:val="center"/>
        </w:trPr>
        <w:tc>
          <w:tcPr>
            <w:tcW w:w="879"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选址选线环境合理性分析</w:t>
            </w:r>
          </w:p>
        </w:tc>
        <w:tc>
          <w:tcPr>
            <w:tcW w:w="8363" w:type="dxa"/>
            <w:noWrap w:val="0"/>
            <w:vAlign w:val="top"/>
          </w:tcPr>
          <w:p>
            <w:pPr>
              <w:adjustRightInd w:val="0"/>
              <w:snapToGrid w:val="0"/>
              <w:ind w:firstLine="480" w:firstLineChars="200"/>
              <w:rPr>
                <w:rFonts w:hint="eastAsia" w:ascii="宋体" w:hAnsi="宋体" w:cs="宋体"/>
                <w:bCs/>
                <w:szCs w:val="21"/>
              </w:rPr>
            </w:pPr>
            <w:r>
              <w:rPr>
                <w:rFonts w:hint="eastAsia" w:ascii="宋体" w:hAnsi="宋体" w:cs="宋体"/>
                <w:bCs/>
                <w:szCs w:val="21"/>
              </w:rPr>
              <w:t>项目经过现场调查，选址不涉及《建设项目环境影响评价分类管理名录》规定的国家公园、自然保护区、风景名胜区、世界文化和自然遗产地、海洋特别保护区、饮用水水源保护区等环境敏感区及《环境影响评价技术导则 生态影响》（HJ19-2022）中的生态保护区域、重要生境以及其他具有重要生态功能、对保护生物多样性具有重要意义的区域，无环境制约因素，满足</w:t>
            </w:r>
            <w:r>
              <w:rPr>
                <w:rFonts w:hint="eastAsia" w:ascii="宋体" w:hAnsi="宋体" w:cs="宋体"/>
                <w:bCs/>
                <w:szCs w:val="21"/>
                <w:lang w:eastAsia="zh-CN"/>
              </w:rPr>
              <w:t>沂源县</w:t>
            </w:r>
            <w:r>
              <w:rPr>
                <w:rFonts w:hint="eastAsia" w:ascii="宋体" w:hAnsi="宋体" w:cs="宋体"/>
                <w:bCs/>
                <w:szCs w:val="21"/>
              </w:rPr>
              <w:t>“</w:t>
            </w:r>
            <w:r>
              <w:rPr>
                <w:rFonts w:hint="eastAsia" w:ascii="宋体" w:hAnsi="宋体" w:cs="宋体"/>
                <w:bCs/>
                <w:szCs w:val="21"/>
                <w:lang w:eastAsia="zh-CN"/>
              </w:rPr>
              <w:t>三区三线</w:t>
            </w:r>
            <w:r>
              <w:rPr>
                <w:rFonts w:hint="eastAsia" w:ascii="宋体" w:hAnsi="宋体" w:cs="宋体"/>
                <w:bCs/>
                <w:szCs w:val="21"/>
              </w:rPr>
              <w:t>”管理要求。</w:t>
            </w:r>
          </w:p>
          <w:p>
            <w:pPr>
              <w:adjustRightInd w:val="0"/>
              <w:snapToGrid w:val="0"/>
              <w:ind w:firstLine="480" w:firstLineChars="200"/>
              <w:rPr>
                <w:rFonts w:hint="eastAsia" w:ascii="宋体" w:hAnsi="宋体" w:cs="宋体"/>
                <w:bCs/>
                <w:szCs w:val="21"/>
              </w:rPr>
            </w:pPr>
            <w:r>
              <w:rPr>
                <w:rFonts w:hint="eastAsia" w:ascii="宋体" w:hAnsi="宋体" w:cs="宋体"/>
                <w:bCs/>
                <w:szCs w:val="21"/>
              </w:rPr>
              <w:t>项目的选址符合《水利建设项目（河湖整治与防洪除涝工程）环境影响评价文件审批原则》（试行）中的相关要求，选址不涉及自然保护区、饮用水水源保护区等环境敏感区，不涉及架空线路（送出线路）；运营过程中将通过选用低噪声设备，并采用隔声、减振等降噪措施减少声环境影响。项目选址已避开空气经常受悬浮物严重污染的地区，已避开危岩、泥石流、滑坡的地段和发震断裂地带等地质灾害易发区，且选择在地势平坦以及烈度低于9度的地区。</w:t>
            </w:r>
          </w:p>
          <w:p>
            <w:pPr>
              <w:adjustRightInd w:val="0"/>
              <w:snapToGrid w:val="0"/>
              <w:ind w:firstLine="480" w:firstLineChars="200"/>
              <w:rPr>
                <w:rFonts w:ascii="宋体" w:hAnsi="宋体" w:cs="宋体"/>
                <w:bCs/>
                <w:szCs w:val="21"/>
              </w:rPr>
            </w:pPr>
            <w:r>
              <w:rPr>
                <w:rFonts w:hint="eastAsia" w:ascii="宋体" w:hAnsi="宋体" w:cs="宋体"/>
                <w:bCs/>
                <w:szCs w:val="21"/>
              </w:rPr>
              <w:t>本项目不</w:t>
            </w:r>
            <w:r>
              <w:rPr>
                <w:rFonts w:hint="eastAsia" w:ascii="宋体" w:hAnsi="宋体" w:cs="宋体"/>
                <w:bCs/>
                <w:szCs w:val="21"/>
                <w:lang w:eastAsia="zh-CN"/>
              </w:rPr>
              <w:t>涉及</w:t>
            </w:r>
            <w:r>
              <w:rPr>
                <w:rFonts w:hint="eastAsia" w:ascii="宋体" w:hAnsi="宋体" w:cs="宋体"/>
                <w:bCs/>
                <w:szCs w:val="21"/>
              </w:rPr>
              <w:t>拆迁安置问题，项目选址无环境污染问题，根据施工期生态环境影响分析、运营期生态环境影响分析，施工期项目采取预防措施，减少对环境可能造成的污染，运营期无废气、废水、固体废物产生。因此，本项目选址环境合理。</w:t>
            </w:r>
          </w:p>
        </w:tc>
      </w:tr>
    </w:tbl>
    <w:p>
      <w:pPr>
        <w:pStyle w:val="11"/>
        <w:snapToGrid/>
        <w:spacing w:before="0" w:beforeAutospacing="0" w:after="0" w:afterAutospacing="0" w:line="360" w:lineRule="auto"/>
        <w:ind w:left="0" w:leftChars="0" w:right="0" w:rightChars="0" w:firstLine="560" w:firstLineChars="200"/>
        <w:jc w:val="left"/>
        <w:rPr>
          <w:rFonts w:ascii="Times New Roman" w:hAnsi="黑体" w:eastAsia="宋体"/>
          <w:snapToGrid w:val="0"/>
          <w:sz w:val="28"/>
          <w:szCs w:val="36"/>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11"/>
        <w:snapToGrid/>
        <w:spacing w:before="312" w:beforeLines="100" w:beforeAutospacing="0" w:after="156" w:afterLines="50" w:afterAutospacing="0" w:line="360" w:lineRule="auto"/>
        <w:ind w:left="0" w:leftChars="0" w:right="0" w:rightChars="0" w:firstLine="0" w:firstLineChars="0"/>
        <w:jc w:val="left"/>
        <w:outlineLvl w:val="0"/>
        <w:rPr>
          <w:rFonts w:ascii="Times New Roman" w:hAnsi="黑体" w:eastAsia="宋体"/>
          <w:b/>
          <w:snapToGrid w:val="0"/>
          <w:sz w:val="32"/>
          <w:szCs w:val="30"/>
        </w:rPr>
      </w:pPr>
      <w:r>
        <w:rPr>
          <w:rFonts w:hint="eastAsia" w:ascii="Times New Roman" w:hAnsi="黑体" w:eastAsia="宋体"/>
          <w:b/>
          <w:snapToGrid w:val="0"/>
          <w:sz w:val="32"/>
          <w:szCs w:val="30"/>
        </w:rPr>
        <w:t>五、主要生态环境保护措施</w:t>
      </w:r>
    </w:p>
    <w:tbl>
      <w:tblPr>
        <w:tblStyle w:val="14"/>
        <w:tblW w:w="92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782" w:hRule="atLeast"/>
          <w:jc w:val="center"/>
        </w:trPr>
        <w:tc>
          <w:tcPr>
            <w:tcW w:w="753" w:type="dxa"/>
            <w:noWrap w:val="0"/>
            <w:tcMar>
              <w:left w:w="28" w:type="dxa"/>
              <w:right w:w="28" w:type="dxa"/>
            </w:tcMar>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施工期生态环境保护措施</w:t>
            </w:r>
          </w:p>
        </w:tc>
        <w:tc>
          <w:tcPr>
            <w:tcW w:w="8495" w:type="dxa"/>
            <w:noWrap w:val="0"/>
            <w:vAlign w:val="top"/>
          </w:tcPr>
          <w:p>
            <w:pPr>
              <w:adjustRightInd w:val="0"/>
              <w:snapToGrid w:val="0"/>
              <w:rPr>
                <w:rFonts w:hint="eastAsia" w:ascii="宋体" w:hAnsi="宋体" w:cs="宋体"/>
                <w:b/>
                <w:bCs w:val="0"/>
                <w:spacing w:val="10"/>
                <w:szCs w:val="21"/>
              </w:rPr>
            </w:pPr>
            <w:r>
              <w:rPr>
                <w:rFonts w:hint="eastAsia" w:ascii="宋体" w:hAnsi="宋体" w:cs="宋体"/>
                <w:b/>
                <w:bCs w:val="0"/>
                <w:spacing w:val="10"/>
                <w:szCs w:val="21"/>
              </w:rPr>
              <w:t>一、大气环保措施</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1、施工现场对外围有影响的方向设置围栏或围墙，缩小施工现场扬尘和尾气扩散范围。根据有关资料调查，当有围栏时，在同等条件下施工造成的影响粉尘可减少40%，汽车尾气可减少30%；</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2、装运土方时控制车内土方低于车厢挡板，减少途中撒落，对施工现场抛洒的砂石、水泥等物料应及时清扫，砂石堆场、施工道路应定时洒水抑尘；</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3、运输车辆和部分施工机械在怠速、减速和加速时产生的污染最为严重。故施工现场运输车辆和部分施工机械一方面应控制车速，使之小于40km/h，以减少行驶过程中产生的道路扬尘；另一方面缩短怠速、减速和加速的时间；</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4、在施工场地上设置专人负责弃土、建筑垃圾、建筑材料的处置、清运和堆放，堆放场地</w:t>
            </w:r>
            <w:r>
              <w:rPr>
                <w:rFonts w:hint="eastAsia" w:ascii="宋体" w:hAnsi="宋体" w:cs="宋体"/>
                <w:bCs/>
                <w:spacing w:val="10"/>
                <w:szCs w:val="21"/>
                <w:lang w:eastAsia="zh-CN"/>
              </w:rPr>
              <w:t>加盖篷布</w:t>
            </w:r>
            <w:r>
              <w:rPr>
                <w:rFonts w:hint="eastAsia" w:ascii="宋体" w:hAnsi="宋体" w:cs="宋体"/>
                <w:bCs/>
                <w:spacing w:val="10"/>
                <w:szCs w:val="21"/>
              </w:rPr>
              <w:t>或洒水，防止二次扬尘；</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5、使用商品混凝土，尽量避免在大风天气下进行土方及石料的施工作业；</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6、严格落实《淄博市建设领域扬尘污染专项治理实施方案》；</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7、对作业点周围和运输路线两侧局部范围产生一定影响；</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8、项目河道清理、淤泥清除产生臭气。河道清理淤泥清除产生的淤泥通过喷洒除臭剂等方式除臭，同时淤泥随产随清，用于</w:t>
            </w:r>
            <w:r>
              <w:rPr>
                <w:rFonts w:hint="eastAsia" w:ascii="宋体" w:hAnsi="宋体" w:cs="宋体"/>
                <w:bCs/>
                <w:spacing w:val="10"/>
                <w:szCs w:val="21"/>
                <w:lang w:eastAsia="zh-CN"/>
              </w:rPr>
              <w:t>五井石河</w:t>
            </w:r>
            <w:r>
              <w:rPr>
                <w:rFonts w:hint="eastAsia" w:ascii="宋体" w:hAnsi="宋体" w:cs="宋体"/>
                <w:bCs/>
                <w:spacing w:val="10"/>
                <w:szCs w:val="21"/>
              </w:rPr>
              <w:t>治理工程，确保施工</w:t>
            </w:r>
            <w:r>
              <w:rPr>
                <w:rFonts w:hint="eastAsia" w:ascii="宋体" w:hAnsi="宋体" w:cs="宋体"/>
                <w:bCs/>
                <w:spacing w:val="10"/>
                <w:szCs w:val="21"/>
                <w:lang w:eastAsia="zh-CN"/>
              </w:rPr>
              <w:t>场</w:t>
            </w:r>
            <w:r>
              <w:rPr>
                <w:rFonts w:hint="eastAsia" w:ascii="宋体" w:hAnsi="宋体" w:cs="宋体"/>
                <w:bCs/>
                <w:spacing w:val="10"/>
                <w:szCs w:val="21"/>
              </w:rPr>
              <w:t>界恶臭污染物《恶臭污染物排放标准》（GB14554-93）表1二级标准。</w:t>
            </w:r>
          </w:p>
          <w:p>
            <w:pPr>
              <w:adjustRightInd w:val="0"/>
              <w:snapToGrid w:val="0"/>
              <w:rPr>
                <w:rFonts w:hint="eastAsia" w:ascii="宋体" w:hAnsi="宋体" w:cs="宋体"/>
                <w:b/>
                <w:bCs w:val="0"/>
                <w:spacing w:val="10"/>
                <w:szCs w:val="21"/>
              </w:rPr>
            </w:pPr>
            <w:r>
              <w:rPr>
                <w:rFonts w:hint="eastAsia" w:ascii="宋体" w:hAnsi="宋体" w:cs="宋体"/>
                <w:b/>
                <w:bCs w:val="0"/>
                <w:spacing w:val="10"/>
                <w:szCs w:val="21"/>
              </w:rPr>
              <w:t>二、水环境保护措施</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1、施工期水环境保护措施</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①建造沉淀池、隔油池等污水临时处理设施，对含油量大的施工机械冲洗水或悬浮物含量高</w:t>
            </w:r>
            <w:r>
              <w:rPr>
                <w:rFonts w:hint="eastAsia" w:ascii="宋体" w:hAnsi="宋体" w:cs="宋体"/>
                <w:bCs/>
                <w:spacing w:val="10"/>
                <w:szCs w:val="21"/>
                <w:lang w:eastAsia="zh-CN"/>
              </w:rPr>
              <w:t>的其他</w:t>
            </w:r>
            <w:r>
              <w:rPr>
                <w:rFonts w:hint="eastAsia" w:ascii="宋体" w:hAnsi="宋体" w:cs="宋体"/>
                <w:bCs/>
                <w:spacing w:val="10"/>
                <w:szCs w:val="21"/>
              </w:rPr>
              <w:t>施工废水需经处理后方可回用；砂浆和石灰浆等废液宜集中处理，干燥后与固体废弃物一起处置，全部回填以调整场地标高；</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②施工人员就近居住在附近民宅，施工人员生活污水依托附近民宅的厕所，统一集中处理；</w:t>
            </w:r>
          </w:p>
          <w:p>
            <w:pPr>
              <w:adjustRightInd w:val="0"/>
              <w:snapToGrid w:val="0"/>
              <w:ind w:firstLine="520" w:firstLineChars="200"/>
              <w:rPr>
                <w:rFonts w:hint="eastAsia" w:ascii="宋体" w:hAnsi="宋体" w:cs="宋体"/>
                <w:bCs/>
                <w:spacing w:val="10"/>
                <w:szCs w:val="21"/>
              </w:rPr>
            </w:pPr>
            <w:r>
              <w:rPr>
                <w:rFonts w:hint="eastAsia" w:ascii="宋体" w:hAnsi="宋体" w:cs="宋体"/>
                <w:bCs/>
                <w:color w:val="auto"/>
                <w:spacing w:val="10"/>
                <w:szCs w:val="21"/>
              </w:rPr>
              <w:t>③施工期边界设立围堰，防止生产废水外流</w:t>
            </w:r>
            <w:r>
              <w:rPr>
                <w:rFonts w:hint="eastAsia" w:ascii="宋体" w:hAnsi="宋体" w:cs="宋体"/>
                <w:bCs/>
                <w:spacing w:val="10"/>
                <w:szCs w:val="21"/>
              </w:rPr>
              <w:t>至项目区外；</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④水泥、黄沙、石灰类的建筑材料需集中堆放，并采取一定的防雨淋措施，及时清扫施工运输过程中抛洒的上述建筑材料，以免这些物质随雨水冲刷，污染附近水体</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⑤筑堤工程主要安排在非汛期施工，</w:t>
            </w:r>
            <w:r>
              <w:rPr>
                <w:rFonts w:hint="eastAsia" w:ascii="宋体" w:hAnsi="宋体" w:cs="宋体"/>
                <w:bCs/>
                <w:color w:val="auto"/>
                <w:spacing w:val="10"/>
                <w:szCs w:val="21"/>
              </w:rPr>
              <w:t>本河道属季节性河道，非汛期河道内水较小，因此能够满足河道干地开挖施工要求；</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⑥沿线的建筑物包括桥梁、涵洞、管涵等，可分为跨河和不跨河两种，不跨河建筑物施工采用围堰将建筑物所在沟渠下游进行围挡，施工期须安排在非汛期；跨河建筑物使用分期导流，分段施工的方法。</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⑦项目投入运营前需进行管道试压，管道试压利用泵站取水，试压用水取自</w:t>
            </w:r>
            <w:r>
              <w:rPr>
                <w:rFonts w:hint="eastAsia" w:ascii="宋体" w:hAnsi="宋体" w:cs="宋体"/>
                <w:bCs/>
                <w:spacing w:val="10"/>
                <w:szCs w:val="21"/>
                <w:lang w:eastAsia="zh-CN"/>
              </w:rPr>
              <w:t>五井石河</w:t>
            </w:r>
            <w:r>
              <w:rPr>
                <w:rFonts w:hint="eastAsia" w:ascii="宋体" w:hAnsi="宋体" w:cs="宋体"/>
                <w:bCs/>
                <w:spacing w:val="10"/>
                <w:szCs w:val="21"/>
              </w:rPr>
              <w:t>。试压后的试压水含杂质较多，杂质主要为SS，建议将试压后的试压水充分沉淀后外排，不得直接排入河流。</w:t>
            </w:r>
          </w:p>
          <w:p>
            <w:pPr>
              <w:adjustRightInd w:val="0"/>
              <w:snapToGrid w:val="0"/>
              <w:ind w:firstLine="520" w:firstLineChars="200"/>
              <w:rPr>
                <w:rFonts w:hint="eastAsia" w:ascii="宋体" w:hAnsi="宋体" w:cs="宋体"/>
                <w:bCs/>
                <w:color w:val="auto"/>
                <w:spacing w:val="10"/>
                <w:szCs w:val="21"/>
              </w:rPr>
            </w:pPr>
            <w:r>
              <w:rPr>
                <w:rFonts w:hint="eastAsia" w:ascii="宋体" w:hAnsi="宋体" w:cs="宋体"/>
                <w:bCs/>
                <w:color w:val="auto"/>
                <w:spacing w:val="10"/>
                <w:szCs w:val="21"/>
              </w:rPr>
              <w:t>2、对</w:t>
            </w:r>
            <w:r>
              <w:rPr>
                <w:rFonts w:hint="eastAsia" w:ascii="宋体" w:hAnsi="宋体" w:cs="宋体"/>
                <w:bCs/>
                <w:color w:val="auto"/>
                <w:spacing w:val="10"/>
                <w:szCs w:val="21"/>
                <w:lang w:eastAsia="zh-CN"/>
              </w:rPr>
              <w:t>五井石河</w:t>
            </w:r>
            <w:r>
              <w:rPr>
                <w:rFonts w:hint="eastAsia" w:ascii="宋体" w:hAnsi="宋体" w:cs="宋体"/>
                <w:bCs/>
                <w:color w:val="auto"/>
                <w:spacing w:val="10"/>
                <w:szCs w:val="21"/>
              </w:rPr>
              <w:t>的保护措施</w:t>
            </w:r>
          </w:p>
          <w:p>
            <w:pPr>
              <w:adjustRightInd w:val="0"/>
              <w:snapToGrid w:val="0"/>
              <w:ind w:firstLine="520" w:firstLineChars="200"/>
              <w:rPr>
                <w:rFonts w:hint="eastAsia" w:ascii="宋体" w:hAnsi="宋体" w:cs="宋体"/>
                <w:bCs/>
                <w:color w:val="auto"/>
                <w:spacing w:val="10"/>
                <w:szCs w:val="21"/>
              </w:rPr>
            </w:pPr>
            <w:r>
              <w:rPr>
                <w:rFonts w:hint="eastAsia" w:ascii="宋体" w:hAnsi="宋体" w:cs="宋体"/>
                <w:bCs/>
                <w:color w:val="auto"/>
                <w:spacing w:val="10"/>
                <w:szCs w:val="21"/>
              </w:rPr>
              <w:t>本项目</w:t>
            </w:r>
            <w:r>
              <w:rPr>
                <w:rFonts w:hint="eastAsia" w:ascii="宋体" w:hAnsi="宋体" w:cs="宋体"/>
                <w:bCs/>
                <w:color w:val="auto"/>
                <w:spacing w:val="10"/>
                <w:szCs w:val="21"/>
                <w:lang w:eastAsia="zh-CN"/>
              </w:rPr>
              <w:t>位于五井石河</w:t>
            </w:r>
            <w:r>
              <w:rPr>
                <w:rFonts w:hint="eastAsia" w:ascii="宋体" w:hAnsi="宋体" w:cs="宋体"/>
                <w:bCs/>
                <w:color w:val="auto"/>
                <w:spacing w:val="10"/>
                <w:szCs w:val="21"/>
              </w:rPr>
              <w:t>，为防止施工期废水污水污染</w:t>
            </w:r>
            <w:r>
              <w:rPr>
                <w:rFonts w:hint="eastAsia" w:ascii="宋体" w:hAnsi="宋体" w:cs="宋体"/>
                <w:bCs/>
                <w:color w:val="auto"/>
                <w:spacing w:val="10"/>
                <w:szCs w:val="21"/>
                <w:lang w:eastAsia="zh-CN"/>
              </w:rPr>
              <w:t>五井石河</w:t>
            </w:r>
            <w:r>
              <w:rPr>
                <w:rFonts w:hint="eastAsia" w:ascii="宋体" w:hAnsi="宋体" w:cs="宋体"/>
                <w:bCs/>
                <w:color w:val="auto"/>
                <w:spacing w:val="10"/>
                <w:szCs w:val="21"/>
              </w:rPr>
              <w:t>，本项目应采取以下措施：</w:t>
            </w:r>
          </w:p>
          <w:p>
            <w:pPr>
              <w:numPr>
                <w:ilvl w:val="0"/>
                <w:numId w:val="4"/>
              </w:numPr>
              <w:adjustRightInd w:val="0"/>
              <w:snapToGrid w:val="0"/>
              <w:ind w:left="0" w:leftChars="0" w:firstLine="520" w:firstLineChars="200"/>
              <w:rPr>
                <w:rFonts w:hint="eastAsia" w:ascii="宋体" w:hAnsi="宋体" w:cs="宋体"/>
                <w:bCs/>
                <w:color w:val="auto"/>
                <w:spacing w:val="10"/>
                <w:szCs w:val="21"/>
              </w:rPr>
            </w:pPr>
            <w:r>
              <w:rPr>
                <w:rFonts w:hint="eastAsia" w:ascii="宋体" w:hAnsi="宋体" w:cs="宋体"/>
                <w:bCs/>
                <w:color w:val="auto"/>
                <w:spacing w:val="10"/>
                <w:szCs w:val="21"/>
              </w:rPr>
              <w:t>设立沉淀池，施工期生产废水可经过沉淀池沉淀后回用；</w:t>
            </w:r>
          </w:p>
          <w:p>
            <w:pPr>
              <w:numPr>
                <w:ilvl w:val="0"/>
                <w:numId w:val="4"/>
              </w:numPr>
              <w:adjustRightInd w:val="0"/>
              <w:snapToGrid w:val="0"/>
              <w:ind w:left="0" w:leftChars="0" w:firstLine="520" w:firstLineChars="200"/>
              <w:rPr>
                <w:rFonts w:hint="eastAsia" w:ascii="宋体" w:hAnsi="宋体" w:cs="宋体"/>
                <w:bCs/>
                <w:color w:val="auto"/>
                <w:spacing w:val="10"/>
                <w:szCs w:val="21"/>
              </w:rPr>
            </w:pPr>
            <w:r>
              <w:rPr>
                <w:rFonts w:hint="eastAsia" w:ascii="宋体" w:hAnsi="宋体" w:cs="宋体"/>
                <w:bCs/>
                <w:color w:val="auto"/>
                <w:spacing w:val="10"/>
                <w:szCs w:val="21"/>
              </w:rPr>
              <w:t>设立简易引水沟，将生产余水导入沉淀池内，防止生产废水在项目区内漫流；</w:t>
            </w:r>
          </w:p>
          <w:p>
            <w:pPr>
              <w:numPr>
                <w:ilvl w:val="0"/>
                <w:numId w:val="4"/>
              </w:numPr>
              <w:adjustRightInd w:val="0"/>
              <w:snapToGrid w:val="0"/>
              <w:ind w:left="0" w:leftChars="0" w:firstLine="520" w:firstLineChars="200"/>
              <w:rPr>
                <w:rFonts w:hint="eastAsia" w:ascii="宋体" w:hAnsi="宋体" w:cs="宋体"/>
                <w:bCs/>
                <w:color w:val="auto"/>
                <w:spacing w:val="10"/>
                <w:szCs w:val="21"/>
              </w:rPr>
            </w:pPr>
            <w:r>
              <w:rPr>
                <w:rFonts w:hint="eastAsia" w:ascii="宋体" w:hAnsi="宋体" w:cs="宋体"/>
                <w:bCs/>
                <w:color w:val="auto"/>
                <w:spacing w:val="10"/>
                <w:szCs w:val="21"/>
              </w:rPr>
              <w:t>针对劳动人员生活污水，生活废水经依托租用民居的化粪池处理，由当地环卫部门清运处置；</w:t>
            </w:r>
          </w:p>
          <w:p>
            <w:pPr>
              <w:numPr>
                <w:ilvl w:val="0"/>
                <w:numId w:val="4"/>
              </w:numPr>
              <w:adjustRightInd w:val="0"/>
              <w:snapToGrid w:val="0"/>
              <w:ind w:left="0" w:leftChars="0" w:firstLine="520" w:firstLineChars="200"/>
              <w:rPr>
                <w:rFonts w:hint="eastAsia" w:ascii="宋体" w:hAnsi="宋体" w:cs="宋体"/>
                <w:bCs/>
                <w:color w:val="auto"/>
                <w:spacing w:val="10"/>
                <w:szCs w:val="21"/>
              </w:rPr>
            </w:pPr>
            <w:r>
              <w:rPr>
                <w:rFonts w:hint="eastAsia" w:ascii="宋体" w:hAnsi="宋体" w:cs="宋体"/>
                <w:bCs/>
                <w:color w:val="auto"/>
                <w:spacing w:val="10"/>
                <w:szCs w:val="21"/>
              </w:rPr>
              <w:t>做好建筑材料和建筑废料的管理，防止它们成为地面水的二次污染源。</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3、为保证项目实施，项目施工过程中需要建设导流工程。</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通过采取以上措施，可有效控制施工废水污染，措施是切实可行的。</w:t>
            </w:r>
          </w:p>
          <w:p>
            <w:pPr>
              <w:numPr>
                <w:ilvl w:val="0"/>
                <w:numId w:val="0"/>
              </w:numPr>
              <w:adjustRightInd w:val="0"/>
              <w:snapToGrid w:val="0"/>
              <w:rPr>
                <w:rFonts w:hint="eastAsia" w:ascii="宋体" w:hAnsi="宋体" w:cs="宋体"/>
                <w:b/>
                <w:bCs w:val="0"/>
                <w:spacing w:val="10"/>
                <w:szCs w:val="21"/>
              </w:rPr>
            </w:pPr>
            <w:r>
              <w:rPr>
                <w:rFonts w:hint="eastAsia" w:ascii="宋体" w:hAnsi="宋体" w:eastAsia="宋体" w:cs="宋体"/>
                <w:b/>
                <w:bCs w:val="0"/>
                <w:spacing w:val="10"/>
                <w:kern w:val="2"/>
                <w:sz w:val="24"/>
                <w:szCs w:val="21"/>
                <w:lang w:val="en-US" w:eastAsia="zh-CN" w:bidi="ar-SA"/>
              </w:rPr>
              <w:t>三、</w:t>
            </w:r>
            <w:r>
              <w:rPr>
                <w:rFonts w:hint="eastAsia" w:ascii="宋体" w:hAnsi="宋体" w:cs="宋体"/>
                <w:b/>
                <w:bCs w:val="0"/>
                <w:spacing w:val="10"/>
                <w:szCs w:val="21"/>
              </w:rPr>
              <w:t>声环境保护措施</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为进一步减少施工对周边环境的影响，建设单位可在施工场界处设置隔音壁（墙），并采取以下相应措施：</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1、施工单位应尽量选用先进的低噪声设备，在高噪声设备周围设置屏障以减轻噪声对周围环境的影响，施工机械放置在远离居民点的位置，控制施工场界噪声不超过《建筑施工场界环境噪声排放标准》（GB12523-2011）的要求。</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2、混凝土在配制过程中的噪声和粉尘对外环境的影响均较大。如果均采用自制混凝土，多个点的混凝土搅拌噪声叠加，对场界噪声的影响较大。因此，建设方应考虑更多地采用商品混凝土，实现施工期噪声减量。相对昼间作业环境，夜间作业对周围居民的影响更大，因此，为防止在夜间混凝土搅拌噪声对周围环境的影响，在夜间应全部采用商品混凝土。</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3、精心安排，减少施工噪声影响时间，禁止夜间施工。如需夜间施工，需按国家有关规定到当地环境保护行政主管部门及时办理夜间施工许可手续，并张贴安民告示。</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4、施工中应加强对施工机械的维护保养，避免由于设备性能差而增大机械噪声的现象发生。</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5、制定合理的运输线路，车辆运输应尽量避开居民区。</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6、合理安排高噪声设备的使用时间，同时要选择设备放置的位置，注意使用自然条件减噪，以把施工期的噪声影响减至最低。施工现场尽量避免产生可控制的噪声，严禁车辆进出工地时鸣笛，严禁抛扔钢管等。</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7、施工场地周围靠敏感点一侧设置临时隔声声障（如设置临时围墙等）</w:t>
            </w:r>
            <w:r>
              <w:rPr>
                <w:rFonts w:hint="eastAsia" w:ascii="宋体" w:hAnsi="宋体" w:cs="宋体"/>
                <w:bCs/>
                <w:spacing w:val="10"/>
                <w:szCs w:val="21"/>
                <w:lang w:eastAsia="zh-CN"/>
              </w:rPr>
              <w:t>，</w:t>
            </w:r>
            <w:r>
              <w:rPr>
                <w:rFonts w:hint="eastAsia" w:ascii="宋体" w:hAnsi="宋体" w:cs="宋体"/>
                <w:bCs/>
                <w:spacing w:val="10"/>
                <w:szCs w:val="21"/>
              </w:rPr>
              <w:t>距离工程区较近的村庄居民</w:t>
            </w:r>
            <w:r>
              <w:rPr>
                <w:rFonts w:hint="eastAsia" w:ascii="宋体" w:hAnsi="宋体" w:cs="宋体"/>
                <w:bCs/>
                <w:spacing w:val="10"/>
                <w:szCs w:val="21"/>
                <w:lang w:eastAsia="zh-CN"/>
              </w:rPr>
              <w:t>特别</w:t>
            </w:r>
            <w:r>
              <w:rPr>
                <w:rFonts w:hint="eastAsia" w:ascii="宋体" w:hAnsi="宋体" w:cs="宋体"/>
                <w:bCs/>
                <w:spacing w:val="10"/>
                <w:szCs w:val="21"/>
              </w:rPr>
              <w:t>是</w:t>
            </w:r>
            <w:r>
              <w:rPr>
                <w:rFonts w:hint="eastAsia" w:ascii="宋体" w:hAnsi="宋体" w:cs="宋体"/>
                <w:bCs/>
                <w:spacing w:val="10"/>
                <w:szCs w:val="21"/>
                <w:lang w:eastAsia="zh-CN"/>
              </w:rPr>
              <w:t>车场村</w:t>
            </w:r>
            <w:r>
              <w:rPr>
                <w:rFonts w:hint="eastAsia" w:ascii="宋体" w:hAnsi="宋体" w:cs="宋体"/>
                <w:bCs/>
                <w:spacing w:val="10"/>
                <w:szCs w:val="21"/>
              </w:rPr>
              <w:t>，可设置移动式隔声屏400m，屏高2.5m；对位置相对固定的机械设备，能于棚内操作的尽量入操作间，适当建立单面声障。</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8、对一些建筑构件，应尽可能在合适场地预制好再运往现场装配。</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9、固定机械设备与挖土、运土机械，如挖土机、推土机等，可以通过排气管消音器和隔离发动机振动部件的方法降低噪声。</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10、按照规定操作机械设备，在挡板、支架拆卸过程中，应遵守作业规定，减少碰撞噪声。尽量少用哨子、钟、笛等指挥作业，而采用现代化设备。</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项目施工期间需要大量的运输车辆对土方、建材进行运输，车辆运输过程中会对沿线敏感目标产生影响。</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临时交通方案依托</w:t>
            </w:r>
            <w:r>
              <w:rPr>
                <w:rFonts w:hint="eastAsia" w:ascii="宋体" w:hAnsi="宋体" w:cs="宋体"/>
                <w:bCs/>
                <w:spacing w:val="10"/>
                <w:szCs w:val="21"/>
                <w:lang w:eastAsia="zh-CN"/>
              </w:rPr>
              <w:t>沂源县</w:t>
            </w:r>
            <w:r>
              <w:rPr>
                <w:rFonts w:hint="eastAsia" w:ascii="宋体" w:hAnsi="宋体" w:cs="宋体"/>
                <w:bCs/>
                <w:spacing w:val="10"/>
                <w:szCs w:val="21"/>
              </w:rPr>
              <w:t>现有公路，不单独建设临时公路。</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临时交通路线应避免交通进的路线。</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对于本项目200米范围内的敏感目标，路线应选择敏感目标对岸，以减小施工期交通噪声对敏感目标的影响。</w:t>
            </w:r>
          </w:p>
          <w:p>
            <w:pPr>
              <w:numPr>
                <w:ilvl w:val="0"/>
                <w:numId w:val="0"/>
              </w:numPr>
              <w:adjustRightInd w:val="0"/>
              <w:snapToGrid w:val="0"/>
              <w:ind w:firstLine="520" w:firstLineChars="200"/>
              <w:rPr>
                <w:rFonts w:hint="eastAsia" w:ascii="宋体" w:hAnsi="宋体" w:cs="宋体"/>
                <w:bCs/>
                <w:color w:val="auto"/>
                <w:spacing w:val="10"/>
                <w:szCs w:val="21"/>
              </w:rPr>
            </w:pPr>
            <w:r>
              <w:rPr>
                <w:rFonts w:hint="eastAsia" w:ascii="宋体" w:hAnsi="宋体" w:cs="宋体"/>
                <w:bCs/>
                <w:color w:val="auto"/>
                <w:spacing w:val="10"/>
                <w:szCs w:val="21"/>
              </w:rPr>
              <w:t>通过采用上述防范措施，能够有效控制施工期噪声对</w:t>
            </w:r>
            <w:r>
              <w:rPr>
                <w:rFonts w:hint="eastAsia" w:ascii="宋体" w:hAnsi="宋体" w:cs="宋体"/>
                <w:bCs/>
                <w:color w:val="auto"/>
                <w:spacing w:val="10"/>
                <w:szCs w:val="21"/>
                <w:lang w:eastAsia="zh-CN"/>
              </w:rPr>
              <w:t>车场村、南流水村、北流水村、璞邱村</w:t>
            </w:r>
            <w:r>
              <w:rPr>
                <w:rFonts w:hint="eastAsia" w:ascii="宋体" w:hAnsi="宋体" w:cs="宋体"/>
                <w:bCs/>
                <w:color w:val="auto"/>
                <w:spacing w:val="10"/>
                <w:szCs w:val="21"/>
              </w:rPr>
              <w:t>等敏感目标和周围环境的影响，因此对周围敏感点造成的影响在可接受范围内。</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施工是暂时的，随着施工的结束，施工噪声的影响也随之结束，总体而言，在采取施工围挡和禁止夜间施工措施的情况下，施工作业噪声的环境影响是可以接受的。</w:t>
            </w:r>
          </w:p>
          <w:p>
            <w:pPr>
              <w:numPr>
                <w:ilvl w:val="0"/>
                <w:numId w:val="0"/>
              </w:numPr>
              <w:adjustRightInd w:val="0"/>
              <w:snapToGrid w:val="0"/>
              <w:rPr>
                <w:rFonts w:hint="eastAsia" w:ascii="宋体" w:hAnsi="宋体" w:cs="宋体"/>
                <w:b/>
                <w:bCs w:val="0"/>
                <w:spacing w:val="10"/>
                <w:szCs w:val="21"/>
              </w:rPr>
            </w:pPr>
            <w:r>
              <w:rPr>
                <w:rFonts w:hint="eastAsia" w:ascii="宋体" w:hAnsi="宋体" w:cs="宋体"/>
                <w:b/>
                <w:bCs w:val="0"/>
                <w:spacing w:val="10"/>
                <w:szCs w:val="21"/>
              </w:rPr>
              <w:t>四、固体废物保护措施</w:t>
            </w:r>
          </w:p>
          <w:p>
            <w:pPr>
              <w:numPr>
                <w:ilvl w:val="0"/>
                <w:numId w:val="0"/>
              </w:numPr>
              <w:adjustRightInd w:val="0"/>
              <w:snapToGrid w:val="0"/>
              <w:ind w:firstLine="520" w:firstLineChars="200"/>
              <w:rPr>
                <w:rFonts w:hint="eastAsia" w:ascii="宋体" w:hAnsi="宋体" w:cs="宋体"/>
                <w:bCs/>
                <w:color w:val="auto"/>
                <w:spacing w:val="10"/>
                <w:szCs w:val="21"/>
              </w:rPr>
            </w:pPr>
            <w:r>
              <w:rPr>
                <w:rFonts w:hint="eastAsia" w:ascii="宋体" w:hAnsi="宋体" w:cs="宋体"/>
                <w:bCs/>
                <w:color w:val="auto"/>
                <w:spacing w:val="10"/>
                <w:szCs w:val="21"/>
              </w:rPr>
              <w:t>本工程固废主要为施工时产生的弃土、建筑垃圾、施工人员的生活垃圾。</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1、建设单位按要求实行标准施工、规划运输，不随地洒落物料，不随意倾倒建筑垃圾；</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2、建筑垃圾由环卫部门处理；</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3、及时清运多余或废弃的建筑材料；</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4、运输车集中运输，上路前须加强车体、车胎清洗，装土适宜，防止沿路抛洒以及道路扬尘；</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5、施工期依托附近民宅的生活垃圾收集点，由环卫部门清运</w:t>
            </w:r>
          </w:p>
          <w:p>
            <w:pPr>
              <w:numPr>
                <w:ilvl w:val="0"/>
                <w:numId w:val="0"/>
              </w:numPr>
              <w:adjustRightInd w:val="0"/>
              <w:snapToGrid w:val="0"/>
              <w:rPr>
                <w:rFonts w:hint="eastAsia" w:ascii="宋体" w:hAnsi="宋体" w:cs="宋体"/>
                <w:b/>
                <w:bCs w:val="0"/>
                <w:spacing w:val="10"/>
                <w:szCs w:val="21"/>
              </w:rPr>
            </w:pPr>
            <w:r>
              <w:rPr>
                <w:rFonts w:hint="eastAsia" w:ascii="宋体" w:hAnsi="宋体" w:cs="宋体"/>
                <w:b/>
                <w:bCs w:val="0"/>
                <w:spacing w:val="10"/>
                <w:szCs w:val="21"/>
              </w:rPr>
              <w:t>五、生态环境保护措施</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施工期采取的生态环境保护措施有表土剥离及存放、修复平整工程、覆土工程、场地清理等，未遗留环境问题。具体保护措施如下：</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1、枯水期施工；</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2、项目建设前，做好施工规划前期工作；施工期间加强弃渣场防护，加强施工人员的各类卫生管理（如个人卫生、粪便和生活污水），避免生活污水的直接排放，减少水体污染；保护水生生物的物种多样性；做好工程完工后生态环境的恢复工作，以尽量减少植被破坏及对水土流失、水质和水生生物的不利影响。加强管理、减少污染；</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3、施工期应尽量避开雨季等水土流失易发时段，并避开植物开花期，以降低对沿线植被生物量的影响，并保持沿线植被的生态功能可持续性；</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4、尽量减少对作业区周围草地、灌木的损坏；</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5、施工期的景观影响无法避免，但在施工结束后，应及时恢复地表植被。在对废渣、废料和临时建筑拆除、清理后，对压实的土地进行翻松、平整，恢复破坏的排水系统；</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6、根据工程造成的植被损失量，设计绿化面积，绿化时选择适合当地生存的树种，在布局上还应考虑多种树种的交错分布，提高绿化区域内植物种类的多样性，增加抗病害能力。另外树种、草种的选择经过严格检疫，防止引入病害；</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7、</w:t>
            </w:r>
            <w:r>
              <w:rPr>
                <w:rFonts w:hint="eastAsia" w:ascii="宋体" w:hAnsi="宋体" w:cs="宋体"/>
                <w:bCs/>
                <w:spacing w:val="10"/>
                <w:szCs w:val="21"/>
                <w:lang w:eastAsia="zh-CN"/>
              </w:rPr>
              <w:t>施工机械振动</w:t>
            </w:r>
            <w:r>
              <w:rPr>
                <w:rFonts w:hint="eastAsia" w:ascii="宋体" w:hAnsi="宋体" w:cs="宋体"/>
                <w:bCs/>
                <w:spacing w:val="10"/>
                <w:szCs w:val="21"/>
              </w:rPr>
              <w:t>应严格选择</w:t>
            </w:r>
            <w:r>
              <w:rPr>
                <w:rFonts w:hint="eastAsia" w:ascii="宋体" w:hAnsi="宋体" w:cs="宋体"/>
                <w:bCs/>
                <w:spacing w:val="10"/>
                <w:szCs w:val="21"/>
                <w:lang w:eastAsia="zh-CN"/>
              </w:rPr>
              <w:t>行驶</w:t>
            </w:r>
            <w:r>
              <w:rPr>
                <w:rFonts w:hint="eastAsia" w:ascii="宋体" w:hAnsi="宋体" w:cs="宋体"/>
                <w:bCs/>
                <w:spacing w:val="10"/>
                <w:szCs w:val="21"/>
              </w:rPr>
              <w:t>线路（如充分利用现有道路），</w:t>
            </w:r>
            <w:r>
              <w:rPr>
                <w:rFonts w:hint="eastAsia" w:ascii="宋体" w:hAnsi="宋体" w:cs="宋体"/>
                <w:bCs/>
                <w:spacing w:val="10"/>
                <w:szCs w:val="21"/>
                <w:lang w:eastAsia="zh-CN"/>
              </w:rPr>
              <w:t>行驶路线</w:t>
            </w:r>
            <w:r>
              <w:rPr>
                <w:rFonts w:hint="eastAsia" w:ascii="宋体" w:hAnsi="宋体" w:cs="宋体"/>
                <w:bCs/>
                <w:spacing w:val="10"/>
                <w:szCs w:val="21"/>
              </w:rPr>
              <w:t>的选择要在讲求效率的基础上，力求减少对植被的破坏；</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8、对施工场地进行表土剥离，保护场地熟化土资源，为植被提供良好的土壤；</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9、施工竣工完成，施工单位清理驻地和施工现场，清楚建筑垃圾、余料和机械。</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10、</w:t>
            </w:r>
            <w:r>
              <w:rPr>
                <w:rFonts w:hint="eastAsia" w:ascii="宋体" w:hAnsi="宋体" w:cs="宋体"/>
                <w:bCs/>
                <w:spacing w:val="10"/>
                <w:szCs w:val="21"/>
                <w:lang w:eastAsia="zh-CN"/>
              </w:rPr>
              <w:t>防治</w:t>
            </w:r>
            <w:r>
              <w:rPr>
                <w:rFonts w:hint="eastAsia" w:ascii="宋体" w:hAnsi="宋体" w:cs="宋体"/>
                <w:bCs/>
                <w:spacing w:val="10"/>
                <w:szCs w:val="21"/>
              </w:rPr>
              <w:t>水域生态环境污染的措施如下：</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（1）在枯水期进行施工，施工完成后及时清理河道建筑垃圾；</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（2）施工废水（主要是砂石材料的冲洗废水）严禁排入水体，砂石材料的冲洗废水经沉淀池沉淀后循环利用；</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（3）施工建筑垃圾分类收集、由环卫部门清运；</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（4）施工机械严格检查，防止机械设备油料的跑、冒、滴、漏；</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（5）施工期固体废物严禁倾倒或抛入水体，也不得堆放在河道内侧。</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11、施工期设置临时拦挡覆盖措施，防止水土流失。</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采取上述生态环境保护措施后，项目施工期对周边生态环境的影响是可以接受的。本项目采取的生态环境保护措施为施工单位经常采用的成熟技术措施，具有技术先进、经济合理、运行稳定、长期有效等特点。</w:t>
            </w:r>
          </w:p>
          <w:p>
            <w:pPr>
              <w:numPr>
                <w:ilvl w:val="0"/>
                <w:numId w:val="0"/>
              </w:numPr>
              <w:adjustRightInd w:val="0"/>
              <w:snapToGrid w:val="0"/>
              <w:rPr>
                <w:rFonts w:hint="eastAsia" w:ascii="宋体" w:hAnsi="宋体" w:cs="宋体"/>
                <w:b/>
                <w:bCs w:val="0"/>
                <w:spacing w:val="10"/>
                <w:szCs w:val="21"/>
              </w:rPr>
            </w:pPr>
            <w:r>
              <w:rPr>
                <w:rFonts w:hint="eastAsia" w:ascii="宋体" w:hAnsi="宋体" w:cs="宋体"/>
                <w:b/>
                <w:bCs w:val="0"/>
                <w:spacing w:val="10"/>
                <w:szCs w:val="21"/>
              </w:rPr>
              <w:t>六、环境风险保护措施</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施工过程现场可能危害周围环境的活动，主要与工程项目所在区地质结构、工程类型、工序、施工装置有关。</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1、施工期事故风险分析</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因设计方案、误操作、防护不足等造成发生施工场所及周围已有建筑及设施损坏、人员伤亡等意外。</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2、防范措施</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①在国家现行</w:t>
            </w:r>
            <w:r>
              <w:rPr>
                <w:rFonts w:hint="eastAsia" w:ascii="宋体" w:hAnsi="宋体" w:cs="宋体"/>
                <w:bCs/>
                <w:spacing w:val="10"/>
                <w:szCs w:val="21"/>
                <w:lang w:eastAsia="zh-CN"/>
              </w:rPr>
              <w:t>法律法规</w:t>
            </w:r>
            <w:r>
              <w:rPr>
                <w:rFonts w:hint="eastAsia" w:ascii="宋体" w:hAnsi="宋体" w:cs="宋体"/>
                <w:bCs/>
                <w:spacing w:val="10"/>
                <w:szCs w:val="21"/>
              </w:rPr>
              <w:t>的指导下，建立和完善建设施工安全规章、制度体系，出台配套的实施细则，依法管理。</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②应加强和完善施工安全监督机构建设。</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③及时与有关部门沟通项目施工进度、施工路线，施工过程中一旦发现输油、输气管道，应立即停止施工，禁止烟火，第一时间向安全、公安等部门汇报，防止火灾、爆炸的发生，防止由安全事故引发二次污染环境事件。</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④</w:t>
            </w:r>
            <w:r>
              <w:rPr>
                <w:rFonts w:hint="eastAsia"/>
                <w:color w:val="auto"/>
              </w:rPr>
              <w:t>项目穿越</w:t>
            </w:r>
            <w:r>
              <w:rPr>
                <w:rFonts w:hint="eastAsia"/>
                <w:lang w:val="en-US" w:eastAsia="zh-CN"/>
              </w:rPr>
              <w:t>S</w:t>
            </w:r>
            <w:r>
              <w:rPr>
                <w:rFonts w:hint="eastAsia"/>
                <w:lang w:eastAsia="zh-CN"/>
              </w:rPr>
              <w:t>317临历线、</w:t>
            </w:r>
            <w:r>
              <w:rPr>
                <w:rFonts w:hint="eastAsia"/>
                <w:lang w:val="en-US" w:eastAsia="zh-CN"/>
              </w:rPr>
              <w:t>Y015三九路</w:t>
            </w:r>
            <w:r>
              <w:rPr>
                <w:rFonts w:hint="eastAsia"/>
                <w:color w:val="auto"/>
              </w:rPr>
              <w:t>等交通干线</w:t>
            </w:r>
            <w:r>
              <w:rPr>
                <w:rFonts w:hint="eastAsia"/>
                <w:color w:val="auto"/>
                <w:lang w:val="en-US" w:eastAsia="zh-CN"/>
              </w:rPr>
              <w:t>2</w:t>
            </w:r>
            <w:r>
              <w:rPr>
                <w:rFonts w:hint="eastAsia"/>
                <w:color w:val="auto"/>
              </w:rPr>
              <w:t>条，</w:t>
            </w:r>
            <w:r>
              <w:rPr>
                <w:rFonts w:hint="eastAsia" w:ascii="宋体" w:hAnsi="宋体" w:cs="宋体"/>
                <w:bCs/>
                <w:color w:val="auto"/>
                <w:spacing w:val="10"/>
                <w:szCs w:val="21"/>
              </w:rPr>
              <w:t>此处施工为河道清淤，施工前，与公路部门接洽，根据桥梁建设高度、桥墩深度，施工采用小型设备，对淤泥进行</w:t>
            </w:r>
            <w:r>
              <w:rPr>
                <w:rFonts w:hint="eastAsia" w:ascii="宋体" w:hAnsi="宋体" w:cs="宋体"/>
                <w:bCs/>
                <w:color w:val="auto"/>
                <w:spacing w:val="10"/>
                <w:szCs w:val="21"/>
                <w:lang w:eastAsia="zh-CN"/>
              </w:rPr>
              <w:t>少量多次</w:t>
            </w:r>
            <w:r>
              <w:rPr>
                <w:rFonts w:hint="eastAsia" w:ascii="宋体" w:hAnsi="宋体" w:cs="宋体"/>
                <w:bCs/>
                <w:color w:val="auto"/>
                <w:spacing w:val="10"/>
                <w:szCs w:val="21"/>
              </w:rPr>
              <w:t>清挖，建设期间，</w:t>
            </w:r>
            <w:r>
              <w:rPr>
                <w:rFonts w:hint="eastAsia" w:ascii="宋体" w:hAnsi="宋体" w:cs="宋体"/>
                <w:bCs/>
                <w:spacing w:val="10"/>
                <w:szCs w:val="21"/>
              </w:rPr>
              <w:t>应加强对桥梁、桥墩的保护，施工过程中一旦触碰到桥梁、桥墩，应立即上报公路部门，由公路部门负责检验质量情况。</w:t>
            </w:r>
          </w:p>
          <w:p>
            <w:pPr>
              <w:numPr>
                <w:ilvl w:val="0"/>
                <w:numId w:val="0"/>
              </w:num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清挖淤泥深度应结合桥墩的安全深度和淤泥情况清挖，不得影响桥墩安全。</w:t>
            </w:r>
          </w:p>
          <w:p>
            <w:pPr>
              <w:numPr>
                <w:ilvl w:val="0"/>
                <w:numId w:val="0"/>
              </w:numPr>
              <w:adjustRightInd w:val="0"/>
              <w:snapToGrid w:val="0"/>
              <w:rPr>
                <w:rFonts w:hint="eastAsia" w:ascii="宋体" w:hAnsi="宋体" w:cs="宋体"/>
                <w:b/>
                <w:bCs w:val="0"/>
                <w:color w:val="auto"/>
                <w:spacing w:val="10"/>
                <w:szCs w:val="21"/>
              </w:rPr>
            </w:pPr>
            <w:r>
              <w:rPr>
                <w:rFonts w:hint="eastAsia" w:ascii="宋体" w:hAnsi="宋体" w:cs="宋体"/>
                <w:b/>
                <w:bCs w:val="0"/>
                <w:color w:val="auto"/>
                <w:spacing w:val="10"/>
                <w:szCs w:val="21"/>
              </w:rPr>
              <w:t>七、水土保持措施</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w:t>
            </w:r>
            <w:r>
              <w:rPr>
                <w:bCs/>
                <w:color w:val="auto"/>
                <w:sz w:val="24"/>
                <w:szCs w:val="21"/>
              </w:rPr>
              <w:t>一）</w:t>
            </w:r>
            <w:r>
              <w:rPr>
                <w:rFonts w:hint="eastAsia"/>
                <w:bCs/>
                <w:color w:val="auto"/>
                <w:sz w:val="24"/>
                <w:szCs w:val="21"/>
              </w:rPr>
              <w:t>水土</w:t>
            </w:r>
            <w:r>
              <w:rPr>
                <w:bCs/>
                <w:color w:val="auto"/>
                <w:sz w:val="24"/>
                <w:szCs w:val="21"/>
              </w:rPr>
              <w:t>保持分区</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1、河道工程区</w:t>
            </w:r>
          </w:p>
          <w:p>
            <w:pPr>
              <w:adjustRightInd w:val="0"/>
              <w:snapToGrid w:val="0"/>
              <w:spacing w:line="360" w:lineRule="auto"/>
              <w:ind w:firstLine="480" w:firstLineChars="200"/>
              <w:rPr>
                <w:rFonts w:hint="eastAsia" w:eastAsia="宋体"/>
                <w:bCs/>
                <w:color w:val="auto"/>
                <w:sz w:val="24"/>
                <w:szCs w:val="21"/>
                <w:lang w:eastAsia="zh-CN"/>
              </w:rPr>
            </w:pPr>
            <w:r>
              <w:rPr>
                <w:rFonts w:hint="eastAsia"/>
                <w:bCs/>
                <w:color w:val="auto"/>
                <w:sz w:val="24"/>
                <w:szCs w:val="21"/>
              </w:rPr>
              <w:t>河道工程区占地面积52.57hm</w:t>
            </w:r>
            <w:r>
              <w:rPr>
                <w:rFonts w:hint="eastAsia"/>
                <w:bCs/>
                <w:color w:val="auto"/>
                <w:sz w:val="24"/>
                <w:szCs w:val="21"/>
                <w:vertAlign w:val="superscript"/>
              </w:rPr>
              <w:t>2</w:t>
            </w:r>
            <w:r>
              <w:rPr>
                <w:rFonts w:hint="eastAsia"/>
                <w:bCs/>
                <w:color w:val="auto"/>
                <w:sz w:val="24"/>
                <w:szCs w:val="21"/>
              </w:rPr>
              <w:t>，对河道内坡防洪水位线以上边坡面积撒播草籽进行防护</w:t>
            </w:r>
            <w:r>
              <w:rPr>
                <w:rFonts w:hint="eastAsia"/>
                <w:bCs/>
                <w:color w:val="auto"/>
                <w:sz w:val="24"/>
                <w:szCs w:val="21"/>
                <w:lang w:eastAsia="zh-CN"/>
              </w:rPr>
              <w:t>。</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2、建筑物工程区</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建筑物工程区主要包括拦沙坎18座、跨河桥梁6座，占地面积</w:t>
            </w:r>
            <w:r>
              <w:rPr>
                <w:rFonts w:hint="eastAsia"/>
                <w:bCs/>
                <w:color w:val="auto"/>
                <w:sz w:val="24"/>
                <w:szCs w:val="21"/>
                <w:lang w:val="en-US" w:eastAsia="zh-CN"/>
              </w:rPr>
              <w:t>9.6</w:t>
            </w:r>
            <w:r>
              <w:rPr>
                <w:rFonts w:hint="eastAsia"/>
                <w:bCs/>
                <w:color w:val="auto"/>
                <w:sz w:val="24"/>
                <w:szCs w:val="21"/>
              </w:rPr>
              <w:t>hm</w:t>
            </w:r>
            <w:r>
              <w:rPr>
                <w:rFonts w:hint="eastAsia"/>
                <w:bCs/>
                <w:color w:val="auto"/>
                <w:sz w:val="24"/>
                <w:szCs w:val="21"/>
                <w:vertAlign w:val="superscript"/>
              </w:rPr>
              <w:t>2</w:t>
            </w:r>
            <w:r>
              <w:rPr>
                <w:rFonts w:hint="eastAsia"/>
                <w:bCs/>
                <w:color w:val="auto"/>
                <w:sz w:val="24"/>
                <w:szCs w:val="21"/>
              </w:rPr>
              <w:t>，其中河槽内占地面积</w:t>
            </w:r>
            <w:r>
              <w:rPr>
                <w:rFonts w:hint="eastAsia"/>
                <w:bCs/>
                <w:color w:val="auto"/>
                <w:sz w:val="24"/>
                <w:szCs w:val="21"/>
                <w:lang w:val="en-US" w:eastAsia="zh-CN"/>
              </w:rPr>
              <w:t>7.98</w:t>
            </w:r>
            <w:r>
              <w:rPr>
                <w:rFonts w:hint="eastAsia"/>
                <w:bCs/>
                <w:color w:val="auto"/>
                <w:sz w:val="24"/>
                <w:szCs w:val="21"/>
              </w:rPr>
              <w:t>hm</w:t>
            </w:r>
            <w:r>
              <w:rPr>
                <w:rFonts w:hint="eastAsia"/>
                <w:bCs/>
                <w:color w:val="auto"/>
                <w:sz w:val="24"/>
                <w:szCs w:val="21"/>
                <w:vertAlign w:val="superscript"/>
              </w:rPr>
              <w:t>2</w:t>
            </w:r>
            <w:r>
              <w:rPr>
                <w:rFonts w:hint="eastAsia"/>
                <w:bCs/>
                <w:color w:val="auto"/>
                <w:sz w:val="24"/>
                <w:szCs w:val="21"/>
              </w:rPr>
              <w:t>。</w:t>
            </w:r>
          </w:p>
          <w:p>
            <w:pPr>
              <w:adjustRightInd w:val="0"/>
              <w:snapToGrid w:val="0"/>
              <w:spacing w:line="360" w:lineRule="auto"/>
              <w:ind w:firstLine="480" w:firstLineChars="200"/>
              <w:rPr>
                <w:rFonts w:hint="eastAsia" w:eastAsia="宋体"/>
                <w:bCs/>
                <w:color w:val="auto"/>
                <w:sz w:val="24"/>
                <w:szCs w:val="21"/>
                <w:lang w:eastAsia="zh-CN"/>
              </w:rPr>
            </w:pPr>
            <w:r>
              <w:rPr>
                <w:rFonts w:hint="eastAsia"/>
                <w:bCs/>
                <w:color w:val="auto"/>
                <w:sz w:val="24"/>
                <w:szCs w:val="21"/>
              </w:rPr>
              <w:t>桥梁施工过程中，设置泥浆沉淀池；完工后对占压区采取土地整治、撒播植草措施，面积1.62hm²。</w:t>
            </w:r>
          </w:p>
          <w:p>
            <w:pPr>
              <w:adjustRightInd w:val="0"/>
              <w:snapToGrid w:val="0"/>
              <w:spacing w:line="360" w:lineRule="auto"/>
              <w:ind w:firstLine="480" w:firstLineChars="200"/>
              <w:rPr>
                <w:rFonts w:hint="eastAsia" w:eastAsia="宋体"/>
                <w:bCs/>
                <w:color w:val="auto"/>
                <w:sz w:val="24"/>
                <w:szCs w:val="21"/>
                <w:lang w:eastAsia="zh-CN"/>
              </w:rPr>
            </w:pPr>
            <w:r>
              <w:rPr>
                <w:rFonts w:hint="eastAsia"/>
                <w:bCs/>
                <w:color w:val="auto"/>
                <w:sz w:val="24"/>
                <w:szCs w:val="21"/>
                <w:lang w:val="en-US" w:eastAsia="zh-CN"/>
              </w:rPr>
              <w:t>3</w:t>
            </w:r>
            <w:r>
              <w:rPr>
                <w:rFonts w:hint="eastAsia"/>
                <w:bCs/>
                <w:color w:val="auto"/>
                <w:sz w:val="24"/>
                <w:szCs w:val="21"/>
              </w:rPr>
              <w:t>、河岸堆土区</w:t>
            </w:r>
          </w:p>
          <w:p>
            <w:pPr>
              <w:adjustRightInd w:val="0"/>
              <w:snapToGrid w:val="0"/>
              <w:spacing w:line="360" w:lineRule="auto"/>
              <w:ind w:firstLine="480" w:firstLineChars="200"/>
              <w:rPr>
                <w:rFonts w:hint="eastAsia" w:eastAsia="宋体"/>
                <w:bCs/>
                <w:color w:val="auto"/>
                <w:sz w:val="24"/>
                <w:szCs w:val="21"/>
                <w:lang w:eastAsia="zh-CN"/>
              </w:rPr>
            </w:pPr>
            <w:r>
              <w:rPr>
                <w:rFonts w:hint="eastAsia"/>
                <w:bCs/>
                <w:color w:val="auto"/>
                <w:sz w:val="24"/>
                <w:szCs w:val="21"/>
              </w:rPr>
              <w:t>临时堆土区占地面积0.11hm²</w:t>
            </w:r>
            <w:r>
              <w:rPr>
                <w:rFonts w:hint="eastAsia"/>
                <w:bCs/>
                <w:color w:val="auto"/>
                <w:sz w:val="24"/>
                <w:szCs w:val="21"/>
                <w:lang w:eastAsia="zh-CN"/>
              </w:rPr>
              <w:t>，</w:t>
            </w:r>
            <w:r>
              <w:rPr>
                <w:rFonts w:hint="eastAsia"/>
                <w:bCs/>
                <w:color w:val="auto"/>
                <w:sz w:val="24"/>
                <w:szCs w:val="21"/>
              </w:rPr>
              <w:t>施工前对区域采取表土剥离，分段集中堆放，并采取防尘网覆盖措施。完工后采取土地整治措施，对占用的区域0.11hm²采取恢复地力。对土堆高大于2.5m段坡脚处采取编织袋拦挡措施。对堆土区裸露部分采取防尘网覆盖措施，考虑施工工期10个月，土方堆放为0.5年，防尘网考虑3次重复使用，覆盖面积按0.8万㎡计算。</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lang w:val="en-US" w:eastAsia="zh-CN"/>
              </w:rPr>
              <w:t>4</w:t>
            </w:r>
            <w:r>
              <w:rPr>
                <w:rFonts w:hint="eastAsia"/>
                <w:bCs/>
                <w:color w:val="auto"/>
                <w:sz w:val="24"/>
                <w:szCs w:val="21"/>
              </w:rPr>
              <w:t>、施工生产区</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施工生产区占地面积</w:t>
            </w:r>
            <w:r>
              <w:rPr>
                <w:rFonts w:hint="eastAsia"/>
                <w:bCs/>
                <w:color w:val="auto"/>
                <w:sz w:val="24"/>
                <w:szCs w:val="21"/>
                <w:lang w:val="en-US" w:eastAsia="zh-CN"/>
              </w:rPr>
              <w:t>0.48</w:t>
            </w:r>
            <w:r>
              <w:rPr>
                <w:rFonts w:hint="eastAsia"/>
                <w:bCs/>
                <w:color w:val="auto"/>
                <w:sz w:val="24"/>
                <w:szCs w:val="21"/>
              </w:rPr>
              <w:t>hm</w:t>
            </w:r>
            <w:r>
              <w:rPr>
                <w:rFonts w:hint="eastAsia"/>
                <w:bCs/>
                <w:color w:val="auto"/>
                <w:sz w:val="24"/>
                <w:szCs w:val="21"/>
                <w:vertAlign w:val="superscript"/>
              </w:rPr>
              <w:t>2</w:t>
            </w:r>
            <w:r>
              <w:rPr>
                <w:rFonts w:hint="eastAsia"/>
                <w:bCs/>
                <w:color w:val="auto"/>
                <w:sz w:val="24"/>
                <w:szCs w:val="21"/>
              </w:rPr>
              <w:t>，施工前对占地区采取表土剥离措施，并集中堆放，采取临时覆盖保护措施。完工后对本区域采取土地整治措施、撒播植草措施。</w:t>
            </w:r>
          </w:p>
          <w:p>
            <w:pPr>
              <w:adjustRightInd w:val="0"/>
              <w:snapToGrid w:val="0"/>
              <w:spacing w:line="360" w:lineRule="auto"/>
              <w:ind w:firstLine="480" w:firstLineChars="200"/>
              <w:rPr>
                <w:rFonts w:hint="eastAsia"/>
                <w:bCs/>
                <w:color w:val="auto"/>
                <w:sz w:val="24"/>
                <w:szCs w:val="21"/>
                <w:lang w:val="en-US" w:eastAsia="zh-CN"/>
              </w:rPr>
            </w:pPr>
            <w:r>
              <w:rPr>
                <w:rFonts w:hint="eastAsia"/>
                <w:bCs/>
                <w:color w:val="auto"/>
                <w:sz w:val="24"/>
                <w:szCs w:val="21"/>
                <w:lang w:val="en-US" w:eastAsia="zh-CN"/>
              </w:rPr>
              <w:t>5、施工便道区</w:t>
            </w:r>
          </w:p>
          <w:p>
            <w:pPr>
              <w:adjustRightInd w:val="0"/>
              <w:snapToGrid w:val="0"/>
              <w:spacing w:line="360" w:lineRule="auto"/>
              <w:ind w:firstLine="480" w:firstLineChars="200"/>
              <w:rPr>
                <w:rFonts w:hint="eastAsia"/>
                <w:bCs/>
                <w:color w:val="auto"/>
                <w:sz w:val="24"/>
                <w:szCs w:val="21"/>
                <w:lang w:val="en-US" w:eastAsia="zh-CN"/>
              </w:rPr>
            </w:pPr>
            <w:r>
              <w:rPr>
                <w:rFonts w:hint="eastAsia"/>
                <w:bCs/>
                <w:color w:val="auto"/>
                <w:sz w:val="24"/>
                <w:szCs w:val="21"/>
                <w:lang w:val="en-US" w:eastAsia="zh-CN"/>
              </w:rPr>
              <w:t>临时道路包括清淤工程设置的横向施工道路和建筑物施工进场道路，占地面积1.01hm²。</w:t>
            </w:r>
          </w:p>
          <w:p>
            <w:pPr>
              <w:adjustRightInd w:val="0"/>
              <w:snapToGrid w:val="0"/>
              <w:spacing w:line="360" w:lineRule="auto"/>
              <w:ind w:firstLine="480" w:firstLineChars="200"/>
              <w:rPr>
                <w:rFonts w:hint="eastAsia"/>
                <w:bCs/>
                <w:color w:val="auto"/>
                <w:sz w:val="24"/>
                <w:szCs w:val="21"/>
                <w:lang w:val="en-US" w:eastAsia="zh-CN"/>
              </w:rPr>
            </w:pPr>
            <w:r>
              <w:rPr>
                <w:rFonts w:hint="eastAsia"/>
                <w:bCs/>
                <w:color w:val="auto"/>
                <w:sz w:val="24"/>
                <w:szCs w:val="21"/>
                <w:lang w:val="en-US" w:eastAsia="zh-CN"/>
              </w:rPr>
              <w:t>施工前对临时道路区域采取表土剥离措施，并集中堆放，采取临时覆盖保护措施。临时道路采用砂石路面，单侧临时排水，完工后对占用的区域1.01hm²采取土地整治措施、撒播植草措施。</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w:t>
            </w:r>
            <w:r>
              <w:rPr>
                <w:bCs/>
                <w:color w:val="auto"/>
                <w:sz w:val="24"/>
                <w:szCs w:val="21"/>
              </w:rPr>
              <w:t>二）</w:t>
            </w:r>
            <w:r>
              <w:rPr>
                <w:rFonts w:hint="eastAsia"/>
                <w:bCs/>
                <w:color w:val="auto"/>
                <w:sz w:val="24"/>
                <w:szCs w:val="21"/>
              </w:rPr>
              <w:t>水土</w:t>
            </w:r>
            <w:r>
              <w:rPr>
                <w:bCs/>
                <w:color w:val="auto"/>
                <w:sz w:val="24"/>
                <w:szCs w:val="21"/>
              </w:rPr>
              <w:t>保持措施</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1、植草</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整地：播种前要进行场地清理，清除土层中的碎石等杂物，以得到一个质地疏松、透气、平整、排水良好、适于草生长的苗床。种植：草种在播种前应去杂、精选，保证种籽质量。在春末夏初或夏季播种前将精选后的草种浸泡24小时。播种前适当施部分有机肥或N、P、K复合肥作底肥，然后用锄、耙、钉齿耙人工精细作业，将土地翻耕。播种采用播种器将草籽进行均匀散播，再用覆土耙覆土，最后用镇压器压平，以保证种子与土壤能够充分接触，在刮风天不应播种，也不应在过湿或未经耕作的土地播种。</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管护：播种后应当根据需要定期浇水以保持土壤湿润，直到全部出苗。为了保证出苗后草皮正常生长和整齐、美观，出苗后应进行一段时间管护，主要有浇水、清除杂草等措施。</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2、种树</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主要包括以下内容：</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选苗：按照苗木规格标准要求起苗，要起壮苗、好苗，防止弱苗、劣苗、病苗的混入；苗木出土前2～3天浇水，起苗后分级、包装、运输，整个过程需注意根部保湿，防止受冻和遭受风吹日晒，严防失水、损伤。</w:t>
            </w:r>
          </w:p>
          <w:p>
            <w:pPr>
              <w:adjustRightInd w:val="0"/>
              <w:snapToGrid w:val="0"/>
              <w:spacing w:line="360" w:lineRule="auto"/>
              <w:ind w:firstLine="480" w:firstLineChars="200"/>
              <w:rPr>
                <w:bCs/>
                <w:color w:val="auto"/>
                <w:sz w:val="24"/>
                <w:szCs w:val="21"/>
              </w:rPr>
            </w:pPr>
            <w:r>
              <w:rPr>
                <w:rFonts w:hint="eastAsia"/>
                <w:bCs/>
                <w:color w:val="auto"/>
                <w:sz w:val="24"/>
                <w:szCs w:val="21"/>
              </w:rPr>
              <w:t>起苗后应尽快种植，做到随起随栽。如因故不能及时种植，应采取假植措施，对于临时放置的，可用篷布盖好；根据项目区立地条件、土壤墒情和树种确定栽植深度，一般应略过苗木根颈。苗穴大小和深度应略大于苗木根系，使根系舒展，不窝根；填土一半后提苗踩实，再填土踩实，最后覆上虚土。同一块地内种植的树苗，要求苗龄和苗木生长状况基本一致，种植前应对树苗进行挑选。</w:t>
            </w:r>
          </w:p>
          <w:p>
            <w:pPr>
              <w:adjustRightInd w:val="0"/>
              <w:snapToGrid w:val="0"/>
              <w:spacing w:line="360" w:lineRule="auto"/>
              <w:ind w:firstLine="480" w:firstLineChars="200"/>
              <w:rPr>
                <w:bCs/>
                <w:color w:val="auto"/>
                <w:sz w:val="24"/>
                <w:szCs w:val="21"/>
              </w:rPr>
            </w:pPr>
            <w:r>
              <w:rPr>
                <w:rFonts w:hint="eastAsia"/>
                <w:bCs/>
                <w:color w:val="auto"/>
                <w:sz w:val="24"/>
                <w:szCs w:val="21"/>
              </w:rPr>
              <w:t>管护：植物绿化后应加强抚育管理，加强幼树的管理，做好树木的病虫害防治工作，保证树木具有较高的成活率。每年冬季对新植幼苗进行成活率调查，以判定成活率高低和树木生长情况。</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w:t>
            </w:r>
            <w:r>
              <w:rPr>
                <w:bCs/>
                <w:color w:val="auto"/>
                <w:sz w:val="24"/>
                <w:szCs w:val="21"/>
              </w:rPr>
              <w:t>三）</w:t>
            </w:r>
            <w:r>
              <w:rPr>
                <w:rFonts w:hint="eastAsia"/>
                <w:bCs/>
                <w:color w:val="auto"/>
                <w:sz w:val="24"/>
                <w:szCs w:val="21"/>
              </w:rPr>
              <w:t>水土保持监测</w:t>
            </w:r>
          </w:p>
          <w:p>
            <w:pPr>
              <w:adjustRightInd w:val="0"/>
              <w:snapToGrid w:val="0"/>
              <w:spacing w:line="360" w:lineRule="auto"/>
              <w:ind w:firstLine="480" w:firstLineChars="200"/>
              <w:rPr>
                <w:rFonts w:hint="eastAsia"/>
                <w:bCs/>
                <w:color w:val="auto"/>
                <w:sz w:val="24"/>
                <w:szCs w:val="21"/>
              </w:rPr>
            </w:pPr>
            <w:r>
              <w:rPr>
                <w:bCs/>
                <w:color w:val="auto"/>
                <w:sz w:val="24"/>
                <w:szCs w:val="21"/>
              </w:rPr>
              <w:t>1</w:t>
            </w:r>
            <w:r>
              <w:rPr>
                <w:rFonts w:hint="eastAsia"/>
                <w:bCs/>
                <w:color w:val="auto"/>
                <w:sz w:val="24"/>
                <w:szCs w:val="21"/>
              </w:rPr>
              <w:t>、监测范围</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本工程水土保持监测范围为工程建设的防治责任范围，面积29.82hm</w:t>
            </w:r>
            <w:r>
              <w:rPr>
                <w:rFonts w:hint="eastAsia"/>
                <w:bCs/>
                <w:color w:val="auto"/>
                <w:sz w:val="24"/>
                <w:szCs w:val="21"/>
                <w:vertAlign w:val="superscript"/>
              </w:rPr>
              <w:t>2</w:t>
            </w:r>
            <w:r>
              <w:rPr>
                <w:rFonts w:hint="eastAsia"/>
                <w:bCs/>
                <w:color w:val="auto"/>
                <w:sz w:val="24"/>
                <w:szCs w:val="21"/>
              </w:rPr>
              <w:t>，即包括项目建设区，涉及各个防治分区。</w:t>
            </w:r>
          </w:p>
          <w:p>
            <w:pPr>
              <w:adjustRightInd w:val="0"/>
              <w:snapToGrid w:val="0"/>
              <w:spacing w:line="360" w:lineRule="auto"/>
              <w:ind w:firstLine="480" w:firstLineChars="200"/>
              <w:rPr>
                <w:rFonts w:hint="eastAsia"/>
                <w:bCs/>
                <w:color w:val="auto"/>
                <w:sz w:val="24"/>
                <w:szCs w:val="21"/>
              </w:rPr>
            </w:pPr>
            <w:r>
              <w:rPr>
                <w:bCs/>
                <w:color w:val="auto"/>
                <w:sz w:val="24"/>
                <w:szCs w:val="21"/>
              </w:rPr>
              <w:t>2</w:t>
            </w:r>
            <w:r>
              <w:rPr>
                <w:rFonts w:hint="eastAsia"/>
                <w:bCs/>
                <w:color w:val="auto"/>
                <w:sz w:val="24"/>
                <w:szCs w:val="21"/>
              </w:rPr>
              <w:t>、监测单元划分</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本工程水土保持监测分为河道工程区、建筑物工程区、河岸堆土区、临时道路工程区、施工生产区等</w:t>
            </w:r>
            <w:r>
              <w:rPr>
                <w:bCs/>
                <w:color w:val="auto"/>
                <w:sz w:val="24"/>
                <w:szCs w:val="21"/>
              </w:rPr>
              <w:t>5</w:t>
            </w:r>
            <w:r>
              <w:rPr>
                <w:rFonts w:hint="eastAsia"/>
                <w:bCs/>
                <w:color w:val="auto"/>
                <w:sz w:val="24"/>
                <w:szCs w:val="21"/>
              </w:rPr>
              <w:t>个分区，共</w:t>
            </w:r>
            <w:r>
              <w:rPr>
                <w:bCs/>
                <w:color w:val="auto"/>
                <w:sz w:val="24"/>
                <w:szCs w:val="21"/>
              </w:rPr>
              <w:t>5</w:t>
            </w:r>
            <w:r>
              <w:rPr>
                <w:rFonts w:hint="eastAsia"/>
                <w:bCs/>
                <w:color w:val="auto"/>
                <w:sz w:val="24"/>
                <w:szCs w:val="21"/>
              </w:rPr>
              <w:t>个监测单元。</w:t>
            </w:r>
          </w:p>
          <w:p>
            <w:pPr>
              <w:adjustRightInd w:val="0"/>
              <w:snapToGrid w:val="0"/>
              <w:spacing w:line="360" w:lineRule="auto"/>
              <w:ind w:firstLine="480" w:firstLineChars="200"/>
              <w:rPr>
                <w:rFonts w:hint="eastAsia"/>
                <w:bCs/>
                <w:color w:val="auto"/>
                <w:sz w:val="24"/>
                <w:szCs w:val="21"/>
              </w:rPr>
            </w:pPr>
            <w:r>
              <w:rPr>
                <w:bCs/>
                <w:color w:val="auto"/>
                <w:sz w:val="24"/>
                <w:szCs w:val="21"/>
              </w:rPr>
              <w:t>3</w:t>
            </w:r>
            <w:r>
              <w:rPr>
                <w:rFonts w:hint="eastAsia"/>
                <w:bCs/>
                <w:color w:val="auto"/>
                <w:sz w:val="24"/>
                <w:szCs w:val="21"/>
              </w:rPr>
              <w:t>、监测时段及内容</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（1）监测时段</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本工程于2024年</w:t>
            </w:r>
            <w:r>
              <w:rPr>
                <w:rFonts w:hint="eastAsia"/>
                <w:bCs/>
                <w:color w:val="auto"/>
                <w:sz w:val="24"/>
                <w:szCs w:val="21"/>
                <w:lang w:val="en-US" w:eastAsia="zh-CN"/>
              </w:rPr>
              <w:t>4</w:t>
            </w:r>
            <w:r>
              <w:rPr>
                <w:rFonts w:hint="eastAsia"/>
                <w:bCs/>
                <w:color w:val="auto"/>
                <w:sz w:val="24"/>
                <w:szCs w:val="21"/>
              </w:rPr>
              <w:t>月开始施工，2024年12月完工，方案设计水平年取工程完工后当年，即2025年。因此水土流失监测时间从2024年</w:t>
            </w:r>
            <w:r>
              <w:rPr>
                <w:rFonts w:hint="eastAsia"/>
                <w:bCs/>
                <w:color w:val="auto"/>
                <w:sz w:val="24"/>
                <w:szCs w:val="21"/>
                <w:lang w:val="en-US" w:eastAsia="zh-CN"/>
              </w:rPr>
              <w:t>4</w:t>
            </w:r>
            <w:r>
              <w:rPr>
                <w:rFonts w:hint="eastAsia"/>
                <w:bCs/>
                <w:color w:val="auto"/>
                <w:sz w:val="24"/>
                <w:szCs w:val="21"/>
              </w:rPr>
              <w:t>月开始，至设计水平年2024年12月底结束，共10个月。考虑当地土壤侵蚀类型主要为水力侵蚀，兼有风力侵蚀，因此本工程均以雨季汛期监测为主。</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（2）监测内容</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依据水利部文件《关于规范生产建设项目水土保持监测工作的意见》（水保[2009]187号文）、《生产建设项目水土保持监测规程（试行</w:t>
            </w:r>
            <w:r>
              <w:rPr>
                <w:rFonts w:hint="eastAsia"/>
                <w:bCs/>
                <w:color w:val="auto"/>
                <w:sz w:val="24"/>
                <w:szCs w:val="21"/>
                <w:lang w:eastAsia="zh-CN"/>
              </w:rPr>
              <w:t>）</w:t>
            </w:r>
            <w:r>
              <w:rPr>
                <w:rFonts w:hint="eastAsia"/>
                <w:bCs/>
                <w:color w:val="auto"/>
                <w:sz w:val="24"/>
                <w:szCs w:val="21"/>
              </w:rPr>
              <w:t>》的规定，结合柴汶河防洪治理工程初步设计报告，结合工程的实际情况，确定本工程监测的主要内容包括扰动土地情况、水土流失情况、水土保持措施情况等方面的情况。</w:t>
            </w:r>
          </w:p>
          <w:p>
            <w:pPr>
              <w:adjustRightInd w:val="0"/>
              <w:snapToGrid w:val="0"/>
              <w:spacing w:line="360" w:lineRule="auto"/>
              <w:ind w:firstLine="480" w:firstLineChars="200"/>
              <w:rPr>
                <w:rFonts w:hint="eastAsia"/>
                <w:bCs/>
                <w:color w:val="auto"/>
                <w:sz w:val="24"/>
                <w:szCs w:val="21"/>
              </w:rPr>
            </w:pPr>
            <w:r>
              <w:rPr>
                <w:rFonts w:hint="eastAsia" w:ascii="宋体" w:hAnsi="宋体"/>
                <w:bCs/>
                <w:color w:val="auto"/>
                <w:sz w:val="24"/>
                <w:szCs w:val="21"/>
              </w:rPr>
              <w:t>①</w:t>
            </w:r>
            <w:r>
              <w:rPr>
                <w:rFonts w:hint="eastAsia"/>
                <w:bCs/>
                <w:color w:val="auto"/>
                <w:sz w:val="24"/>
                <w:szCs w:val="21"/>
              </w:rPr>
              <w:t>扰动土地情况监测</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扰动土地情况监测主要包括扰动范围、面积、土地利用类型及其变化情况等。土地利用类型参照GB/T21010-2017土地利用类型一级类。</w:t>
            </w:r>
          </w:p>
          <w:p>
            <w:pPr>
              <w:adjustRightInd w:val="0"/>
              <w:snapToGrid w:val="0"/>
              <w:spacing w:line="360" w:lineRule="auto"/>
              <w:ind w:firstLine="480" w:firstLineChars="200"/>
              <w:rPr>
                <w:rFonts w:hint="eastAsia"/>
                <w:bCs/>
                <w:color w:val="auto"/>
                <w:sz w:val="24"/>
                <w:szCs w:val="21"/>
              </w:rPr>
            </w:pPr>
            <w:r>
              <w:rPr>
                <w:rFonts w:hint="eastAsia" w:ascii="宋体" w:hAnsi="宋体"/>
                <w:bCs/>
                <w:color w:val="auto"/>
                <w:sz w:val="24"/>
                <w:szCs w:val="21"/>
              </w:rPr>
              <w:t>②</w:t>
            </w:r>
            <w:r>
              <w:rPr>
                <w:rFonts w:hint="eastAsia"/>
                <w:bCs/>
                <w:color w:val="auto"/>
                <w:sz w:val="24"/>
                <w:szCs w:val="21"/>
              </w:rPr>
              <w:t>水土流失情况监测</w:t>
            </w:r>
          </w:p>
          <w:p>
            <w:pPr>
              <w:adjustRightInd w:val="0"/>
              <w:snapToGrid w:val="0"/>
              <w:spacing w:line="360" w:lineRule="auto"/>
              <w:ind w:firstLine="480" w:firstLineChars="200"/>
              <w:rPr>
                <w:bCs/>
                <w:color w:val="auto"/>
                <w:sz w:val="24"/>
                <w:szCs w:val="21"/>
              </w:rPr>
            </w:pPr>
            <w:r>
              <w:rPr>
                <w:rFonts w:hint="eastAsia"/>
                <w:bCs/>
                <w:color w:val="auto"/>
                <w:sz w:val="24"/>
                <w:szCs w:val="21"/>
              </w:rPr>
              <w:t>水土流失情况监测采用地面观测、实地量测、无人机监测和资料分析的方法。其中地面观测主要采取沉沙池监测法，用于量测项目施工期间临时堆土、堆料区域土壤流失的量。通常是利用项目区内设置的沉沙池来量测，雨季或较大暴雨后对沉沙池内沉积的泥沙体积进行量测，然后推测出施工临时堆土、堆料区域的水土流失量。</w:t>
            </w:r>
          </w:p>
          <w:p>
            <w:pPr>
              <w:adjustRightInd w:val="0"/>
              <w:snapToGrid w:val="0"/>
              <w:spacing w:line="360" w:lineRule="auto"/>
              <w:ind w:firstLine="480" w:firstLineChars="200"/>
              <w:rPr>
                <w:rFonts w:hint="eastAsia"/>
                <w:bCs/>
                <w:color w:val="auto"/>
                <w:sz w:val="24"/>
                <w:szCs w:val="21"/>
              </w:rPr>
            </w:pPr>
            <w:r>
              <w:rPr>
                <w:rFonts w:hint="eastAsia" w:ascii="宋体" w:hAnsi="宋体"/>
                <w:bCs/>
                <w:color w:val="auto"/>
                <w:sz w:val="24"/>
                <w:szCs w:val="21"/>
              </w:rPr>
              <w:t>③</w:t>
            </w:r>
            <w:r>
              <w:rPr>
                <w:rFonts w:hint="eastAsia"/>
                <w:bCs/>
                <w:color w:val="auto"/>
                <w:sz w:val="24"/>
                <w:szCs w:val="21"/>
              </w:rPr>
              <w:t>水土保持措施监测</w:t>
            </w:r>
          </w:p>
          <w:p>
            <w:pPr>
              <w:adjustRightInd w:val="0"/>
              <w:snapToGrid w:val="0"/>
              <w:spacing w:line="360" w:lineRule="auto"/>
              <w:ind w:firstLine="480" w:firstLineChars="200"/>
              <w:rPr>
                <w:bCs/>
                <w:color w:val="auto"/>
                <w:sz w:val="24"/>
                <w:szCs w:val="21"/>
              </w:rPr>
            </w:pPr>
            <w:r>
              <w:rPr>
                <w:rFonts w:hint="eastAsia"/>
                <w:bCs/>
                <w:color w:val="auto"/>
                <w:sz w:val="24"/>
                <w:szCs w:val="21"/>
              </w:rPr>
              <w:t>应对工程措施、植物措施和临时措施进行全面监测。监测内容包括措施类型、开（完）工日期、位置、规格、尺寸、数量、林草覆盖度（郁闭度）、防治效果、运行状况等。</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4、监测点位布设、方法和频次</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（1）监测点位布设</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本工程水土保持监测设</w:t>
            </w:r>
            <w:r>
              <w:rPr>
                <w:bCs/>
                <w:color w:val="auto"/>
                <w:sz w:val="24"/>
                <w:szCs w:val="21"/>
              </w:rPr>
              <w:t>5</w:t>
            </w:r>
            <w:r>
              <w:rPr>
                <w:rFonts w:hint="eastAsia"/>
                <w:bCs/>
                <w:color w:val="auto"/>
                <w:sz w:val="24"/>
                <w:szCs w:val="21"/>
              </w:rPr>
              <w:t>个定位监测点，各分区各设</w:t>
            </w:r>
            <w:r>
              <w:rPr>
                <w:bCs/>
                <w:color w:val="auto"/>
                <w:sz w:val="24"/>
                <w:szCs w:val="21"/>
              </w:rPr>
              <w:t>1</w:t>
            </w:r>
            <w:r>
              <w:rPr>
                <w:rFonts w:hint="eastAsia"/>
                <w:bCs/>
                <w:color w:val="auto"/>
                <w:sz w:val="24"/>
                <w:szCs w:val="21"/>
              </w:rPr>
              <w:t>个；设5个调查监测点，各分区各1个。</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（2）监测方法</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目前，开发建设项目普遍采取的水土保持监测方法主要包括地面监测方法、调查监测方法、遥感监测法三种。地面监测法包括小区观测法、典型样地调查、控制站观测法、简易观测场法、沉沙池监测法等；调查监测法包括询问法、资料分析法、典型调查法、重点调查法、普查法和抽样调查法等。遥感监测法包括遥感影像、无人机监测等。</w:t>
            </w:r>
          </w:p>
          <w:p>
            <w:pPr>
              <w:adjustRightInd w:val="0"/>
              <w:snapToGrid w:val="0"/>
              <w:spacing w:line="360" w:lineRule="auto"/>
              <w:ind w:firstLine="480" w:firstLineChars="200"/>
              <w:rPr>
                <w:bCs/>
                <w:color w:val="auto"/>
                <w:sz w:val="24"/>
                <w:szCs w:val="21"/>
              </w:rPr>
            </w:pPr>
            <w:r>
              <w:rPr>
                <w:rFonts w:hint="eastAsia"/>
                <w:bCs/>
                <w:color w:val="auto"/>
                <w:sz w:val="24"/>
                <w:szCs w:val="21"/>
              </w:rPr>
              <w:t>根据《生产建设项目水土保持监测规程（试行</w:t>
            </w:r>
            <w:r>
              <w:rPr>
                <w:rFonts w:hint="eastAsia"/>
                <w:bCs/>
                <w:color w:val="auto"/>
                <w:sz w:val="24"/>
                <w:szCs w:val="21"/>
                <w:lang w:eastAsia="zh-CN"/>
              </w:rPr>
              <w:t>）</w:t>
            </w:r>
            <w:r>
              <w:rPr>
                <w:rFonts w:hint="eastAsia"/>
                <w:bCs/>
                <w:color w:val="auto"/>
                <w:sz w:val="24"/>
                <w:szCs w:val="21"/>
              </w:rPr>
              <w:t>》及本工程特点，本工程主要采用地面观测、实地量测法、无人机监测、资料分析相结合的监测方法。</w:t>
            </w:r>
          </w:p>
          <w:p>
            <w:pPr>
              <w:adjustRightInd w:val="0"/>
              <w:snapToGrid w:val="0"/>
              <w:spacing w:line="360" w:lineRule="auto"/>
              <w:ind w:firstLine="480" w:firstLineChars="200"/>
              <w:rPr>
                <w:rFonts w:hint="eastAsia"/>
                <w:bCs/>
                <w:color w:val="auto"/>
                <w:sz w:val="24"/>
                <w:szCs w:val="21"/>
              </w:rPr>
            </w:pPr>
            <w:r>
              <w:rPr>
                <w:rFonts w:hint="eastAsia" w:ascii="宋体" w:hAnsi="宋体"/>
                <w:bCs/>
                <w:color w:val="auto"/>
                <w:sz w:val="24"/>
                <w:szCs w:val="21"/>
              </w:rPr>
              <w:t>①</w:t>
            </w:r>
            <w:r>
              <w:rPr>
                <w:rFonts w:hint="eastAsia"/>
                <w:bCs/>
                <w:color w:val="auto"/>
                <w:sz w:val="24"/>
                <w:szCs w:val="21"/>
              </w:rPr>
              <w:t>扰动土地情况监测</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扰动土地情况监测应采用实地量测、无人机监测、资料分析的方法。其中实地量测可采用抽样量测，抽样间距为5km。</w:t>
            </w:r>
          </w:p>
          <w:p>
            <w:pPr>
              <w:adjustRightInd w:val="0"/>
              <w:snapToGrid w:val="0"/>
              <w:spacing w:line="360" w:lineRule="auto"/>
              <w:ind w:firstLine="480" w:firstLineChars="200"/>
              <w:rPr>
                <w:rFonts w:hint="eastAsia"/>
                <w:bCs/>
                <w:color w:val="auto"/>
                <w:sz w:val="24"/>
                <w:szCs w:val="21"/>
              </w:rPr>
            </w:pPr>
            <w:r>
              <w:rPr>
                <w:rFonts w:hint="eastAsia" w:ascii="宋体" w:hAnsi="宋体"/>
                <w:bCs/>
                <w:color w:val="auto"/>
                <w:sz w:val="24"/>
                <w:szCs w:val="21"/>
              </w:rPr>
              <w:t>②</w:t>
            </w:r>
            <w:r>
              <w:rPr>
                <w:rFonts w:hint="eastAsia"/>
                <w:bCs/>
                <w:color w:val="auto"/>
                <w:sz w:val="24"/>
                <w:szCs w:val="21"/>
              </w:rPr>
              <w:t>水土流失情况监测</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水土流失情况监测采用地面观测、实地量测、无人机监测和资料分析的方法。其中地面观测主要采取沉沙池监测法，用于量测项目施工期间临时堆土、堆料区域土壤流失的量。通常是利用项目区内设置的沉沙池来量测，雨季或较大暴雨后对沉沙池内沉积的泥沙体积进行量测，然后推测出施工临时堆土、堆料区域的水土流失量。</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③水土保持措施监测</w:t>
            </w:r>
          </w:p>
          <w:p>
            <w:pPr>
              <w:adjustRightInd w:val="0"/>
              <w:snapToGrid w:val="0"/>
              <w:spacing w:line="360" w:lineRule="auto"/>
              <w:ind w:firstLine="480" w:firstLineChars="200"/>
              <w:rPr>
                <w:bCs/>
                <w:color w:val="auto"/>
                <w:sz w:val="24"/>
                <w:szCs w:val="21"/>
              </w:rPr>
            </w:pPr>
            <w:r>
              <w:rPr>
                <w:rFonts w:hint="eastAsia"/>
                <w:bCs/>
                <w:color w:val="auto"/>
                <w:sz w:val="24"/>
                <w:szCs w:val="21"/>
              </w:rPr>
              <w:t>水土保持措施监测采用实地量测、无人机监测和资料分析的方法。此外，对于项目区水土流失影响因子，建议和当地气象、水利部门合作，以资料收集为主。在项目建设过程中，还要采用询问法对周边群众咨询，掌握项目建设对周边环境的影响和危害情况。</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（3）</w:t>
            </w:r>
            <w:r>
              <w:rPr>
                <w:bCs/>
                <w:color w:val="auto"/>
                <w:sz w:val="24"/>
                <w:szCs w:val="21"/>
              </w:rPr>
              <w:t>监测频次</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本工程水土保持监测时间从2024年</w:t>
            </w:r>
            <w:r>
              <w:rPr>
                <w:bCs/>
                <w:color w:val="auto"/>
                <w:sz w:val="24"/>
                <w:szCs w:val="21"/>
              </w:rPr>
              <w:t>5</w:t>
            </w:r>
            <w:r>
              <w:rPr>
                <w:rFonts w:hint="eastAsia"/>
                <w:bCs/>
                <w:color w:val="auto"/>
                <w:sz w:val="24"/>
                <w:szCs w:val="21"/>
              </w:rPr>
              <w:t>月份至设计水平年结束，即至2024年</w:t>
            </w:r>
            <w:r>
              <w:rPr>
                <w:bCs/>
                <w:color w:val="auto"/>
                <w:sz w:val="24"/>
                <w:szCs w:val="21"/>
              </w:rPr>
              <w:t>12</w:t>
            </w:r>
            <w:r>
              <w:rPr>
                <w:rFonts w:hint="eastAsia"/>
                <w:bCs/>
                <w:color w:val="auto"/>
                <w:sz w:val="24"/>
                <w:szCs w:val="21"/>
              </w:rPr>
              <w:t>月，共计</w:t>
            </w:r>
            <w:r>
              <w:rPr>
                <w:bCs/>
                <w:color w:val="auto"/>
                <w:sz w:val="24"/>
                <w:szCs w:val="21"/>
              </w:rPr>
              <w:t>8</w:t>
            </w:r>
            <w:r>
              <w:rPr>
                <w:rFonts w:hint="eastAsia"/>
                <w:bCs/>
                <w:color w:val="auto"/>
                <w:sz w:val="24"/>
                <w:szCs w:val="21"/>
              </w:rPr>
              <w:t>个月。且在施工准备前先进行一次观测（背景值监测），作为工程项目开始后水土流失的对比参照数据。监测频次应满足六项防治目标测定的需要。</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（1）扰动土地情况监测</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实地量测监测频次应每季度</w:t>
            </w:r>
            <w:r>
              <w:rPr>
                <w:bCs/>
                <w:color w:val="auto"/>
                <w:sz w:val="24"/>
                <w:szCs w:val="21"/>
              </w:rPr>
              <w:t>1</w:t>
            </w:r>
            <w:r>
              <w:rPr>
                <w:rFonts w:hint="eastAsia"/>
                <w:bCs/>
                <w:color w:val="auto"/>
                <w:sz w:val="24"/>
                <w:szCs w:val="21"/>
              </w:rPr>
              <w:t>次。</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（2）水土流失情况监测</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土壤流失面积监测应每季度</w:t>
            </w:r>
            <w:r>
              <w:rPr>
                <w:bCs/>
                <w:color w:val="auto"/>
                <w:sz w:val="24"/>
                <w:szCs w:val="21"/>
              </w:rPr>
              <w:t>1</w:t>
            </w:r>
            <w:r>
              <w:rPr>
                <w:rFonts w:hint="eastAsia"/>
                <w:bCs/>
                <w:color w:val="auto"/>
                <w:sz w:val="24"/>
                <w:szCs w:val="21"/>
              </w:rPr>
              <w:t>次。土壤流失量、弃土（石、渣）潜在土壤流失量应每月</w:t>
            </w:r>
            <w:r>
              <w:rPr>
                <w:bCs/>
                <w:color w:val="auto"/>
                <w:sz w:val="24"/>
                <w:szCs w:val="21"/>
              </w:rPr>
              <w:t>1</w:t>
            </w:r>
            <w:r>
              <w:rPr>
                <w:rFonts w:hint="eastAsia"/>
                <w:bCs/>
                <w:color w:val="auto"/>
                <w:sz w:val="24"/>
                <w:szCs w:val="21"/>
              </w:rPr>
              <w:t>次，遇暴雨、大风等特殊情况应加测。</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（3）水土保持措施监测</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工程措施及防治效果每月监测记录</w:t>
            </w:r>
            <w:r>
              <w:rPr>
                <w:bCs/>
                <w:color w:val="auto"/>
                <w:sz w:val="24"/>
                <w:szCs w:val="21"/>
              </w:rPr>
              <w:t>1</w:t>
            </w:r>
            <w:r>
              <w:rPr>
                <w:rFonts w:hint="eastAsia"/>
                <w:bCs/>
                <w:color w:val="auto"/>
                <w:sz w:val="24"/>
                <w:szCs w:val="21"/>
              </w:rPr>
              <w:t>次。植物措施生长情况每季度监测记录</w:t>
            </w:r>
            <w:r>
              <w:rPr>
                <w:bCs/>
                <w:color w:val="auto"/>
                <w:sz w:val="24"/>
                <w:szCs w:val="21"/>
              </w:rPr>
              <w:t>1</w:t>
            </w:r>
            <w:r>
              <w:rPr>
                <w:rFonts w:hint="eastAsia"/>
                <w:bCs/>
                <w:color w:val="auto"/>
                <w:sz w:val="24"/>
                <w:szCs w:val="21"/>
              </w:rPr>
              <w:t>次。临时措施每月监测记录</w:t>
            </w:r>
            <w:r>
              <w:rPr>
                <w:bCs/>
                <w:color w:val="auto"/>
                <w:sz w:val="24"/>
                <w:szCs w:val="21"/>
              </w:rPr>
              <w:t>1</w:t>
            </w:r>
            <w:r>
              <w:rPr>
                <w:rFonts w:hint="eastAsia"/>
                <w:bCs/>
                <w:color w:val="auto"/>
                <w:sz w:val="24"/>
                <w:szCs w:val="21"/>
              </w:rPr>
              <w:t>次。</w:t>
            </w:r>
          </w:p>
          <w:p>
            <w:pPr>
              <w:adjustRightInd w:val="0"/>
              <w:snapToGrid w:val="0"/>
              <w:spacing w:line="360" w:lineRule="auto"/>
              <w:ind w:firstLine="480" w:firstLineChars="200"/>
              <w:rPr>
                <w:bCs/>
                <w:color w:val="auto"/>
                <w:sz w:val="24"/>
                <w:szCs w:val="21"/>
              </w:rPr>
            </w:pPr>
            <w:r>
              <w:rPr>
                <w:rFonts w:hint="eastAsia"/>
                <w:bCs/>
                <w:color w:val="auto"/>
                <w:sz w:val="24"/>
                <w:szCs w:val="21"/>
              </w:rPr>
              <w:t>各个监测单元的监测点位布设、方法和频次详见下表：</w:t>
            </w:r>
          </w:p>
          <w:p>
            <w:pPr>
              <w:adjustRightInd w:val="0"/>
              <w:snapToGrid w:val="0"/>
              <w:ind w:firstLine="462" w:firstLineChars="200"/>
              <w:jc w:val="center"/>
              <w:rPr>
                <w:rFonts w:hint="eastAsia" w:ascii="宋体" w:hAnsi="宋体" w:cs="宋体"/>
                <w:b/>
                <w:bCs w:val="0"/>
                <w:color w:val="auto"/>
                <w:spacing w:val="10"/>
                <w:sz w:val="21"/>
                <w:szCs w:val="21"/>
                <w:lang w:eastAsia="zh-CN"/>
              </w:rPr>
            </w:pPr>
            <w:r>
              <w:rPr>
                <w:rFonts w:hint="eastAsia" w:ascii="宋体" w:hAnsi="宋体" w:cs="宋体"/>
                <w:b/>
                <w:bCs w:val="0"/>
                <w:color w:val="auto"/>
                <w:spacing w:val="10"/>
                <w:sz w:val="21"/>
                <w:szCs w:val="21"/>
                <w:lang w:eastAsia="zh-CN"/>
              </w:rPr>
              <w:t>表5-1 水土保持监测点设置一览表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122"/>
              <w:gridCol w:w="1223"/>
              <w:gridCol w:w="954"/>
              <w:gridCol w:w="1625"/>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36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分区</w:t>
                  </w:r>
                </w:p>
              </w:tc>
              <w:tc>
                <w:tcPr>
                  <w:tcW w:w="1122"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监测方法</w:t>
                  </w:r>
                </w:p>
              </w:tc>
              <w:tc>
                <w:tcPr>
                  <w:tcW w:w="122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位置</w:t>
                  </w:r>
                </w:p>
              </w:tc>
              <w:tc>
                <w:tcPr>
                  <w:tcW w:w="954"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监测项目</w:t>
                  </w:r>
                </w:p>
              </w:tc>
              <w:tc>
                <w:tcPr>
                  <w:tcW w:w="162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重点监测内容</w:t>
                  </w:r>
                </w:p>
              </w:tc>
              <w:tc>
                <w:tcPr>
                  <w:tcW w:w="1890"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1363" w:type="dxa"/>
                  <w:vMerge w:val="restar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管理道路工程区</w:t>
                  </w:r>
                </w:p>
              </w:tc>
              <w:tc>
                <w:tcPr>
                  <w:tcW w:w="1122"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抽样调查</w:t>
                  </w:r>
                </w:p>
              </w:tc>
              <w:tc>
                <w:tcPr>
                  <w:tcW w:w="122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调查监测</w:t>
                  </w:r>
                </w:p>
              </w:tc>
              <w:tc>
                <w:tcPr>
                  <w:tcW w:w="954"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泥沙</w:t>
                  </w:r>
                </w:p>
              </w:tc>
              <w:tc>
                <w:tcPr>
                  <w:tcW w:w="162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水土流失量、工程措施建设情况</w:t>
                  </w:r>
                </w:p>
              </w:tc>
              <w:tc>
                <w:tcPr>
                  <w:tcW w:w="1890"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每季度至少监测一次，汛期适当加测，植被调查美3月一次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363" w:type="dxa"/>
                  <w:vMerge w:val="continue"/>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1122"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桩钉法</w:t>
                  </w:r>
                </w:p>
              </w:tc>
              <w:tc>
                <w:tcPr>
                  <w:tcW w:w="122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推土坡面</w:t>
                  </w:r>
                </w:p>
              </w:tc>
              <w:tc>
                <w:tcPr>
                  <w:tcW w:w="954"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泥沙</w:t>
                  </w:r>
                </w:p>
              </w:tc>
              <w:tc>
                <w:tcPr>
                  <w:tcW w:w="162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土壤流失量及侵蚀模数</w:t>
                  </w:r>
                </w:p>
              </w:tc>
              <w:tc>
                <w:tcPr>
                  <w:tcW w:w="1890"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至少每月一次，大雨日加测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1363" w:type="dxa"/>
                  <w:vMerge w:val="restart"/>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建筑物工程区</w:t>
                  </w:r>
                </w:p>
              </w:tc>
              <w:tc>
                <w:tcPr>
                  <w:tcW w:w="1122"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抽样调查</w:t>
                  </w:r>
                </w:p>
              </w:tc>
              <w:tc>
                <w:tcPr>
                  <w:tcW w:w="122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调查监测</w:t>
                  </w:r>
                </w:p>
              </w:tc>
              <w:tc>
                <w:tcPr>
                  <w:tcW w:w="954"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泥沙</w:t>
                  </w:r>
                </w:p>
              </w:tc>
              <w:tc>
                <w:tcPr>
                  <w:tcW w:w="162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水土流失量、工程措施建设情况</w:t>
                  </w:r>
                </w:p>
              </w:tc>
              <w:tc>
                <w:tcPr>
                  <w:tcW w:w="1890"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每季度至少监测一次，汛期适当加测，植被调查每3月一次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363" w:type="dxa"/>
                  <w:vMerge w:val="continue"/>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p>
              </w:tc>
              <w:tc>
                <w:tcPr>
                  <w:tcW w:w="1122"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桩钉法</w:t>
                  </w:r>
                </w:p>
              </w:tc>
              <w:tc>
                <w:tcPr>
                  <w:tcW w:w="122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推土坡面</w:t>
                  </w:r>
                </w:p>
              </w:tc>
              <w:tc>
                <w:tcPr>
                  <w:tcW w:w="954"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泥沙</w:t>
                  </w:r>
                </w:p>
              </w:tc>
              <w:tc>
                <w:tcPr>
                  <w:tcW w:w="162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土壤流失量及侵蚀模数</w:t>
                  </w:r>
                </w:p>
              </w:tc>
              <w:tc>
                <w:tcPr>
                  <w:tcW w:w="1890"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至少每月一次，大雨日加测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136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施工临时工程区</w:t>
                  </w:r>
                </w:p>
              </w:tc>
              <w:tc>
                <w:tcPr>
                  <w:tcW w:w="1122"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抽样调查</w:t>
                  </w:r>
                </w:p>
              </w:tc>
              <w:tc>
                <w:tcPr>
                  <w:tcW w:w="122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调查监测</w:t>
                  </w:r>
                </w:p>
              </w:tc>
              <w:tc>
                <w:tcPr>
                  <w:tcW w:w="954"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泥沙</w:t>
                  </w:r>
                </w:p>
              </w:tc>
              <w:tc>
                <w:tcPr>
                  <w:tcW w:w="162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水土流失量、工程措施建设情况</w:t>
                  </w:r>
                </w:p>
              </w:tc>
              <w:tc>
                <w:tcPr>
                  <w:tcW w:w="1890"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每季度至少监测一次，汛期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6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取土区</w:t>
                  </w:r>
                </w:p>
              </w:tc>
              <w:tc>
                <w:tcPr>
                  <w:tcW w:w="1122"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抽样调查</w:t>
                  </w:r>
                </w:p>
              </w:tc>
              <w:tc>
                <w:tcPr>
                  <w:tcW w:w="1223"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调查监测</w:t>
                  </w:r>
                </w:p>
              </w:tc>
              <w:tc>
                <w:tcPr>
                  <w:tcW w:w="954"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泥沙</w:t>
                  </w:r>
                </w:p>
              </w:tc>
              <w:tc>
                <w:tcPr>
                  <w:tcW w:w="1625"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水土流失量</w:t>
                  </w:r>
                </w:p>
              </w:tc>
              <w:tc>
                <w:tcPr>
                  <w:tcW w:w="1890" w:type="dxa"/>
                  <w:noWrap w:val="0"/>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每季度至少监测一次，汛期</w:t>
                  </w:r>
                </w:p>
              </w:tc>
            </w:tr>
          </w:tbl>
          <w:p>
            <w:pPr>
              <w:pStyle w:val="13"/>
              <w:ind w:left="0" w:leftChars="0" w:firstLine="0" w:firstLineChars="0"/>
              <w:rPr>
                <w:rFonts w:hint="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753" w:type="dxa"/>
            <w:noWrap w:val="0"/>
            <w:tcMar>
              <w:left w:w="28" w:type="dxa"/>
              <w:right w:w="28" w:type="dxa"/>
            </w:tcMar>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运营期生态环境保护措施</w:t>
            </w:r>
          </w:p>
        </w:tc>
        <w:tc>
          <w:tcPr>
            <w:tcW w:w="8495" w:type="dxa"/>
            <w:noWrap w:val="0"/>
            <w:vAlign w:val="top"/>
          </w:tcPr>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本项目属于防洪治理工程，运营期无废水、废气、固体废物排放，本项目属于基础设施项目。</w:t>
            </w:r>
          </w:p>
          <w:p>
            <w:pPr>
              <w:adjustRightInd w:val="0"/>
              <w:snapToGrid w:val="0"/>
              <w:rPr>
                <w:rFonts w:hint="eastAsia" w:ascii="宋体" w:hAnsi="宋体" w:cs="宋体"/>
                <w:b/>
                <w:bCs w:val="0"/>
                <w:spacing w:val="10"/>
                <w:szCs w:val="21"/>
              </w:rPr>
            </w:pPr>
            <w:r>
              <w:rPr>
                <w:rFonts w:hint="eastAsia" w:ascii="宋体" w:hAnsi="宋体" w:cs="宋体"/>
                <w:b/>
                <w:bCs w:val="0"/>
                <w:spacing w:val="10"/>
                <w:szCs w:val="21"/>
              </w:rPr>
              <w:t>一、水环境</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项目运营期间废水主要是初期雨水。</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运营后，路面雨水径流是造成公路沿线水环境污染的主要形式，可能携带路面扬尘，尾气排放物及汽车漏油等污染物进入水体。但汽车尾气的排放物通过地表径流对水环境质量产生的影响极小，在发生暴雨的情况下，才可形成地表径流，拟建项目道路沿线通过降雨形式的径流</w:t>
            </w:r>
            <w:r>
              <w:rPr>
                <w:rFonts w:hint="eastAsia" w:ascii="宋体" w:hAnsi="宋体" w:cs="宋体"/>
                <w:bCs/>
                <w:spacing w:val="10"/>
                <w:szCs w:val="21"/>
                <w:lang w:eastAsia="zh-CN"/>
              </w:rPr>
              <w:t>降落</w:t>
            </w:r>
            <w:r>
              <w:rPr>
                <w:rFonts w:hint="eastAsia" w:ascii="宋体" w:hAnsi="宋体" w:cs="宋体"/>
                <w:bCs/>
                <w:spacing w:val="10"/>
                <w:szCs w:val="21"/>
              </w:rPr>
              <w:t>在路面上，并通过路面设置的雨水排水系统进入雨水收集沟，排入管网，对沿线水体影响在可接受范围内。</w:t>
            </w:r>
          </w:p>
          <w:p>
            <w:pPr>
              <w:adjustRightInd w:val="0"/>
              <w:snapToGrid w:val="0"/>
              <w:rPr>
                <w:rFonts w:hint="eastAsia" w:ascii="宋体" w:hAnsi="宋体" w:cs="宋体"/>
                <w:b/>
                <w:bCs w:val="0"/>
                <w:spacing w:val="10"/>
                <w:szCs w:val="21"/>
              </w:rPr>
            </w:pPr>
            <w:r>
              <w:rPr>
                <w:rFonts w:hint="eastAsia" w:ascii="宋体" w:hAnsi="宋体" w:cs="宋体"/>
                <w:b/>
                <w:bCs w:val="0"/>
                <w:spacing w:val="10"/>
                <w:szCs w:val="21"/>
              </w:rPr>
              <w:t>二、大气环境</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对大气环境产生影响的因素主要是机动车尾气与扬尘，尾气的危害略大，其主要影响因子是：NO</w:t>
            </w:r>
            <w:r>
              <w:rPr>
                <w:rFonts w:hint="eastAsia" w:ascii="宋体" w:hAnsi="宋体" w:cs="宋体"/>
                <w:bCs/>
                <w:spacing w:val="10"/>
                <w:szCs w:val="21"/>
                <w:vertAlign w:val="subscript"/>
              </w:rPr>
              <w:t>2</w:t>
            </w:r>
            <w:r>
              <w:rPr>
                <w:rFonts w:hint="eastAsia" w:ascii="宋体" w:hAnsi="宋体" w:cs="宋体"/>
                <w:bCs/>
                <w:spacing w:val="10"/>
                <w:szCs w:val="21"/>
              </w:rPr>
              <w:t>、CO、THC、TSP。</w:t>
            </w:r>
          </w:p>
          <w:p>
            <w:pPr>
              <w:numPr>
                <w:ilvl w:val="0"/>
                <w:numId w:val="0"/>
              </w:numPr>
              <w:adjustRightInd w:val="0"/>
              <w:snapToGrid w:val="0"/>
              <w:ind w:leftChars="0" w:firstLine="520" w:firstLineChars="200"/>
              <w:rPr>
                <w:rFonts w:hint="eastAsia" w:ascii="宋体" w:hAnsi="宋体" w:cs="宋体"/>
                <w:bCs/>
                <w:spacing w:val="10"/>
                <w:szCs w:val="21"/>
              </w:rPr>
            </w:pPr>
            <w:r>
              <w:rPr>
                <w:rFonts w:hint="eastAsia" w:ascii="宋体" w:hAnsi="宋体" w:cs="宋体"/>
                <w:bCs/>
                <w:spacing w:val="10"/>
                <w:szCs w:val="21"/>
                <w:lang w:val="en-US" w:eastAsia="zh-CN"/>
              </w:rPr>
              <w:t>1.</w:t>
            </w:r>
            <w:r>
              <w:rPr>
                <w:rFonts w:hint="eastAsia" w:ascii="宋体" w:hAnsi="宋体" w:cs="宋体"/>
                <w:bCs/>
                <w:spacing w:val="10"/>
                <w:szCs w:val="21"/>
              </w:rPr>
              <w:t>机动车尾气污染物主要来自曲轴箱漏气、燃料系统挥发和排气筒的排放，而大部分碳氢化合物和几乎全部的氮氧化物及一氧化碳都来源于排气管。</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lang w:val="en-US" w:eastAsia="zh-CN"/>
              </w:rPr>
              <w:t>2.</w:t>
            </w:r>
            <w:r>
              <w:rPr>
                <w:rFonts w:hint="eastAsia" w:ascii="宋体" w:hAnsi="宋体" w:cs="宋体"/>
                <w:bCs/>
                <w:spacing w:val="10"/>
                <w:szCs w:val="21"/>
              </w:rPr>
              <w:t>机动车产生的扬尘会增加道路附近TSP值。通过加强机动车管理，</w:t>
            </w:r>
            <w:r>
              <w:rPr>
                <w:rFonts w:hint="eastAsia" w:ascii="宋体" w:hAnsi="宋体" w:cs="宋体"/>
                <w:bCs/>
                <w:spacing w:val="10"/>
                <w:szCs w:val="21"/>
                <w:lang w:eastAsia="zh-CN"/>
              </w:rPr>
              <w:t>限制</w:t>
            </w:r>
            <w:r>
              <w:rPr>
                <w:rFonts w:hint="eastAsia" w:ascii="宋体" w:hAnsi="宋体" w:cs="宋体"/>
                <w:bCs/>
                <w:spacing w:val="10"/>
                <w:szCs w:val="21"/>
              </w:rPr>
              <w:t>超标车辆上路，构建道路两侧植被等措施，对周边环境影响较小。</w:t>
            </w:r>
          </w:p>
          <w:p>
            <w:pPr>
              <w:adjustRightInd w:val="0"/>
              <w:snapToGrid w:val="0"/>
              <w:rPr>
                <w:rFonts w:hint="eastAsia" w:ascii="宋体" w:hAnsi="宋体" w:cs="宋体"/>
                <w:b/>
                <w:bCs w:val="0"/>
                <w:spacing w:val="10"/>
                <w:szCs w:val="21"/>
              </w:rPr>
            </w:pPr>
            <w:r>
              <w:rPr>
                <w:rFonts w:hint="eastAsia" w:ascii="宋体" w:hAnsi="宋体" w:cs="宋体"/>
                <w:b/>
                <w:bCs w:val="0"/>
                <w:spacing w:val="10"/>
                <w:szCs w:val="21"/>
              </w:rPr>
              <w:t>三、声环境</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公路上行驶的机动车辆的噪声源为非稳定态源。公路营运后，车辆的发动机、冷却系统、传动系统等部件均会产生噪声。另外，行驶中引起的气流湍动、排气系统、轮胎与路面的摩擦等也会产生噪声。</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由于公路路面平整度等原因而使高速行驶的汽车产生整车噪声。</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根据项目设计数据，该项目运营后，车流量不大，通过加强交通管理，维护路面平整、加强绿化等措施，对周边环境影响较小。</w:t>
            </w:r>
          </w:p>
          <w:p>
            <w:pPr>
              <w:adjustRightInd w:val="0"/>
              <w:snapToGrid w:val="0"/>
              <w:rPr>
                <w:rFonts w:hint="eastAsia" w:ascii="宋体" w:hAnsi="宋体" w:cs="宋体"/>
                <w:b/>
                <w:bCs w:val="0"/>
                <w:spacing w:val="10"/>
                <w:szCs w:val="21"/>
              </w:rPr>
            </w:pPr>
            <w:r>
              <w:rPr>
                <w:rFonts w:hint="eastAsia" w:ascii="宋体" w:hAnsi="宋体" w:cs="宋体"/>
                <w:b/>
                <w:bCs w:val="0"/>
                <w:spacing w:val="10"/>
                <w:szCs w:val="21"/>
              </w:rPr>
              <w:t>四、固体废物</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项目不设收费站、服务区及管理处，故营运期固体废物主要来自来往车辆乘坐人员，由于营运期固体废物发生在距道路较近的区域，与人的生活密切相关，过往人流遗弃的垃圾则与人们的生活习惯、受教育水平、社区环境管理等因素有关，散落量随社会经济的发展和城市管理水平的提高而逐渐减少，丢弃的垃圾由市政和环卫部门处理。运营期固体废物对环境的影响在可接受范围内。</w:t>
            </w:r>
          </w:p>
          <w:p>
            <w:pPr>
              <w:adjustRightInd w:val="0"/>
              <w:snapToGrid w:val="0"/>
              <w:rPr>
                <w:rFonts w:hint="eastAsia" w:ascii="宋体" w:hAnsi="宋体" w:cs="宋体"/>
                <w:bCs/>
                <w:spacing w:val="10"/>
                <w:szCs w:val="21"/>
              </w:rPr>
            </w:pPr>
            <w:r>
              <w:rPr>
                <w:rFonts w:hint="eastAsia" w:ascii="宋体" w:hAnsi="宋体" w:cs="宋体"/>
                <w:b/>
                <w:bCs w:val="0"/>
                <w:spacing w:val="10"/>
                <w:szCs w:val="21"/>
              </w:rPr>
              <w:t>五、运营期采取的生态保护措施如下：</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1、植被保护和恢复措施</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本项目主体工程建设和水土保持工程措施完工后，应加强工程管理，对草皮要加强抚育管理。花、草皮要及时浇灌，加强病虫害的防治。保证成活率在90%以上并适时补植。</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充分考虑当地的气候、植被、土壤特点，做到适地适树，减少盲目引种带来的不必要损失和灾害发生的</w:t>
            </w:r>
            <w:r>
              <w:rPr>
                <w:rFonts w:hint="eastAsia" w:ascii="宋体" w:hAnsi="宋体" w:cs="宋体"/>
                <w:bCs/>
                <w:spacing w:val="10"/>
                <w:szCs w:val="21"/>
                <w:lang w:eastAsia="zh-CN"/>
              </w:rPr>
              <w:t>概率</w:t>
            </w:r>
            <w:r>
              <w:rPr>
                <w:rFonts w:hint="eastAsia" w:ascii="宋体" w:hAnsi="宋体" w:cs="宋体"/>
                <w:bCs/>
                <w:spacing w:val="10"/>
                <w:szCs w:val="21"/>
              </w:rPr>
              <w:t>。要以乡土植物为主，预防生物入侵。在选种时，一定要慎重，尽量选用乡土植物，少用或不用外来植物。</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根据环境条件，植物种类选择时应遵循如下原则：选择生长快、适应性强、抗逆性好、成活率高的植物；优先选择具有改良</w:t>
            </w:r>
            <w:r>
              <w:rPr>
                <w:rFonts w:hint="eastAsia" w:ascii="宋体" w:hAnsi="宋体" w:cs="宋体"/>
                <w:bCs/>
                <w:spacing w:val="10"/>
                <w:szCs w:val="21"/>
                <w:lang w:eastAsia="zh-CN"/>
              </w:rPr>
              <w:t>土壤肥力</w:t>
            </w:r>
            <w:r>
              <w:rPr>
                <w:rFonts w:hint="eastAsia" w:ascii="宋体" w:hAnsi="宋体" w:cs="宋体"/>
                <w:bCs/>
                <w:spacing w:val="10"/>
                <w:szCs w:val="21"/>
              </w:rPr>
              <w:t>的固氮植物；尽量选择当地优良的乡土植物和先锋植物，也可以引进外来速生植物；选择植物种类时不仅要考虑经济价值高，更主要是植物的</w:t>
            </w:r>
            <w:r>
              <w:rPr>
                <w:rFonts w:hint="eastAsia" w:ascii="宋体" w:hAnsi="宋体" w:cs="宋体"/>
                <w:bCs/>
                <w:spacing w:val="10"/>
                <w:szCs w:val="21"/>
                <w:lang w:eastAsia="zh-CN"/>
              </w:rPr>
              <w:t>多重</w:t>
            </w:r>
            <w:r>
              <w:rPr>
                <w:rFonts w:hint="eastAsia" w:ascii="宋体" w:hAnsi="宋体" w:cs="宋体"/>
                <w:bCs/>
                <w:spacing w:val="10"/>
                <w:szCs w:val="21"/>
              </w:rPr>
              <w:t>效益，主要包括抗旱、耐湿、抗污染、抗风沙、耐瘠薄、水土保持、抗病虫害以及具有较高的经济价值。</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2、生态景观设计与建设</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1）生态景观设计应以恢复自然为期望目标。通过人工辅助的方法，使自然本身具有的恢复力得到充分发挥。尊重自然植被的演替规律，不在大程度上改变自然恢复的演替序列，在生态系统允许的范围内绿化，从而避免导致灾害（生态入侵、土地退化、生物多样性降低等）的发生。从“尊重自然、保护自然、恢复自然”的角度来进行生态恢复设计。在技术上尽量模拟自然界的内在规律进行植物配置和辅助工程设计，避免违背植物生理学、生态学的规律进行强制绿化。</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rPr>
              <w:t>（2）生态景观设计应与周边环境相协调，具有赏心悦目、统一和谐的视觉效果</w:t>
            </w:r>
            <w:r>
              <w:rPr>
                <w:rFonts w:hint="eastAsia" w:ascii="宋体" w:hAnsi="宋体" w:cs="宋体"/>
                <w:bCs/>
                <w:spacing w:val="10"/>
                <w:szCs w:val="21"/>
                <w:lang w:eastAsia="zh-CN"/>
              </w:rPr>
              <w:t>，防止建设性的人为视觉污染。结合自然环境、经济条件、河流构造物的特点，因地制宜进行景观与绿化设计，形成同自然景观相协调的建筑群体。景观设计尽可能做到点、线、面兼顾，整体统一，使之与沿线景观相协调。景观空间要丰富，有曲线、有直路，不同的景观空间留给人们不同的空间感受，体现“以人为本”的原则。</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（3）注意营造大环境，精心设计小环境。在环境设计中，注意运用造型、符号等体现与反映不同地段的特色。如装饰图案、建筑符号、园林中的小品等，都要注意精心营造，体现文化品位。</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3、生态环境管理措施</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严格按相关法律开展工作。依据有关法律，制定生态保护与建设的规章制度，保障经费、人力和物力投入。</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注重科学性和可行性相结合。生态环境保护措施应满足生态系统环境功能保护的客观需求，并考虑在现有技术和经济水平上可能实施的保护措施和所能达到的保护水平。</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提高针对性和注重实效。充分认识项目对自然、半自然生态系统的破坏性，加大生态重建与生态补偿的力度，注重生态保护措施的落实。</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加强监督管理能力建设。主要管理内容为：制定施工期施工人员生态保护守则；负责组织实施工程水土保持方案、工程环境保护设计中有关生态保护和生态恢复的各项措施，并对这些措施的实施效果进行检查和监督。</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4、运营期生态环境评估</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本项目为防洪治理工程，其主要生态影响是由施工引起的。本次评价重点对运营期可能造成的生态影响提出可行的生态保护与恢复措施。</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（1）生态影响因子识别</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识别本项目施工期、运营期对当地环境生态的影响性质和影响程度，以便有针对性地开展生态影响的评价工作。根据本工程的建设内容、工艺特点以及沿线地区的生态现状及环境特点，对本项目的生态影响因子进行识别与筛选，见下表。</w:t>
            </w:r>
          </w:p>
          <w:p>
            <w:pPr>
              <w:adjustRightInd w:val="0"/>
              <w:snapToGrid w:val="0"/>
              <w:ind w:firstLine="462" w:firstLineChars="200"/>
              <w:jc w:val="center"/>
              <w:rPr>
                <w:rFonts w:hint="eastAsia" w:ascii="宋体" w:hAnsi="宋体" w:cs="宋体"/>
                <w:b/>
                <w:bCs w:val="0"/>
                <w:spacing w:val="10"/>
                <w:sz w:val="21"/>
                <w:szCs w:val="21"/>
                <w:lang w:eastAsia="zh-CN"/>
              </w:rPr>
            </w:pPr>
            <w:r>
              <w:rPr>
                <w:rFonts w:hint="eastAsia" w:ascii="宋体" w:hAnsi="宋体" w:cs="宋体"/>
                <w:b/>
                <w:bCs w:val="0"/>
                <w:spacing w:val="10"/>
                <w:sz w:val="21"/>
                <w:szCs w:val="21"/>
                <w:lang w:eastAsia="zh-CN"/>
              </w:rPr>
              <w:t>表</w:t>
            </w:r>
            <w:r>
              <w:rPr>
                <w:rFonts w:hint="eastAsia" w:ascii="宋体" w:hAnsi="宋体" w:cs="宋体"/>
                <w:b/>
                <w:bCs w:val="0"/>
                <w:spacing w:val="10"/>
                <w:sz w:val="21"/>
                <w:szCs w:val="21"/>
                <w:lang w:val="en-US" w:eastAsia="zh-CN"/>
              </w:rPr>
              <w:t>5</w:t>
            </w:r>
            <w:r>
              <w:rPr>
                <w:rFonts w:hint="eastAsia" w:ascii="宋体" w:hAnsi="宋体" w:cs="宋体"/>
                <w:b/>
                <w:bCs w:val="0"/>
                <w:spacing w:val="10"/>
                <w:sz w:val="21"/>
                <w:szCs w:val="21"/>
                <w:lang w:eastAsia="zh-CN"/>
              </w:rPr>
              <w:t>-</w:t>
            </w:r>
            <w:r>
              <w:rPr>
                <w:rFonts w:hint="eastAsia" w:ascii="宋体" w:hAnsi="宋体" w:cs="宋体"/>
                <w:b/>
                <w:bCs w:val="0"/>
                <w:spacing w:val="10"/>
                <w:sz w:val="21"/>
                <w:szCs w:val="21"/>
                <w:lang w:val="en-US" w:eastAsia="zh-CN"/>
              </w:rPr>
              <w:t>2</w:t>
            </w:r>
            <w:r>
              <w:rPr>
                <w:rFonts w:hint="eastAsia" w:ascii="宋体" w:hAnsi="宋体" w:cs="宋体"/>
                <w:bCs/>
                <w:spacing w:val="10"/>
                <w:sz w:val="21"/>
                <w:szCs w:val="21"/>
                <w:lang w:eastAsia="zh-CN"/>
              </w:rPr>
              <w:t xml:space="preserve">  </w:t>
            </w:r>
            <w:r>
              <w:rPr>
                <w:rFonts w:hint="eastAsia" w:ascii="宋体" w:hAnsi="宋体" w:cs="宋体"/>
                <w:b/>
                <w:bCs w:val="0"/>
                <w:spacing w:val="10"/>
                <w:sz w:val="21"/>
                <w:szCs w:val="21"/>
                <w:lang w:eastAsia="zh-CN"/>
              </w:rPr>
              <w:t>环境生态影响识别与因子筛选矩阵</w:t>
            </w:r>
          </w:p>
          <w:tbl>
            <w:tblPr>
              <w:tblStyle w:val="15"/>
              <w:tblW w:w="8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320"/>
              <w:gridCol w:w="2007"/>
              <w:gridCol w:w="1218"/>
              <w:gridCol w:w="1785"/>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序号</w:t>
                  </w:r>
                </w:p>
              </w:tc>
              <w:tc>
                <w:tcPr>
                  <w:tcW w:w="132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影响因子</w:t>
                  </w:r>
                </w:p>
              </w:tc>
              <w:tc>
                <w:tcPr>
                  <w:tcW w:w="2007"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影响行为</w:t>
                  </w:r>
                </w:p>
              </w:tc>
              <w:tc>
                <w:tcPr>
                  <w:tcW w:w="1218"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影响时间</w:t>
                  </w:r>
                </w:p>
              </w:tc>
              <w:tc>
                <w:tcPr>
                  <w:tcW w:w="1785"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影响范围</w:t>
                  </w:r>
                </w:p>
              </w:tc>
              <w:tc>
                <w:tcPr>
                  <w:tcW w:w="1119"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1</w:t>
                  </w:r>
                </w:p>
              </w:tc>
              <w:tc>
                <w:tcPr>
                  <w:tcW w:w="132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地貌变化</w:t>
                  </w:r>
                </w:p>
              </w:tc>
              <w:tc>
                <w:tcPr>
                  <w:tcW w:w="2007"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平整土地</w:t>
                  </w:r>
                </w:p>
              </w:tc>
              <w:tc>
                <w:tcPr>
                  <w:tcW w:w="1218"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长期</w:t>
                  </w:r>
                </w:p>
              </w:tc>
              <w:tc>
                <w:tcPr>
                  <w:tcW w:w="1785"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评价区</w:t>
                  </w:r>
                </w:p>
              </w:tc>
              <w:tc>
                <w:tcPr>
                  <w:tcW w:w="1119"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2</w:t>
                  </w:r>
                </w:p>
              </w:tc>
              <w:tc>
                <w:tcPr>
                  <w:tcW w:w="132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生物量</w:t>
                  </w:r>
                </w:p>
              </w:tc>
              <w:tc>
                <w:tcPr>
                  <w:tcW w:w="2007"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清除植被，绿化</w:t>
                  </w:r>
                </w:p>
              </w:tc>
              <w:tc>
                <w:tcPr>
                  <w:tcW w:w="1218"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长期</w:t>
                  </w:r>
                </w:p>
              </w:tc>
              <w:tc>
                <w:tcPr>
                  <w:tcW w:w="1785"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评价区</w:t>
                  </w:r>
                </w:p>
              </w:tc>
              <w:tc>
                <w:tcPr>
                  <w:tcW w:w="1119"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3</w:t>
                  </w:r>
                </w:p>
              </w:tc>
              <w:tc>
                <w:tcPr>
                  <w:tcW w:w="132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植被类型</w:t>
                  </w:r>
                </w:p>
              </w:tc>
              <w:tc>
                <w:tcPr>
                  <w:tcW w:w="2007"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清除植被，绿化</w:t>
                  </w:r>
                </w:p>
              </w:tc>
              <w:tc>
                <w:tcPr>
                  <w:tcW w:w="1218"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长期</w:t>
                  </w:r>
                </w:p>
              </w:tc>
              <w:tc>
                <w:tcPr>
                  <w:tcW w:w="1785"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评价区</w:t>
                  </w:r>
                </w:p>
              </w:tc>
              <w:tc>
                <w:tcPr>
                  <w:tcW w:w="1119"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4</w:t>
                  </w:r>
                </w:p>
              </w:tc>
              <w:tc>
                <w:tcPr>
                  <w:tcW w:w="132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动物栖息</w:t>
                  </w:r>
                </w:p>
              </w:tc>
              <w:tc>
                <w:tcPr>
                  <w:tcW w:w="2007"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人类活动，交通等</w:t>
                  </w:r>
                </w:p>
              </w:tc>
              <w:tc>
                <w:tcPr>
                  <w:tcW w:w="1218"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长期</w:t>
                  </w:r>
                </w:p>
              </w:tc>
              <w:tc>
                <w:tcPr>
                  <w:tcW w:w="1785"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评价区及其周围</w:t>
                  </w:r>
                </w:p>
              </w:tc>
              <w:tc>
                <w:tcPr>
                  <w:tcW w:w="1119"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5</w:t>
                  </w:r>
                </w:p>
              </w:tc>
              <w:tc>
                <w:tcPr>
                  <w:tcW w:w="132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景观</w:t>
                  </w:r>
                </w:p>
              </w:tc>
              <w:tc>
                <w:tcPr>
                  <w:tcW w:w="2007"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管道建设</w:t>
                  </w:r>
                </w:p>
              </w:tc>
              <w:tc>
                <w:tcPr>
                  <w:tcW w:w="1218"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长期</w:t>
                  </w:r>
                </w:p>
              </w:tc>
              <w:tc>
                <w:tcPr>
                  <w:tcW w:w="1785"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评价区</w:t>
                  </w:r>
                </w:p>
              </w:tc>
              <w:tc>
                <w:tcPr>
                  <w:tcW w:w="1119"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6</w:t>
                  </w:r>
                </w:p>
              </w:tc>
              <w:tc>
                <w:tcPr>
                  <w:tcW w:w="132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地下水涵养</w:t>
                  </w:r>
                </w:p>
              </w:tc>
              <w:tc>
                <w:tcPr>
                  <w:tcW w:w="2007"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不透水地面增加</w:t>
                  </w:r>
                </w:p>
              </w:tc>
              <w:tc>
                <w:tcPr>
                  <w:tcW w:w="1218"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长期</w:t>
                  </w:r>
                </w:p>
              </w:tc>
              <w:tc>
                <w:tcPr>
                  <w:tcW w:w="1785"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评价区</w:t>
                  </w:r>
                </w:p>
              </w:tc>
              <w:tc>
                <w:tcPr>
                  <w:tcW w:w="1119"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7</w:t>
                  </w:r>
                </w:p>
              </w:tc>
              <w:tc>
                <w:tcPr>
                  <w:tcW w:w="1320"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水土流失</w:t>
                  </w:r>
                </w:p>
              </w:tc>
              <w:tc>
                <w:tcPr>
                  <w:tcW w:w="2007"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地貌变化，植被覆盖变化</w:t>
                  </w:r>
                </w:p>
              </w:tc>
              <w:tc>
                <w:tcPr>
                  <w:tcW w:w="1218"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短期、长期</w:t>
                  </w:r>
                </w:p>
              </w:tc>
              <w:tc>
                <w:tcPr>
                  <w:tcW w:w="1785"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评价区</w:t>
                  </w:r>
                </w:p>
              </w:tc>
              <w:tc>
                <w:tcPr>
                  <w:tcW w:w="1119" w:type="dxa"/>
                  <w:vAlign w:val="center"/>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val="0"/>
                      <w:bCs/>
                      <w:kern w:val="0"/>
                      <w:sz w:val="21"/>
                      <w:szCs w:val="21"/>
                      <w:lang w:val="en-US" w:eastAsia="zh-CN" w:bidi="en-US"/>
                    </w:rPr>
                  </w:pPr>
                  <w:r>
                    <w:rPr>
                      <w:rFonts w:hint="eastAsia" w:ascii="Times New Roman" w:hAnsi="Times New Roman" w:eastAsia="宋体" w:cs="Times New Roman"/>
                      <w:b w:val="0"/>
                      <w:bCs/>
                      <w:kern w:val="0"/>
                      <w:sz w:val="21"/>
                      <w:szCs w:val="21"/>
                      <w:lang w:val="en-US" w:eastAsia="zh-CN" w:bidi="en-US"/>
                    </w:rPr>
                    <w:t>较大</w:t>
                  </w:r>
                </w:p>
              </w:tc>
            </w:tr>
          </w:tbl>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由上表可见，工程施工期和运营期对环境生态产生的影响方式和影响程度有所不同。工程施工期的影响主要通过施工扰动产生的，属于直接影响，而且影响性质属于负面的。根据识别，项目施工期对生态的各个方面均会产生不利影响，其中对土地利用、植被覆盖度、水土流失、景观方面的影响尤为突出，即工程建设将会降低植被覆盖度，加剧水土流失，改变土地利用方式和景观。工程进入运营期后，主要为项目周边生物受噪声影响；由于工程施工时期的主要区域为现有河岸，并在河岸沿线及临时占地区域按要求进行绿化及植被恢复，所以对环境生态的负面影响已经显著减轻，生态环境得以恢复改善。</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（2）影响方式</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根据本项目的工程特点和所处的自然与社会环境的特点，在不同的工程阶段，不同类型的工程活动对生态环境中各主要环境因子的影响方式列于表下表。</w:t>
            </w:r>
          </w:p>
          <w:p>
            <w:pPr>
              <w:numPr>
                <w:ilvl w:val="0"/>
                <w:numId w:val="0"/>
              </w:numPr>
              <w:autoSpaceDE w:val="0"/>
              <w:autoSpaceDN w:val="0"/>
              <w:adjustRightInd w:val="0"/>
              <w:snapToGrid w:val="0"/>
              <w:jc w:val="center"/>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lang w:eastAsia="zh-CN"/>
              </w:rPr>
              <w:t>表5-</w:t>
            </w:r>
            <w:r>
              <w:rPr>
                <w:rFonts w:hint="eastAsia" w:cs="Times New Roman"/>
                <w:b/>
                <w:bCs/>
                <w:kern w:val="0"/>
                <w:sz w:val="21"/>
                <w:szCs w:val="21"/>
                <w:lang w:val="en-US" w:eastAsia="zh-CN"/>
              </w:rPr>
              <w:t>3</w:t>
            </w:r>
            <w:r>
              <w:rPr>
                <w:rFonts w:hint="eastAsia" w:ascii="Times New Roman" w:hAnsi="Times New Roman" w:eastAsia="宋体" w:cs="Times New Roman"/>
                <w:b/>
                <w:bCs/>
                <w:kern w:val="0"/>
                <w:sz w:val="21"/>
                <w:szCs w:val="21"/>
                <w:lang w:eastAsia="zh-CN"/>
              </w:rPr>
              <w:t xml:space="preserve">  </w:t>
            </w:r>
            <w:r>
              <w:rPr>
                <w:rFonts w:hint="eastAsia" w:ascii="Times New Roman" w:hAnsi="Times New Roman" w:eastAsia="宋体" w:cs="Times New Roman"/>
                <w:b/>
                <w:bCs/>
                <w:kern w:val="0"/>
                <w:sz w:val="21"/>
                <w:szCs w:val="21"/>
                <w:lang w:val="en-US" w:eastAsia="zh-CN"/>
              </w:rPr>
              <w:t>对生态环境的主要影响方式</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6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影响类型</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影响方式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有利影响</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营运期改善五井石河防洪行洪能力，有利于经济发展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不利影响</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施工期的占地、植被破坏和水土流失加重，生物受噪声污染，项目不新增占地，不占用基本农田，周边动植物生物量较小，影响较小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可逆影响</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植被破坏，水土流失加大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不可逆影响</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永久占地，沿线生物受噪声污染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近期影响</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占用土地，水土流失加重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远期影响</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沿线生物受噪声污染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一次影响</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占用土地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累积影响</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噪声对生物和人体健康的不利影响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明显影响</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施工期占地、植被破坏，水土流失加大，营运期的绿化及植被恢复改善生态环境条件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潜在影响</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工程建设对沿线生态环境的有利和不利影响（如可能妨碍行洪）并存，如果及时采取恢复生态措施可改善沿线的生态环境，否则会恶化沿线的生态环境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局部影响</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当地生态环境从施工期的破坏到营运期的改造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区域影响</w:t>
                  </w:r>
                </w:p>
              </w:tc>
              <w:tc>
                <w:tcPr>
                  <w:tcW w:w="6651" w:type="dxa"/>
                  <w:vAlign w:val="top"/>
                </w:tcPr>
                <w:p>
                  <w:pPr>
                    <w:widowControl/>
                    <w:snapToGrid w:val="0"/>
                    <w:spacing w:line="240" w:lineRule="auto"/>
                    <w:ind w:left="-72" w:leftChars="-30" w:right="-72" w:rightChars="-30" w:firstLine="0" w:firstLineChars="0"/>
                    <w:jc w:val="center"/>
                    <w:textAlignment w:val="baseline"/>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val="0"/>
                      <w:bCs/>
                      <w:kern w:val="0"/>
                      <w:sz w:val="21"/>
                      <w:szCs w:val="21"/>
                      <w:lang w:val="en-US" w:eastAsia="zh-CN" w:bidi="en-US"/>
                    </w:rPr>
                    <w:t>为改善区域生态环境提供有利条件</w:t>
                  </w:r>
                </w:p>
              </w:tc>
            </w:tr>
          </w:tbl>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由表上表可见，项目对生态环境的主要不利影响是施工期的占用土地和水土流失加重，营运期的沿线生物受噪声污染。其中施工期的影响主要是不利的、一次性的、明显的、局部的影响，而营运期的影响主要是长期的、累积的影响，是以有利和不利、明显与潜在、局部与区域、可逆与不可逆影响并存为特点。</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3、生态环境现状分析</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生态环境现状包括土地利用现状、地表植被及野生动物分布情况和水土流失现状以及生态系统结构和功能等方面的内容。</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（1）土地利用现状</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该场址现为河岸，场址地质单一。现状用地范围内无完善的市政设施。</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（2）野生动植物分布情况</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根据现场调查，项目地块主要为五井石河水域，无受保护的野生植物分布；项目所在区域及周边地块出没的野生动物主要是鸟类、啮齿类，以及昆虫等，无大型野生珍稀动物出没。目前该地块的自然生态系统几已荡然无存，生物多样性较差。</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4、生态环境影响评价</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（1）土地利用影响预测</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项目施工期已完成，并对场地进行了恢复，施工期土地利用影响已消失。工程建成后，主要以河岸硬化地面和绿化为主，由于占地面积小，总体上未改变区域土地的结构和功能，对涵养水源的能力影响较小。</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（2）景观生态影响评价</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项目施工期已完成，并对场地进行了恢复，施工期土地利用影响已消失。</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（3）生态完整性影响分析</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项目地块主要为五井石河水域，建成后，影响范围有限，从生态完整性指标的角度分析，它的建设将不会从根本上改变密度（Rd）、频率（Rf）、景观比例（Lp）、优势度（Do）指标在项目沿线的构成现状，因此，该项目建设不会对沿线生态完整性产生明显的影响。</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5、水土流失影响分析</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水土流失是指土壤在降水侵蚀力作用下的分散、迁移和沉积的过程。水土流失使土地的生产力下降、耕地破坏、河道淤积、洪涝和地质灾害加重、水质下降、植被破坏，使生态环境恶化，对社会、经济发展产生负面影响。</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本项目施工期间线路清理、基坑开挖、格宾挡墙、护垫、砂卵石碾压回填，要进行开挖，并且开挖面较大，在挖土方处会产生水土流失的现象，造成水土流失的因素较多，主要包括降雨、土壤、植被、地形地貌等自然因素以及工程施工等人为因素。就本项目而言，产生水土流失的主要因素是降雨和工程施工。在正常的降雨条件下，工程施工是导致水土流失发生、发展并加剧的根源。</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6、生态保护措施</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项目已经投入生产，施工期较短，施工期对生态环境的影响已经结束，施工期对沿线植被进行了恢复。</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根据甲方提供资料，施工期采取的生态环境保护措施有表土剥离及存放、修复平整工程、覆土工程、场地清理等，未遗留环境问题。</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本项目堤岸景观建设采取植物种植措施，既能美化环境又有利于生态环境保护，同时有利于隔声降噪，有助于人的心情镇静。</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7、管理措施</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（1）严格按照相关法律开展工作</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《中华人民共和国环境保护法》规定：“开发利用自然资源，必须采取措施保护生态环境”，依据有关法律，制定生态保护与建设的规章制度，保障经费、人力和物力投入。</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（2）体现全局和时代观念</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生态环境的保护措施应从流域或区域生态功能的保持来考虑，而不仅是强调开发建设活动发生点的生态环境原貌。并保持时代性具有一定超前性，与区域或流域社会经济可持续发展的生态环境要求一致，积极承担对未来生态环境的改善和建设所应承担的责任。</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（3）注重科学性和可行性相结合</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生态环境保护措施应满足生态系统环境功能保护的客观需求，并考虑在现有技术和经济水平上可能实施的保护措施和所能达到的保护水平。</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（4）提高针对性和注重实效</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充分认识项目对自然、半自然生态系统的破坏性，加大生态重建与生态补偿的力度，注重生态保护措施的落实。在建设活动前和活动中注意保护生态环境的原质原貌，尽量减少干扰与破坏。</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（5）加强监督管理能力建设</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以发展循环经济、建设生态市为指导，加强生态保护与管理队伍建设，将生态保护与建设与区域经济发展有机地结合起来，实现区域经济的科学发展。</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8、生态影响</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（1）从环境保护目标来分析</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本项目周围无饮用水源地、风景名胜区、文物遗迹等需特殊保护的环境敏感点，本项目敏感目标主要为项目周围的居住区。项目在施工期间施工机械产生的噪声会对其产生影响，通过加设临时隔声墙、禁止夜间施工等措施以减轻对周围环境敏感点的影响，而且施工期噪声影响只是暂时的，随施工期的结束影响也随之消失。</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（2）从环境质量来分析</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本项目为防洪治理工程，本身没有大地污染，在落实噪声治理措施、废气防治措施、固废防治措施后，项目产生的各种污染对区域环境质量基本无影响，也不会影响到周围居民的正常生活。</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项目建成后，使五井石河成为一道亮丽的风景线，可一定程度改善沂源县生态条件，给城区居民外出活动带来便利；对服务周边地块的开发等提供良好的外部条件，对沂源县地区城市化进程及社会综合事业的发展有积极的促进作用。</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工程的建成和运营会带动周边的旅游业的发展，并在一定程度上触动沂源县旅游业的发展，由此将会创造新的就业机会对区域经济发展有积极的作用。</w:t>
            </w:r>
          </w:p>
          <w:p>
            <w:pPr>
              <w:adjustRightInd w:val="0"/>
              <w:snapToGrid w:val="0"/>
              <w:ind w:firstLine="520" w:firstLineChars="200"/>
              <w:rPr>
                <w:rFonts w:hint="eastAsia" w:ascii="宋体" w:hAnsi="宋体" w:cs="宋体"/>
                <w:bCs/>
                <w:spacing w:val="10"/>
                <w:szCs w:val="21"/>
                <w:lang w:eastAsia="zh-CN"/>
              </w:rPr>
            </w:pPr>
            <w:r>
              <w:rPr>
                <w:rFonts w:hint="eastAsia" w:ascii="宋体" w:hAnsi="宋体" w:cs="宋体"/>
                <w:bCs/>
                <w:spacing w:val="10"/>
                <w:szCs w:val="21"/>
                <w:lang w:eastAsia="zh-CN"/>
              </w:rPr>
              <w:t>工程建设不会带来负面影响。施工和运营期会对环境带来一定的污染，需要采取有效的措施，尽量使其负面影响降低到最小。</w:t>
            </w:r>
          </w:p>
          <w:p>
            <w:pPr>
              <w:widowControl/>
              <w:kinsoku w:val="0"/>
              <w:autoSpaceDE w:val="0"/>
              <w:autoSpaceDN w:val="0"/>
              <w:adjustRightInd w:val="0"/>
              <w:spacing w:line="360" w:lineRule="auto"/>
              <w:jc w:val="left"/>
              <w:textAlignment w:val="baseline"/>
              <w:rPr>
                <w:rFonts w:hint="eastAsia"/>
                <w:b/>
                <w:spacing w:val="-7"/>
                <w:sz w:val="24"/>
              </w:rPr>
            </w:pPr>
            <w:r>
              <w:rPr>
                <w:rFonts w:hint="eastAsia"/>
                <w:b/>
                <w:spacing w:val="-7"/>
                <w:sz w:val="24"/>
              </w:rPr>
              <w:t>六、水环境</w:t>
            </w:r>
            <w:r>
              <w:rPr>
                <w:b/>
                <w:spacing w:val="-7"/>
                <w:sz w:val="24"/>
              </w:rPr>
              <w:t>、生态环境监测计划</w:t>
            </w:r>
          </w:p>
          <w:p>
            <w:pPr>
              <w:adjustRightInd w:val="0"/>
              <w:snapToGrid w:val="0"/>
              <w:spacing w:line="360" w:lineRule="auto"/>
              <w:ind w:firstLine="480" w:firstLineChars="200"/>
              <w:rPr>
                <w:bCs/>
                <w:sz w:val="24"/>
                <w:szCs w:val="21"/>
              </w:rPr>
            </w:pPr>
            <w:r>
              <w:rPr>
                <w:bCs/>
                <w:sz w:val="24"/>
                <w:szCs w:val="21"/>
              </w:rPr>
              <w:t>本项目应开展长期跟踪</w:t>
            </w:r>
            <w:r>
              <w:rPr>
                <w:rFonts w:hint="eastAsia"/>
                <w:bCs/>
                <w:sz w:val="24"/>
                <w:szCs w:val="21"/>
              </w:rPr>
              <w:t>水环境</w:t>
            </w:r>
            <w:r>
              <w:rPr>
                <w:bCs/>
                <w:sz w:val="24"/>
                <w:szCs w:val="21"/>
              </w:rPr>
              <w:t>及生态</w:t>
            </w:r>
            <w:r>
              <w:rPr>
                <w:rFonts w:hint="eastAsia"/>
                <w:bCs/>
                <w:sz w:val="24"/>
                <w:szCs w:val="21"/>
              </w:rPr>
              <w:t>环境</w:t>
            </w:r>
            <w:r>
              <w:rPr>
                <w:bCs/>
                <w:sz w:val="24"/>
                <w:szCs w:val="21"/>
              </w:rPr>
              <w:t>监测，详见表5-4</w:t>
            </w:r>
            <w:r>
              <w:rPr>
                <w:rFonts w:hint="eastAsia"/>
                <w:bCs/>
                <w:sz w:val="24"/>
                <w:szCs w:val="21"/>
              </w:rPr>
              <w:t>、5-5：</w:t>
            </w:r>
          </w:p>
          <w:p>
            <w:pPr>
              <w:pStyle w:val="5"/>
              <w:widowControl/>
              <w:spacing w:before="0" w:after="0" w:line="240" w:lineRule="auto"/>
              <w:ind w:right="0" w:firstLine="422" w:firstLineChars="20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 xml:space="preserve">表5-4  </w:t>
            </w:r>
            <w:r>
              <w:rPr>
                <w:rFonts w:hint="eastAsia" w:ascii="Times New Roman" w:hAnsi="Times New Roman" w:eastAsia="宋体" w:cs="Times New Roman"/>
                <w:b/>
                <w:bCs/>
                <w:sz w:val="21"/>
                <w:szCs w:val="21"/>
                <w:lang w:eastAsia="zh-CN"/>
              </w:rPr>
              <w:t>地表水环境</w:t>
            </w:r>
            <w:r>
              <w:rPr>
                <w:rFonts w:hint="default" w:ascii="Times New Roman" w:hAnsi="Times New Roman" w:eastAsia="宋体" w:cs="Times New Roman"/>
                <w:b/>
                <w:bCs/>
                <w:sz w:val="21"/>
                <w:szCs w:val="21"/>
                <w:lang w:eastAsia="zh-CN"/>
              </w:rPr>
              <w:t>监测方案</w:t>
            </w:r>
          </w:p>
          <w:tbl>
            <w:tblPr>
              <w:tblStyle w:val="14"/>
              <w:tblW w:w="822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94"/>
              <w:gridCol w:w="896"/>
              <w:gridCol w:w="5244"/>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1094" w:type="dxa"/>
                  <w:shd w:val="clear" w:color="auto" w:fill="auto"/>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环境要素</w:t>
                  </w:r>
                </w:p>
              </w:tc>
              <w:tc>
                <w:tcPr>
                  <w:tcW w:w="896" w:type="dxa"/>
                  <w:shd w:val="clear" w:color="auto" w:fill="auto"/>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监测位置</w:t>
                  </w:r>
                </w:p>
              </w:tc>
              <w:tc>
                <w:tcPr>
                  <w:tcW w:w="5244" w:type="dxa"/>
                  <w:shd w:val="clear" w:color="auto" w:fill="auto"/>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监测项目</w:t>
                  </w:r>
                </w:p>
              </w:tc>
              <w:tc>
                <w:tcPr>
                  <w:tcW w:w="993" w:type="dxa"/>
                  <w:shd w:val="clear" w:color="auto" w:fill="auto"/>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6" w:hRule="atLeast"/>
              </w:trPr>
              <w:tc>
                <w:tcPr>
                  <w:tcW w:w="1094" w:type="dxa"/>
                  <w:vMerge w:val="restart"/>
                  <w:shd w:val="clear" w:color="auto" w:fill="auto"/>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地表水</w:t>
                  </w:r>
                </w:p>
              </w:tc>
              <w:tc>
                <w:tcPr>
                  <w:tcW w:w="896" w:type="dxa"/>
                  <w:shd w:val="clear" w:color="auto" w:fill="auto"/>
                  <w:noWrap w:val="0"/>
                  <w:vAlign w:val="center"/>
                </w:tcPr>
                <w:p>
                  <w:pPr>
                    <w:bidi w:val="0"/>
                    <w:jc w:val="center"/>
                    <w:rPr>
                      <w:rFonts w:hint="eastAsia" w:ascii="Times New Roman" w:hAnsi="Times New Roman" w:eastAsia="宋体" w:cs="Times New Roman"/>
                      <w:sz w:val="21"/>
                      <w:szCs w:val="21"/>
                      <w:lang w:eastAsia="zh-CN"/>
                    </w:rPr>
                  </w:pPr>
                  <w:r>
                    <w:rPr>
                      <w:rFonts w:hint="eastAsia" w:cs="Times New Roman"/>
                      <w:sz w:val="21"/>
                      <w:szCs w:val="21"/>
                      <w:lang w:eastAsia="zh-CN"/>
                    </w:rPr>
                    <w:t>五井石河</w:t>
                  </w:r>
                  <w:r>
                    <w:rPr>
                      <w:rFonts w:hint="eastAsia" w:ascii="Times New Roman" w:hAnsi="Times New Roman" w:cs="Times New Roman"/>
                      <w:sz w:val="21"/>
                      <w:szCs w:val="21"/>
                    </w:rPr>
                    <w:t>上游</w:t>
                  </w:r>
                </w:p>
              </w:tc>
              <w:tc>
                <w:tcPr>
                  <w:tcW w:w="5244" w:type="dxa"/>
                  <w:vMerge w:val="restart"/>
                  <w:shd w:val="clear" w:color="auto" w:fill="auto"/>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水温、pH、溶解氧、高锰酸盐指数、化学需氧量、氨氮、 总磷、总氮、铜、锌、氟化物、硒、砷、汞、镉、铬</w:t>
                  </w:r>
                  <w:r>
                    <w:rPr>
                      <w:rFonts w:hint="eastAsia" w:cs="Times New Roman"/>
                      <w:sz w:val="21"/>
                      <w:szCs w:val="21"/>
                      <w:lang w:eastAsia="zh-CN"/>
                    </w:rPr>
                    <w:t>（</w:t>
                  </w:r>
                  <w:r>
                    <w:rPr>
                      <w:rFonts w:hint="eastAsia" w:ascii="Times New Roman" w:hAnsi="Times New Roman" w:cs="Times New Roman"/>
                      <w:sz w:val="21"/>
                      <w:szCs w:val="21"/>
                    </w:rPr>
                    <w:t>六价</w:t>
                  </w:r>
                  <w:r>
                    <w:rPr>
                      <w:rFonts w:hint="eastAsia" w:cs="Times New Roman"/>
                      <w:sz w:val="21"/>
                      <w:szCs w:val="21"/>
                      <w:lang w:eastAsia="zh-CN"/>
                    </w:rPr>
                    <w:t>）</w:t>
                  </w:r>
                  <w:r>
                    <w:rPr>
                      <w:rFonts w:hint="eastAsia" w:ascii="Times New Roman" w:hAnsi="Times New Roman" w:cs="Times New Roman"/>
                      <w:sz w:val="21"/>
                      <w:szCs w:val="21"/>
                    </w:rPr>
                    <w:t>、铅、氰化物、挥发酚、石油类、阴离子表面活性剂、硫化物、硝酸盐、铁、锰、五日生化需氧量、粪大肠菌群、硫酸盐、氯化物、硒</w:t>
                  </w:r>
                </w:p>
              </w:tc>
              <w:tc>
                <w:tcPr>
                  <w:tcW w:w="993" w:type="dxa"/>
                  <w:vMerge w:val="restart"/>
                  <w:shd w:val="clear" w:color="auto" w:fill="auto"/>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6" w:hRule="atLeast"/>
              </w:trPr>
              <w:tc>
                <w:tcPr>
                  <w:tcW w:w="1094" w:type="dxa"/>
                  <w:vMerge w:val="continue"/>
                  <w:shd w:val="clear" w:color="auto" w:fill="auto"/>
                  <w:noWrap w:val="0"/>
                  <w:vAlign w:val="center"/>
                </w:tcPr>
                <w:p>
                  <w:pPr>
                    <w:bidi w:val="0"/>
                    <w:jc w:val="center"/>
                  </w:pPr>
                </w:p>
              </w:tc>
              <w:tc>
                <w:tcPr>
                  <w:tcW w:w="896" w:type="dxa"/>
                  <w:shd w:val="clear" w:color="auto" w:fill="auto"/>
                  <w:noWrap w:val="0"/>
                  <w:vAlign w:val="center"/>
                </w:tcPr>
                <w:p>
                  <w:pPr>
                    <w:bidi w:val="0"/>
                    <w:jc w:val="center"/>
                    <w:rPr>
                      <w:rFonts w:hint="eastAsia" w:cs="Times New Roman"/>
                      <w:sz w:val="21"/>
                      <w:szCs w:val="21"/>
                      <w:lang w:eastAsia="zh-CN"/>
                    </w:rPr>
                  </w:pPr>
                  <w:r>
                    <w:rPr>
                      <w:rFonts w:hint="eastAsia" w:cs="Times New Roman"/>
                      <w:sz w:val="21"/>
                      <w:szCs w:val="21"/>
                      <w:lang w:eastAsia="zh-CN"/>
                    </w:rPr>
                    <w:t>五井石河</w:t>
                  </w:r>
                  <w:r>
                    <w:rPr>
                      <w:rFonts w:hint="eastAsia" w:ascii="Times New Roman" w:hAnsi="Times New Roman" w:cs="Times New Roman"/>
                      <w:sz w:val="21"/>
                      <w:szCs w:val="21"/>
                    </w:rPr>
                    <w:t>下游</w:t>
                  </w:r>
                </w:p>
              </w:tc>
              <w:tc>
                <w:tcPr>
                  <w:tcW w:w="5244" w:type="dxa"/>
                  <w:vMerge w:val="continue"/>
                  <w:shd w:val="clear" w:color="auto" w:fill="auto"/>
                  <w:noWrap w:val="0"/>
                  <w:vAlign w:val="center"/>
                </w:tcPr>
                <w:p>
                  <w:pPr>
                    <w:bidi w:val="0"/>
                    <w:jc w:val="center"/>
                    <w:rPr>
                      <w:rFonts w:hint="eastAsia" w:cs="Times New Roman"/>
                      <w:sz w:val="21"/>
                      <w:szCs w:val="21"/>
                      <w:lang w:eastAsia="zh-CN"/>
                    </w:rPr>
                  </w:pPr>
                </w:p>
              </w:tc>
              <w:tc>
                <w:tcPr>
                  <w:tcW w:w="993" w:type="dxa"/>
                  <w:vMerge w:val="continue"/>
                  <w:shd w:val="clear" w:color="auto" w:fill="auto"/>
                  <w:noWrap w:val="0"/>
                  <w:vAlign w:val="center"/>
                </w:tcPr>
                <w:p>
                  <w:pPr>
                    <w:bidi w:val="0"/>
                    <w:jc w:val="center"/>
                    <w:rPr>
                      <w:rFonts w:hint="eastAsia"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8" w:hRule="atLeast"/>
              </w:trPr>
              <w:tc>
                <w:tcPr>
                  <w:tcW w:w="1094" w:type="dxa"/>
                  <w:shd w:val="clear" w:color="auto" w:fill="auto"/>
                  <w:noWrap w:val="0"/>
                  <w:vAlign w:val="center"/>
                </w:tcPr>
                <w:p>
                  <w:pPr>
                    <w:bidi w:val="0"/>
                    <w:jc w:val="center"/>
                    <w:rPr>
                      <w:rFonts w:hint="eastAsia" w:ascii="Times New Roman" w:hAnsi="Times New Roman" w:eastAsia="宋体" w:cs="Times New Roman"/>
                      <w:sz w:val="21"/>
                      <w:szCs w:val="21"/>
                      <w:lang w:eastAsia="zh-CN"/>
                    </w:rPr>
                  </w:pPr>
                  <w:r>
                    <w:rPr>
                      <w:rFonts w:hint="eastAsia" w:cs="Times New Roman"/>
                      <w:sz w:val="21"/>
                      <w:szCs w:val="21"/>
                      <w:lang w:eastAsia="zh-CN"/>
                    </w:rPr>
                    <w:t>地下水</w:t>
                  </w:r>
                </w:p>
              </w:tc>
              <w:tc>
                <w:tcPr>
                  <w:tcW w:w="896" w:type="dxa"/>
                  <w:shd w:val="clear" w:color="auto" w:fill="auto"/>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璞邱三村集中供水井</w:t>
                  </w:r>
                </w:p>
              </w:tc>
              <w:tc>
                <w:tcPr>
                  <w:tcW w:w="5244" w:type="dxa"/>
                  <w:shd w:val="clear" w:color="auto" w:fill="auto"/>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水位、pH、氨氮、硝酸盐氮、亚硝酸盐氮、</w:t>
                  </w:r>
                  <w:r>
                    <w:rPr>
                      <w:rFonts w:hint="eastAsia" w:cs="Times New Roman"/>
                      <w:sz w:val="21"/>
                      <w:szCs w:val="21"/>
                      <w:lang w:eastAsia="zh-CN"/>
                    </w:rPr>
                    <w:t>挥发性</w:t>
                  </w:r>
                  <w:r>
                    <w:rPr>
                      <w:rFonts w:hint="eastAsia" w:ascii="Times New Roman" w:hAnsi="Times New Roman" w:cs="Times New Roman"/>
                      <w:sz w:val="21"/>
                      <w:szCs w:val="21"/>
                    </w:rPr>
                    <w:t>酚类、</w:t>
                  </w:r>
                </w:p>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氰化物、砷、汞、铬</w:t>
                  </w:r>
                  <w:r>
                    <w:rPr>
                      <w:rFonts w:hint="eastAsia" w:cs="Times New Roman"/>
                      <w:sz w:val="21"/>
                      <w:szCs w:val="21"/>
                      <w:lang w:eastAsia="zh-CN"/>
                    </w:rPr>
                    <w:t>（</w:t>
                  </w:r>
                  <w:r>
                    <w:rPr>
                      <w:rFonts w:hint="eastAsia" w:ascii="Times New Roman" w:hAnsi="Times New Roman" w:cs="Times New Roman"/>
                      <w:sz w:val="21"/>
                      <w:szCs w:val="21"/>
                    </w:rPr>
                    <w:t>六价</w:t>
                  </w:r>
                  <w:r>
                    <w:rPr>
                      <w:rFonts w:hint="eastAsia" w:cs="Times New Roman"/>
                      <w:sz w:val="21"/>
                      <w:szCs w:val="21"/>
                      <w:lang w:eastAsia="zh-CN"/>
                    </w:rPr>
                    <w:t>）</w:t>
                  </w:r>
                  <w:r>
                    <w:rPr>
                      <w:rFonts w:hint="eastAsia" w:ascii="Times New Roman" w:hAnsi="Times New Roman" w:cs="Times New Roman"/>
                      <w:sz w:val="21"/>
                      <w:szCs w:val="21"/>
                    </w:rPr>
                    <w:t>、总硬度、铅、氟化物、镉、铁、锰、溶解性总固体、耗氧量</w:t>
                  </w:r>
                  <w:r>
                    <w:rPr>
                      <w:rFonts w:hint="eastAsia" w:cs="Times New Roman"/>
                      <w:sz w:val="21"/>
                      <w:szCs w:val="21"/>
                      <w:lang w:eastAsia="zh-CN"/>
                    </w:rPr>
                    <w:t>（</w:t>
                  </w:r>
                  <w:r>
                    <w:rPr>
                      <w:rFonts w:hint="eastAsia" w:ascii="Times New Roman" w:hAnsi="Times New Roman" w:cs="Times New Roman"/>
                      <w:sz w:val="21"/>
                      <w:szCs w:val="21"/>
                    </w:rPr>
                    <w:t>C0D</w:t>
                  </w:r>
                  <w:r>
                    <w:rPr>
                      <w:rFonts w:hint="eastAsia" w:cs="Times New Roman"/>
                      <w:sz w:val="21"/>
                      <w:szCs w:val="21"/>
                      <w:lang w:eastAsia="zh-CN"/>
                    </w:rPr>
                    <w:t>）</w:t>
                  </w:r>
                  <w:r>
                    <w:rPr>
                      <w:rFonts w:hint="eastAsia" w:ascii="Times New Roman" w:hAnsi="Times New Roman" w:cs="Times New Roman"/>
                      <w:sz w:val="21"/>
                      <w:szCs w:val="21"/>
                    </w:rPr>
                    <w:t>、硫酸盐、氯化物、总大肠</w:t>
                  </w:r>
                  <w:r>
                    <w:rPr>
                      <w:rFonts w:hint="eastAsia" w:cs="Times New Roman"/>
                      <w:sz w:val="21"/>
                      <w:szCs w:val="21"/>
                      <w:lang w:eastAsia="zh-CN"/>
                    </w:rPr>
                    <w:t>菌</w:t>
                  </w:r>
                  <w:r>
                    <w:rPr>
                      <w:rFonts w:hint="eastAsia" w:ascii="Times New Roman" w:hAnsi="Times New Roman" w:cs="Times New Roman"/>
                      <w:sz w:val="21"/>
                      <w:szCs w:val="21"/>
                    </w:rPr>
                    <w:t>群、细菌总数</w:t>
                  </w:r>
                </w:p>
              </w:tc>
              <w:tc>
                <w:tcPr>
                  <w:tcW w:w="993" w:type="dxa"/>
                  <w:shd w:val="clear" w:color="auto" w:fill="auto"/>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一年一次</w:t>
                  </w:r>
                </w:p>
              </w:tc>
            </w:tr>
          </w:tbl>
          <w:p>
            <w:pPr>
              <w:pStyle w:val="5"/>
              <w:widowControl/>
              <w:spacing w:before="0" w:after="0" w:line="240" w:lineRule="auto"/>
              <w:ind w:right="0" w:firstLine="422" w:firstLineChars="20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 xml:space="preserve">表5-5  </w:t>
            </w:r>
            <w:r>
              <w:rPr>
                <w:rFonts w:hint="eastAsia" w:ascii="Times New Roman" w:hAnsi="Times New Roman" w:eastAsia="宋体" w:cs="Times New Roman"/>
                <w:b/>
                <w:bCs/>
                <w:sz w:val="21"/>
                <w:szCs w:val="21"/>
                <w:lang w:eastAsia="zh-CN"/>
              </w:rPr>
              <w:t>生态环境</w:t>
            </w:r>
            <w:r>
              <w:rPr>
                <w:rFonts w:hint="default" w:ascii="Times New Roman" w:hAnsi="Times New Roman" w:eastAsia="宋体" w:cs="Times New Roman"/>
                <w:b/>
                <w:bCs/>
                <w:sz w:val="21"/>
                <w:szCs w:val="21"/>
                <w:lang w:eastAsia="zh-CN"/>
              </w:rPr>
              <w:t>监测方案</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655"/>
              <w:gridCol w:w="1854"/>
              <w:gridCol w:w="1624"/>
              <w:gridCol w:w="1517"/>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 w:type="pct"/>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序号</w:t>
                  </w:r>
                </w:p>
              </w:tc>
              <w:tc>
                <w:tcPr>
                  <w:tcW w:w="1001" w:type="pct"/>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监测时期</w:t>
                  </w:r>
                </w:p>
              </w:tc>
              <w:tc>
                <w:tcPr>
                  <w:tcW w:w="1121" w:type="pct"/>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监测因子</w:t>
                  </w:r>
                </w:p>
              </w:tc>
              <w:tc>
                <w:tcPr>
                  <w:tcW w:w="982" w:type="pct"/>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方法</w:t>
                  </w:r>
                </w:p>
              </w:tc>
              <w:tc>
                <w:tcPr>
                  <w:tcW w:w="917" w:type="pct"/>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频次</w:t>
                  </w:r>
                </w:p>
              </w:tc>
              <w:tc>
                <w:tcPr>
                  <w:tcW w:w="706" w:type="pct"/>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 w:type="pct"/>
                  <w:vMerge w:val="restart"/>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1001" w:type="pct"/>
                  <w:vMerge w:val="restart"/>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自施工期开始并延续至正式投运后3-5年</w:t>
                  </w:r>
                </w:p>
              </w:tc>
              <w:tc>
                <w:tcPr>
                  <w:tcW w:w="1121" w:type="pct"/>
                  <w:vMerge w:val="restart"/>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水质理化、水文情势变化、水生生物生境</w:t>
                  </w:r>
                </w:p>
              </w:tc>
              <w:tc>
                <w:tcPr>
                  <w:tcW w:w="982" w:type="pct"/>
                  <w:vMerge w:val="restart"/>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常规检测、镜检法、遥感技术水文监测</w:t>
                  </w:r>
                </w:p>
              </w:tc>
              <w:tc>
                <w:tcPr>
                  <w:tcW w:w="917" w:type="pct"/>
                  <w:vMerge w:val="restart"/>
                  <w:noWrap w:val="0"/>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一年一次</w:t>
                  </w:r>
                </w:p>
              </w:tc>
              <w:tc>
                <w:tcPr>
                  <w:tcW w:w="706" w:type="pct"/>
                  <w:noWrap w:val="0"/>
                  <w:vAlign w:val="center"/>
                </w:tcPr>
                <w:p>
                  <w:pPr>
                    <w:bidi w:val="0"/>
                    <w:jc w:val="center"/>
                    <w:rPr>
                      <w:rFonts w:hint="eastAsia" w:ascii="Times New Roman" w:hAnsi="Times New Roman" w:cs="Times New Roman"/>
                      <w:sz w:val="21"/>
                      <w:szCs w:val="21"/>
                    </w:rPr>
                  </w:pPr>
                  <w:r>
                    <w:rPr>
                      <w:rFonts w:hint="eastAsia" w:cs="Times New Roman"/>
                      <w:sz w:val="21"/>
                      <w:szCs w:val="21"/>
                      <w:lang w:eastAsia="zh-CN"/>
                    </w:rPr>
                    <w:t>五井石河</w:t>
                  </w:r>
                  <w:r>
                    <w:rPr>
                      <w:rFonts w:hint="eastAsia" w:ascii="Times New Roman" w:hAnsi="Times New Roman" w:cs="Times New Roman"/>
                      <w:sz w:val="21"/>
                      <w:szCs w:val="21"/>
                    </w:rPr>
                    <w:t>上游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 w:type="pct"/>
                  <w:vMerge w:val="continue"/>
                  <w:noWrap w:val="0"/>
                  <w:vAlign w:val="center"/>
                </w:tcPr>
                <w:p>
                  <w:pPr>
                    <w:bidi w:val="0"/>
                    <w:jc w:val="center"/>
                    <w:rPr>
                      <w:rFonts w:hint="eastAsia" w:ascii="Times New Roman" w:hAnsi="Times New Roman" w:cs="Times New Roman"/>
                      <w:sz w:val="21"/>
                      <w:szCs w:val="21"/>
                    </w:rPr>
                  </w:pPr>
                </w:p>
              </w:tc>
              <w:tc>
                <w:tcPr>
                  <w:tcW w:w="1001" w:type="pct"/>
                  <w:vMerge w:val="continue"/>
                  <w:noWrap w:val="0"/>
                  <w:vAlign w:val="center"/>
                </w:tcPr>
                <w:p>
                  <w:pPr>
                    <w:bidi w:val="0"/>
                    <w:jc w:val="center"/>
                    <w:rPr>
                      <w:rFonts w:hint="eastAsia" w:ascii="Times New Roman" w:hAnsi="Times New Roman" w:cs="Times New Roman"/>
                      <w:sz w:val="21"/>
                      <w:szCs w:val="21"/>
                    </w:rPr>
                  </w:pPr>
                </w:p>
              </w:tc>
              <w:tc>
                <w:tcPr>
                  <w:tcW w:w="1121" w:type="pct"/>
                  <w:vMerge w:val="continue"/>
                  <w:noWrap w:val="0"/>
                  <w:vAlign w:val="center"/>
                </w:tcPr>
                <w:p>
                  <w:pPr>
                    <w:bidi w:val="0"/>
                    <w:jc w:val="center"/>
                    <w:rPr>
                      <w:rFonts w:hint="eastAsia" w:ascii="Times New Roman" w:hAnsi="Times New Roman" w:cs="Times New Roman"/>
                      <w:sz w:val="21"/>
                      <w:szCs w:val="21"/>
                    </w:rPr>
                  </w:pPr>
                </w:p>
              </w:tc>
              <w:tc>
                <w:tcPr>
                  <w:tcW w:w="982" w:type="pct"/>
                  <w:vMerge w:val="continue"/>
                  <w:noWrap w:val="0"/>
                  <w:vAlign w:val="center"/>
                </w:tcPr>
                <w:p>
                  <w:pPr>
                    <w:bidi w:val="0"/>
                    <w:jc w:val="center"/>
                    <w:rPr>
                      <w:rFonts w:hint="eastAsia" w:ascii="Times New Roman" w:hAnsi="Times New Roman" w:cs="Times New Roman"/>
                      <w:sz w:val="21"/>
                      <w:szCs w:val="21"/>
                    </w:rPr>
                  </w:pPr>
                </w:p>
              </w:tc>
              <w:tc>
                <w:tcPr>
                  <w:tcW w:w="917" w:type="pct"/>
                  <w:vMerge w:val="continue"/>
                  <w:noWrap w:val="0"/>
                  <w:vAlign w:val="center"/>
                </w:tcPr>
                <w:p>
                  <w:pPr>
                    <w:bidi w:val="0"/>
                    <w:jc w:val="center"/>
                    <w:rPr>
                      <w:rFonts w:hint="eastAsia" w:ascii="Times New Roman" w:hAnsi="Times New Roman" w:cs="Times New Roman"/>
                      <w:sz w:val="21"/>
                      <w:szCs w:val="21"/>
                    </w:rPr>
                  </w:pPr>
                </w:p>
              </w:tc>
              <w:tc>
                <w:tcPr>
                  <w:tcW w:w="706" w:type="pct"/>
                  <w:noWrap w:val="0"/>
                  <w:vAlign w:val="center"/>
                </w:tcPr>
                <w:p>
                  <w:pPr>
                    <w:bidi w:val="0"/>
                    <w:jc w:val="center"/>
                    <w:rPr>
                      <w:rFonts w:hint="eastAsia" w:ascii="Times New Roman" w:hAnsi="Times New Roman" w:cs="Times New Roman"/>
                      <w:sz w:val="21"/>
                      <w:szCs w:val="21"/>
                    </w:rPr>
                  </w:pPr>
                  <w:r>
                    <w:rPr>
                      <w:rFonts w:hint="eastAsia" w:cs="Times New Roman"/>
                      <w:sz w:val="21"/>
                      <w:szCs w:val="21"/>
                      <w:lang w:eastAsia="zh-CN"/>
                    </w:rPr>
                    <w:t>五井石河</w:t>
                  </w:r>
                  <w:r>
                    <w:rPr>
                      <w:rFonts w:hint="eastAsia" w:ascii="Times New Roman" w:hAnsi="Times New Roman" w:cs="Times New Roman"/>
                      <w:sz w:val="21"/>
                      <w:szCs w:val="21"/>
                    </w:rPr>
                    <w:t>下游</w:t>
                  </w:r>
                </w:p>
              </w:tc>
            </w:tr>
          </w:tbl>
          <w:p>
            <w:pPr>
              <w:pStyle w:val="13"/>
              <w:ind w:left="0" w:leftChars="0" w:firstLine="0" w:firstLineChars="0"/>
              <w:rPr>
                <w:rFonts w:hint="eastAsia"/>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753"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其他</w:t>
            </w:r>
          </w:p>
        </w:tc>
        <w:tc>
          <w:tcPr>
            <w:tcW w:w="8495" w:type="dxa"/>
            <w:noWrap w:val="0"/>
            <w:vAlign w:val="top"/>
          </w:tcPr>
          <w:p>
            <w:pPr>
              <w:adjustRightInd w:val="0"/>
              <w:snapToGrid w:val="0"/>
              <w:rPr>
                <w:rFonts w:hint="eastAsia" w:ascii="宋体" w:hAnsi="宋体" w:cs="宋体"/>
                <w:bCs/>
                <w:spacing w:val="10"/>
                <w:szCs w:val="21"/>
              </w:rPr>
            </w:pPr>
            <w:r>
              <w:rPr>
                <w:rFonts w:hint="eastAsia" w:ascii="宋体" w:hAnsi="宋体" w:cs="宋体"/>
                <w:bCs/>
                <w:spacing w:val="10"/>
                <w:szCs w:val="21"/>
              </w:rPr>
              <w:t>1、项目建立生态保护红线</w:t>
            </w:r>
            <w:r>
              <w:rPr>
                <w:rFonts w:hint="eastAsia" w:ascii="宋体" w:hAnsi="宋体" w:cs="宋体"/>
                <w:bCs/>
                <w:spacing w:val="10"/>
                <w:szCs w:val="21"/>
                <w:lang w:eastAsia="zh-CN"/>
              </w:rPr>
              <w:t>范围区（SD-03-B4-10）</w:t>
            </w:r>
            <w:r>
              <w:rPr>
                <w:rFonts w:hint="eastAsia" w:ascii="宋体" w:hAnsi="宋体" w:cs="宋体"/>
                <w:bCs/>
                <w:spacing w:val="10"/>
                <w:szCs w:val="21"/>
              </w:rPr>
              <w:t>常态化日常巡护。</w:t>
            </w:r>
          </w:p>
          <w:p>
            <w:pPr>
              <w:adjustRightInd w:val="0"/>
              <w:snapToGrid w:val="0"/>
              <w:rPr>
                <w:rFonts w:hint="eastAsia" w:ascii="宋体" w:hAnsi="宋体" w:cs="宋体"/>
                <w:bCs/>
                <w:spacing w:val="10"/>
                <w:szCs w:val="21"/>
              </w:rPr>
            </w:pPr>
            <w:r>
              <w:rPr>
                <w:rFonts w:hint="eastAsia" w:ascii="宋体" w:hAnsi="宋体" w:cs="宋体"/>
                <w:bCs/>
                <w:spacing w:val="10"/>
                <w:szCs w:val="21"/>
                <w:lang w:val="en-US" w:eastAsia="zh-CN"/>
              </w:rPr>
              <w:t>2</w:t>
            </w:r>
            <w:r>
              <w:rPr>
                <w:rFonts w:hint="eastAsia" w:ascii="宋体" w:hAnsi="宋体" w:cs="宋体"/>
                <w:bCs/>
                <w:spacing w:val="10"/>
                <w:szCs w:val="21"/>
              </w:rPr>
              <w:t>、排污许可</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 xml:space="preserve">根据《固定污染源排污许可分类管理名录》（2019年版）第二条：国家根据排放污染物的企业事业单位和其他生产经营者（以下简称排污单位）污染物产生量、排放量、对环境的影响程度等因素，实行排污许可重点管理、简化管理和登记管理。 </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对污染物产生量、排放量或者对环境的影响程度较大的排污单位，实行排污许可重点管理</w:t>
            </w:r>
            <w:r>
              <w:rPr>
                <w:rFonts w:hint="eastAsia" w:ascii="宋体" w:hAnsi="宋体" w:cs="宋体"/>
                <w:bCs/>
                <w:spacing w:val="10"/>
                <w:szCs w:val="21"/>
                <w:lang w:eastAsia="zh-CN"/>
              </w:rPr>
              <w:t>：</w:t>
            </w:r>
            <w:r>
              <w:rPr>
                <w:rFonts w:hint="eastAsia" w:ascii="宋体" w:hAnsi="宋体" w:cs="宋体"/>
                <w:bCs/>
                <w:spacing w:val="10"/>
                <w:szCs w:val="21"/>
              </w:rPr>
              <w:t>对污染物产生量、排放量和对环境的影响程度较小的排污单位，实行排污许可简化管理。对污染物产生量、排放量和对环境的影响程度很小的排污单位，实行排污登记管理。</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实行登记管理的排污单位，不需要申请取得排污许可证，应当在全国排污许可证管理信息平台填报排污登记表，登记基本信息、污染物排放去向、执行的污染物排放标准以及采取的污染防治措施等信息。</w:t>
            </w:r>
          </w:p>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本项目属于“河湖治理及防洪设施工程建筑”行业，《固定污染源排污许可分类管理名录》（2019年版）未对该行业作规定，因此无需进行排污许可管理。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环保投资</w:t>
            </w:r>
          </w:p>
        </w:tc>
        <w:tc>
          <w:tcPr>
            <w:tcW w:w="8495" w:type="dxa"/>
            <w:noWrap w:val="0"/>
            <w:vAlign w:val="top"/>
          </w:tcPr>
          <w:p>
            <w:pPr>
              <w:adjustRightInd w:val="0"/>
              <w:snapToGrid w:val="0"/>
              <w:ind w:firstLine="520" w:firstLineChars="200"/>
              <w:rPr>
                <w:rFonts w:hint="eastAsia" w:ascii="宋体" w:hAnsi="宋体" w:cs="宋体"/>
                <w:bCs/>
                <w:spacing w:val="10"/>
                <w:szCs w:val="21"/>
              </w:rPr>
            </w:pPr>
            <w:r>
              <w:rPr>
                <w:rFonts w:hint="eastAsia" w:ascii="宋体" w:hAnsi="宋体" w:cs="宋体"/>
                <w:bCs/>
                <w:spacing w:val="10"/>
                <w:szCs w:val="21"/>
              </w:rPr>
              <w:t>本项目的环保投资主要用于保护生态、防治扬尘、防治噪声、绿化和环境监测等。</w:t>
            </w:r>
            <w:r>
              <w:rPr>
                <w:rFonts w:hint="eastAsia" w:ascii="宋体" w:hAnsi="宋体" w:cs="宋体"/>
                <w:bCs/>
                <w:color w:val="auto"/>
                <w:spacing w:val="10"/>
                <w:szCs w:val="21"/>
              </w:rPr>
              <w:t>项目总投资48</w:t>
            </w:r>
            <w:r>
              <w:rPr>
                <w:rFonts w:hint="eastAsia" w:ascii="宋体" w:hAnsi="宋体" w:cs="宋体"/>
                <w:bCs/>
                <w:color w:val="auto"/>
                <w:spacing w:val="10"/>
                <w:szCs w:val="21"/>
                <w:lang w:val="en-US" w:eastAsia="zh-CN"/>
              </w:rPr>
              <w:t>00</w:t>
            </w:r>
            <w:r>
              <w:rPr>
                <w:rFonts w:hint="eastAsia" w:ascii="宋体" w:hAnsi="宋体" w:cs="宋体"/>
                <w:bCs/>
                <w:color w:val="auto"/>
                <w:spacing w:val="10"/>
                <w:szCs w:val="21"/>
              </w:rPr>
              <w:t>万元，环保投资约为2</w:t>
            </w:r>
            <w:r>
              <w:rPr>
                <w:rFonts w:hint="eastAsia" w:ascii="宋体" w:hAnsi="宋体" w:cs="宋体"/>
                <w:bCs/>
                <w:color w:val="auto"/>
                <w:spacing w:val="10"/>
                <w:szCs w:val="21"/>
                <w:lang w:val="en-US" w:eastAsia="zh-CN"/>
              </w:rPr>
              <w:t>42</w:t>
            </w:r>
            <w:r>
              <w:rPr>
                <w:rFonts w:hint="eastAsia" w:ascii="宋体" w:hAnsi="宋体" w:cs="宋体"/>
                <w:bCs/>
                <w:color w:val="auto"/>
                <w:spacing w:val="10"/>
                <w:szCs w:val="21"/>
              </w:rPr>
              <w:t>万元，占工程总投资的</w:t>
            </w:r>
            <w:r>
              <w:rPr>
                <w:rFonts w:hint="eastAsia" w:ascii="宋体" w:hAnsi="宋体" w:cs="宋体"/>
                <w:bCs/>
                <w:color w:val="auto"/>
                <w:spacing w:val="10"/>
                <w:szCs w:val="21"/>
                <w:lang w:val="en-US" w:eastAsia="zh-CN"/>
              </w:rPr>
              <w:t>5.04</w:t>
            </w:r>
            <w:r>
              <w:rPr>
                <w:rFonts w:hint="eastAsia" w:ascii="宋体" w:hAnsi="宋体" w:cs="宋体"/>
                <w:bCs/>
                <w:color w:val="auto"/>
                <w:spacing w:val="10"/>
                <w:szCs w:val="21"/>
              </w:rPr>
              <w:t>%。各项环保投资情况详见下表</w:t>
            </w:r>
            <w:r>
              <w:rPr>
                <w:rFonts w:hint="eastAsia" w:ascii="宋体" w:hAnsi="宋体" w:cs="宋体"/>
                <w:bCs/>
                <w:spacing w:val="10"/>
                <w:szCs w:val="21"/>
              </w:rPr>
              <w:t>。</w:t>
            </w:r>
          </w:p>
          <w:p>
            <w:pPr>
              <w:pStyle w:val="5"/>
              <w:widowControl/>
              <w:spacing w:before="0" w:after="0" w:line="240" w:lineRule="auto"/>
              <w:ind w:right="0" w:firstLine="422" w:firstLineChars="20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表5-</w:t>
            </w:r>
            <w:r>
              <w:rPr>
                <w:rFonts w:hint="eastAsia" w:cs="Times New Roman"/>
                <w:b/>
                <w:bCs/>
                <w:sz w:val="21"/>
                <w:szCs w:val="21"/>
                <w:lang w:val="en-US" w:eastAsia="zh-CN"/>
              </w:rPr>
              <w:t>6</w:t>
            </w:r>
            <w:r>
              <w:rPr>
                <w:rFonts w:hint="eastAsia" w:ascii="Times New Roman" w:hAnsi="Times New Roman" w:eastAsia="宋体" w:cs="Times New Roman"/>
                <w:b/>
                <w:bCs/>
                <w:sz w:val="21"/>
                <w:szCs w:val="21"/>
                <w:lang w:eastAsia="zh-CN"/>
              </w:rPr>
              <w:t xml:space="preserve">   项目环保投资一览表</w:t>
            </w:r>
          </w:p>
          <w:tbl>
            <w:tblPr>
              <w:tblStyle w:val="15"/>
              <w:tblW w:w="8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870"/>
              <w:gridCol w:w="4875"/>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时段</w:t>
                  </w:r>
                </w:p>
              </w:tc>
              <w:tc>
                <w:tcPr>
                  <w:tcW w:w="1870"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类别</w:t>
                  </w:r>
                </w:p>
              </w:tc>
              <w:tc>
                <w:tcPr>
                  <w:tcW w:w="4875"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环保措施</w:t>
                  </w:r>
                </w:p>
              </w:tc>
              <w:tc>
                <w:tcPr>
                  <w:tcW w:w="845"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环保投资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restart"/>
                  <w:textDirection w:val="tbRlV"/>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施 工 期</w:t>
                  </w:r>
                </w:p>
              </w:tc>
              <w:tc>
                <w:tcPr>
                  <w:tcW w:w="1870"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施工噪声防治</w:t>
                  </w:r>
                </w:p>
              </w:tc>
              <w:tc>
                <w:tcPr>
                  <w:tcW w:w="4875"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使用噪声较小的施工机械；避免夜间施工；高噪声施工机械远离当地居民施工，且经常维护设备，保持设备的润滑性。</w:t>
                  </w:r>
                </w:p>
              </w:tc>
              <w:tc>
                <w:tcPr>
                  <w:tcW w:w="845" w:type="dxa"/>
                  <w:vAlign w:val="center"/>
                </w:tcPr>
                <w:p>
                  <w:pPr>
                    <w:bidi w:val="0"/>
                    <w:jc w:val="center"/>
                    <w:rPr>
                      <w:rFonts w:hint="eastAsia" w:ascii="Times New Roman" w:hAnsi="Times New Roman" w:cs="Times New Roman"/>
                      <w:sz w:val="21"/>
                      <w:szCs w:val="21"/>
                    </w:rPr>
                  </w:pPr>
                </w:p>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extDirection w:val="tbRlV"/>
                  <w:vAlign w:val="center"/>
                </w:tcPr>
                <w:p>
                  <w:pPr>
                    <w:bidi w:val="0"/>
                    <w:jc w:val="center"/>
                    <w:rPr>
                      <w:rFonts w:hint="eastAsia" w:ascii="Times New Roman" w:hAnsi="Times New Roman" w:cs="Times New Roman"/>
                      <w:sz w:val="21"/>
                      <w:szCs w:val="21"/>
                    </w:rPr>
                  </w:pPr>
                </w:p>
              </w:tc>
              <w:tc>
                <w:tcPr>
                  <w:tcW w:w="1870"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大气污染防治</w:t>
                  </w:r>
                </w:p>
              </w:tc>
              <w:tc>
                <w:tcPr>
                  <w:tcW w:w="4875"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设置围挡，土堆、散料采取遮盖或者洒水；及时清运建筑垃圾、不带</w:t>
                  </w:r>
                  <w:r>
                    <w:rPr>
                      <w:rFonts w:hint="eastAsia" w:ascii="Times New Roman" w:hAnsi="Times New Roman" w:cs="Times New Roman"/>
                      <w:sz w:val="21"/>
                      <w:szCs w:val="21"/>
                      <w:lang w:eastAsia="zh-CN"/>
                    </w:rPr>
                    <w:t>黏土</w:t>
                  </w:r>
                  <w:r>
                    <w:rPr>
                      <w:rFonts w:hint="eastAsia" w:ascii="Times New Roman" w:hAnsi="Times New Roman" w:cs="Times New Roman"/>
                      <w:sz w:val="21"/>
                      <w:szCs w:val="21"/>
                    </w:rPr>
                    <w:t>驶出、不凌空抛洒；施工临时道路尽量硬化；使用预搅拌混凝土；施工物料分区布置、码放整齐。</w:t>
                  </w:r>
                </w:p>
              </w:tc>
              <w:tc>
                <w:tcPr>
                  <w:tcW w:w="845" w:type="dxa"/>
                  <w:vAlign w:val="center"/>
                </w:tcPr>
                <w:p>
                  <w:pPr>
                    <w:bidi w:val="0"/>
                    <w:jc w:val="center"/>
                    <w:rPr>
                      <w:rFonts w:hint="eastAsia" w:ascii="Times New Roman" w:hAnsi="Times New Roman" w:cs="Times New Roman"/>
                      <w:sz w:val="21"/>
                      <w:szCs w:val="21"/>
                    </w:rPr>
                  </w:pPr>
                </w:p>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extDirection w:val="tbRlV"/>
                  <w:vAlign w:val="center"/>
                </w:tcPr>
                <w:p>
                  <w:pPr>
                    <w:bidi w:val="0"/>
                    <w:jc w:val="center"/>
                    <w:rPr>
                      <w:rFonts w:hint="eastAsia" w:ascii="Times New Roman" w:hAnsi="Times New Roman" w:cs="Times New Roman"/>
                      <w:sz w:val="21"/>
                      <w:szCs w:val="21"/>
                    </w:rPr>
                  </w:pPr>
                </w:p>
              </w:tc>
              <w:tc>
                <w:tcPr>
                  <w:tcW w:w="1870"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水环境保护</w:t>
                  </w:r>
                </w:p>
              </w:tc>
              <w:tc>
                <w:tcPr>
                  <w:tcW w:w="4875"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①生活废水经临时化粪池处理后由环卫部门定期清运；</w:t>
                  </w:r>
                </w:p>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②项目施工营地、化粪池进行防渗，防止施工生活污水污染地下水。</w:t>
                  </w:r>
                </w:p>
              </w:tc>
              <w:tc>
                <w:tcPr>
                  <w:tcW w:w="845" w:type="dxa"/>
                  <w:vAlign w:val="center"/>
                </w:tcPr>
                <w:p>
                  <w:pPr>
                    <w:bidi w:val="0"/>
                    <w:jc w:val="center"/>
                    <w:rPr>
                      <w:rFonts w:hint="eastAsia" w:ascii="Times New Roman" w:hAnsi="Times New Roman" w:cs="Times New Roman"/>
                      <w:sz w:val="21"/>
                      <w:szCs w:val="21"/>
                    </w:rPr>
                  </w:pPr>
                </w:p>
                <w:p>
                  <w:pPr>
                    <w:bidi w:val="0"/>
                    <w:jc w:val="center"/>
                    <w:rPr>
                      <w:rFonts w:hint="eastAsia" w:ascii="Times New Roman" w:hAnsi="Times New Roman" w:cs="Times New Roman"/>
                      <w:sz w:val="21"/>
                      <w:szCs w:val="21"/>
                    </w:rPr>
                  </w:pPr>
                </w:p>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extDirection w:val="tbRlV"/>
                  <w:vAlign w:val="center"/>
                </w:tcPr>
                <w:p>
                  <w:pPr>
                    <w:bidi w:val="0"/>
                    <w:jc w:val="center"/>
                    <w:rPr>
                      <w:rFonts w:hint="eastAsia" w:ascii="Times New Roman" w:hAnsi="Times New Roman" w:cs="Times New Roman"/>
                      <w:sz w:val="21"/>
                      <w:szCs w:val="21"/>
                    </w:rPr>
                  </w:pPr>
                </w:p>
              </w:tc>
              <w:tc>
                <w:tcPr>
                  <w:tcW w:w="1870"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固体废物污染防治</w:t>
                  </w:r>
                </w:p>
              </w:tc>
              <w:tc>
                <w:tcPr>
                  <w:tcW w:w="4875"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弃土、建筑垃圾产生量较少，统一收集后由环卫部门统一处理生活垃圾由环卫部门清运。</w:t>
                  </w:r>
                </w:p>
              </w:tc>
              <w:tc>
                <w:tcPr>
                  <w:tcW w:w="845" w:type="dxa"/>
                  <w:vAlign w:val="center"/>
                </w:tcPr>
                <w:p>
                  <w:pPr>
                    <w:bidi w:val="0"/>
                    <w:jc w:val="center"/>
                    <w:rPr>
                      <w:rFonts w:hint="eastAsia" w:ascii="Times New Roman" w:hAnsi="Times New Roman" w:cs="Times New Roman"/>
                      <w:sz w:val="21"/>
                      <w:szCs w:val="21"/>
                    </w:rPr>
                  </w:pPr>
                </w:p>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extDirection w:val="tbRlV"/>
                  <w:vAlign w:val="center"/>
                </w:tcPr>
                <w:p>
                  <w:pPr>
                    <w:bidi w:val="0"/>
                    <w:jc w:val="center"/>
                    <w:rPr>
                      <w:rFonts w:hint="eastAsia" w:ascii="Times New Roman" w:hAnsi="Times New Roman" w:cs="Times New Roman"/>
                      <w:sz w:val="21"/>
                      <w:szCs w:val="21"/>
                    </w:rPr>
                  </w:pPr>
                </w:p>
              </w:tc>
              <w:tc>
                <w:tcPr>
                  <w:tcW w:w="1870" w:type="dxa"/>
                  <w:vAlign w:val="center"/>
                </w:tcPr>
                <w:p>
                  <w:pPr>
                    <w:bidi w:val="0"/>
                    <w:jc w:val="center"/>
                    <w:rPr>
                      <w:rFonts w:hint="eastAsia" w:ascii="Times New Roman" w:hAnsi="Times New Roman" w:cs="Times New Roman"/>
                      <w:sz w:val="21"/>
                      <w:szCs w:val="21"/>
                    </w:rPr>
                  </w:pPr>
                </w:p>
                <w:p>
                  <w:pPr>
                    <w:bidi w:val="0"/>
                    <w:jc w:val="center"/>
                    <w:rPr>
                      <w:rFonts w:hint="eastAsia" w:ascii="Times New Roman" w:hAnsi="Times New Roman" w:cs="Times New Roman"/>
                      <w:sz w:val="21"/>
                      <w:szCs w:val="21"/>
                    </w:rPr>
                  </w:pPr>
                </w:p>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生态环境保护</w:t>
                  </w:r>
                </w:p>
              </w:tc>
              <w:tc>
                <w:tcPr>
                  <w:tcW w:w="4875"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合理进行施工布置，精心组织施工管理，严格将工程施工区及施工影响控制在最小的范围内。在施工过程中执行“分层开挖原则”，施工后进行了地貌、植被恢复，以及植被护 土，减轻了水土流失。对土壤、植被的恢复，遵循破坏多少，恢复多少的原则，同时尽量增加了绿化面积，提高了项目区绿化率。做好现场施工人员的宣传、教育、管理工作，严禁随意砍伐破坏施工区内外的植被</w:t>
                  </w:r>
                  <w:r>
                    <w:rPr>
                      <w:rFonts w:hint="eastAsia" w:ascii="Times New Roman" w:hAnsi="Times New Roman" w:cs="Times New Roman"/>
                      <w:sz w:val="21"/>
                      <w:szCs w:val="21"/>
                      <w:lang w:eastAsia="zh-CN"/>
                    </w:rPr>
                    <w:t>，建立生态保护红线常态化日常巡护</w:t>
                  </w:r>
                  <w:r>
                    <w:rPr>
                      <w:rFonts w:hint="eastAsia" w:ascii="Times New Roman" w:hAnsi="Times New Roman" w:cs="Times New Roman"/>
                      <w:sz w:val="21"/>
                      <w:szCs w:val="21"/>
                    </w:rPr>
                    <w:t>。为防止水土流失采取毛石护坡、挡土坎、加固等水土保持工程。在施工过程中，</w:t>
                  </w:r>
                  <w:r>
                    <w:rPr>
                      <w:rFonts w:hint="eastAsia" w:ascii="Times New Roman" w:hAnsi="Times New Roman" w:cs="Times New Roman"/>
                      <w:sz w:val="21"/>
                      <w:szCs w:val="21"/>
                      <w:lang w:eastAsia="zh-CN"/>
                    </w:rPr>
                    <w:t>尽量减少</w:t>
                  </w:r>
                  <w:r>
                    <w:rPr>
                      <w:rFonts w:hint="eastAsia" w:ascii="Times New Roman" w:hAnsi="Times New Roman" w:cs="Times New Roman"/>
                      <w:sz w:val="21"/>
                      <w:szCs w:val="21"/>
                    </w:rPr>
                    <w:t>开挖量，回填按原有的土层顺序进行，减轻对植被恢复的影响。</w:t>
                  </w:r>
                </w:p>
              </w:tc>
              <w:tc>
                <w:tcPr>
                  <w:tcW w:w="845" w:type="dxa"/>
                  <w:vAlign w:val="center"/>
                </w:tcPr>
                <w:p>
                  <w:pPr>
                    <w:bidi w:val="0"/>
                    <w:jc w:val="center"/>
                    <w:rPr>
                      <w:rFonts w:hint="eastAsia" w:ascii="Times New Roman" w:hAnsi="Times New Roman" w:cs="Times New Roman"/>
                      <w:sz w:val="21"/>
                      <w:szCs w:val="21"/>
                    </w:rPr>
                  </w:pPr>
                </w:p>
                <w:p>
                  <w:pPr>
                    <w:bidi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extDirection w:val="tbRlV"/>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营 运 期</w:t>
                  </w:r>
                </w:p>
              </w:tc>
              <w:tc>
                <w:tcPr>
                  <w:tcW w:w="1870"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噪声与空气污染防治</w:t>
                  </w:r>
                </w:p>
              </w:tc>
              <w:tc>
                <w:tcPr>
                  <w:tcW w:w="4875"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采取加强管理、建设绿化带等手段，确保不造成噪声扰民；建设单位应积极配合当地政府或规划部门合理规划沿线土地的使用；</w:t>
                  </w:r>
                </w:p>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加强交通管理，设置禁止鸣笛标志、敏感点限速标志，有效控制交通噪声；</w:t>
                  </w:r>
                </w:p>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经常维护</w:t>
                  </w:r>
                  <w:r>
                    <w:rPr>
                      <w:rFonts w:hint="eastAsia" w:ascii="Times New Roman" w:hAnsi="Times New Roman" w:cs="Times New Roman"/>
                      <w:sz w:val="21"/>
                      <w:szCs w:val="21"/>
                      <w:lang w:eastAsia="zh-CN"/>
                    </w:rPr>
                    <w:t>道路</w:t>
                  </w:r>
                  <w:r>
                    <w:rPr>
                      <w:rFonts w:hint="eastAsia" w:ascii="Times New Roman" w:hAnsi="Times New Roman" w:cs="Times New Roman"/>
                      <w:sz w:val="21"/>
                      <w:szCs w:val="21"/>
                    </w:rPr>
                    <w:t>路面的平整度；</w:t>
                  </w:r>
                </w:p>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加强道路两侧绿化。</w:t>
                  </w:r>
                </w:p>
              </w:tc>
              <w:tc>
                <w:tcPr>
                  <w:tcW w:w="845" w:type="dxa"/>
                  <w:vAlign w:val="center"/>
                </w:tcPr>
                <w:p>
                  <w:pPr>
                    <w:bidi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restart"/>
                  <w:vAlign w:val="center"/>
                </w:tcPr>
                <w:p>
                  <w:pPr>
                    <w:bidi w:val="0"/>
                    <w:jc w:val="center"/>
                    <w:rPr>
                      <w:rFonts w:hint="eastAsia" w:ascii="Times New Roman" w:hAnsi="Times New Roman" w:cs="Times New Roman"/>
                      <w:sz w:val="21"/>
                      <w:szCs w:val="21"/>
                    </w:rPr>
                  </w:pPr>
                </w:p>
              </w:tc>
              <w:tc>
                <w:tcPr>
                  <w:tcW w:w="1870"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固体废物污染防治</w:t>
                  </w:r>
                </w:p>
              </w:tc>
              <w:tc>
                <w:tcPr>
                  <w:tcW w:w="4875"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针对沿线司乘人员随意丢弃的垃圾，加强垃圾的清理和收集，并送往附近城镇</w:t>
                  </w:r>
                  <w:r>
                    <w:rPr>
                      <w:rFonts w:hint="eastAsia" w:ascii="Times New Roman" w:hAnsi="Times New Roman" w:cs="Times New Roman"/>
                      <w:sz w:val="21"/>
                      <w:szCs w:val="21"/>
                      <w:lang w:eastAsia="zh-CN"/>
                    </w:rPr>
                    <w:t>垃圾处理厂</w:t>
                  </w:r>
                  <w:r>
                    <w:rPr>
                      <w:rFonts w:hint="eastAsia" w:ascii="Times New Roman" w:hAnsi="Times New Roman" w:cs="Times New Roman"/>
                      <w:sz w:val="21"/>
                      <w:szCs w:val="21"/>
                    </w:rPr>
                    <w:t>处理。</w:t>
                  </w:r>
                </w:p>
              </w:tc>
              <w:tc>
                <w:tcPr>
                  <w:tcW w:w="845" w:type="dxa"/>
                  <w:vAlign w:val="center"/>
                </w:tcPr>
                <w:p>
                  <w:pPr>
                    <w:bidi w:val="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center"/>
                </w:tcPr>
                <w:p>
                  <w:pPr>
                    <w:bidi w:val="0"/>
                    <w:jc w:val="center"/>
                    <w:rPr>
                      <w:rFonts w:hint="eastAsia" w:ascii="Times New Roman" w:hAnsi="Times New Roman" w:cs="Times New Roman"/>
                      <w:sz w:val="21"/>
                      <w:szCs w:val="21"/>
                    </w:rPr>
                  </w:pPr>
                </w:p>
              </w:tc>
              <w:tc>
                <w:tcPr>
                  <w:tcW w:w="1870"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生态环境保护</w:t>
                  </w:r>
                </w:p>
              </w:tc>
              <w:tc>
                <w:tcPr>
                  <w:tcW w:w="4875"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检查水保措施的有效性，对已损坏的水保设施进行补救；做好道路绿化的养护工作。</w:t>
                  </w:r>
                </w:p>
              </w:tc>
              <w:tc>
                <w:tcPr>
                  <w:tcW w:w="845" w:type="dxa"/>
                  <w:vAlign w:val="center"/>
                </w:tcPr>
                <w:p>
                  <w:pPr>
                    <w:bidi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pPr>
                    <w:bidi w:val="0"/>
                    <w:jc w:val="center"/>
                    <w:rPr>
                      <w:rFonts w:hint="eastAsia" w:ascii="Times New Roman" w:hAnsi="Times New Roman" w:cs="Times New Roman"/>
                      <w:sz w:val="21"/>
                      <w:szCs w:val="21"/>
                    </w:rPr>
                  </w:pPr>
                  <w:r>
                    <w:rPr>
                      <w:rFonts w:hint="eastAsia" w:ascii="Times New Roman" w:hAnsi="Times New Roman" w:cs="Times New Roman"/>
                      <w:sz w:val="21"/>
                      <w:szCs w:val="21"/>
                    </w:rPr>
                    <w:t>合计</w:t>
                  </w:r>
                </w:p>
              </w:tc>
              <w:tc>
                <w:tcPr>
                  <w:tcW w:w="6745" w:type="dxa"/>
                  <w:gridSpan w:val="2"/>
                  <w:vAlign w:val="center"/>
                </w:tcPr>
                <w:p>
                  <w:pPr>
                    <w:bidi w:val="0"/>
                    <w:jc w:val="center"/>
                    <w:rPr>
                      <w:rFonts w:hint="eastAsia" w:ascii="Times New Roman" w:hAnsi="Times New Roman" w:cs="Times New Roman"/>
                      <w:sz w:val="21"/>
                      <w:szCs w:val="21"/>
                    </w:rPr>
                  </w:pPr>
                </w:p>
              </w:tc>
              <w:tc>
                <w:tcPr>
                  <w:tcW w:w="845"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r>
                    <w:rPr>
                      <w:rFonts w:hint="eastAsia" w:cs="Times New Roman"/>
                      <w:sz w:val="21"/>
                      <w:szCs w:val="21"/>
                      <w:lang w:val="en-US" w:eastAsia="zh-CN"/>
                    </w:rPr>
                    <w:t>42</w:t>
                  </w:r>
                </w:p>
              </w:tc>
            </w:tr>
          </w:tbl>
          <w:p>
            <w:pPr>
              <w:adjustRightInd w:val="0"/>
              <w:snapToGrid w:val="0"/>
              <w:rPr>
                <w:rFonts w:hint="eastAsia"/>
                <w:spacing w:val="-1"/>
                <w14:textOutline w14:w="4354" w14:cap="flat" w14:cmpd="sng">
                  <w14:solidFill>
                    <w14:srgbClr w14:val="000000"/>
                  </w14:solidFill>
                  <w14:prstDash w14:val="solid"/>
                  <w14:miter w14:val="0"/>
                </w14:textOutline>
              </w:rPr>
            </w:pPr>
          </w:p>
        </w:tc>
      </w:tr>
    </w:tbl>
    <w:p>
      <w:pPr>
        <w:snapToGrid/>
        <w:spacing w:beforeAutospacing="0" w:afterAutospacing="0" w:line="360" w:lineRule="auto"/>
        <w:ind w:left="0" w:leftChars="0" w:right="0" w:rightChars="0" w:firstLine="560" w:firstLineChars="200"/>
        <w:jc w:val="left"/>
        <w:rPr>
          <w:rFonts w:ascii="Times New Roman" w:eastAsia="宋体"/>
          <w:sz w:val="28"/>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pPr>
        <w:pStyle w:val="11"/>
        <w:snapToGrid/>
        <w:spacing w:before="312" w:beforeLines="100" w:beforeAutospacing="0" w:after="156" w:afterLines="50" w:afterAutospacing="0" w:line="360" w:lineRule="auto"/>
        <w:ind w:left="0" w:leftChars="0" w:right="0" w:rightChars="0" w:firstLine="0" w:firstLineChars="0"/>
        <w:jc w:val="left"/>
        <w:outlineLvl w:val="0"/>
        <w:rPr>
          <w:rFonts w:ascii="Times New Roman" w:hAnsi="黑体" w:eastAsia="宋体"/>
          <w:b/>
          <w:snapToGrid w:val="0"/>
          <w:sz w:val="32"/>
          <w:szCs w:val="30"/>
        </w:rPr>
      </w:pPr>
      <w:r>
        <w:rPr>
          <w:rFonts w:hint="eastAsia" w:ascii="Times New Roman" w:hAnsi="黑体" w:eastAsia="宋体"/>
          <w:b/>
          <w:snapToGrid w:val="0"/>
          <w:sz w:val="32"/>
          <w:szCs w:val="30"/>
        </w:rPr>
        <w:t>六、生态环境保护措施监督检查清单</w:t>
      </w:r>
    </w:p>
    <w:tbl>
      <w:tblPr>
        <w:tblStyle w:val="36"/>
        <w:tblW w:w="964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3"/>
        <w:gridCol w:w="2879"/>
        <w:gridCol w:w="2100"/>
        <w:gridCol w:w="2166"/>
        <w:gridCol w:w="11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jc w:val="center"/>
        </w:trPr>
        <w:tc>
          <w:tcPr>
            <w:tcW w:w="1393" w:type="dxa"/>
            <w:vMerge w:val="restart"/>
            <w:tcBorders>
              <w:top w:val="single" w:color="000000" w:sz="6" w:space="0"/>
              <w:left w:val="single" w:color="000000" w:sz="6" w:space="0"/>
              <w:bottom w:val="nil"/>
              <w:tl2br w:val="single" w:color="000000" w:sz="2" w:space="0"/>
            </w:tcBorders>
            <w:vAlign w:val="center"/>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内容</w:t>
            </w:r>
          </w:p>
          <w:p>
            <w:pPr>
              <w:bidi w:val="0"/>
              <w:ind w:firstLine="210" w:firstLineChars="1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要素</w:t>
            </w:r>
          </w:p>
        </w:tc>
        <w:tc>
          <w:tcPr>
            <w:tcW w:w="4979" w:type="dxa"/>
            <w:gridSpan w:val="2"/>
            <w:tcBorders>
              <w:top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施工期</w:t>
            </w:r>
          </w:p>
        </w:tc>
        <w:tc>
          <w:tcPr>
            <w:tcW w:w="3272" w:type="dxa"/>
            <w:gridSpan w:val="2"/>
            <w:tcBorders>
              <w:top w:val="single" w:color="000000" w:sz="6" w:space="0"/>
              <w:right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jc w:val="center"/>
        </w:trPr>
        <w:tc>
          <w:tcPr>
            <w:tcW w:w="1393" w:type="dxa"/>
            <w:vMerge w:val="continue"/>
            <w:tcBorders>
              <w:top w:val="nil"/>
              <w:left w:val="single" w:color="000000" w:sz="6" w:space="0"/>
              <w:tl2br w:val="single" w:color="000000" w:sz="2" w:space="0"/>
            </w:tcBorders>
            <w:vAlign w:val="center"/>
          </w:tcPr>
          <w:p>
            <w:pPr>
              <w:bidi w:val="0"/>
              <w:jc w:val="center"/>
              <w:rPr>
                <w:rFonts w:hint="eastAsia" w:asciiTheme="minorEastAsia" w:hAnsiTheme="minorEastAsia" w:eastAsiaTheme="minorEastAsia" w:cstheme="minorEastAsia"/>
                <w:sz w:val="21"/>
                <w:szCs w:val="21"/>
              </w:rPr>
            </w:pPr>
          </w:p>
        </w:tc>
        <w:tc>
          <w:tcPr>
            <w:tcW w:w="2879"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环境保护措施</w:t>
            </w:r>
          </w:p>
        </w:tc>
        <w:tc>
          <w:tcPr>
            <w:tcW w:w="2100"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验收要求</w:t>
            </w:r>
          </w:p>
        </w:tc>
        <w:tc>
          <w:tcPr>
            <w:tcW w:w="2166"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环境保护措施</w:t>
            </w:r>
          </w:p>
        </w:tc>
        <w:tc>
          <w:tcPr>
            <w:tcW w:w="1106" w:type="dxa"/>
            <w:tcBorders>
              <w:right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6" w:hRule="atLeast"/>
          <w:jc w:val="center"/>
        </w:trPr>
        <w:tc>
          <w:tcPr>
            <w:tcW w:w="1393" w:type="dxa"/>
            <w:tcBorders>
              <w:left w:val="single" w:color="000000" w:sz="6" w:space="0"/>
            </w:tcBorders>
            <w:vAlign w:val="center"/>
          </w:tcPr>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陆生生态</w:t>
            </w:r>
          </w:p>
        </w:tc>
        <w:tc>
          <w:tcPr>
            <w:tcW w:w="2879" w:type="dxa"/>
            <w:vAlign w:val="top"/>
          </w:tcPr>
          <w:p>
            <w:pPr>
              <w:bidi w:val="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严格按设计占地面积、样式要求开挖；尽量减少占地；做好堆土拦挡、弃土回填利用</w:t>
            </w:r>
            <w:r>
              <w:rPr>
                <w:rFonts w:hint="eastAsia" w:asciiTheme="minorEastAsia" w:hAnsiTheme="minorEastAsia" w:eastAsiaTheme="minorEastAsia" w:cstheme="minorEastAsia"/>
                <w:sz w:val="21"/>
                <w:szCs w:val="21"/>
                <w:lang w:eastAsia="zh-CN"/>
              </w:rPr>
              <w:t>；建立生态保护红线常态化日常巡护</w:t>
            </w:r>
          </w:p>
        </w:tc>
        <w:tc>
          <w:tcPr>
            <w:tcW w:w="2100"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1、合理规划施工布局；2、选择本土植被用于周边植被恢复，绿化恢复率100%</w:t>
            </w:r>
          </w:p>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3、控制施工作业范围；4、施工文明教育落实；5、施工监理落实；</w:t>
            </w:r>
          </w:p>
        </w:tc>
        <w:tc>
          <w:tcPr>
            <w:tcW w:w="2166"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建立生态保护红线常态化日常巡护</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植被恢复</w:t>
            </w:r>
          </w:p>
        </w:tc>
        <w:tc>
          <w:tcPr>
            <w:tcW w:w="1106" w:type="dxa"/>
            <w:tcBorders>
              <w:right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植被恢复效果达到要求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393" w:type="dxa"/>
            <w:tcBorders>
              <w:left w:val="single" w:color="000000" w:sz="6" w:space="0"/>
            </w:tcBorders>
            <w:vAlign w:val="center"/>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水生生态</w:t>
            </w:r>
          </w:p>
        </w:tc>
        <w:tc>
          <w:tcPr>
            <w:tcW w:w="2879"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2100"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2166"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106" w:type="dxa"/>
            <w:tcBorders>
              <w:right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jc w:val="center"/>
        </w:trPr>
        <w:tc>
          <w:tcPr>
            <w:tcW w:w="1393" w:type="dxa"/>
            <w:tcBorders>
              <w:left w:val="single" w:color="000000" w:sz="6" w:space="0"/>
            </w:tcBorders>
            <w:vAlign w:val="center"/>
          </w:tcPr>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地表水环境</w:t>
            </w:r>
          </w:p>
        </w:tc>
        <w:tc>
          <w:tcPr>
            <w:tcW w:w="2879"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施工废水由沉淀池处理后回用；施工期生活污水经依托租用民居的化粪池处理，由当地环卫部门清运处置</w:t>
            </w:r>
          </w:p>
        </w:tc>
        <w:tc>
          <w:tcPr>
            <w:tcW w:w="2100" w:type="dxa"/>
            <w:vAlign w:val="top"/>
          </w:tcPr>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废水不外排</w:t>
            </w:r>
          </w:p>
        </w:tc>
        <w:tc>
          <w:tcPr>
            <w:tcW w:w="2166" w:type="dxa"/>
            <w:vAlign w:val="top"/>
          </w:tcPr>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无废水产生</w:t>
            </w:r>
          </w:p>
        </w:tc>
        <w:tc>
          <w:tcPr>
            <w:tcW w:w="1106" w:type="dxa"/>
            <w:tcBorders>
              <w:right w:val="single" w:color="000000" w:sz="6" w:space="0"/>
            </w:tcBorders>
            <w:vAlign w:val="top"/>
          </w:tcPr>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无废水产生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393" w:type="dxa"/>
            <w:tcBorders>
              <w:left w:val="single" w:color="000000" w:sz="6" w:space="0"/>
            </w:tcBorders>
            <w:vAlign w:val="center"/>
          </w:tcPr>
          <w:p>
            <w:pPr>
              <w:bidi w:val="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地下水及土壤环境</w:t>
            </w:r>
          </w:p>
        </w:tc>
        <w:tc>
          <w:tcPr>
            <w:tcW w:w="2879" w:type="dxa"/>
            <w:vAlign w:val="top"/>
          </w:tcPr>
          <w:p>
            <w:pPr>
              <w:bidi w:val="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在施工期间，本项目将采取严格的防渗漏措施，并密切关注集中供水井取水口的水质状况。</w:t>
            </w:r>
          </w:p>
        </w:tc>
        <w:tc>
          <w:tcPr>
            <w:tcW w:w="2100" w:type="dxa"/>
            <w:vAlign w:val="top"/>
          </w:tcPr>
          <w:p>
            <w:pPr>
              <w:bidi w:val="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集中供水井实施水质监测，以确保璞邱三村的农村分散饮用水水源地不受任何不利影响。</w:t>
            </w:r>
          </w:p>
        </w:tc>
        <w:tc>
          <w:tcPr>
            <w:tcW w:w="2166" w:type="dxa"/>
            <w:vAlign w:val="top"/>
          </w:tcPr>
          <w:p>
            <w:pPr>
              <w:bidi w:val="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w:t>
            </w:r>
          </w:p>
        </w:tc>
        <w:tc>
          <w:tcPr>
            <w:tcW w:w="1106" w:type="dxa"/>
            <w:tcBorders>
              <w:right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2" w:hRule="atLeast"/>
          <w:jc w:val="center"/>
        </w:trPr>
        <w:tc>
          <w:tcPr>
            <w:tcW w:w="1393" w:type="dxa"/>
            <w:tcBorders>
              <w:left w:val="single" w:color="000000" w:sz="6" w:space="0"/>
            </w:tcBorders>
            <w:vAlign w:val="center"/>
          </w:tcPr>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声环境</w:t>
            </w:r>
          </w:p>
        </w:tc>
        <w:tc>
          <w:tcPr>
            <w:tcW w:w="2879" w:type="dxa"/>
            <w:vAlign w:val="top"/>
          </w:tcPr>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合理安排施工时间，高噪声施工时间尽量安排在昼间；优先选 用低噪声施工工艺和施工机械</w:t>
            </w:r>
          </w:p>
        </w:tc>
        <w:tc>
          <w:tcPr>
            <w:tcW w:w="2100" w:type="dxa"/>
            <w:vAlign w:val="top"/>
          </w:tcPr>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满足《建筑施工场界环境噪声排放标准》（GB12523-2011）标准</w:t>
            </w:r>
          </w:p>
        </w:tc>
        <w:tc>
          <w:tcPr>
            <w:tcW w:w="2166"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采取加强管理、建设绿化带等手段，确保不造成噪声扰民；建设单位应积极配合当地政府或规划部门合理规划沿线土地的使用；加强交通管理，设置禁止鸣笛标志、敏感点限速标志，有效控制交通噪声；经常维护</w:t>
            </w:r>
            <w:r>
              <w:rPr>
                <w:rFonts w:hint="eastAsia" w:asciiTheme="minorEastAsia" w:hAnsiTheme="minorEastAsia" w:eastAsiaTheme="minorEastAsia" w:cstheme="minorEastAsia"/>
                <w:sz w:val="21"/>
                <w:szCs w:val="21"/>
                <w:lang w:eastAsia="zh-CN"/>
              </w:rPr>
              <w:t>道路</w:t>
            </w:r>
            <w:r>
              <w:rPr>
                <w:rFonts w:hint="eastAsia" w:asciiTheme="minorEastAsia" w:hAnsiTheme="minorEastAsia" w:eastAsiaTheme="minorEastAsia" w:cstheme="minorEastAsia"/>
                <w:sz w:val="21"/>
                <w:szCs w:val="21"/>
              </w:rPr>
              <w:t>路面的平整度；</w:t>
            </w:r>
          </w:p>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加强道路两侧绿化。</w:t>
            </w:r>
          </w:p>
        </w:tc>
        <w:tc>
          <w:tcPr>
            <w:tcW w:w="1106" w:type="dxa"/>
            <w:tcBorders>
              <w:right w:val="single" w:color="000000" w:sz="6" w:space="0"/>
            </w:tcBorders>
            <w:vAlign w:val="top"/>
          </w:tcPr>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393" w:type="dxa"/>
            <w:tcBorders>
              <w:left w:val="single" w:color="000000" w:sz="6" w:space="0"/>
            </w:tcBorders>
            <w:vAlign w:val="center"/>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振动</w:t>
            </w:r>
          </w:p>
        </w:tc>
        <w:tc>
          <w:tcPr>
            <w:tcW w:w="2879"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2100"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2166" w:type="dxa"/>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106" w:type="dxa"/>
            <w:tcBorders>
              <w:right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jc w:val="center"/>
        </w:trPr>
        <w:tc>
          <w:tcPr>
            <w:tcW w:w="1393" w:type="dxa"/>
            <w:tcBorders>
              <w:left w:val="single" w:color="000000" w:sz="6" w:space="0"/>
              <w:bottom w:val="single" w:color="000000" w:sz="6" w:space="0"/>
            </w:tcBorders>
            <w:vAlign w:val="center"/>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大气环境</w:t>
            </w:r>
          </w:p>
        </w:tc>
        <w:tc>
          <w:tcPr>
            <w:tcW w:w="2879" w:type="dxa"/>
            <w:tcBorders>
              <w:bottom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严格按照《淄博市建设领域扬尘污染专项治理实施方案》要求落实施工扬尘管理</w:t>
            </w:r>
          </w:p>
        </w:tc>
        <w:tc>
          <w:tcPr>
            <w:tcW w:w="2100" w:type="dxa"/>
            <w:tcBorders>
              <w:bottom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符合《淄博市建设领域扬尘污染专项治理实施方案》要求</w:t>
            </w:r>
          </w:p>
        </w:tc>
        <w:tc>
          <w:tcPr>
            <w:tcW w:w="2166" w:type="dxa"/>
            <w:tcBorders>
              <w:bottom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加大边坡绿化</w:t>
            </w:r>
          </w:p>
        </w:tc>
        <w:tc>
          <w:tcPr>
            <w:tcW w:w="1106" w:type="dxa"/>
            <w:tcBorders>
              <w:bottom w:val="single" w:color="000000" w:sz="6" w:space="0"/>
              <w:right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边坡两侧能绿尽绿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jc w:val="center"/>
        </w:trPr>
        <w:tc>
          <w:tcPr>
            <w:tcW w:w="1393" w:type="dxa"/>
            <w:tcBorders>
              <w:top w:val="single" w:color="000000" w:sz="6" w:space="0"/>
              <w:left w:val="single" w:color="000000" w:sz="6" w:space="0"/>
            </w:tcBorders>
            <w:vAlign w:val="center"/>
          </w:tcPr>
          <w:p>
            <w:pPr>
              <w:bidi w:val="0"/>
              <w:jc w:val="center"/>
              <w:rPr>
                <w:rFonts w:hint="eastAsia" w:asciiTheme="minorEastAsia" w:hAnsiTheme="minorEastAsia" w:eastAsiaTheme="minorEastAsia" w:cstheme="minorEastAsia"/>
                <w:sz w:val="21"/>
                <w:szCs w:val="21"/>
              </w:rPr>
            </w:pPr>
          </w:p>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固体废物</w:t>
            </w:r>
          </w:p>
        </w:tc>
        <w:tc>
          <w:tcPr>
            <w:tcW w:w="2879" w:type="dxa"/>
            <w:tcBorders>
              <w:top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表土首先用于本项目回填，其余运至指定弃土场；建筑垃圾运至指定的建筑垃圾消纳场所进行处理，禁止在非指定场地倾倒；生活垃圾，收集后委托环卫部门清理</w:t>
            </w:r>
          </w:p>
        </w:tc>
        <w:tc>
          <w:tcPr>
            <w:tcW w:w="2100" w:type="dxa"/>
            <w:tcBorders>
              <w:top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落实相关措施，无乱丢乱弃</w:t>
            </w:r>
          </w:p>
        </w:tc>
        <w:tc>
          <w:tcPr>
            <w:tcW w:w="2166" w:type="dxa"/>
            <w:tcBorders>
              <w:top w:val="single" w:color="000000" w:sz="6" w:space="0"/>
            </w:tcBorders>
            <w:vAlign w:val="top"/>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针对沿线司乘人员随意丢弃的垃圾，加强垃圾的清理和收集，并送往附近城镇</w:t>
            </w:r>
            <w:r>
              <w:rPr>
                <w:rFonts w:hint="eastAsia" w:asciiTheme="minorEastAsia" w:hAnsiTheme="minorEastAsia" w:eastAsiaTheme="minorEastAsia" w:cstheme="minorEastAsia"/>
                <w:sz w:val="21"/>
                <w:szCs w:val="21"/>
                <w:lang w:eastAsia="zh-CN"/>
              </w:rPr>
              <w:t>垃圾处理厂</w:t>
            </w:r>
            <w:r>
              <w:rPr>
                <w:rFonts w:hint="eastAsia" w:asciiTheme="minorEastAsia" w:hAnsiTheme="minorEastAsia" w:eastAsiaTheme="minorEastAsia" w:cstheme="minorEastAsia"/>
                <w:sz w:val="21"/>
                <w:szCs w:val="21"/>
              </w:rPr>
              <w:t>处理。</w:t>
            </w:r>
          </w:p>
        </w:tc>
        <w:tc>
          <w:tcPr>
            <w:tcW w:w="1106" w:type="dxa"/>
            <w:tcBorders>
              <w:top w:val="single" w:color="000000" w:sz="6" w:space="0"/>
              <w:right w:val="single" w:color="000000" w:sz="6" w:space="0"/>
            </w:tcBorders>
            <w:vAlign w:val="top"/>
          </w:tcPr>
          <w:p>
            <w:pPr>
              <w:bidi w:val="0"/>
              <w:jc w:val="center"/>
            </w:pPr>
          </w:p>
          <w:p>
            <w:pPr>
              <w:bidi w:val="0"/>
              <w:jc w:val="center"/>
            </w:pPr>
          </w:p>
          <w:p>
            <w:pPr>
              <w:bidi w:val="0"/>
              <w:jc w:val="center"/>
            </w:pPr>
          </w:p>
          <w:p>
            <w:pPr>
              <w:bidi w:val="0"/>
              <w:jc w:val="center"/>
            </w:pPr>
          </w:p>
          <w:p>
            <w:pPr>
              <w:bidi w:val="0"/>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jc w:val="center"/>
        </w:trPr>
        <w:tc>
          <w:tcPr>
            <w:tcW w:w="1393" w:type="dxa"/>
            <w:tcBorders>
              <w:left w:val="single" w:color="000000" w:sz="6" w:space="0"/>
            </w:tcBorders>
            <w:vAlign w:val="center"/>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电磁环境</w:t>
            </w:r>
          </w:p>
        </w:tc>
        <w:tc>
          <w:tcPr>
            <w:tcW w:w="2879" w:type="dxa"/>
            <w:vAlign w:val="top"/>
          </w:tcPr>
          <w:p>
            <w:pPr>
              <w:bidi w:val="0"/>
              <w:jc w:val="center"/>
            </w:pPr>
          </w:p>
          <w:p>
            <w:pPr>
              <w:bidi w:val="0"/>
              <w:jc w:val="center"/>
            </w:pPr>
            <w:r>
              <w:t>——</w:t>
            </w:r>
          </w:p>
        </w:tc>
        <w:tc>
          <w:tcPr>
            <w:tcW w:w="2100" w:type="dxa"/>
            <w:vAlign w:val="top"/>
          </w:tcPr>
          <w:p>
            <w:pPr>
              <w:bidi w:val="0"/>
              <w:jc w:val="center"/>
            </w:pPr>
          </w:p>
          <w:p>
            <w:pPr>
              <w:bidi w:val="0"/>
              <w:jc w:val="center"/>
            </w:pPr>
            <w:r>
              <w:t>——</w:t>
            </w:r>
          </w:p>
        </w:tc>
        <w:tc>
          <w:tcPr>
            <w:tcW w:w="2166" w:type="dxa"/>
            <w:vAlign w:val="top"/>
          </w:tcPr>
          <w:p>
            <w:pPr>
              <w:bidi w:val="0"/>
              <w:jc w:val="center"/>
            </w:pPr>
          </w:p>
          <w:p>
            <w:pPr>
              <w:bidi w:val="0"/>
              <w:jc w:val="center"/>
            </w:pPr>
            <w:r>
              <w:t>——</w:t>
            </w:r>
          </w:p>
        </w:tc>
        <w:tc>
          <w:tcPr>
            <w:tcW w:w="1106" w:type="dxa"/>
            <w:tcBorders>
              <w:right w:val="single" w:color="000000" w:sz="6" w:space="0"/>
            </w:tcBorders>
            <w:vAlign w:val="top"/>
          </w:tcPr>
          <w:p>
            <w:pPr>
              <w:bidi w:val="0"/>
              <w:jc w:val="center"/>
            </w:pPr>
          </w:p>
          <w:p>
            <w:pPr>
              <w:bidi w:val="0"/>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jc w:val="center"/>
        </w:trPr>
        <w:tc>
          <w:tcPr>
            <w:tcW w:w="1393" w:type="dxa"/>
            <w:tcBorders>
              <w:left w:val="single" w:color="000000" w:sz="6" w:space="0"/>
            </w:tcBorders>
            <w:vAlign w:val="center"/>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环境风险</w:t>
            </w:r>
          </w:p>
        </w:tc>
        <w:tc>
          <w:tcPr>
            <w:tcW w:w="2879" w:type="dxa"/>
            <w:vAlign w:val="top"/>
          </w:tcPr>
          <w:p>
            <w:pPr>
              <w:bidi w:val="0"/>
              <w:jc w:val="center"/>
            </w:pPr>
          </w:p>
          <w:p>
            <w:pPr>
              <w:bidi w:val="0"/>
              <w:jc w:val="center"/>
            </w:pPr>
            <w:r>
              <w:t>——</w:t>
            </w:r>
          </w:p>
        </w:tc>
        <w:tc>
          <w:tcPr>
            <w:tcW w:w="2100" w:type="dxa"/>
            <w:vAlign w:val="top"/>
          </w:tcPr>
          <w:p>
            <w:pPr>
              <w:bidi w:val="0"/>
              <w:jc w:val="center"/>
            </w:pPr>
          </w:p>
          <w:p>
            <w:pPr>
              <w:bidi w:val="0"/>
              <w:jc w:val="center"/>
            </w:pPr>
            <w:r>
              <w:t>——</w:t>
            </w:r>
          </w:p>
        </w:tc>
        <w:tc>
          <w:tcPr>
            <w:tcW w:w="2166" w:type="dxa"/>
            <w:vAlign w:val="top"/>
          </w:tcPr>
          <w:p>
            <w:pPr>
              <w:bidi w:val="0"/>
              <w:jc w:val="center"/>
            </w:pPr>
          </w:p>
          <w:p>
            <w:pPr>
              <w:bidi w:val="0"/>
              <w:jc w:val="center"/>
            </w:pPr>
            <w:r>
              <w:t>——</w:t>
            </w:r>
          </w:p>
        </w:tc>
        <w:tc>
          <w:tcPr>
            <w:tcW w:w="1106" w:type="dxa"/>
            <w:tcBorders>
              <w:right w:val="single" w:color="000000" w:sz="6" w:space="0"/>
            </w:tcBorders>
            <w:vAlign w:val="top"/>
          </w:tcPr>
          <w:p>
            <w:pPr>
              <w:bidi w:val="0"/>
              <w:jc w:val="center"/>
            </w:pPr>
          </w:p>
          <w:p>
            <w:pPr>
              <w:bidi w:val="0"/>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jc w:val="center"/>
        </w:trPr>
        <w:tc>
          <w:tcPr>
            <w:tcW w:w="1393" w:type="dxa"/>
            <w:tcBorders>
              <w:left w:val="single" w:color="000000" w:sz="6" w:space="0"/>
            </w:tcBorders>
            <w:vAlign w:val="center"/>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环境监测</w:t>
            </w:r>
          </w:p>
        </w:tc>
        <w:tc>
          <w:tcPr>
            <w:tcW w:w="2879" w:type="dxa"/>
            <w:vAlign w:val="top"/>
          </w:tcPr>
          <w:p>
            <w:pPr>
              <w:bidi w:val="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1、生产废水</w:t>
            </w:r>
          </w:p>
          <w:p>
            <w:pPr>
              <w:bidi w:val="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对工程建设中各项生产废水处理措施进行监督检查，确保承包商及各施工单位排出的生产废水进行处理后回用和综合利用；</w:t>
            </w:r>
          </w:p>
          <w:p>
            <w:pPr>
              <w:bidi w:val="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2、生活污水</w:t>
            </w:r>
          </w:p>
          <w:p>
            <w:pPr>
              <w:bidi w:val="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监理工程师要监督承包商采取处理措施，使生活污水处理后综合利用。生活营地化粪池的有效容积必须满足生活污水停留时间要求；</w:t>
            </w:r>
          </w:p>
          <w:p>
            <w:pPr>
              <w:bidi w:val="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3、生活垃圾处理</w:t>
            </w:r>
          </w:p>
          <w:p>
            <w:pPr>
              <w:bidi w:val="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对于施工区生活垃圾处理，监理工程师应要求承包商处置好一切设备和多余的材料。竣工时应要求承包商从现场清除运走所有废料、垃圾，拆除和清理临时工程，保持移交工程及工程所在现场清洁整齐；</w:t>
            </w:r>
          </w:p>
          <w:p>
            <w:pPr>
              <w:bidi w:val="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4、大气污染治理</w:t>
            </w:r>
          </w:p>
          <w:p>
            <w:pPr>
              <w:bidi w:val="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监理工程师应要求承包商及各施工单位在装运水泥、石灰、垃圾等一切易扬尘的车辆时，必须覆盖封闭，防止运输扬尘污染。对道路产生的扬尘，应要求采取定期洒水措施。各种燃油机械必须装置消烟除尘设备。</w:t>
            </w:r>
          </w:p>
          <w:p>
            <w:pPr>
              <w:bidi w:val="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5、噪声控制</w:t>
            </w:r>
          </w:p>
          <w:p>
            <w:pPr>
              <w:bidi w:val="0"/>
              <w:jc w:val="center"/>
              <w:rPr>
                <w:color w:val="FF0000"/>
              </w:rPr>
            </w:pPr>
            <w:r>
              <w:rPr>
                <w:rFonts w:hint="eastAsia" w:ascii="Times New Roman" w:hAnsi="Times New Roman" w:eastAsia="宋体" w:cs="Times New Roman"/>
                <w:color w:val="FF0000"/>
                <w:sz w:val="21"/>
                <w:szCs w:val="21"/>
                <w:lang w:val="en-US" w:eastAsia="zh-CN"/>
              </w:rPr>
              <w:t>对于产生强噪声或振动的施工单位，监理工程师必须要求采取减噪降振措施，选用低噪弱振设备和工艺。</w:t>
            </w:r>
          </w:p>
        </w:tc>
        <w:tc>
          <w:tcPr>
            <w:tcW w:w="2100" w:type="dxa"/>
            <w:vAlign w:val="top"/>
          </w:tcPr>
          <w:p>
            <w:pPr>
              <w:bidi w:val="0"/>
              <w:jc w:val="center"/>
              <w:rPr>
                <w:color w:val="FF0000"/>
              </w:rPr>
            </w:pPr>
            <w:r>
              <w:rPr>
                <w:rFonts w:hint="default" w:ascii="Times New Roman" w:hAnsi="Times New Roman" w:eastAsia="宋体" w:cs="Times New Roman"/>
                <w:color w:val="FF0000"/>
                <w:sz w:val="21"/>
                <w:szCs w:val="21"/>
                <w:lang w:val="en-US" w:eastAsia="zh-CN"/>
              </w:rPr>
              <w:t>1、</w:t>
            </w:r>
            <w:r>
              <w:rPr>
                <w:rFonts w:hint="default" w:ascii="Times New Roman" w:hAnsi="Times New Roman" w:eastAsia="宋体" w:cs="Times New Roman"/>
                <w:color w:val="FF0000"/>
                <w:sz w:val="21"/>
                <w:szCs w:val="21"/>
              </w:rPr>
              <w:t>施工</w:t>
            </w:r>
            <w:r>
              <w:rPr>
                <w:rFonts w:hint="default" w:ascii="Times New Roman" w:hAnsi="Times New Roman" w:eastAsia="宋体" w:cs="Times New Roman"/>
                <w:color w:val="FF0000"/>
                <w:sz w:val="21"/>
                <w:szCs w:val="21"/>
                <w:lang w:eastAsia="zh-CN"/>
              </w:rPr>
              <w:t>期</w:t>
            </w:r>
            <w:r>
              <w:rPr>
                <w:rFonts w:hint="default" w:ascii="Times New Roman" w:hAnsi="Times New Roman" w:eastAsia="宋体" w:cs="Times New Roman"/>
                <w:color w:val="FF0000"/>
                <w:sz w:val="21"/>
                <w:szCs w:val="21"/>
              </w:rPr>
              <w:t>恶臭污染物满足《恶臭污染物排放标准》（GB14554-93）表1二级标准</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lang w:val="en-US" w:eastAsia="zh-CN"/>
              </w:rPr>
              <w:t>2、</w:t>
            </w:r>
            <w:r>
              <w:rPr>
                <w:rFonts w:hint="default" w:ascii="Times New Roman" w:hAnsi="Times New Roman" w:eastAsia="宋体" w:cs="Times New Roman"/>
                <w:color w:val="FF0000"/>
                <w:sz w:val="21"/>
                <w:szCs w:val="21"/>
              </w:rPr>
              <w:t>施工期产生的建筑垃圾应执行《淄博市城市建筑垃圾处置管理办法》（淄政办字〔2014〕30号）要求。一般工业固体废物管理过程应执行《一般工业固体废物管理台账制定指南（试行）》（公告2021年第82号）要求</w:t>
            </w:r>
            <w:r>
              <w:rPr>
                <w:rFonts w:hint="eastAsia" w:ascii="Times New Roman" w:hAnsi="Times New Roman" w:eastAsia="宋体" w:cs="Times New Roman"/>
                <w:color w:val="FF0000"/>
                <w:sz w:val="21"/>
                <w:szCs w:val="21"/>
                <w:lang w:eastAsia="zh-CN"/>
              </w:rPr>
              <w:t>；</w:t>
            </w:r>
            <w:r>
              <w:rPr>
                <w:rFonts w:hint="default" w:ascii="Times New Roman" w:hAnsi="Times New Roman" w:eastAsia="宋体" w:cs="Times New Roman"/>
                <w:color w:val="FF0000"/>
                <w:sz w:val="21"/>
                <w:szCs w:val="21"/>
                <w:lang w:val="en-US" w:eastAsia="zh-CN"/>
              </w:rPr>
              <w:t>3、施工期噪声满足《建筑施工场界环境噪声排放标准》（GB12523-2011）标准2类</w:t>
            </w:r>
          </w:p>
        </w:tc>
        <w:tc>
          <w:tcPr>
            <w:tcW w:w="2166" w:type="dxa"/>
            <w:vAlign w:val="top"/>
          </w:tcPr>
          <w:p>
            <w:pPr>
              <w:bidi w:val="0"/>
              <w:jc w:val="center"/>
            </w:pPr>
          </w:p>
          <w:p>
            <w:pPr>
              <w:bidi w:val="0"/>
              <w:jc w:val="center"/>
            </w:pPr>
            <w:r>
              <w:t>——</w:t>
            </w:r>
          </w:p>
        </w:tc>
        <w:tc>
          <w:tcPr>
            <w:tcW w:w="1106" w:type="dxa"/>
            <w:tcBorders>
              <w:right w:val="single" w:color="000000" w:sz="6" w:space="0"/>
            </w:tcBorders>
            <w:vAlign w:val="top"/>
          </w:tcPr>
          <w:p>
            <w:pPr>
              <w:bidi w:val="0"/>
              <w:jc w:val="center"/>
            </w:pPr>
          </w:p>
          <w:p>
            <w:pPr>
              <w:bidi w:val="0"/>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jc w:val="center"/>
        </w:trPr>
        <w:tc>
          <w:tcPr>
            <w:tcW w:w="1393" w:type="dxa"/>
            <w:tcBorders>
              <w:left w:val="single" w:color="000000" w:sz="6" w:space="0"/>
              <w:bottom w:val="single" w:color="000000" w:sz="6" w:space="0"/>
            </w:tcBorders>
            <w:vAlign w:val="center"/>
          </w:tcPr>
          <w:p>
            <w:pPr>
              <w:bidi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其他</w:t>
            </w:r>
          </w:p>
        </w:tc>
        <w:tc>
          <w:tcPr>
            <w:tcW w:w="2879" w:type="dxa"/>
            <w:tcBorders>
              <w:bottom w:val="single" w:color="000000" w:sz="6" w:space="0"/>
            </w:tcBorders>
            <w:vAlign w:val="top"/>
          </w:tcPr>
          <w:p>
            <w:pPr>
              <w:bidi w:val="0"/>
              <w:jc w:val="center"/>
            </w:pPr>
          </w:p>
          <w:p>
            <w:pPr>
              <w:bidi w:val="0"/>
              <w:jc w:val="center"/>
            </w:pPr>
            <w:r>
              <w:t>——</w:t>
            </w:r>
          </w:p>
        </w:tc>
        <w:tc>
          <w:tcPr>
            <w:tcW w:w="2100" w:type="dxa"/>
            <w:tcBorders>
              <w:bottom w:val="single" w:color="000000" w:sz="6" w:space="0"/>
            </w:tcBorders>
            <w:vAlign w:val="top"/>
          </w:tcPr>
          <w:p>
            <w:pPr>
              <w:bidi w:val="0"/>
              <w:jc w:val="center"/>
            </w:pPr>
          </w:p>
          <w:p>
            <w:pPr>
              <w:bidi w:val="0"/>
              <w:jc w:val="center"/>
            </w:pPr>
            <w:r>
              <w:t>——</w:t>
            </w:r>
          </w:p>
        </w:tc>
        <w:tc>
          <w:tcPr>
            <w:tcW w:w="2166" w:type="dxa"/>
            <w:tcBorders>
              <w:bottom w:val="single" w:color="000000" w:sz="6" w:space="0"/>
            </w:tcBorders>
            <w:vAlign w:val="top"/>
          </w:tcPr>
          <w:p>
            <w:pPr>
              <w:bidi w:val="0"/>
              <w:jc w:val="center"/>
            </w:pPr>
          </w:p>
          <w:p>
            <w:pPr>
              <w:bidi w:val="0"/>
              <w:jc w:val="center"/>
            </w:pPr>
            <w:r>
              <w:t>——</w:t>
            </w:r>
          </w:p>
        </w:tc>
        <w:tc>
          <w:tcPr>
            <w:tcW w:w="1106" w:type="dxa"/>
            <w:tcBorders>
              <w:bottom w:val="single" w:color="000000" w:sz="6" w:space="0"/>
              <w:right w:val="single" w:color="000000" w:sz="6" w:space="0"/>
            </w:tcBorders>
            <w:vAlign w:val="top"/>
          </w:tcPr>
          <w:p>
            <w:pPr>
              <w:bidi w:val="0"/>
              <w:jc w:val="center"/>
            </w:pPr>
          </w:p>
          <w:p>
            <w:pPr>
              <w:bidi w:val="0"/>
              <w:jc w:val="center"/>
            </w:pPr>
            <w:r>
              <w:t>——</w:t>
            </w:r>
          </w:p>
        </w:tc>
      </w:tr>
    </w:tbl>
    <w:p>
      <w:pPr>
        <w:pStyle w:val="11"/>
        <w:snapToGrid/>
        <w:spacing w:before="0" w:beforeAutospacing="0" w:after="0" w:afterAutospacing="0" w:line="360" w:lineRule="auto"/>
        <w:ind w:left="0" w:leftChars="0" w:right="0" w:rightChars="0" w:firstLine="560" w:firstLineChars="200"/>
        <w:jc w:val="left"/>
        <w:outlineLvl w:val="0"/>
        <w:rPr>
          <w:rFonts w:ascii="Times New Roman" w:hAnsi="黑体" w:eastAsia="宋体"/>
          <w:snapToGrid w:val="0"/>
          <w:sz w:val="28"/>
          <w:szCs w:val="30"/>
        </w:rPr>
      </w:pPr>
    </w:p>
    <w:p>
      <w:pPr>
        <w:pStyle w:val="11"/>
        <w:snapToGrid/>
        <w:spacing w:before="0" w:beforeAutospacing="0" w:after="0" w:afterAutospacing="0" w:line="360" w:lineRule="auto"/>
        <w:ind w:left="0" w:leftChars="0" w:right="0" w:rightChars="0" w:firstLine="560" w:firstLineChars="200"/>
        <w:jc w:val="left"/>
        <w:outlineLvl w:val="0"/>
        <w:rPr>
          <w:rFonts w:hint="eastAsia" w:ascii="Times New Roman" w:hAnsi="黑体" w:eastAsia="宋体"/>
          <w:snapToGrid w:val="0"/>
          <w:sz w:val="28"/>
          <w:szCs w:val="30"/>
        </w:rPr>
      </w:pPr>
      <w:r>
        <w:rPr>
          <w:rFonts w:ascii="Times New Roman" w:hAnsi="黑体" w:eastAsia="宋体"/>
          <w:snapToGrid w:val="0"/>
          <w:sz w:val="28"/>
          <w:szCs w:val="30"/>
        </w:rPr>
        <w:br w:type="page"/>
      </w:r>
    </w:p>
    <w:p>
      <w:pPr>
        <w:pStyle w:val="11"/>
        <w:snapToGrid/>
        <w:spacing w:before="312" w:beforeLines="100" w:beforeAutospacing="0" w:after="156" w:afterLines="50" w:afterAutospacing="0" w:line="360" w:lineRule="auto"/>
        <w:ind w:left="0" w:leftChars="0" w:right="0" w:rightChars="0" w:firstLine="0" w:firstLineChars="0"/>
        <w:jc w:val="left"/>
        <w:outlineLvl w:val="0"/>
        <w:rPr>
          <w:rFonts w:ascii="Times New Roman" w:hAnsi="黑体" w:eastAsia="宋体"/>
          <w:b/>
          <w:snapToGrid w:val="0"/>
          <w:sz w:val="32"/>
          <w:szCs w:val="30"/>
        </w:rPr>
      </w:pPr>
      <w:r>
        <w:rPr>
          <w:rFonts w:hint="eastAsia" w:ascii="Times New Roman" w:hAnsi="黑体" w:eastAsia="宋体"/>
          <w:b/>
          <w:snapToGrid w:val="0"/>
          <w:sz w:val="32"/>
          <w:szCs w:val="30"/>
        </w:rPr>
        <w:t>七、结论</w:t>
      </w:r>
    </w:p>
    <w:tbl>
      <w:tblPr>
        <w:tblStyle w:val="14"/>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center"/>
          </w:tcPr>
          <w:p>
            <w:pPr>
              <w:adjustRightInd w:val="0"/>
              <w:snapToGrid w:val="0"/>
              <w:ind w:firstLine="480" w:firstLineChars="200"/>
              <w:rPr>
                <w:rFonts w:hint="eastAsia" w:ascii="宋体" w:hAnsi="宋体" w:cs="宋体"/>
                <w:szCs w:val="21"/>
              </w:rPr>
            </w:pPr>
            <w:r>
              <w:rPr>
                <w:rFonts w:hint="eastAsia" w:ascii="宋体" w:hAnsi="宋体" w:cs="宋体"/>
                <w:szCs w:val="21"/>
              </w:rPr>
              <w:t>“</w:t>
            </w:r>
            <w:r>
              <w:rPr>
                <w:rFonts w:hint="eastAsia" w:ascii="宋体" w:hAnsi="宋体" w:cs="宋体"/>
                <w:szCs w:val="21"/>
                <w:lang w:eastAsia="zh-CN"/>
              </w:rPr>
              <w:t>沂源</w:t>
            </w:r>
            <w:r>
              <w:rPr>
                <w:rFonts w:hint="eastAsia" w:ascii="宋体" w:hAnsi="宋体" w:cs="宋体"/>
                <w:szCs w:val="21"/>
                <w:lang w:val="en-US" w:eastAsia="zh-CN"/>
              </w:rPr>
              <w:t>县</w:t>
            </w:r>
            <w:r>
              <w:rPr>
                <w:rFonts w:hint="eastAsia" w:ascii="宋体" w:hAnsi="宋体" w:cs="宋体"/>
                <w:szCs w:val="21"/>
                <w:lang w:eastAsia="zh-CN"/>
              </w:rPr>
              <w:t>五井石河</w:t>
            </w:r>
            <w:r>
              <w:rPr>
                <w:rFonts w:hint="eastAsia" w:ascii="宋体" w:hAnsi="宋体" w:cs="宋体"/>
                <w:szCs w:val="21"/>
              </w:rPr>
              <w:t>防洪治理工程”在施工过程中对沿线生态环境、水环境、声环境、大气环境等产生的不利影响，在采取了相应的保护和恢复措施后均能够减轻或消除，使其对环境的影响降低至</w:t>
            </w:r>
            <w:r>
              <w:rPr>
                <w:rFonts w:hint="eastAsia" w:ascii="宋体" w:hAnsi="宋体" w:cs="宋体"/>
                <w:szCs w:val="21"/>
                <w:lang w:eastAsia="zh-CN"/>
              </w:rPr>
              <w:t>最低程度</w:t>
            </w:r>
            <w:r>
              <w:rPr>
                <w:rFonts w:hint="eastAsia" w:ascii="宋体" w:hAnsi="宋体" w:cs="宋体"/>
                <w:szCs w:val="21"/>
              </w:rPr>
              <w:t>。因此，从环境保护的角度考虑，该项目建设对环境的影响是可以接受的，项目的建设是可行的。</w:t>
            </w:r>
          </w:p>
          <w:p>
            <w:pPr>
              <w:adjustRightInd w:val="0"/>
              <w:snapToGrid w:val="0"/>
              <w:spacing w:line="360" w:lineRule="auto"/>
              <w:ind w:firstLine="480" w:firstLineChars="200"/>
              <w:rPr>
                <w:rFonts w:hint="eastAsia" w:eastAsia="宋体"/>
                <w:bCs/>
                <w:sz w:val="24"/>
                <w:szCs w:val="21"/>
                <w:lang w:eastAsia="zh-CN"/>
              </w:rPr>
            </w:pPr>
            <w:r>
              <w:rPr>
                <w:rFonts w:hint="eastAsia"/>
                <w:bCs/>
                <w:sz w:val="24"/>
                <w:szCs w:val="21"/>
              </w:rPr>
              <w:t>附图：</w:t>
            </w:r>
          </w:p>
          <w:p>
            <w:pPr>
              <w:adjustRightInd w:val="0"/>
              <w:snapToGrid w:val="0"/>
              <w:spacing w:line="360" w:lineRule="auto"/>
              <w:ind w:firstLine="480" w:firstLineChars="200"/>
              <w:rPr>
                <w:rFonts w:hint="eastAsia" w:eastAsia="宋体"/>
                <w:bCs/>
                <w:sz w:val="24"/>
                <w:szCs w:val="21"/>
                <w:lang w:eastAsia="zh-CN"/>
              </w:rPr>
            </w:pPr>
            <w:r>
              <w:rPr>
                <w:rFonts w:hint="eastAsia"/>
                <w:bCs/>
                <w:sz w:val="24"/>
                <w:szCs w:val="21"/>
              </w:rPr>
              <w:t>附图</w:t>
            </w:r>
            <w:r>
              <w:rPr>
                <w:bCs/>
                <w:sz w:val="24"/>
                <w:szCs w:val="21"/>
              </w:rPr>
              <w:t>1</w:t>
            </w:r>
            <w:r>
              <w:rPr>
                <w:rFonts w:hint="eastAsia"/>
                <w:bCs/>
                <w:sz w:val="24"/>
                <w:szCs w:val="21"/>
              </w:rPr>
              <w:t>、项目地理位置图；</w:t>
            </w:r>
          </w:p>
          <w:p>
            <w:pPr>
              <w:adjustRightInd w:val="0"/>
              <w:snapToGrid w:val="0"/>
              <w:spacing w:line="360" w:lineRule="auto"/>
              <w:ind w:firstLine="480" w:firstLineChars="200"/>
              <w:rPr>
                <w:rFonts w:hint="eastAsia" w:eastAsia="宋体"/>
                <w:bCs/>
                <w:sz w:val="24"/>
                <w:szCs w:val="21"/>
                <w:lang w:eastAsia="zh-CN"/>
              </w:rPr>
            </w:pPr>
            <w:r>
              <w:rPr>
                <w:rFonts w:hint="eastAsia"/>
                <w:bCs/>
                <w:sz w:val="24"/>
                <w:szCs w:val="21"/>
              </w:rPr>
              <w:t>附图</w:t>
            </w:r>
            <w:r>
              <w:rPr>
                <w:bCs/>
                <w:sz w:val="24"/>
                <w:szCs w:val="21"/>
              </w:rPr>
              <w:t>2</w:t>
            </w:r>
            <w:r>
              <w:rPr>
                <w:rFonts w:hint="eastAsia"/>
                <w:bCs/>
                <w:sz w:val="24"/>
                <w:szCs w:val="21"/>
              </w:rPr>
              <w:t>、总平面布置图；</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附图</w:t>
            </w:r>
            <w:r>
              <w:rPr>
                <w:bCs/>
                <w:color w:val="auto"/>
                <w:sz w:val="24"/>
                <w:szCs w:val="21"/>
              </w:rPr>
              <w:t>3</w:t>
            </w:r>
            <w:r>
              <w:rPr>
                <w:rFonts w:hint="eastAsia"/>
                <w:bCs/>
                <w:color w:val="auto"/>
                <w:sz w:val="24"/>
                <w:szCs w:val="21"/>
              </w:rPr>
              <w:t>、项目施工布置图</w:t>
            </w:r>
          </w:p>
          <w:p>
            <w:pPr>
              <w:adjustRightInd w:val="0"/>
              <w:snapToGrid w:val="0"/>
              <w:spacing w:line="360" w:lineRule="auto"/>
              <w:ind w:firstLine="480" w:firstLineChars="200"/>
              <w:rPr>
                <w:bCs/>
                <w:color w:val="auto"/>
                <w:sz w:val="24"/>
                <w:szCs w:val="21"/>
              </w:rPr>
            </w:pPr>
            <w:r>
              <w:rPr>
                <w:rFonts w:hint="eastAsia"/>
                <w:bCs/>
                <w:color w:val="auto"/>
                <w:sz w:val="24"/>
                <w:szCs w:val="21"/>
              </w:rPr>
              <w:t>附图</w:t>
            </w:r>
            <w:r>
              <w:rPr>
                <w:bCs/>
                <w:color w:val="auto"/>
                <w:sz w:val="24"/>
                <w:szCs w:val="21"/>
              </w:rPr>
              <w:t>4</w:t>
            </w:r>
            <w:r>
              <w:rPr>
                <w:rFonts w:hint="eastAsia"/>
                <w:bCs/>
                <w:color w:val="auto"/>
                <w:sz w:val="24"/>
                <w:szCs w:val="21"/>
              </w:rPr>
              <w:t>、项目生态影响评价</w:t>
            </w:r>
            <w:r>
              <w:rPr>
                <w:bCs/>
                <w:color w:val="auto"/>
                <w:sz w:val="24"/>
                <w:szCs w:val="21"/>
              </w:rPr>
              <w:t>范围</w:t>
            </w:r>
            <w:r>
              <w:rPr>
                <w:rFonts w:hint="eastAsia"/>
                <w:bCs/>
                <w:color w:val="auto"/>
                <w:sz w:val="24"/>
                <w:szCs w:val="21"/>
              </w:rPr>
              <w:t>图；</w:t>
            </w:r>
          </w:p>
          <w:p>
            <w:pPr>
              <w:adjustRightInd w:val="0"/>
              <w:snapToGrid w:val="0"/>
              <w:spacing w:line="360" w:lineRule="auto"/>
              <w:ind w:firstLine="480" w:firstLineChars="200"/>
              <w:rPr>
                <w:bCs/>
                <w:color w:val="auto"/>
                <w:sz w:val="24"/>
                <w:szCs w:val="21"/>
              </w:rPr>
            </w:pPr>
            <w:r>
              <w:rPr>
                <w:rFonts w:hint="eastAsia"/>
                <w:bCs/>
                <w:color w:val="auto"/>
                <w:sz w:val="24"/>
                <w:szCs w:val="21"/>
              </w:rPr>
              <w:t>附图</w:t>
            </w:r>
            <w:r>
              <w:rPr>
                <w:rFonts w:hint="eastAsia"/>
                <w:bCs/>
                <w:color w:val="auto"/>
                <w:sz w:val="24"/>
                <w:szCs w:val="21"/>
                <w:lang w:val="en-US" w:eastAsia="zh-CN"/>
              </w:rPr>
              <w:t>5</w:t>
            </w:r>
            <w:r>
              <w:rPr>
                <w:rFonts w:hint="eastAsia"/>
                <w:bCs/>
                <w:color w:val="auto"/>
                <w:sz w:val="24"/>
                <w:szCs w:val="21"/>
              </w:rPr>
              <w:t>、</w:t>
            </w:r>
            <w:r>
              <w:rPr>
                <w:rFonts w:hint="eastAsia"/>
                <w:bCs/>
                <w:color w:val="auto"/>
                <w:sz w:val="24"/>
                <w:szCs w:val="21"/>
                <w:lang w:eastAsia="zh-CN"/>
              </w:rPr>
              <w:t>区域地表水系</w:t>
            </w:r>
            <w:r>
              <w:rPr>
                <w:rFonts w:hint="eastAsia"/>
                <w:bCs/>
                <w:color w:val="auto"/>
                <w:sz w:val="24"/>
                <w:szCs w:val="21"/>
              </w:rPr>
              <w:t>图；</w:t>
            </w:r>
          </w:p>
          <w:p>
            <w:pPr>
              <w:adjustRightInd w:val="0"/>
              <w:snapToGrid w:val="0"/>
              <w:spacing w:line="360" w:lineRule="auto"/>
              <w:ind w:firstLine="480" w:firstLineChars="200"/>
              <w:rPr>
                <w:bCs/>
                <w:color w:val="auto"/>
                <w:sz w:val="24"/>
                <w:szCs w:val="21"/>
              </w:rPr>
            </w:pPr>
            <w:r>
              <w:rPr>
                <w:rFonts w:hint="eastAsia"/>
                <w:bCs/>
                <w:color w:val="auto"/>
                <w:sz w:val="24"/>
                <w:szCs w:val="21"/>
              </w:rPr>
              <w:t>附图</w:t>
            </w:r>
            <w:r>
              <w:rPr>
                <w:rFonts w:hint="eastAsia"/>
                <w:bCs/>
                <w:color w:val="auto"/>
                <w:sz w:val="24"/>
                <w:szCs w:val="21"/>
                <w:lang w:val="en-US" w:eastAsia="zh-CN"/>
              </w:rPr>
              <w:t>6</w:t>
            </w:r>
            <w:r>
              <w:rPr>
                <w:rFonts w:hint="eastAsia"/>
                <w:bCs/>
                <w:color w:val="auto"/>
                <w:sz w:val="24"/>
                <w:szCs w:val="21"/>
              </w:rPr>
              <w:t>、南鲁山镇土地规划图；</w:t>
            </w:r>
          </w:p>
          <w:p>
            <w:pPr>
              <w:adjustRightInd w:val="0"/>
              <w:snapToGrid w:val="0"/>
              <w:spacing w:line="360" w:lineRule="auto"/>
              <w:ind w:firstLine="480" w:firstLineChars="200"/>
              <w:rPr>
                <w:bCs/>
                <w:color w:val="auto"/>
                <w:sz w:val="24"/>
                <w:szCs w:val="21"/>
              </w:rPr>
            </w:pPr>
            <w:r>
              <w:rPr>
                <w:rFonts w:hint="eastAsia"/>
                <w:bCs/>
                <w:color w:val="auto"/>
                <w:sz w:val="24"/>
                <w:szCs w:val="21"/>
              </w:rPr>
              <w:t>附图</w:t>
            </w:r>
            <w:r>
              <w:rPr>
                <w:rFonts w:hint="eastAsia"/>
                <w:bCs/>
                <w:color w:val="auto"/>
                <w:sz w:val="24"/>
                <w:szCs w:val="21"/>
                <w:lang w:val="en-US" w:eastAsia="zh-CN"/>
              </w:rPr>
              <w:t>7</w:t>
            </w:r>
            <w:r>
              <w:rPr>
                <w:rFonts w:hint="eastAsia"/>
                <w:bCs/>
                <w:color w:val="auto"/>
                <w:sz w:val="24"/>
                <w:szCs w:val="21"/>
              </w:rPr>
              <w:t>、淄博市环境管控单元图；</w:t>
            </w:r>
          </w:p>
          <w:p>
            <w:pPr>
              <w:adjustRightInd w:val="0"/>
              <w:snapToGrid w:val="0"/>
              <w:spacing w:line="360" w:lineRule="auto"/>
              <w:ind w:firstLine="480" w:firstLineChars="200"/>
              <w:rPr>
                <w:bCs/>
                <w:color w:val="auto"/>
                <w:sz w:val="24"/>
                <w:szCs w:val="21"/>
              </w:rPr>
            </w:pPr>
            <w:r>
              <w:rPr>
                <w:rFonts w:hint="eastAsia"/>
                <w:bCs/>
                <w:color w:val="auto"/>
                <w:sz w:val="24"/>
                <w:szCs w:val="21"/>
              </w:rPr>
              <w:t>附图</w:t>
            </w:r>
            <w:r>
              <w:rPr>
                <w:rFonts w:hint="eastAsia"/>
                <w:bCs/>
                <w:color w:val="auto"/>
                <w:sz w:val="24"/>
                <w:szCs w:val="21"/>
                <w:lang w:val="en-US" w:eastAsia="zh-CN"/>
              </w:rPr>
              <w:t>8</w:t>
            </w:r>
            <w:r>
              <w:rPr>
                <w:rFonts w:hint="eastAsia"/>
                <w:bCs/>
                <w:color w:val="auto"/>
                <w:sz w:val="24"/>
                <w:szCs w:val="21"/>
              </w:rPr>
              <w:t>、项目与三区三线位置关系图；</w:t>
            </w:r>
          </w:p>
          <w:p>
            <w:pPr>
              <w:adjustRightInd w:val="0"/>
              <w:snapToGrid w:val="0"/>
              <w:spacing w:line="360" w:lineRule="auto"/>
              <w:ind w:firstLine="480" w:firstLineChars="200"/>
              <w:rPr>
                <w:color w:val="auto"/>
              </w:rPr>
            </w:pPr>
            <w:r>
              <w:rPr>
                <w:rFonts w:hint="eastAsia"/>
                <w:bCs/>
                <w:color w:val="auto"/>
                <w:sz w:val="24"/>
                <w:szCs w:val="21"/>
              </w:rPr>
              <w:t>附图</w:t>
            </w:r>
            <w:r>
              <w:rPr>
                <w:rFonts w:hint="eastAsia"/>
                <w:bCs/>
                <w:color w:val="auto"/>
                <w:sz w:val="24"/>
                <w:szCs w:val="21"/>
                <w:lang w:val="en-US" w:eastAsia="zh-CN"/>
              </w:rPr>
              <w:t>9</w:t>
            </w:r>
            <w:r>
              <w:rPr>
                <w:rFonts w:hint="eastAsia"/>
                <w:bCs/>
                <w:color w:val="auto"/>
                <w:sz w:val="24"/>
                <w:szCs w:val="21"/>
              </w:rPr>
              <w:t>、淄博市集中式饮用水水源分布图。</w:t>
            </w:r>
          </w:p>
          <w:p>
            <w:pPr>
              <w:adjustRightInd w:val="0"/>
              <w:snapToGrid w:val="0"/>
              <w:spacing w:line="360" w:lineRule="auto"/>
              <w:ind w:firstLine="480" w:firstLineChars="200"/>
              <w:rPr>
                <w:bCs/>
                <w:sz w:val="24"/>
                <w:szCs w:val="21"/>
              </w:rPr>
            </w:pPr>
            <w:r>
              <w:rPr>
                <w:rFonts w:hint="eastAsia"/>
                <w:bCs/>
                <w:sz w:val="24"/>
                <w:szCs w:val="21"/>
              </w:rPr>
              <w:t>附件：</w:t>
            </w:r>
          </w:p>
          <w:p>
            <w:pPr>
              <w:adjustRightInd w:val="0"/>
              <w:snapToGrid w:val="0"/>
              <w:spacing w:line="360" w:lineRule="auto"/>
              <w:ind w:firstLine="480" w:firstLineChars="200"/>
              <w:rPr>
                <w:bCs/>
                <w:sz w:val="24"/>
                <w:szCs w:val="21"/>
              </w:rPr>
            </w:pPr>
            <w:r>
              <w:rPr>
                <w:rFonts w:hint="eastAsia"/>
                <w:bCs/>
                <w:sz w:val="24"/>
                <w:szCs w:val="21"/>
              </w:rPr>
              <w:t>附件</w:t>
            </w:r>
            <w:r>
              <w:rPr>
                <w:bCs/>
                <w:sz w:val="24"/>
                <w:szCs w:val="21"/>
              </w:rPr>
              <w:t>1</w:t>
            </w:r>
            <w:r>
              <w:rPr>
                <w:rFonts w:hint="eastAsia"/>
                <w:bCs/>
                <w:sz w:val="24"/>
                <w:szCs w:val="21"/>
              </w:rPr>
              <w:t>、委托函；</w:t>
            </w:r>
          </w:p>
          <w:p>
            <w:pPr>
              <w:adjustRightInd w:val="0"/>
              <w:snapToGrid w:val="0"/>
              <w:spacing w:line="360" w:lineRule="auto"/>
              <w:ind w:firstLine="480" w:firstLineChars="200"/>
              <w:rPr>
                <w:rFonts w:hint="eastAsia" w:eastAsia="宋体"/>
                <w:bCs/>
                <w:sz w:val="24"/>
                <w:szCs w:val="21"/>
                <w:lang w:eastAsia="zh-CN"/>
              </w:rPr>
            </w:pPr>
            <w:r>
              <w:rPr>
                <w:rFonts w:hint="eastAsia"/>
                <w:bCs/>
                <w:sz w:val="24"/>
                <w:szCs w:val="21"/>
              </w:rPr>
              <w:t>附件</w:t>
            </w:r>
            <w:r>
              <w:rPr>
                <w:bCs/>
                <w:sz w:val="24"/>
                <w:szCs w:val="21"/>
              </w:rPr>
              <w:t>2</w:t>
            </w:r>
            <w:r>
              <w:rPr>
                <w:rFonts w:hint="eastAsia"/>
                <w:bCs/>
                <w:sz w:val="24"/>
                <w:szCs w:val="21"/>
              </w:rPr>
              <w:t>、项目备案证明</w:t>
            </w:r>
            <w:r>
              <w:rPr>
                <w:rFonts w:hint="eastAsia"/>
                <w:bCs/>
                <w:sz w:val="24"/>
                <w:szCs w:val="21"/>
                <w:lang w:eastAsia="zh-CN"/>
              </w:rPr>
              <w:t>（登记单及可研批复）</w:t>
            </w:r>
            <w:r>
              <w:rPr>
                <w:rFonts w:hint="eastAsia"/>
                <w:bCs/>
                <w:sz w:val="24"/>
                <w:szCs w:val="21"/>
              </w:rPr>
              <w:t>；</w:t>
            </w:r>
          </w:p>
          <w:p>
            <w:pPr>
              <w:adjustRightInd w:val="0"/>
              <w:snapToGrid w:val="0"/>
              <w:spacing w:line="360" w:lineRule="auto"/>
              <w:ind w:firstLine="480" w:firstLineChars="200"/>
            </w:pPr>
            <w:r>
              <w:rPr>
                <w:rFonts w:hint="eastAsia"/>
                <w:bCs/>
                <w:color w:val="auto"/>
                <w:sz w:val="24"/>
                <w:szCs w:val="21"/>
              </w:rPr>
              <w:t>附件3、</w:t>
            </w:r>
            <w:r>
              <w:rPr>
                <w:rFonts w:hint="eastAsia"/>
                <w:bCs/>
                <w:color w:val="auto"/>
                <w:sz w:val="24"/>
                <w:szCs w:val="21"/>
                <w:lang w:eastAsia="zh-CN"/>
              </w:rPr>
              <w:t>承诺函</w:t>
            </w:r>
            <w:r>
              <w:rPr>
                <w:rFonts w:hint="eastAsia"/>
                <w:bCs/>
                <w:color w:val="auto"/>
                <w:sz w:val="24"/>
                <w:szCs w:val="21"/>
              </w:rPr>
              <w:t>；</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附件</w:t>
            </w:r>
            <w:r>
              <w:rPr>
                <w:bCs/>
                <w:color w:val="auto"/>
                <w:sz w:val="24"/>
                <w:szCs w:val="21"/>
              </w:rPr>
              <w:t>4</w:t>
            </w:r>
            <w:r>
              <w:rPr>
                <w:rFonts w:hint="eastAsia"/>
                <w:bCs/>
                <w:color w:val="auto"/>
                <w:sz w:val="24"/>
                <w:szCs w:val="21"/>
              </w:rPr>
              <w:t>、</w:t>
            </w:r>
            <w:r>
              <w:rPr>
                <w:rFonts w:hint="eastAsia"/>
                <w:bCs/>
                <w:color w:val="auto"/>
                <w:sz w:val="24"/>
                <w:szCs w:val="21"/>
                <w:lang w:eastAsia="zh-CN"/>
              </w:rPr>
              <w:t>工程师现场照片</w:t>
            </w:r>
            <w:r>
              <w:rPr>
                <w:rFonts w:hint="eastAsia"/>
                <w:bCs/>
                <w:color w:val="auto"/>
                <w:sz w:val="24"/>
                <w:szCs w:val="21"/>
              </w:rPr>
              <w:t>；</w:t>
            </w:r>
          </w:p>
          <w:p>
            <w:pPr>
              <w:adjustRightInd w:val="0"/>
              <w:snapToGrid w:val="0"/>
              <w:spacing w:line="360" w:lineRule="auto"/>
              <w:ind w:firstLine="480" w:firstLineChars="200"/>
              <w:rPr>
                <w:rFonts w:hint="eastAsia"/>
                <w:bCs/>
                <w:color w:val="auto"/>
                <w:sz w:val="24"/>
                <w:szCs w:val="21"/>
              </w:rPr>
            </w:pPr>
            <w:r>
              <w:rPr>
                <w:rFonts w:hint="eastAsia"/>
                <w:bCs/>
                <w:color w:val="auto"/>
                <w:sz w:val="24"/>
                <w:szCs w:val="21"/>
              </w:rPr>
              <w:t>附件5、现场照片；</w:t>
            </w:r>
          </w:p>
          <w:p>
            <w:pPr>
              <w:adjustRightInd w:val="0"/>
              <w:snapToGrid w:val="0"/>
              <w:spacing w:line="360" w:lineRule="auto"/>
              <w:ind w:firstLine="480" w:firstLineChars="200"/>
              <w:rPr>
                <w:rFonts w:hint="eastAsia" w:eastAsia="宋体"/>
                <w:bCs/>
                <w:color w:val="auto"/>
                <w:sz w:val="24"/>
                <w:szCs w:val="21"/>
                <w:lang w:eastAsia="zh-CN"/>
              </w:rPr>
            </w:pPr>
            <w:r>
              <w:rPr>
                <w:rFonts w:hint="eastAsia"/>
                <w:bCs/>
                <w:color w:val="auto"/>
                <w:sz w:val="24"/>
                <w:szCs w:val="21"/>
              </w:rPr>
              <w:t>附件</w:t>
            </w:r>
            <w:r>
              <w:rPr>
                <w:rFonts w:hint="eastAsia"/>
                <w:bCs/>
                <w:color w:val="auto"/>
                <w:sz w:val="24"/>
                <w:szCs w:val="21"/>
                <w:lang w:val="en-US" w:eastAsia="zh-CN"/>
              </w:rPr>
              <w:t>6</w:t>
            </w:r>
            <w:r>
              <w:rPr>
                <w:rFonts w:hint="eastAsia"/>
                <w:bCs/>
                <w:color w:val="auto"/>
                <w:sz w:val="24"/>
                <w:szCs w:val="21"/>
              </w:rPr>
              <w:t>、</w:t>
            </w:r>
            <w:r>
              <w:rPr>
                <w:rFonts w:hint="eastAsia"/>
                <w:bCs/>
                <w:color w:val="auto"/>
                <w:sz w:val="24"/>
                <w:szCs w:val="21"/>
                <w:lang w:eastAsia="zh-CN"/>
              </w:rPr>
              <w:t>检测报告</w:t>
            </w:r>
            <w:r>
              <w:rPr>
                <w:rFonts w:hint="eastAsia"/>
                <w:bCs/>
                <w:color w:val="auto"/>
                <w:sz w:val="24"/>
                <w:szCs w:val="21"/>
              </w:rPr>
              <w:t>；</w:t>
            </w:r>
          </w:p>
          <w:p>
            <w:pPr>
              <w:adjustRightInd w:val="0"/>
              <w:snapToGrid w:val="0"/>
              <w:spacing w:line="360" w:lineRule="auto"/>
              <w:ind w:firstLine="480" w:firstLineChars="200"/>
              <w:rPr>
                <w:rFonts w:hint="eastAsia" w:ascii="Times New Roman" w:hAnsi="Times New Roman" w:eastAsia="宋体" w:cs="Times New Roman"/>
                <w:bCs/>
                <w:color w:val="auto"/>
                <w:sz w:val="24"/>
                <w:szCs w:val="21"/>
                <w:lang w:eastAsia="zh-CN"/>
              </w:rPr>
            </w:pPr>
            <w:r>
              <w:rPr>
                <w:rFonts w:hint="eastAsia" w:ascii="Times New Roman" w:hAnsi="Times New Roman" w:cs="Times New Roman"/>
                <w:bCs/>
                <w:color w:val="auto"/>
                <w:sz w:val="24"/>
                <w:szCs w:val="21"/>
              </w:rPr>
              <w:t>附件</w:t>
            </w:r>
            <w:r>
              <w:rPr>
                <w:rFonts w:hint="eastAsia" w:ascii="Times New Roman" w:hAnsi="Times New Roman" w:cs="Times New Roman"/>
                <w:bCs/>
                <w:color w:val="auto"/>
                <w:sz w:val="24"/>
                <w:szCs w:val="21"/>
                <w:lang w:val="en-US" w:eastAsia="zh-CN"/>
              </w:rPr>
              <w:t>7</w:t>
            </w:r>
            <w:r>
              <w:rPr>
                <w:rFonts w:hint="eastAsia" w:ascii="Times New Roman" w:hAnsi="Times New Roman" w:cs="Times New Roman"/>
                <w:bCs/>
                <w:color w:val="auto"/>
                <w:sz w:val="24"/>
                <w:szCs w:val="21"/>
              </w:rPr>
              <w:t>、专家组意见修改清单</w:t>
            </w:r>
            <w:r>
              <w:rPr>
                <w:rFonts w:hint="eastAsia" w:ascii="Times New Roman" w:hAnsi="Times New Roman" w:cs="Times New Roman"/>
                <w:bCs/>
                <w:color w:val="auto"/>
                <w:sz w:val="24"/>
                <w:szCs w:val="21"/>
                <w:lang w:eastAsia="zh-CN"/>
              </w:rPr>
              <w:t>。</w:t>
            </w:r>
          </w:p>
          <w:p>
            <w:pPr>
              <w:adjustRightInd w:val="0"/>
              <w:snapToGrid w:val="0"/>
              <w:ind w:firstLine="480" w:firstLineChars="200"/>
              <w:rPr>
                <w:rFonts w:hint="eastAsia" w:ascii="宋体" w:hAnsi="宋体" w:cs="宋体"/>
                <w:szCs w:val="21"/>
              </w:rPr>
            </w:pPr>
          </w:p>
        </w:tc>
      </w:tr>
    </w:tbl>
    <w:p>
      <w:pPr>
        <w:rPr>
          <w:rFonts w:ascii="Times New Roman" w:eastAsia="宋体"/>
          <w:sz w:val="28"/>
        </w:rPr>
      </w:pPr>
      <w:r>
        <w:rPr>
          <w:rFonts w:ascii="Times New Roman" w:eastAsia="宋体"/>
          <w:sz w:val="28"/>
        </w:rPr>
        <w:br w:type="page"/>
      </w:r>
    </w:p>
    <w:p>
      <w:pPr>
        <w:ind w:left="0" w:leftChars="0" w:firstLine="0" w:firstLineChars="0"/>
        <w:jc w:val="center"/>
        <w:rPr>
          <w:rFonts w:hint="eastAsia" w:ascii="黑体" w:hAnsi="黑体" w:eastAsia="黑体" w:cs="黑体"/>
          <w:spacing w:val="-2"/>
          <w:sz w:val="24"/>
          <w:szCs w:val="24"/>
          <w:lang w:eastAsia="zh-CN"/>
        </w:rPr>
        <w:sectPr>
          <w:pgSz w:w="11906" w:h="16838"/>
          <w:pgMar w:top="1440" w:right="1800" w:bottom="1440" w:left="1800" w:header="851" w:footer="992" w:gutter="0"/>
          <w:cols w:space="425" w:num="1"/>
          <w:docGrid w:type="lines" w:linePitch="312" w:charSpace="0"/>
        </w:sectPr>
      </w:pPr>
    </w:p>
    <w:p>
      <w:pPr>
        <w:rPr>
          <w:rFonts w:hint="eastAsia"/>
          <w:lang w:eastAsia="zh-CN"/>
        </w:rPr>
      </w:pPr>
      <w:bookmarkStart w:id="3" w:name="_GoBack"/>
      <w:bookmarkEnd w:id="3"/>
    </w:p>
    <w:sectPr>
      <w:pgSz w:w="16838" w:h="11906" w:orient="landscape"/>
      <w:pgMar w:top="1800" w:right="1440" w:bottom="1800" w:left="1440" w:header="851" w:footer="1077"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7"/>
      </w:rPr>
    </w:pPr>
    <w:r>
      <w:rPr>
        <w:rStyle w:val="17"/>
      </w:rPr>
      <w:fldChar w:fldCharType="begin"/>
    </w:r>
    <w:r>
      <w:rPr>
        <w:rStyle w:val="17"/>
      </w:rPr>
      <w:instrText xml:space="preserve">PAGE  </w:instrText>
    </w:r>
    <w:r>
      <w:rPr>
        <w:rStyle w:val="17"/>
      </w:rPr>
      <w:fldChar w:fldCharType="end"/>
    </w:r>
  </w:p>
  <w:p>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7"/>
        <w:rFonts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Style w:val="17"/>
        <w:rFonts w:ascii="宋体" w:hAnsi="宋体"/>
        <w:sz w:val="26"/>
        <w:szCs w:val="26"/>
      </w:rPr>
      <w:fldChar w:fldCharType="begin"/>
    </w:r>
    <w:r>
      <w:rPr>
        <w:rStyle w:val="17"/>
        <w:rFonts w:ascii="宋体" w:hAnsi="宋体"/>
        <w:sz w:val="26"/>
        <w:szCs w:val="26"/>
      </w:rPr>
      <w:instrText xml:space="preserve">PAGE  </w:instrText>
    </w:r>
    <w:r>
      <w:rPr>
        <w:rStyle w:val="17"/>
        <w:rFonts w:ascii="宋体" w:hAnsi="宋体"/>
        <w:sz w:val="26"/>
        <w:szCs w:val="26"/>
      </w:rPr>
      <w:fldChar w:fldCharType="separate"/>
    </w:r>
    <w:r>
      <w:rPr>
        <w:rStyle w:val="17"/>
        <w:rFonts w:ascii="宋体" w:hAnsi="宋体"/>
        <w:sz w:val="26"/>
        <w:szCs w:val="26"/>
      </w:rPr>
      <w:t>22</w:t>
    </w:r>
    <w:r>
      <w:rPr>
        <w:rStyle w:val="17"/>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p>
    <w:pPr>
      <w:pStyle w:val="9"/>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F4404B"/>
    <w:multiLevelType w:val="singleLevel"/>
    <w:tmpl w:val="C0F4404B"/>
    <w:lvl w:ilvl="0" w:tentative="0">
      <w:start w:val="1"/>
      <w:numFmt w:val="decimal"/>
      <w:suff w:val="nothing"/>
      <w:lvlText w:val="（%1）"/>
      <w:lvlJc w:val="left"/>
    </w:lvl>
  </w:abstractNum>
  <w:abstractNum w:abstractNumId="1">
    <w:nsid w:val="FBC138FF"/>
    <w:multiLevelType w:val="singleLevel"/>
    <w:tmpl w:val="FBC138FF"/>
    <w:lvl w:ilvl="0" w:tentative="0">
      <w:start w:val="1"/>
      <w:numFmt w:val="decimalEnclosedCircleChinese"/>
      <w:suff w:val="nothing"/>
      <w:lvlText w:val="%1　"/>
      <w:lvlJc w:val="left"/>
      <w:pPr>
        <w:ind w:left="0" w:firstLine="400"/>
      </w:pPr>
      <w:rPr>
        <w:rFonts w:hint="eastAsia"/>
      </w:rPr>
    </w:lvl>
  </w:abstractNum>
  <w:abstractNum w:abstractNumId="2">
    <w:nsid w:val="4FA8933A"/>
    <w:multiLevelType w:val="singleLevel"/>
    <w:tmpl w:val="4FA8933A"/>
    <w:lvl w:ilvl="0" w:tentative="0">
      <w:start w:val="2"/>
      <w:numFmt w:val="decimal"/>
      <w:suff w:val="nothing"/>
      <w:lvlText w:val="%1、"/>
      <w:lvlJc w:val="left"/>
    </w:lvl>
  </w:abstractNum>
  <w:abstractNum w:abstractNumId="3">
    <w:nsid w:val="62082248"/>
    <w:multiLevelType w:val="singleLevel"/>
    <w:tmpl w:val="62082248"/>
    <w:lvl w:ilvl="0" w:tentative="0">
      <w:start w:val="1"/>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3NTU4NTAxZDkxM2ZhMzNlOTNlYjU2NmIzNWI1YzQifQ=="/>
    <w:docVar w:name="KSO_WPS_MARK_KEY" w:val="ebcae2cf-af1c-40a6-8d63-5f3252a40330"/>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2B62AFF"/>
    <w:rsid w:val="0422003D"/>
    <w:rsid w:val="05742AC8"/>
    <w:rsid w:val="06050F43"/>
    <w:rsid w:val="06352F05"/>
    <w:rsid w:val="063E7D85"/>
    <w:rsid w:val="067A7597"/>
    <w:rsid w:val="069A4A86"/>
    <w:rsid w:val="06C0046A"/>
    <w:rsid w:val="070875E0"/>
    <w:rsid w:val="07274093"/>
    <w:rsid w:val="07293586"/>
    <w:rsid w:val="07295285"/>
    <w:rsid w:val="07770C56"/>
    <w:rsid w:val="09213488"/>
    <w:rsid w:val="092217DD"/>
    <w:rsid w:val="093A7294"/>
    <w:rsid w:val="09452B1A"/>
    <w:rsid w:val="09A9118D"/>
    <w:rsid w:val="0A5E086C"/>
    <w:rsid w:val="0AA07F07"/>
    <w:rsid w:val="0B19027A"/>
    <w:rsid w:val="0B90798C"/>
    <w:rsid w:val="0BD27BF6"/>
    <w:rsid w:val="0CEF5748"/>
    <w:rsid w:val="0DC02AE4"/>
    <w:rsid w:val="0DEC361F"/>
    <w:rsid w:val="0E110D06"/>
    <w:rsid w:val="0E72571D"/>
    <w:rsid w:val="0F13775A"/>
    <w:rsid w:val="0F231C31"/>
    <w:rsid w:val="0F3A3481"/>
    <w:rsid w:val="0F9A112B"/>
    <w:rsid w:val="0FB63BB6"/>
    <w:rsid w:val="106A6FF4"/>
    <w:rsid w:val="106D2F64"/>
    <w:rsid w:val="10B63710"/>
    <w:rsid w:val="111C2F7A"/>
    <w:rsid w:val="113013DE"/>
    <w:rsid w:val="122B06C2"/>
    <w:rsid w:val="1381778C"/>
    <w:rsid w:val="13951726"/>
    <w:rsid w:val="14396509"/>
    <w:rsid w:val="1447165C"/>
    <w:rsid w:val="155461A5"/>
    <w:rsid w:val="1583747F"/>
    <w:rsid w:val="159C634A"/>
    <w:rsid w:val="160D22E3"/>
    <w:rsid w:val="16CA00E1"/>
    <w:rsid w:val="170974C7"/>
    <w:rsid w:val="17735226"/>
    <w:rsid w:val="18E1261C"/>
    <w:rsid w:val="19594A26"/>
    <w:rsid w:val="199F585B"/>
    <w:rsid w:val="1A1C66C0"/>
    <w:rsid w:val="1A42393B"/>
    <w:rsid w:val="1B046F80"/>
    <w:rsid w:val="1B3267B5"/>
    <w:rsid w:val="1BC25DC8"/>
    <w:rsid w:val="1C5E7925"/>
    <w:rsid w:val="1C887FC8"/>
    <w:rsid w:val="1CA636C0"/>
    <w:rsid w:val="1D0B3E46"/>
    <w:rsid w:val="1D0B5546"/>
    <w:rsid w:val="1D5F6196"/>
    <w:rsid w:val="1D6132A5"/>
    <w:rsid w:val="1D8E56D5"/>
    <w:rsid w:val="1E2F7187"/>
    <w:rsid w:val="1E394E22"/>
    <w:rsid w:val="1E6D1C80"/>
    <w:rsid w:val="1E7A43DA"/>
    <w:rsid w:val="1EB277FE"/>
    <w:rsid w:val="1F713405"/>
    <w:rsid w:val="1F9238F0"/>
    <w:rsid w:val="1FD01846"/>
    <w:rsid w:val="1FE7539E"/>
    <w:rsid w:val="1FEC23C9"/>
    <w:rsid w:val="20051463"/>
    <w:rsid w:val="20963CB8"/>
    <w:rsid w:val="20B07FB6"/>
    <w:rsid w:val="20CC3FB6"/>
    <w:rsid w:val="21184DCF"/>
    <w:rsid w:val="213055DD"/>
    <w:rsid w:val="213B74B1"/>
    <w:rsid w:val="215A2310"/>
    <w:rsid w:val="215F4DED"/>
    <w:rsid w:val="21977750"/>
    <w:rsid w:val="21DE318A"/>
    <w:rsid w:val="21EF5B80"/>
    <w:rsid w:val="22576990"/>
    <w:rsid w:val="22852BF1"/>
    <w:rsid w:val="229C4EAB"/>
    <w:rsid w:val="22FF1A2B"/>
    <w:rsid w:val="23D45A57"/>
    <w:rsid w:val="252D53FE"/>
    <w:rsid w:val="259C2894"/>
    <w:rsid w:val="259D0E7A"/>
    <w:rsid w:val="25C43B67"/>
    <w:rsid w:val="25C922F2"/>
    <w:rsid w:val="25EC2D81"/>
    <w:rsid w:val="25F93B9B"/>
    <w:rsid w:val="264528BD"/>
    <w:rsid w:val="26B033AB"/>
    <w:rsid w:val="26D305D9"/>
    <w:rsid w:val="26D70BF9"/>
    <w:rsid w:val="275B6773"/>
    <w:rsid w:val="2797083D"/>
    <w:rsid w:val="27D15DD1"/>
    <w:rsid w:val="28A76295"/>
    <w:rsid w:val="28C7089C"/>
    <w:rsid w:val="29206EB8"/>
    <w:rsid w:val="29335B66"/>
    <w:rsid w:val="295E09A1"/>
    <w:rsid w:val="29E325E0"/>
    <w:rsid w:val="2A452503"/>
    <w:rsid w:val="2A6D7F28"/>
    <w:rsid w:val="2AC41ADF"/>
    <w:rsid w:val="2AD57308"/>
    <w:rsid w:val="2B2D3C56"/>
    <w:rsid w:val="2B8A1A00"/>
    <w:rsid w:val="2BA936A8"/>
    <w:rsid w:val="2C315A5A"/>
    <w:rsid w:val="2CB96F67"/>
    <w:rsid w:val="2D9E56F5"/>
    <w:rsid w:val="2DBC6D34"/>
    <w:rsid w:val="2E0F2B31"/>
    <w:rsid w:val="2E667F96"/>
    <w:rsid w:val="2E8226AB"/>
    <w:rsid w:val="2F451D23"/>
    <w:rsid w:val="2F812ABA"/>
    <w:rsid w:val="2F832C79"/>
    <w:rsid w:val="2FEF2D58"/>
    <w:rsid w:val="3016275D"/>
    <w:rsid w:val="302742BD"/>
    <w:rsid w:val="30571724"/>
    <w:rsid w:val="30580BC9"/>
    <w:rsid w:val="30C1608D"/>
    <w:rsid w:val="30E14632"/>
    <w:rsid w:val="311E2ED7"/>
    <w:rsid w:val="315C449C"/>
    <w:rsid w:val="31B82709"/>
    <w:rsid w:val="32363DC9"/>
    <w:rsid w:val="32387AD5"/>
    <w:rsid w:val="32400B34"/>
    <w:rsid w:val="32521A71"/>
    <w:rsid w:val="329E6876"/>
    <w:rsid w:val="32A35636"/>
    <w:rsid w:val="32D84B4F"/>
    <w:rsid w:val="33A763D4"/>
    <w:rsid w:val="33D934D4"/>
    <w:rsid w:val="33F850E3"/>
    <w:rsid w:val="33FE2F6A"/>
    <w:rsid w:val="35545336"/>
    <w:rsid w:val="35714F81"/>
    <w:rsid w:val="36074A7F"/>
    <w:rsid w:val="36440410"/>
    <w:rsid w:val="36923549"/>
    <w:rsid w:val="36B75FBF"/>
    <w:rsid w:val="36D56171"/>
    <w:rsid w:val="36FB4891"/>
    <w:rsid w:val="38F12CD3"/>
    <w:rsid w:val="38F94775"/>
    <w:rsid w:val="39162ADC"/>
    <w:rsid w:val="392971ED"/>
    <w:rsid w:val="3A6D4AD2"/>
    <w:rsid w:val="3AFE3401"/>
    <w:rsid w:val="3B3763D1"/>
    <w:rsid w:val="3B5107F9"/>
    <w:rsid w:val="3C502C27"/>
    <w:rsid w:val="3CDA245A"/>
    <w:rsid w:val="3CEE0A37"/>
    <w:rsid w:val="3D4F52F5"/>
    <w:rsid w:val="3DAF2939"/>
    <w:rsid w:val="3DC570E7"/>
    <w:rsid w:val="3F660E74"/>
    <w:rsid w:val="3FB317F8"/>
    <w:rsid w:val="3FE37838"/>
    <w:rsid w:val="40423639"/>
    <w:rsid w:val="4055582A"/>
    <w:rsid w:val="407A6407"/>
    <w:rsid w:val="42024343"/>
    <w:rsid w:val="423A3BCC"/>
    <w:rsid w:val="42B66E6E"/>
    <w:rsid w:val="433A6FE6"/>
    <w:rsid w:val="434370AD"/>
    <w:rsid w:val="4350713C"/>
    <w:rsid w:val="43540C16"/>
    <w:rsid w:val="436653E0"/>
    <w:rsid w:val="43671B9B"/>
    <w:rsid w:val="44B00772"/>
    <w:rsid w:val="44CD14E0"/>
    <w:rsid w:val="45121FB6"/>
    <w:rsid w:val="458946E9"/>
    <w:rsid w:val="45B1796B"/>
    <w:rsid w:val="45C24A12"/>
    <w:rsid w:val="46D955A7"/>
    <w:rsid w:val="47133957"/>
    <w:rsid w:val="4779329E"/>
    <w:rsid w:val="47A07E0C"/>
    <w:rsid w:val="47C50090"/>
    <w:rsid w:val="4870272E"/>
    <w:rsid w:val="48825F81"/>
    <w:rsid w:val="49813ADE"/>
    <w:rsid w:val="49DC7715"/>
    <w:rsid w:val="4A023139"/>
    <w:rsid w:val="4A7B576F"/>
    <w:rsid w:val="4B3A52F5"/>
    <w:rsid w:val="4B573A2A"/>
    <w:rsid w:val="4BD47C08"/>
    <w:rsid w:val="4C4A0649"/>
    <w:rsid w:val="4CE470D3"/>
    <w:rsid w:val="4D997906"/>
    <w:rsid w:val="4DEC4FB0"/>
    <w:rsid w:val="4E075D8A"/>
    <w:rsid w:val="4E364FD8"/>
    <w:rsid w:val="4E567C49"/>
    <w:rsid w:val="4ECF4EE4"/>
    <w:rsid w:val="4EF54608"/>
    <w:rsid w:val="4F6503D1"/>
    <w:rsid w:val="4FC62A8C"/>
    <w:rsid w:val="4FC96B8B"/>
    <w:rsid w:val="4FE20F0D"/>
    <w:rsid w:val="5031680C"/>
    <w:rsid w:val="50504C4B"/>
    <w:rsid w:val="509C6E7C"/>
    <w:rsid w:val="50AE11F8"/>
    <w:rsid w:val="50F10148"/>
    <w:rsid w:val="5162104E"/>
    <w:rsid w:val="51D50166"/>
    <w:rsid w:val="51DB1E3C"/>
    <w:rsid w:val="52B77901"/>
    <w:rsid w:val="52BF030C"/>
    <w:rsid w:val="53A039CC"/>
    <w:rsid w:val="53A1505A"/>
    <w:rsid w:val="54063E08"/>
    <w:rsid w:val="543437E8"/>
    <w:rsid w:val="54877909"/>
    <w:rsid w:val="54CE266B"/>
    <w:rsid w:val="54EF63C9"/>
    <w:rsid w:val="559B174B"/>
    <w:rsid w:val="55CE0CF4"/>
    <w:rsid w:val="56B22A9C"/>
    <w:rsid w:val="57B72A76"/>
    <w:rsid w:val="592422FA"/>
    <w:rsid w:val="59424C86"/>
    <w:rsid w:val="598C2CAF"/>
    <w:rsid w:val="59B63841"/>
    <w:rsid w:val="59FE2632"/>
    <w:rsid w:val="5A3C747D"/>
    <w:rsid w:val="5AA8585C"/>
    <w:rsid w:val="5ABE2233"/>
    <w:rsid w:val="5B276D18"/>
    <w:rsid w:val="5B9659E1"/>
    <w:rsid w:val="5BDF5D95"/>
    <w:rsid w:val="5CC17216"/>
    <w:rsid w:val="5CF82CE0"/>
    <w:rsid w:val="5D290C69"/>
    <w:rsid w:val="5D924A61"/>
    <w:rsid w:val="5DF87A0F"/>
    <w:rsid w:val="5F1A2B43"/>
    <w:rsid w:val="5FB837BB"/>
    <w:rsid w:val="60B77FA4"/>
    <w:rsid w:val="62364782"/>
    <w:rsid w:val="62DF46DE"/>
    <w:rsid w:val="62FD01E9"/>
    <w:rsid w:val="633F164E"/>
    <w:rsid w:val="63437E97"/>
    <w:rsid w:val="63C80FC1"/>
    <w:rsid w:val="63D40BE9"/>
    <w:rsid w:val="63E0211F"/>
    <w:rsid w:val="64D70D63"/>
    <w:rsid w:val="65373578"/>
    <w:rsid w:val="668E06B4"/>
    <w:rsid w:val="67045330"/>
    <w:rsid w:val="6736645D"/>
    <w:rsid w:val="673F2C7A"/>
    <w:rsid w:val="676A25AA"/>
    <w:rsid w:val="67B2264C"/>
    <w:rsid w:val="67FC1454"/>
    <w:rsid w:val="681F6961"/>
    <w:rsid w:val="68610A2F"/>
    <w:rsid w:val="68805514"/>
    <w:rsid w:val="68875D0A"/>
    <w:rsid w:val="68E7526E"/>
    <w:rsid w:val="694E2071"/>
    <w:rsid w:val="697A3B33"/>
    <w:rsid w:val="699E2456"/>
    <w:rsid w:val="6ABD02DB"/>
    <w:rsid w:val="6AEB66E2"/>
    <w:rsid w:val="6B0D597A"/>
    <w:rsid w:val="6B322639"/>
    <w:rsid w:val="6B6F6632"/>
    <w:rsid w:val="6C636C38"/>
    <w:rsid w:val="6DB34098"/>
    <w:rsid w:val="6DB545B6"/>
    <w:rsid w:val="6E272A9D"/>
    <w:rsid w:val="6E4375A0"/>
    <w:rsid w:val="6E514CED"/>
    <w:rsid w:val="6E79491A"/>
    <w:rsid w:val="6EB563D5"/>
    <w:rsid w:val="6ED53FAA"/>
    <w:rsid w:val="6F225983"/>
    <w:rsid w:val="6F3C2A7E"/>
    <w:rsid w:val="6FFC5590"/>
    <w:rsid w:val="700C7562"/>
    <w:rsid w:val="70256A72"/>
    <w:rsid w:val="70301DA3"/>
    <w:rsid w:val="704279C3"/>
    <w:rsid w:val="7064352B"/>
    <w:rsid w:val="706D190D"/>
    <w:rsid w:val="706D1DD0"/>
    <w:rsid w:val="70856B87"/>
    <w:rsid w:val="70D527EE"/>
    <w:rsid w:val="71234121"/>
    <w:rsid w:val="715B5300"/>
    <w:rsid w:val="715F4BD7"/>
    <w:rsid w:val="71D27F8A"/>
    <w:rsid w:val="71F744C6"/>
    <w:rsid w:val="71F960CF"/>
    <w:rsid w:val="72F23AA2"/>
    <w:rsid w:val="731F5D5E"/>
    <w:rsid w:val="741E793C"/>
    <w:rsid w:val="74793CB5"/>
    <w:rsid w:val="74A4302B"/>
    <w:rsid w:val="74E46B3D"/>
    <w:rsid w:val="7501060A"/>
    <w:rsid w:val="758D75E2"/>
    <w:rsid w:val="763354FC"/>
    <w:rsid w:val="767F1A69"/>
    <w:rsid w:val="77567217"/>
    <w:rsid w:val="77762421"/>
    <w:rsid w:val="77777D22"/>
    <w:rsid w:val="77DA64AE"/>
    <w:rsid w:val="780F09F4"/>
    <w:rsid w:val="789C4F47"/>
    <w:rsid w:val="78A90480"/>
    <w:rsid w:val="793772DB"/>
    <w:rsid w:val="79811327"/>
    <w:rsid w:val="79A306A9"/>
    <w:rsid w:val="79E7013D"/>
    <w:rsid w:val="7A364017"/>
    <w:rsid w:val="7A8265E1"/>
    <w:rsid w:val="7AED6E30"/>
    <w:rsid w:val="7B686D42"/>
    <w:rsid w:val="7B841746"/>
    <w:rsid w:val="7B9A3800"/>
    <w:rsid w:val="7B9C1CE2"/>
    <w:rsid w:val="7D0239FF"/>
    <w:rsid w:val="7D5E40CD"/>
    <w:rsid w:val="7D693BED"/>
    <w:rsid w:val="7F2809EB"/>
    <w:rsid w:val="7F85072D"/>
    <w:rsid w:val="7FDB3E55"/>
    <w:rsid w:val="7FE47E50"/>
    <w:rsid w:val="7FE8518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ocked="1"/>
    <w:lsdException w:unhideWhenUsed="0"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3">
    <w:name w:val="toa heading"/>
    <w:basedOn w:val="1"/>
    <w:next w:val="1"/>
    <w:autoRedefine/>
    <w:semiHidden/>
    <w:qFormat/>
    <w:uiPriority w:val="99"/>
    <w:pPr>
      <w:spacing w:before="120" w:line="360" w:lineRule="auto"/>
    </w:pPr>
    <w:rPr>
      <w:rFonts w:ascii="Arial" w:hAnsi="Arial" w:eastAsia="宋体" w:cs="Arial"/>
      <w:szCs w:val="24"/>
    </w:rPr>
  </w:style>
  <w:style w:type="paragraph" w:styleId="4">
    <w:name w:val="annotation text"/>
    <w:basedOn w:val="1"/>
    <w:link w:val="20"/>
    <w:autoRedefine/>
    <w:semiHidden/>
    <w:qFormat/>
    <w:uiPriority w:val="0"/>
    <w:pPr>
      <w:jc w:val="left"/>
    </w:pPr>
    <w:rPr>
      <w:kern w:val="0"/>
      <w:sz w:val="20"/>
    </w:rPr>
  </w:style>
  <w:style w:type="paragraph" w:styleId="5">
    <w:name w:val="Body Text"/>
    <w:basedOn w:val="1"/>
    <w:link w:val="21"/>
    <w:autoRedefine/>
    <w:qFormat/>
    <w:uiPriority w:val="0"/>
    <w:pPr>
      <w:widowControl/>
      <w:snapToGrid w:val="0"/>
      <w:spacing w:before="60" w:after="160" w:line="259" w:lineRule="auto"/>
      <w:ind w:right="113"/>
    </w:pPr>
    <w:rPr>
      <w:kern w:val="0"/>
      <w:sz w:val="18"/>
      <w:szCs w:val="18"/>
    </w:rPr>
  </w:style>
  <w:style w:type="paragraph" w:styleId="6">
    <w:name w:val="Body Text Indent"/>
    <w:basedOn w:val="1"/>
    <w:next w:val="1"/>
    <w:link w:val="22"/>
    <w:autoRedefine/>
    <w:semiHidden/>
    <w:qFormat/>
    <w:uiPriority w:val="0"/>
    <w:pPr>
      <w:spacing w:after="120"/>
      <w:ind w:left="420" w:leftChars="200"/>
    </w:pPr>
  </w:style>
  <w:style w:type="paragraph" w:styleId="7">
    <w:name w:val="Date"/>
    <w:basedOn w:val="1"/>
    <w:next w:val="1"/>
    <w:link w:val="23"/>
    <w:autoRedefine/>
    <w:qFormat/>
    <w:uiPriority w:val="0"/>
    <w:pPr>
      <w:ind w:left="100" w:leftChars="2500"/>
    </w:pPr>
    <w:rPr>
      <w:kern w:val="0"/>
      <w:sz w:val="20"/>
    </w:rPr>
  </w:style>
  <w:style w:type="paragraph" w:styleId="8">
    <w:name w:val="Balloon Text"/>
    <w:basedOn w:val="1"/>
    <w:link w:val="24"/>
    <w:autoRedefine/>
    <w:qFormat/>
    <w:uiPriority w:val="0"/>
    <w:rPr>
      <w:sz w:val="18"/>
      <w:szCs w:val="18"/>
    </w:rPr>
  </w:style>
  <w:style w:type="paragraph" w:styleId="9">
    <w:name w:val="footer"/>
    <w:basedOn w:val="1"/>
    <w:link w:val="25"/>
    <w:autoRedefine/>
    <w:qFormat/>
    <w:uiPriority w:val="0"/>
    <w:pPr>
      <w:tabs>
        <w:tab w:val="center" w:pos="4153"/>
        <w:tab w:val="right" w:pos="8306"/>
      </w:tabs>
      <w:snapToGrid w:val="0"/>
      <w:jc w:val="left"/>
    </w:pPr>
    <w:rPr>
      <w:sz w:val="18"/>
      <w:szCs w:val="18"/>
    </w:rPr>
  </w:style>
  <w:style w:type="paragraph" w:styleId="10">
    <w:name w:val="header"/>
    <w:basedOn w:val="1"/>
    <w:link w:val="26"/>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link w:val="27"/>
    <w:autoRedefine/>
    <w:qFormat/>
    <w:uiPriority w:val="0"/>
    <w:pPr>
      <w:widowControl/>
      <w:spacing w:before="100" w:beforeAutospacing="1" w:after="100" w:afterAutospacing="1"/>
      <w:jc w:val="left"/>
    </w:pPr>
    <w:rPr>
      <w:rFonts w:ascii="宋体" w:hAnsi="宋体"/>
      <w:kern w:val="0"/>
      <w:sz w:val="24"/>
    </w:rPr>
  </w:style>
  <w:style w:type="paragraph" w:styleId="12">
    <w:name w:val="annotation subject"/>
    <w:basedOn w:val="4"/>
    <w:next w:val="4"/>
    <w:link w:val="28"/>
    <w:autoRedefine/>
    <w:semiHidden/>
    <w:qFormat/>
    <w:uiPriority w:val="0"/>
    <w:rPr>
      <w:b/>
      <w:bCs/>
    </w:rPr>
  </w:style>
  <w:style w:type="paragraph" w:styleId="13">
    <w:name w:val="Body Text First Indent 2"/>
    <w:basedOn w:val="6"/>
    <w:next w:val="1"/>
    <w:autoRedefine/>
    <w:qFormat/>
    <w:uiPriority w:val="99"/>
    <w:pPr>
      <w:ind w:firstLine="420" w:firstLineChars="200"/>
    </w:pPr>
  </w:style>
  <w:style w:type="table" w:styleId="15">
    <w:name w:val="Table Grid"/>
    <w:basedOn w:val="14"/>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annotation reference"/>
    <w:basedOn w:val="16"/>
    <w:autoRedefine/>
    <w:semiHidden/>
    <w:qFormat/>
    <w:uiPriority w:val="0"/>
    <w:rPr>
      <w:sz w:val="21"/>
    </w:rPr>
  </w:style>
  <w:style w:type="paragraph" w:customStyle="1" w:styleId="19">
    <w:name w:val="表格文字"/>
    <w:basedOn w:val="1"/>
    <w:autoRedefine/>
    <w:qFormat/>
    <w:uiPriority w:val="0"/>
    <w:pPr>
      <w:spacing w:line="240" w:lineRule="auto"/>
      <w:ind w:firstLine="0" w:firstLineChars="0"/>
      <w:jc w:val="center"/>
    </w:pPr>
    <w:rPr>
      <w:rFonts w:ascii="Times New Roman" w:hAnsi="Times New Roman"/>
      <w:sz w:val="21"/>
    </w:rPr>
  </w:style>
  <w:style w:type="character" w:customStyle="1" w:styleId="20">
    <w:name w:val="Comment Text Char"/>
    <w:link w:val="4"/>
    <w:autoRedefine/>
    <w:qFormat/>
    <w:locked/>
    <w:uiPriority w:val="0"/>
    <w:rPr>
      <w:rFonts w:ascii="Times New Roman" w:hAnsi="Times New Roman" w:eastAsia="宋体"/>
      <w:sz w:val="24"/>
    </w:rPr>
  </w:style>
  <w:style w:type="character" w:customStyle="1" w:styleId="21">
    <w:name w:val="Body Text Char"/>
    <w:link w:val="5"/>
    <w:autoRedefine/>
    <w:qFormat/>
    <w:locked/>
    <w:uiPriority w:val="0"/>
    <w:rPr>
      <w:sz w:val="18"/>
    </w:rPr>
  </w:style>
  <w:style w:type="character" w:customStyle="1" w:styleId="22">
    <w:name w:val="Body Text Indent Char"/>
    <w:basedOn w:val="16"/>
    <w:link w:val="6"/>
    <w:autoRedefine/>
    <w:semiHidden/>
    <w:qFormat/>
    <w:locked/>
    <w:uiPriority w:val="0"/>
    <w:rPr>
      <w:rFonts w:ascii="Times New Roman" w:hAnsi="Times New Roman" w:eastAsia="宋体" w:cs="Times New Roman"/>
      <w:sz w:val="24"/>
      <w:szCs w:val="24"/>
    </w:rPr>
  </w:style>
  <w:style w:type="character" w:customStyle="1" w:styleId="23">
    <w:name w:val="Date Char"/>
    <w:link w:val="7"/>
    <w:autoRedefine/>
    <w:qFormat/>
    <w:locked/>
    <w:uiPriority w:val="0"/>
    <w:rPr>
      <w:rFonts w:ascii="Times New Roman" w:hAnsi="Times New Roman" w:eastAsia="宋体"/>
      <w:sz w:val="24"/>
    </w:rPr>
  </w:style>
  <w:style w:type="character" w:customStyle="1" w:styleId="24">
    <w:name w:val="Balloon Text Char"/>
    <w:basedOn w:val="16"/>
    <w:link w:val="8"/>
    <w:autoRedefine/>
    <w:semiHidden/>
    <w:qFormat/>
    <w:locked/>
    <w:uiPriority w:val="0"/>
    <w:rPr>
      <w:rFonts w:ascii="Times New Roman" w:hAnsi="Times New Roman" w:eastAsia="宋体" w:cs="Times New Roman"/>
      <w:sz w:val="18"/>
      <w:szCs w:val="18"/>
    </w:rPr>
  </w:style>
  <w:style w:type="character" w:customStyle="1" w:styleId="25">
    <w:name w:val="Footer Char"/>
    <w:basedOn w:val="16"/>
    <w:link w:val="9"/>
    <w:autoRedefine/>
    <w:qFormat/>
    <w:locked/>
    <w:uiPriority w:val="0"/>
    <w:rPr>
      <w:rFonts w:cs="Times New Roman"/>
      <w:sz w:val="18"/>
      <w:szCs w:val="18"/>
    </w:rPr>
  </w:style>
  <w:style w:type="character" w:customStyle="1" w:styleId="26">
    <w:name w:val="Header Char"/>
    <w:basedOn w:val="16"/>
    <w:link w:val="10"/>
    <w:autoRedefine/>
    <w:qFormat/>
    <w:locked/>
    <w:uiPriority w:val="0"/>
    <w:rPr>
      <w:rFonts w:cs="Times New Roman"/>
      <w:sz w:val="18"/>
      <w:szCs w:val="18"/>
    </w:rPr>
  </w:style>
  <w:style w:type="character" w:customStyle="1" w:styleId="27">
    <w:name w:val="Normal (Web) Char"/>
    <w:link w:val="11"/>
    <w:autoRedefine/>
    <w:qFormat/>
    <w:locked/>
    <w:uiPriority w:val="0"/>
    <w:rPr>
      <w:rFonts w:ascii="宋体" w:hAnsi="宋体" w:eastAsia="宋体"/>
      <w:sz w:val="24"/>
    </w:rPr>
  </w:style>
  <w:style w:type="character" w:customStyle="1" w:styleId="28">
    <w:name w:val="Comment Subject Char"/>
    <w:basedOn w:val="20"/>
    <w:link w:val="12"/>
    <w:autoRedefine/>
    <w:semiHidden/>
    <w:qFormat/>
    <w:locked/>
    <w:uiPriority w:val="0"/>
    <w:rPr>
      <w:rFonts w:cs="Times New Roman"/>
      <w:b/>
      <w:bCs/>
      <w:kern w:val="2"/>
      <w:szCs w:val="24"/>
    </w:rPr>
  </w:style>
  <w:style w:type="character" w:customStyle="1" w:styleId="29">
    <w:name w:val="日期 字符"/>
    <w:basedOn w:val="16"/>
    <w:autoRedefine/>
    <w:semiHidden/>
    <w:qFormat/>
    <w:uiPriority w:val="0"/>
    <w:rPr>
      <w:rFonts w:ascii="Times New Roman" w:hAnsi="Times New Roman" w:eastAsia="宋体" w:cs="Times New Roman"/>
      <w:sz w:val="24"/>
      <w:szCs w:val="24"/>
    </w:rPr>
  </w:style>
  <w:style w:type="character" w:customStyle="1" w:styleId="30">
    <w:name w:val="正文文本 字符1"/>
    <w:basedOn w:val="16"/>
    <w:autoRedefine/>
    <w:semiHidden/>
    <w:qFormat/>
    <w:uiPriority w:val="0"/>
    <w:rPr>
      <w:rFonts w:ascii="Times New Roman" w:hAnsi="Times New Roman" w:eastAsia="宋体" w:cs="Times New Roman"/>
      <w:sz w:val="24"/>
      <w:szCs w:val="24"/>
    </w:rPr>
  </w:style>
  <w:style w:type="paragraph" w:customStyle="1" w:styleId="31">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32">
    <w:name w:val="表格 Char"/>
    <w:link w:val="33"/>
    <w:autoRedefine/>
    <w:qFormat/>
    <w:locked/>
    <w:uiPriority w:val="0"/>
    <w:rPr>
      <w:rFonts w:ascii="宋体"/>
      <w:sz w:val="21"/>
    </w:rPr>
  </w:style>
  <w:style w:type="paragraph" w:customStyle="1" w:styleId="33">
    <w:name w:val="表格"/>
    <w:basedOn w:val="1"/>
    <w:next w:val="1"/>
    <w:link w:val="32"/>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34">
    <w:name w:val="批注文字 字符1"/>
    <w:basedOn w:val="16"/>
    <w:autoRedefine/>
    <w:semiHidden/>
    <w:qFormat/>
    <w:uiPriority w:val="0"/>
    <w:rPr>
      <w:rFonts w:ascii="Times New Roman" w:hAnsi="Times New Roman" w:eastAsia="宋体" w:cs="Times New Roman"/>
      <w:sz w:val="24"/>
      <w:szCs w:val="24"/>
    </w:rPr>
  </w:style>
  <w:style w:type="character" w:customStyle="1" w:styleId="35">
    <w:name w:val="普通(网站) Char"/>
    <w:autoRedefine/>
    <w:qFormat/>
    <w:locked/>
    <w:uiPriority w:val="0"/>
    <w:rPr>
      <w:rFonts w:ascii="宋体" w:hAnsi="宋体" w:eastAsia="宋体"/>
      <w:sz w:val="24"/>
    </w:rPr>
  </w:style>
  <w:style w:type="table" w:customStyle="1" w:styleId="36">
    <w:name w:val="Table Normal"/>
    <w:autoRedefine/>
    <w:unhideWhenUsed/>
    <w:qFormat/>
    <w:uiPriority w:val="0"/>
    <w:tblPr>
      <w:tblCellMar>
        <w:top w:w="0" w:type="dxa"/>
        <w:left w:w="0" w:type="dxa"/>
        <w:bottom w:w="0" w:type="dxa"/>
        <w:right w:w="0" w:type="dxa"/>
      </w:tblCellMar>
    </w:tblPr>
  </w:style>
  <w:style w:type="paragraph" w:customStyle="1" w:styleId="37">
    <w:name w:val="表头"/>
    <w:basedOn w:val="1"/>
    <w:next w:val="19"/>
    <w:autoRedefine/>
    <w:semiHidden/>
    <w:qFormat/>
    <w:uiPriority w:val="0"/>
    <w:rPr>
      <w:rFonts w:ascii="宋体" w:hAnsi="宋体" w:cs="宋体"/>
      <w:lang w:eastAsia="en-US"/>
    </w:rPr>
  </w:style>
  <w:style w:type="paragraph" w:customStyle="1" w:styleId="38">
    <w:name w:val="Table Paragraph"/>
    <w:basedOn w:val="1"/>
    <w:autoRedefine/>
    <w:qFormat/>
    <w:uiPriority w:val="1"/>
    <w:rPr>
      <w:rFonts w:ascii="宋体" w:hAnsi="宋体" w:eastAsia="宋体" w:cs="宋体"/>
      <w:lang w:val="en-US" w:eastAsia="zh-CN" w:bidi="ar-SA"/>
    </w:rPr>
  </w:style>
  <w:style w:type="paragraph" w:customStyle="1" w:styleId="39">
    <w:name w:val="Table Text"/>
    <w:basedOn w:val="1"/>
    <w:autoRedefine/>
    <w:semiHidden/>
    <w:qFormat/>
    <w:uiPriority w:val="0"/>
    <w:rPr>
      <w:rFonts w:ascii="宋体" w:hAnsi="宋体" w:eastAsia="宋体" w:cs="宋体"/>
      <w:sz w:val="24"/>
      <w:szCs w:val="24"/>
      <w:lang w:val="en-US" w:eastAsia="en-US" w:bidi="ar-SA"/>
    </w:rPr>
  </w:style>
  <w:style w:type="character" w:customStyle="1" w:styleId="40">
    <w:name w:val="font11"/>
    <w:basedOn w:val="16"/>
    <w:autoRedefine/>
    <w:qFormat/>
    <w:uiPriority w:val="0"/>
    <w:rPr>
      <w:rFonts w:hint="eastAsia" w:ascii="宋体" w:hAnsi="宋体" w:eastAsia="宋体" w:cs="宋体"/>
      <w:color w:val="000000"/>
      <w:sz w:val="21"/>
      <w:szCs w:val="21"/>
      <w:u w:val="none"/>
    </w:rPr>
  </w:style>
  <w:style w:type="character" w:customStyle="1" w:styleId="41">
    <w:name w:val="font21"/>
    <w:basedOn w:val="16"/>
    <w:autoRedefine/>
    <w:qFormat/>
    <w:uiPriority w:val="0"/>
    <w:rPr>
      <w:rFonts w:hint="default" w:ascii="Times New Roman" w:hAnsi="Times New Roman" w:cs="Times New Roman"/>
      <w:i/>
      <w:iCs/>
      <w:color w:val="000000"/>
      <w:sz w:val="21"/>
      <w:szCs w:val="21"/>
      <w:u w:val="none"/>
    </w:rPr>
  </w:style>
  <w:style w:type="character" w:customStyle="1" w:styleId="42">
    <w:name w:val="font41"/>
    <w:basedOn w:val="16"/>
    <w:autoRedefine/>
    <w:qFormat/>
    <w:uiPriority w:val="0"/>
    <w:rPr>
      <w:rFonts w:hint="default" w:ascii="Times New Roman" w:hAnsi="Times New Roman" w:cs="Times New Roman"/>
      <w:color w:val="000000"/>
      <w:sz w:val="21"/>
      <w:szCs w:val="21"/>
      <w:u w:val="none"/>
    </w:rPr>
  </w:style>
  <w:style w:type="character" w:customStyle="1" w:styleId="43">
    <w:name w:val="font31"/>
    <w:basedOn w:val="16"/>
    <w:autoRedefine/>
    <w:qFormat/>
    <w:uiPriority w:val="0"/>
    <w:rPr>
      <w:rFonts w:hint="default" w:ascii="Times New Roman" w:hAnsi="Times New Roman" w:cs="Times New Roman"/>
      <w:color w:val="000000"/>
      <w:sz w:val="21"/>
      <w:szCs w:val="21"/>
      <w:u w:val="none"/>
    </w:rPr>
  </w:style>
  <w:style w:type="character" w:customStyle="1" w:styleId="44">
    <w:name w:val="font51"/>
    <w:basedOn w:val="16"/>
    <w:autoRedefine/>
    <w:qFormat/>
    <w:uiPriority w:val="0"/>
    <w:rPr>
      <w:rFonts w:hint="eastAsia" w:ascii="宋体" w:hAnsi="宋体" w:eastAsia="宋体" w:cs="宋体"/>
      <w:i/>
      <w:i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82</Pages>
  <Words>49919</Words>
  <Characters>55304</Characters>
  <Lines>9</Lines>
  <Paragraphs>2</Paragraphs>
  <TotalTime>10</TotalTime>
  <ScaleCrop>false</ScaleCrop>
  <LinksUpToDate>false</LinksUpToDate>
  <CharactersWithSpaces>55427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拿何春诼撞</cp:lastModifiedBy>
  <cp:lastPrinted>2020-12-24T01:50:00Z</cp:lastPrinted>
  <dcterms:modified xsi:type="dcterms:W3CDTF">2024-04-15T02:37:04Z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BDA7D591A85A44299F696306EEED921B_13</vt:lpwstr>
  </property>
</Properties>
</file>