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方正小标宋简体" w:hAnsi="方正小标宋简体" w:eastAsia="方正小标宋简体" w:cs="方正小标宋简体"/>
          <w:i w:val="0"/>
          <w:caps w:val="0"/>
          <w:color w:val="000000"/>
          <w:spacing w:val="0"/>
          <w:sz w:val="44"/>
          <w:szCs w:val="44"/>
          <w:lang w:eastAsia="zh-CN"/>
        </w:rPr>
      </w:pPr>
      <w:r>
        <w:rPr>
          <w:rFonts w:hint="eastAsia" w:ascii="方正小标宋简体" w:hAnsi="方正小标宋简体" w:eastAsia="方正小标宋简体" w:cs="方正小标宋简体"/>
          <w:i w:val="0"/>
          <w:caps w:val="0"/>
          <w:color w:val="000000"/>
          <w:spacing w:val="0"/>
          <w:sz w:val="44"/>
          <w:szCs w:val="44"/>
          <w:lang w:eastAsia="zh-CN"/>
        </w:rPr>
        <w:t>淄博市生态环境局沂源分局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2021年政府信息公开工作年度报告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ascii="仿宋_GB2312" w:hAnsi="微软雅黑" w:eastAsia="仿宋_GB2312" w:cs="仿宋_GB2312"/>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rPr>
        <w:t>根据《中华人民共和国政府信息公开条例》</w:t>
      </w:r>
      <w:r>
        <w:rPr>
          <w:rFonts w:hint="eastAsia" w:ascii="仿宋_GB2312" w:hAnsi="微软雅黑" w:eastAsia="仿宋_GB2312" w:cs="仿宋_GB2312"/>
          <w:i w:val="0"/>
          <w:caps w:val="0"/>
          <w:color w:val="000000"/>
          <w:spacing w:val="0"/>
          <w:sz w:val="32"/>
          <w:szCs w:val="32"/>
        </w:rPr>
        <w:t>、《国务院办公厅关于印发2021年政务公开工作要点的通知》（国办发〔2021〕12号）和各级政府有关信息公开的要求，结合我局信息公开工作实际，现向社会公开2021年度</w:t>
      </w: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政府信息公开年度报告。全文包括总体情况、主动公开政府信息情况、收到和处理政府信息公开申请情况，政府信息公开行政复议、行政诉讼情况，存在的主要问题及改进情况，以及其他需要报告的事项。本报告中数据的统计期限自2021年1月1日起至2021年12月31日止。如对本报告有疑问，请与</w:t>
      </w: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办公室联系（地址：沂源县</w:t>
      </w:r>
      <w:r>
        <w:rPr>
          <w:rFonts w:hint="eastAsia" w:ascii="仿宋_GB2312" w:hAnsi="微软雅黑" w:eastAsia="仿宋_GB2312" w:cs="仿宋_GB2312"/>
          <w:i w:val="0"/>
          <w:caps w:val="0"/>
          <w:color w:val="000000"/>
          <w:spacing w:val="0"/>
          <w:sz w:val="32"/>
          <w:szCs w:val="32"/>
          <w:lang w:eastAsia="zh-CN"/>
        </w:rPr>
        <w:t>荆山路</w:t>
      </w:r>
      <w:r>
        <w:rPr>
          <w:rFonts w:hint="eastAsia" w:ascii="仿宋_GB2312" w:hAnsi="微软雅黑" w:eastAsia="仿宋_GB2312" w:cs="仿宋_GB2312"/>
          <w:i w:val="0"/>
          <w:caps w:val="0"/>
          <w:color w:val="000000"/>
          <w:spacing w:val="0"/>
          <w:sz w:val="32"/>
          <w:szCs w:val="32"/>
        </w:rPr>
        <w:t>路</w:t>
      </w:r>
      <w:r>
        <w:rPr>
          <w:rFonts w:hint="eastAsia" w:ascii="仿宋_GB2312" w:hAnsi="微软雅黑" w:eastAsia="仿宋_GB2312" w:cs="仿宋_GB2312"/>
          <w:i w:val="0"/>
          <w:caps w:val="0"/>
          <w:color w:val="000000"/>
          <w:spacing w:val="0"/>
          <w:sz w:val="32"/>
          <w:szCs w:val="32"/>
          <w:lang w:val="en-US" w:eastAsia="zh-CN"/>
        </w:rPr>
        <w:t>34</w:t>
      </w:r>
      <w:r>
        <w:rPr>
          <w:rFonts w:hint="eastAsia" w:ascii="仿宋_GB2312" w:hAnsi="微软雅黑" w:eastAsia="仿宋_GB2312" w:cs="仿宋_GB2312"/>
          <w:i w:val="0"/>
          <w:caps w:val="0"/>
          <w:color w:val="000000"/>
          <w:spacing w:val="0"/>
          <w:sz w:val="32"/>
          <w:szCs w:val="32"/>
        </w:rPr>
        <w:t>号，</w:t>
      </w: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二楼办公室；邮编：256100；电</w:t>
      </w:r>
      <w:r>
        <w:rPr>
          <w:rFonts w:hint="eastAsia" w:ascii="仿宋_GB2312" w:hAnsi="微软雅黑" w:eastAsia="仿宋_GB2312" w:cs="仿宋_GB2312"/>
          <w:i w:val="0"/>
          <w:caps w:val="0"/>
          <w:color w:val="000000"/>
          <w:spacing w:val="-23"/>
          <w:sz w:val="32"/>
          <w:szCs w:val="32"/>
        </w:rPr>
        <w:t>话：324</w:t>
      </w:r>
      <w:r>
        <w:rPr>
          <w:rFonts w:hint="eastAsia" w:ascii="仿宋_GB2312" w:hAnsi="微软雅黑" w:eastAsia="仿宋_GB2312" w:cs="仿宋_GB2312"/>
          <w:i w:val="0"/>
          <w:caps w:val="0"/>
          <w:color w:val="000000"/>
          <w:spacing w:val="-23"/>
          <w:sz w:val="32"/>
          <w:szCs w:val="32"/>
          <w:lang w:val="en-US" w:eastAsia="zh-CN"/>
        </w:rPr>
        <w:t>2775</w:t>
      </w:r>
      <w:r>
        <w:rPr>
          <w:rFonts w:hint="eastAsia" w:ascii="仿宋_GB2312" w:hAnsi="微软雅黑" w:eastAsia="仿宋_GB2312" w:cs="仿宋_GB2312"/>
          <w:i w:val="0"/>
          <w:caps w:val="0"/>
          <w:color w:val="000000"/>
          <w:spacing w:val="-23"/>
          <w:sz w:val="32"/>
          <w:szCs w:val="32"/>
        </w:rPr>
        <w:t>；传真：</w:t>
      </w:r>
      <w:r>
        <w:rPr>
          <w:rFonts w:hint="eastAsia" w:ascii="仿宋_GB2312" w:hAnsi="微软雅黑" w:eastAsia="仿宋_GB2312" w:cs="仿宋_GB2312"/>
          <w:i w:val="0"/>
          <w:caps w:val="0"/>
          <w:color w:val="000000"/>
          <w:spacing w:val="-23"/>
          <w:sz w:val="32"/>
          <w:szCs w:val="32"/>
          <w:lang w:val="en-US" w:eastAsia="zh-CN"/>
        </w:rPr>
        <w:t>3225398</w:t>
      </w:r>
      <w:r>
        <w:rPr>
          <w:rFonts w:hint="eastAsia" w:ascii="仿宋_GB2312" w:hAnsi="微软雅黑" w:eastAsia="仿宋_GB2312" w:cs="仿宋_GB2312"/>
          <w:i w:val="0"/>
          <w:caps w:val="0"/>
          <w:color w:val="000000"/>
          <w:spacing w:val="-23"/>
          <w:sz w:val="32"/>
          <w:szCs w:val="32"/>
        </w:rPr>
        <w:t>；电子邮箱:</w:t>
      </w:r>
      <w:r>
        <w:rPr>
          <w:rFonts w:hint="eastAsia" w:ascii="仿宋_GB2312" w:hAnsi="微软雅黑" w:eastAsia="仿宋_GB2312" w:cs="仿宋_GB2312"/>
          <w:i w:val="0"/>
          <w:caps w:val="0"/>
          <w:color w:val="000000"/>
          <w:spacing w:val="-23"/>
          <w:sz w:val="32"/>
          <w:szCs w:val="32"/>
          <w:lang w:val="en-US" w:eastAsia="zh-CN"/>
        </w:rPr>
        <w:t>hbj</w:t>
      </w:r>
      <w:r>
        <w:rPr>
          <w:rFonts w:hint="eastAsia" w:ascii="仿宋_GB2312" w:hAnsi="微软雅黑" w:eastAsia="仿宋_GB2312" w:cs="仿宋_GB2312"/>
          <w:i w:val="0"/>
          <w:caps w:val="0"/>
          <w:color w:val="000000"/>
          <w:spacing w:val="-23"/>
          <w:sz w:val="32"/>
          <w:szCs w:val="32"/>
        </w:rPr>
        <w:t>bgs@zb.shandong.cn。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2021年，</w:t>
      </w: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深入贯彻《中华人民共和国政府信息公开条例》，全面落实县政府关于政府信息公开的部署要求，积极主动地做好政务信息公开，进一步加强组织领导，明确责任分工，工作透明度进一步提高，有效地保障了公民知情权，促进政府公信力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4"/>
          <w:szCs w:val="24"/>
        </w:rPr>
      </w:pPr>
      <w:r>
        <w:rPr>
          <w:rFonts w:ascii="楷体_GB2312" w:hAnsi="微软雅黑" w:eastAsia="楷体_GB2312" w:cs="楷体_GB2312"/>
          <w:i w:val="0"/>
          <w:caps w:val="0"/>
          <w:color w:val="000000"/>
          <w:spacing w:val="0"/>
          <w:sz w:val="32"/>
          <w:szCs w:val="32"/>
        </w:rPr>
        <w:t>（一）主动公开政府信息情况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caps w:val="0"/>
          <w:color w:val="000000"/>
          <w:spacing w:val="0"/>
          <w:sz w:val="32"/>
          <w:szCs w:val="32"/>
        </w:rPr>
      </w:pP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主动公开的信息主要包括：机构职能、</w:t>
      </w:r>
      <w:r>
        <w:rPr>
          <w:rFonts w:hint="eastAsia" w:ascii="仿宋_GB2312" w:hAnsi="微软雅黑" w:eastAsia="仿宋_GB2312" w:cs="仿宋_GB2312"/>
          <w:i w:val="0"/>
          <w:caps w:val="0"/>
          <w:color w:val="000000"/>
          <w:spacing w:val="0"/>
          <w:sz w:val="32"/>
          <w:szCs w:val="32"/>
          <w:lang w:eastAsia="zh-CN"/>
        </w:rPr>
        <w:t>生态环境</w:t>
      </w:r>
      <w:r>
        <w:rPr>
          <w:rFonts w:hint="eastAsia" w:ascii="仿宋_GB2312" w:hAnsi="微软雅黑" w:eastAsia="仿宋_GB2312" w:cs="仿宋_GB2312"/>
          <w:i w:val="0"/>
          <w:caps w:val="0"/>
          <w:color w:val="000000"/>
          <w:spacing w:val="0"/>
          <w:sz w:val="32"/>
          <w:szCs w:val="32"/>
        </w:rPr>
        <w:t>系统相关政策法规、政府会议、规划计划、公共文化领域社会公益、重要部署执行公开、建议提案办理、管理和服务公开、财政信息、全域旅游等。截止2021年12月31日，我局累计主动公开政府信息</w:t>
      </w:r>
      <w:r>
        <w:rPr>
          <w:rFonts w:hint="eastAsia" w:ascii="仿宋_GB2312" w:hAnsi="微软雅黑" w:eastAsia="仿宋_GB2312" w:cs="仿宋_GB2312"/>
          <w:i w:val="0"/>
          <w:caps w:val="0"/>
          <w:color w:val="000000"/>
          <w:spacing w:val="0"/>
          <w:sz w:val="32"/>
          <w:szCs w:val="32"/>
          <w:lang w:val="en-US" w:eastAsia="zh-CN"/>
        </w:rPr>
        <w:t>284</w:t>
      </w:r>
      <w:r>
        <w:rPr>
          <w:rFonts w:hint="eastAsia" w:ascii="仿宋_GB2312" w:hAnsi="微软雅黑" w:eastAsia="仿宋_GB2312" w:cs="仿宋_GB2312"/>
          <w:i w:val="0"/>
          <w:caps w:val="0"/>
          <w:color w:val="000000"/>
          <w:spacing w:val="0"/>
          <w:sz w:val="32"/>
          <w:szCs w:val="32"/>
        </w:rPr>
        <w:t>条</w:t>
      </w:r>
      <w:r>
        <w:rPr>
          <w:rFonts w:hint="eastAsia" w:ascii="仿宋_GB2312" w:hAnsi="微软雅黑" w:eastAsia="仿宋_GB2312" w:cs="仿宋_GB2312"/>
          <w:i w:val="0"/>
          <w:caps w:val="0"/>
          <w:color w:val="000000"/>
          <w:spacing w:val="0"/>
          <w:sz w:val="32"/>
          <w:szCs w:val="32"/>
          <w:lang w:val="en-US" w:eastAsia="zh-CN"/>
        </w:rPr>
        <w:t>,其中行政许可类159条，行政处罚类34条，环境质量等其他信息91条</w:t>
      </w:r>
      <w:r>
        <w:rPr>
          <w:rFonts w:hint="eastAsia" w:ascii="仿宋_GB2312" w:hAnsi="微软雅黑" w:eastAsia="仿宋_GB2312" w:cs="仿宋_GB2312"/>
          <w:i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caps w:val="0"/>
          <w:color w:val="000000"/>
          <w:spacing w:val="0"/>
          <w:sz w:val="32"/>
          <w:szCs w:val="32"/>
        </w:rPr>
      </w:pPr>
      <w:r>
        <w:drawing>
          <wp:anchor distT="0" distB="0" distL="114300" distR="114300" simplePos="0" relativeHeight="251659264" behindDoc="0" locked="0" layoutInCell="1" allowOverlap="1">
            <wp:simplePos x="0" y="0"/>
            <wp:positionH relativeFrom="column">
              <wp:posOffset>495300</wp:posOffset>
            </wp:positionH>
            <wp:positionV relativeFrom="page">
              <wp:posOffset>2711450</wp:posOffset>
            </wp:positionV>
            <wp:extent cx="4572000" cy="2743200"/>
            <wp:effectExtent l="4445" t="4445" r="1460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2"/>
          <w:szCs w:val="32"/>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caps w:val="0"/>
          <w:color w:val="000000"/>
          <w:spacing w:val="0"/>
          <w:sz w:val="32"/>
          <w:szCs w:val="32"/>
        </w:rPr>
      </w:pPr>
      <w:r>
        <w:rPr>
          <w:rFonts w:hint="eastAsia" w:ascii="仿宋_GB2312" w:hAnsi="微软雅黑" w:eastAsia="仿宋_GB2312" w:cs="仿宋_GB2312"/>
          <w:i w:val="0"/>
          <w:caps w:val="0"/>
          <w:color w:val="000000"/>
          <w:spacing w:val="0"/>
          <w:sz w:val="32"/>
          <w:szCs w:val="32"/>
        </w:rPr>
        <w:t>2021年，</w:t>
      </w: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收到1条依申请公开信息申请，申请内容为</w:t>
      </w:r>
      <w:r>
        <w:rPr>
          <w:rFonts w:hint="default" w:ascii="Times New Roman" w:hAnsi="Times New Roman" w:eastAsia="微软雅黑" w:cs="Times New Roman"/>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rPr>
        <w:t>获取</w:t>
      </w:r>
      <w:r>
        <w:rPr>
          <w:rFonts w:hint="eastAsia" w:ascii="仿宋_GB2312" w:hAnsi="微软雅黑" w:eastAsia="仿宋_GB2312" w:cs="仿宋_GB2312"/>
          <w:i w:val="0"/>
          <w:caps w:val="0"/>
          <w:color w:val="000000"/>
          <w:spacing w:val="0"/>
          <w:sz w:val="32"/>
          <w:szCs w:val="32"/>
        </w:rPr>
        <w:t>沂源县源能热电有限公司建设项目</w:t>
      </w:r>
      <w:r>
        <w:rPr>
          <w:rFonts w:hint="eastAsia" w:ascii="仿宋_GB2312" w:hAnsi="微软雅黑" w:eastAsia="仿宋_GB2312" w:cs="仿宋_GB2312"/>
          <w:i w:val="0"/>
          <w:caps w:val="0"/>
          <w:color w:val="000000"/>
          <w:spacing w:val="0"/>
          <w:sz w:val="32"/>
          <w:szCs w:val="32"/>
          <w:lang w:eastAsia="zh-CN"/>
        </w:rPr>
        <w:t>相关文件</w:t>
      </w:r>
      <w:r>
        <w:rPr>
          <w:rFonts w:hint="default" w:ascii="仿宋_GB2312" w:hAnsi="微软雅黑" w:eastAsia="仿宋_GB2312" w:cs="仿宋_GB2312"/>
          <w:i w:val="0"/>
          <w:caps w:val="0"/>
          <w:color w:val="000000"/>
          <w:spacing w:val="0"/>
          <w:sz w:val="32"/>
          <w:szCs w:val="32"/>
        </w:rPr>
        <w:t>”</w:t>
      </w:r>
      <w:r>
        <w:rPr>
          <w:rFonts w:hint="eastAsia" w:ascii="仿宋_GB2312" w:hAnsi="微软雅黑" w:eastAsia="仿宋_GB2312" w:cs="仿宋_GB2312"/>
          <w:i w:val="0"/>
          <w:caps w:val="0"/>
          <w:color w:val="000000"/>
          <w:spacing w:val="0"/>
          <w:sz w:val="32"/>
          <w:szCs w:val="32"/>
        </w:rPr>
        <w:t>，</w:t>
      </w:r>
      <w:r>
        <w:rPr>
          <w:rFonts w:hint="eastAsia" w:ascii="仿宋_GB2312" w:hAnsi="微软雅黑" w:eastAsia="仿宋_GB2312" w:cs="仿宋_GB2312"/>
          <w:i w:val="0"/>
          <w:caps w:val="0"/>
          <w:color w:val="000000"/>
          <w:spacing w:val="0"/>
          <w:sz w:val="32"/>
          <w:szCs w:val="32"/>
          <w:lang w:eastAsia="zh-CN"/>
        </w:rPr>
        <w:t>均在规定时限</w:t>
      </w:r>
      <w:r>
        <w:rPr>
          <w:rFonts w:hint="eastAsia" w:ascii="仿宋_GB2312" w:hAnsi="微软雅黑" w:eastAsia="仿宋_GB2312" w:cs="仿宋_GB2312"/>
          <w:i w:val="0"/>
          <w:caps w:val="0"/>
          <w:color w:val="000000"/>
          <w:spacing w:val="0"/>
          <w:sz w:val="32"/>
          <w:szCs w:val="32"/>
        </w:rPr>
        <w:t>进行答复。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微软雅黑" w:eastAsia="仿宋_GB2312" w:cs="仿宋_GB2312"/>
          <w:i w:val="0"/>
          <w:caps w:val="0"/>
          <w:color w:val="000000"/>
          <w:spacing w:val="0"/>
          <w:sz w:val="32"/>
          <w:szCs w:val="32"/>
        </w:rPr>
      </w:pPr>
      <w:r>
        <w:drawing>
          <wp:anchor distT="0" distB="0" distL="114300" distR="114300" simplePos="0" relativeHeight="251660288" behindDoc="0" locked="0" layoutInCell="1" allowOverlap="1">
            <wp:simplePos x="0" y="0"/>
            <wp:positionH relativeFrom="column">
              <wp:posOffset>501015</wp:posOffset>
            </wp:positionH>
            <wp:positionV relativeFrom="paragraph">
              <wp:posOffset>134620</wp:posOffset>
            </wp:positionV>
            <wp:extent cx="4572000" cy="2743200"/>
            <wp:effectExtent l="4445" t="4445" r="14605"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2"/>
          <w:szCs w:val="32"/>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加强政务公开组织领导，严格贯彻落实县政府关于政务公开工作的部署，做好全局政务公开工作。根据机构改革后机构设置和职能调整，将</w:t>
      </w: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政务公开事项分解到具体科室，按照“谁主管、谁负责”的原则，将信息公开责任落实到各科室具体责任人，完善责任机制。围绕政务公开制度化规范化建设、组织保障等方面对政务公开工作进行部署安排，推动政务公开工作更好开展。加强培训，提高政务公开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2"/>
          <w:szCs w:val="32"/>
        </w:rPr>
        <w:t>（四）政府信息公开平台建设情况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开设“</w:t>
      </w:r>
      <w:r>
        <w:rPr>
          <w:rFonts w:hint="eastAsia" w:ascii="仿宋_GB2312" w:hAnsi="微软雅黑" w:eastAsia="仿宋_GB2312" w:cs="仿宋_GB2312"/>
          <w:i w:val="0"/>
          <w:caps w:val="0"/>
          <w:color w:val="000000"/>
          <w:spacing w:val="0"/>
          <w:sz w:val="32"/>
          <w:szCs w:val="32"/>
          <w:lang w:eastAsia="zh-CN"/>
        </w:rPr>
        <w:t>沂源环保</w:t>
      </w:r>
      <w:r>
        <w:rPr>
          <w:rFonts w:hint="eastAsia" w:ascii="仿宋_GB2312" w:hAnsi="微软雅黑" w:eastAsia="仿宋_GB2312" w:cs="仿宋_GB2312"/>
          <w:i w:val="0"/>
          <w:caps w:val="0"/>
          <w:color w:val="000000"/>
          <w:spacing w:val="0"/>
          <w:sz w:val="32"/>
          <w:szCs w:val="32"/>
        </w:rPr>
        <w:t>”微信公众号，“</w:t>
      </w:r>
      <w:r>
        <w:rPr>
          <w:rFonts w:hint="eastAsia" w:ascii="仿宋_GB2312" w:hAnsi="微软雅黑" w:eastAsia="仿宋_GB2312" w:cs="仿宋_GB2312"/>
          <w:i w:val="0"/>
          <w:caps w:val="0"/>
          <w:color w:val="000000"/>
          <w:spacing w:val="0"/>
          <w:sz w:val="32"/>
          <w:szCs w:val="32"/>
          <w:lang w:eastAsia="zh-CN"/>
        </w:rPr>
        <w:t>沂河源头话环保</w:t>
      </w:r>
      <w:r>
        <w:rPr>
          <w:rFonts w:hint="eastAsia" w:ascii="仿宋_GB2312" w:hAnsi="微软雅黑" w:eastAsia="仿宋_GB2312" w:cs="仿宋_GB2312"/>
          <w:i w:val="0"/>
          <w:caps w:val="0"/>
          <w:color w:val="000000"/>
          <w:spacing w:val="0"/>
          <w:sz w:val="32"/>
          <w:szCs w:val="32"/>
        </w:rPr>
        <w:t>”抖音号等政务新媒体，及时发布相关信息，同时在</w:t>
      </w:r>
      <w:r>
        <w:rPr>
          <w:rFonts w:hint="eastAsia" w:ascii="仿宋_GB2312" w:hAnsi="微软雅黑" w:eastAsia="仿宋_GB2312" w:cs="仿宋_GB2312"/>
          <w:i w:val="0"/>
          <w:caps w:val="0"/>
          <w:color w:val="000000"/>
          <w:spacing w:val="0"/>
          <w:sz w:val="32"/>
          <w:szCs w:val="32"/>
          <w:lang w:eastAsia="zh-CN"/>
        </w:rPr>
        <w:t>市生态环境局沂源分局一楼</w:t>
      </w:r>
      <w:r>
        <w:rPr>
          <w:rFonts w:hint="eastAsia" w:ascii="仿宋_GB2312" w:hAnsi="微软雅黑" w:eastAsia="仿宋_GB2312" w:cs="仿宋_GB2312"/>
          <w:i w:val="0"/>
          <w:caps w:val="0"/>
          <w:color w:val="000000"/>
          <w:spacing w:val="0"/>
          <w:sz w:val="32"/>
          <w:szCs w:val="32"/>
        </w:rPr>
        <w:t>设置政务公开专区。充分发挥沂源县人民政府网站的平台作用，及时发布政府信息，确保应当公开的内容及时公开。政务信息公开平台板块及栏目设置，严格按照政府办公室政府网站平台管理的规范要求建设，确保应有公开栏目不漏项，努力做到应公开尽公开。抽调专门人员进行政务公开工作，及时对平台建设和信息发布近视反馈和督促，确保政务信息公开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2"/>
          <w:szCs w:val="32"/>
        </w:rPr>
        <w:t>（五）监督保障情况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成立政务公开领导小组，领导小组下设办公室,办公室设在</w:t>
      </w: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办公室。强化责任落实，将政务公开工作列入本单位常态化工作，明确责任和要求，促进信息公开工作常态化、规范化，持续提升政府信息公开水平。加强业务培训，适时召开政府信息公开工作专题会议，加强具体工作人员的业务能力，持续提升信息公开水平。</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主动公开政府信息情况</w:t>
      </w:r>
    </w:p>
    <w:tbl>
      <w:tblPr>
        <w:tblStyle w:val="4"/>
        <w:tblW w:w="0" w:type="auto"/>
        <w:jc w:val="center"/>
        <w:tblLayout w:type="fixed"/>
        <w:tblCellMar>
          <w:top w:w="0" w:type="dxa"/>
          <w:left w:w="10" w:type="dxa"/>
          <w:bottom w:w="0" w:type="dxa"/>
          <w:right w:w="10" w:type="dxa"/>
        </w:tblCellMar>
      </w:tblPr>
      <w:tblGrid>
        <w:gridCol w:w="2296"/>
        <w:gridCol w:w="2090"/>
        <w:gridCol w:w="2107"/>
        <w:gridCol w:w="2229"/>
      </w:tblGrid>
      <w:tr>
        <w:tblPrEx>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B8CCE4"/>
            <w:noWrap w:val="0"/>
            <w:vAlign w:val="center"/>
          </w:tcPr>
          <w:p>
            <w:pPr>
              <w:pStyle w:val="7"/>
              <w:pageBreakBefore w:val="0"/>
              <w:kinsoku/>
              <w:wordWrap/>
              <w:overflowPunct/>
              <w:topLinePunct w:val="0"/>
              <w:autoSpaceDE/>
              <w:autoSpaceDN/>
              <w:bidi w:val="0"/>
              <w:adjustRightInd/>
              <w:spacing w:line="240" w:lineRule="auto"/>
              <w:ind w:firstLine="0"/>
              <w:jc w:val="center"/>
              <w:rPr>
                <w:rFonts w:hint="default" w:ascii="Times New Roman" w:hAnsi="Times New Roman" w:eastAsia="仿宋_GB2312" w:cs="Times New Roman"/>
                <w:sz w:val="22"/>
                <w:szCs w:val="22"/>
              </w:rPr>
            </w:pPr>
            <w:r>
              <w:rPr>
                <w:rFonts w:hint="default" w:ascii="Times New Roman" w:hAnsi="Times New Roman" w:eastAsia="黑体" w:cs="Times New Roman"/>
                <w:sz w:val="24"/>
                <w:szCs w:val="24"/>
              </w:rPr>
              <w:t>第二十条第（一）项</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tcBorders>
            <w:shd w:val="clear" w:color="auto" w:fill="FFFFFF"/>
            <w:noWrap w:val="0"/>
            <w:vAlign w:val="center"/>
          </w:tcPr>
          <w:p>
            <w:pPr>
              <w:pStyle w:val="7"/>
              <w:pageBreakBefore w:val="0"/>
              <w:kinsoku/>
              <w:wordWrap/>
              <w:overflowPunct/>
              <w:topLinePunct w:val="0"/>
              <w:autoSpaceDE/>
              <w:autoSpaceDN/>
              <w:bidi w:val="0"/>
              <w:adjustRightInd/>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2090" w:type="dxa"/>
            <w:tcBorders>
              <w:top w:val="single" w:color="auto" w:sz="4" w:space="0"/>
              <w:left w:val="single" w:color="auto" w:sz="4" w:space="0"/>
            </w:tcBorders>
            <w:shd w:val="clear" w:color="auto" w:fill="FFFFFF"/>
            <w:noWrap w:val="0"/>
            <w:vAlign w:val="center"/>
          </w:tcPr>
          <w:p>
            <w:pPr>
              <w:pStyle w:val="7"/>
              <w:pageBreakBefore w:val="0"/>
              <w:kinsoku/>
              <w:wordWrap/>
              <w:overflowPunct/>
              <w:topLinePunct w:val="0"/>
              <w:autoSpaceDE/>
              <w:autoSpaceDN/>
              <w:bidi w:val="0"/>
              <w:adjustRightInd/>
              <w:spacing w:line="240" w:lineRule="auto"/>
              <w:ind w:firstLine="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本年制发件数</w:t>
            </w:r>
          </w:p>
        </w:tc>
        <w:tc>
          <w:tcPr>
            <w:tcW w:w="2107" w:type="dxa"/>
            <w:tcBorders>
              <w:top w:val="single" w:color="auto" w:sz="4" w:space="0"/>
              <w:left w:val="single" w:color="auto" w:sz="4" w:space="0"/>
            </w:tcBorders>
            <w:shd w:val="clear" w:color="auto" w:fill="FFFFFF"/>
            <w:noWrap w:val="0"/>
            <w:vAlign w:val="center"/>
          </w:tcPr>
          <w:p>
            <w:pPr>
              <w:pStyle w:val="7"/>
              <w:pageBreakBefore w:val="0"/>
              <w:kinsoku/>
              <w:wordWrap/>
              <w:overflowPunct/>
              <w:topLinePunct w:val="0"/>
              <w:autoSpaceDE/>
              <w:autoSpaceDN/>
              <w:bidi w:val="0"/>
              <w:adjustRightInd/>
              <w:spacing w:line="240" w:lineRule="auto"/>
              <w:ind w:firstLine="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本年</w:t>
            </w:r>
            <w:r>
              <w:rPr>
                <w:rFonts w:hint="default" w:ascii="Times New Roman" w:hAnsi="Times New Roman" w:eastAsia="仿宋_GB2312" w:cs="Times New Roman"/>
                <w:sz w:val="24"/>
                <w:szCs w:val="24"/>
                <w:lang w:eastAsia="zh-CN"/>
              </w:rPr>
              <w:t>废止件数</w:t>
            </w:r>
          </w:p>
        </w:tc>
        <w:tc>
          <w:tcPr>
            <w:tcW w:w="2229" w:type="dxa"/>
            <w:tcBorders>
              <w:top w:val="single" w:color="auto" w:sz="4" w:space="0"/>
              <w:left w:val="single" w:color="auto" w:sz="4" w:space="0"/>
              <w:right w:val="single" w:color="auto" w:sz="4" w:space="0"/>
            </w:tcBorders>
            <w:shd w:val="clear" w:color="auto" w:fill="FFFFFF"/>
            <w:noWrap w:val="0"/>
            <w:vAlign w:val="center"/>
          </w:tcPr>
          <w:p>
            <w:pPr>
              <w:pStyle w:val="7"/>
              <w:pageBreakBefore w:val="0"/>
              <w:kinsoku/>
              <w:wordWrap/>
              <w:overflowPunct/>
              <w:topLinePunct w:val="0"/>
              <w:autoSpaceDE/>
              <w:autoSpaceDN/>
              <w:bidi w:val="0"/>
              <w:adjustRightInd/>
              <w:spacing w:line="240" w:lineRule="auto"/>
              <w:ind w:firstLine="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现行有效件数</w:t>
            </w:r>
          </w:p>
        </w:tc>
      </w:tr>
      <w:tr>
        <w:tblPrEx>
          <w:tblCellMar>
            <w:top w:w="0" w:type="dxa"/>
            <w:left w:w="10" w:type="dxa"/>
            <w:bottom w:w="0" w:type="dxa"/>
            <w:right w:w="10" w:type="dxa"/>
          </w:tblCellMar>
        </w:tblPrEx>
        <w:trPr>
          <w:trHeight w:val="485" w:hRule="exact"/>
          <w:jc w:val="center"/>
        </w:trPr>
        <w:tc>
          <w:tcPr>
            <w:tcW w:w="2296" w:type="dxa"/>
            <w:tcBorders>
              <w:top w:val="single" w:color="auto" w:sz="4" w:space="0"/>
              <w:left w:val="single" w:color="auto" w:sz="4" w:space="0"/>
            </w:tcBorders>
            <w:shd w:val="clear" w:color="auto" w:fill="FFFFFF"/>
            <w:noWrap w:val="0"/>
            <w:vAlign w:val="top"/>
          </w:tcPr>
          <w:p>
            <w:pPr>
              <w:pStyle w:val="7"/>
              <w:pageBreakBefore w:val="0"/>
              <w:kinsoku/>
              <w:wordWrap/>
              <w:overflowPunct/>
              <w:topLinePunct w:val="0"/>
              <w:autoSpaceDE/>
              <w:autoSpaceDN/>
              <w:bidi w:val="0"/>
              <w:adjustRightInd/>
              <w:spacing w:before="100" w:line="240" w:lineRule="auto"/>
              <w:ind w:firstLine="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规章</w:t>
            </w:r>
          </w:p>
        </w:tc>
        <w:tc>
          <w:tcPr>
            <w:tcW w:w="2090"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2107"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2229"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CellMar>
            <w:top w:w="0" w:type="dxa"/>
            <w:left w:w="10" w:type="dxa"/>
            <w:bottom w:w="0" w:type="dxa"/>
            <w:right w:w="10" w:type="dxa"/>
          </w:tblCellMar>
        </w:tblPrEx>
        <w:trPr>
          <w:trHeight w:val="414" w:hRule="exact"/>
          <w:jc w:val="center"/>
        </w:trPr>
        <w:tc>
          <w:tcPr>
            <w:tcW w:w="2296" w:type="dxa"/>
            <w:tcBorders>
              <w:top w:val="single" w:color="auto" w:sz="4" w:space="0"/>
              <w:left w:val="single" w:color="auto" w:sz="4" w:space="0"/>
            </w:tcBorders>
            <w:shd w:val="clear" w:color="auto" w:fill="FFFFFF"/>
            <w:noWrap w:val="0"/>
            <w:vAlign w:val="bottom"/>
          </w:tcPr>
          <w:p>
            <w:pPr>
              <w:pStyle w:val="7"/>
              <w:pageBreakBefore w:val="0"/>
              <w:kinsoku/>
              <w:wordWrap/>
              <w:overflowPunct/>
              <w:topLinePunct w:val="0"/>
              <w:autoSpaceDE/>
              <w:autoSpaceDN/>
              <w:bidi w:val="0"/>
              <w:adjustRightInd/>
              <w:spacing w:line="240" w:lineRule="auto"/>
              <w:ind w:firstLine="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规范性文件</w:t>
            </w:r>
          </w:p>
        </w:tc>
        <w:tc>
          <w:tcPr>
            <w:tcW w:w="2090"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2107"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2229"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r>
      <w:tr>
        <w:tblPrEx>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B8CCE4"/>
            <w:noWrap w:val="0"/>
            <w:vAlign w:val="top"/>
          </w:tcPr>
          <w:p>
            <w:pPr>
              <w:pStyle w:val="7"/>
              <w:pageBreakBefore w:val="0"/>
              <w:kinsoku/>
              <w:wordWrap/>
              <w:overflowPunct/>
              <w:topLinePunct w:val="0"/>
              <w:autoSpaceDE/>
              <w:autoSpaceDN/>
              <w:bidi w:val="0"/>
              <w:adjustRightInd/>
              <w:spacing w:before="80" w:line="240" w:lineRule="auto"/>
              <w:ind w:firstLine="0"/>
              <w:jc w:val="center"/>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第二十条第（五）项</w:t>
            </w:r>
          </w:p>
        </w:tc>
      </w:tr>
      <w:tr>
        <w:tblPrEx>
          <w:tblCellMar>
            <w:top w:w="0" w:type="dxa"/>
            <w:left w:w="10" w:type="dxa"/>
            <w:bottom w:w="0" w:type="dxa"/>
            <w:right w:w="10" w:type="dxa"/>
          </w:tblCellMar>
        </w:tblPrEx>
        <w:trPr>
          <w:trHeight w:val="432" w:hRule="exact"/>
          <w:jc w:val="center"/>
        </w:trPr>
        <w:tc>
          <w:tcPr>
            <w:tcW w:w="2296" w:type="dxa"/>
            <w:tcBorders>
              <w:top w:val="single" w:color="auto" w:sz="4" w:space="0"/>
              <w:left w:val="single" w:color="auto" w:sz="4" w:space="0"/>
            </w:tcBorders>
            <w:shd w:val="clear" w:color="auto" w:fill="FFFFFF"/>
            <w:noWrap w:val="0"/>
            <w:vAlign w:val="center"/>
          </w:tcPr>
          <w:p>
            <w:pPr>
              <w:pStyle w:val="7"/>
              <w:pageBreakBefore w:val="0"/>
              <w:kinsoku/>
              <w:wordWrap/>
              <w:overflowPunct/>
              <w:topLinePunct w:val="0"/>
              <w:autoSpaceDE/>
              <w:autoSpaceDN/>
              <w:bidi w:val="0"/>
              <w:adjustRightInd/>
              <w:spacing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426" w:type="dxa"/>
            <w:gridSpan w:val="3"/>
            <w:tcBorders>
              <w:top w:val="single" w:color="auto" w:sz="4" w:space="0"/>
              <w:left w:val="single" w:color="auto" w:sz="4" w:space="0"/>
              <w:right w:val="single" w:color="auto" w:sz="4" w:space="0"/>
            </w:tcBorders>
            <w:shd w:val="clear" w:color="auto" w:fill="FFFFFF"/>
            <w:noWrap w:val="0"/>
            <w:vAlign w:val="center"/>
          </w:tcPr>
          <w:p>
            <w:pPr>
              <w:pStyle w:val="7"/>
              <w:pageBreakBefore w:val="0"/>
              <w:kinsoku/>
              <w:wordWrap/>
              <w:overflowPunct/>
              <w:topLinePunct w:val="0"/>
              <w:autoSpaceDE/>
              <w:autoSpaceDN/>
              <w:bidi w:val="0"/>
              <w:adjustRightInd/>
              <w:spacing w:line="240" w:lineRule="auto"/>
              <w:ind w:firstLine="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本年处理决定数量</w:t>
            </w:r>
          </w:p>
        </w:tc>
      </w:tr>
      <w:tr>
        <w:tblPrEx>
          <w:tblCellMar>
            <w:top w:w="0" w:type="dxa"/>
            <w:left w:w="10" w:type="dxa"/>
            <w:bottom w:w="0" w:type="dxa"/>
            <w:right w:w="10" w:type="dxa"/>
          </w:tblCellMar>
        </w:tblPrEx>
        <w:trPr>
          <w:trHeight w:val="467" w:hRule="exact"/>
          <w:jc w:val="center"/>
        </w:trPr>
        <w:tc>
          <w:tcPr>
            <w:tcW w:w="2296" w:type="dxa"/>
            <w:tcBorders>
              <w:top w:val="single" w:color="auto" w:sz="4" w:space="0"/>
              <w:left w:val="single" w:color="auto" w:sz="4" w:space="0"/>
            </w:tcBorders>
            <w:shd w:val="clear" w:color="auto" w:fill="FFFFFF"/>
            <w:noWrap w:val="0"/>
            <w:vAlign w:val="top"/>
          </w:tcPr>
          <w:p>
            <w:pPr>
              <w:pStyle w:val="7"/>
              <w:pageBreakBefore w:val="0"/>
              <w:kinsoku/>
              <w:wordWrap/>
              <w:overflowPunct/>
              <w:topLinePunct w:val="0"/>
              <w:autoSpaceDE/>
              <w:autoSpaceDN/>
              <w:bidi w:val="0"/>
              <w:adjustRightInd/>
              <w:spacing w:before="100" w:line="240" w:lineRule="auto"/>
              <w:ind w:firstLine="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6426"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135</w:t>
            </w:r>
          </w:p>
        </w:tc>
      </w:tr>
      <w:tr>
        <w:tblPrEx>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B8CCE4"/>
            <w:noWrap w:val="0"/>
            <w:vAlign w:val="top"/>
          </w:tcPr>
          <w:p>
            <w:pPr>
              <w:pStyle w:val="7"/>
              <w:pageBreakBefore w:val="0"/>
              <w:kinsoku/>
              <w:wordWrap/>
              <w:overflowPunct/>
              <w:topLinePunct w:val="0"/>
              <w:autoSpaceDE/>
              <w:autoSpaceDN/>
              <w:bidi w:val="0"/>
              <w:adjustRightInd/>
              <w:spacing w:before="80" w:line="240" w:lineRule="auto"/>
              <w:ind w:firstLine="0"/>
              <w:jc w:val="center"/>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第二十条第（六）项</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tcBorders>
            <w:shd w:val="clear" w:color="auto" w:fill="FFFFFF"/>
            <w:noWrap w:val="0"/>
            <w:vAlign w:val="top"/>
          </w:tcPr>
          <w:p>
            <w:pPr>
              <w:pStyle w:val="7"/>
              <w:pageBreakBefore w:val="0"/>
              <w:kinsoku/>
              <w:wordWrap/>
              <w:overflowPunct/>
              <w:topLinePunct w:val="0"/>
              <w:autoSpaceDE/>
              <w:autoSpaceDN/>
              <w:bidi w:val="0"/>
              <w:adjustRightInd/>
              <w:spacing w:before="100"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426" w:type="dxa"/>
            <w:gridSpan w:val="3"/>
            <w:tcBorders>
              <w:top w:val="single" w:color="auto" w:sz="4" w:space="0"/>
              <w:left w:val="single" w:color="auto" w:sz="4" w:space="0"/>
              <w:right w:val="single" w:color="auto" w:sz="4" w:space="0"/>
            </w:tcBorders>
            <w:shd w:val="clear" w:color="auto" w:fill="FFFFFF"/>
            <w:noWrap w:val="0"/>
            <w:vAlign w:val="top"/>
          </w:tcPr>
          <w:p>
            <w:pPr>
              <w:pStyle w:val="7"/>
              <w:pageBreakBefore w:val="0"/>
              <w:kinsoku/>
              <w:wordWrap/>
              <w:overflowPunct/>
              <w:topLinePunct w:val="0"/>
              <w:autoSpaceDE/>
              <w:autoSpaceDN/>
              <w:bidi w:val="0"/>
              <w:adjustRightInd/>
              <w:spacing w:before="100" w:line="240" w:lineRule="auto"/>
              <w:ind w:firstLine="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本年处理决定数量</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tcBorders>
            <w:shd w:val="clear" w:color="auto" w:fill="FFFFFF"/>
            <w:noWrap w:val="0"/>
            <w:vAlign w:val="top"/>
          </w:tcPr>
          <w:p>
            <w:pPr>
              <w:pStyle w:val="7"/>
              <w:pageBreakBefore w:val="0"/>
              <w:kinsoku/>
              <w:wordWrap/>
              <w:overflowPunct/>
              <w:topLinePunct w:val="0"/>
              <w:autoSpaceDE/>
              <w:autoSpaceDN/>
              <w:bidi w:val="0"/>
              <w:adjustRightInd/>
              <w:spacing w:before="100" w:line="240" w:lineRule="auto"/>
              <w:ind w:firstLine="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行政处罚</w:t>
            </w:r>
          </w:p>
        </w:tc>
        <w:tc>
          <w:tcPr>
            <w:tcW w:w="6426"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sz w:val="24"/>
                <w:szCs w:val="24"/>
                <w:u w:val="none"/>
                <w:lang w:val="en-US" w:eastAsia="zh-CN" w:bidi="en-US"/>
              </w:rPr>
            </w:pPr>
            <w:r>
              <w:rPr>
                <w:rFonts w:hint="eastAsia" w:eastAsia="宋体" w:cs="Times New Roman"/>
                <w:i w:val="0"/>
                <w:color w:val="000000"/>
                <w:sz w:val="24"/>
                <w:szCs w:val="24"/>
                <w:u w:val="none"/>
                <w:lang w:val="en-US" w:eastAsia="zh-CN" w:bidi="en-US"/>
              </w:rPr>
              <w:t>84</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tcBorders>
            <w:shd w:val="clear" w:color="auto" w:fill="FFFFFF"/>
            <w:noWrap w:val="0"/>
            <w:vAlign w:val="bottom"/>
          </w:tcPr>
          <w:p>
            <w:pPr>
              <w:pStyle w:val="7"/>
              <w:pageBreakBefore w:val="0"/>
              <w:kinsoku/>
              <w:wordWrap/>
              <w:overflowPunct/>
              <w:topLinePunct w:val="0"/>
              <w:autoSpaceDE/>
              <w:autoSpaceDN/>
              <w:bidi w:val="0"/>
              <w:adjustRightInd/>
              <w:spacing w:line="240" w:lineRule="auto"/>
              <w:ind w:firstLine="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行政强制</w:t>
            </w:r>
          </w:p>
        </w:tc>
        <w:tc>
          <w:tcPr>
            <w:tcW w:w="6426" w:type="dxa"/>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sz w:val="24"/>
                <w:szCs w:val="24"/>
                <w:u w:val="none"/>
                <w:lang w:val="en-US" w:eastAsia="zh-CN" w:bidi="en-US"/>
              </w:rPr>
            </w:pPr>
            <w:r>
              <w:rPr>
                <w:rFonts w:hint="eastAsia" w:eastAsia="宋体" w:cs="Times New Roman"/>
                <w:i w:val="0"/>
                <w:color w:val="000000"/>
                <w:sz w:val="24"/>
                <w:szCs w:val="24"/>
                <w:u w:val="none"/>
                <w:lang w:val="en-US" w:eastAsia="zh-CN" w:bidi="en-US"/>
              </w:rPr>
              <w:t>0</w:t>
            </w:r>
          </w:p>
        </w:tc>
      </w:tr>
      <w:tr>
        <w:tblPrEx>
          <w:tblCellMar>
            <w:top w:w="0" w:type="dxa"/>
            <w:left w:w="10" w:type="dxa"/>
            <w:bottom w:w="0" w:type="dxa"/>
            <w:right w:w="10" w:type="dxa"/>
          </w:tblCellMar>
        </w:tblPrEx>
        <w:trPr>
          <w:trHeight w:val="567" w:hRule="exact"/>
          <w:jc w:val="center"/>
        </w:trPr>
        <w:tc>
          <w:tcPr>
            <w:tcW w:w="8722" w:type="dxa"/>
            <w:gridSpan w:val="4"/>
            <w:tcBorders>
              <w:top w:val="single" w:color="auto" w:sz="4" w:space="0"/>
              <w:left w:val="single" w:color="auto" w:sz="4" w:space="0"/>
              <w:right w:val="single" w:color="auto" w:sz="4" w:space="0"/>
            </w:tcBorders>
            <w:shd w:val="clear" w:color="auto" w:fill="B8CCE4"/>
            <w:noWrap w:val="0"/>
            <w:vAlign w:val="top"/>
          </w:tcPr>
          <w:p>
            <w:pPr>
              <w:pStyle w:val="7"/>
              <w:pageBreakBefore w:val="0"/>
              <w:kinsoku/>
              <w:wordWrap/>
              <w:overflowPunct/>
              <w:topLinePunct w:val="0"/>
              <w:autoSpaceDE/>
              <w:autoSpaceDN/>
              <w:bidi w:val="0"/>
              <w:adjustRightInd/>
              <w:spacing w:before="80" w:line="240" w:lineRule="auto"/>
              <w:ind w:firstLine="0"/>
              <w:jc w:val="center"/>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第二十条第（八）项</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bottom w:val="single" w:color="auto" w:sz="4" w:space="0"/>
            </w:tcBorders>
            <w:shd w:val="clear" w:color="auto" w:fill="FFFFFF"/>
            <w:noWrap w:val="0"/>
            <w:vAlign w:val="top"/>
          </w:tcPr>
          <w:p>
            <w:pPr>
              <w:pStyle w:val="7"/>
              <w:pageBreakBefore w:val="0"/>
              <w:kinsoku/>
              <w:wordWrap/>
              <w:overflowPunct/>
              <w:topLinePunct w:val="0"/>
              <w:autoSpaceDE/>
              <w:autoSpaceDN/>
              <w:bidi w:val="0"/>
              <w:adjustRightInd/>
              <w:spacing w:before="100" w:line="240" w:lineRule="auto"/>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426"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pageBreakBefore w:val="0"/>
              <w:kinsoku/>
              <w:wordWrap/>
              <w:overflowPunct/>
              <w:topLinePunct w:val="0"/>
              <w:autoSpaceDE/>
              <w:autoSpaceDN/>
              <w:bidi w:val="0"/>
              <w:adjustRightInd/>
              <w:spacing w:before="100" w:line="240" w:lineRule="auto"/>
              <w:ind w:firstLine="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本年收费金额（单位：万元）</w:t>
            </w:r>
          </w:p>
        </w:tc>
      </w:tr>
      <w:tr>
        <w:tblPrEx>
          <w:tblCellMar>
            <w:top w:w="0" w:type="dxa"/>
            <w:left w:w="10" w:type="dxa"/>
            <w:bottom w:w="0" w:type="dxa"/>
            <w:right w:w="10" w:type="dxa"/>
          </w:tblCellMar>
        </w:tblPrEx>
        <w:trPr>
          <w:trHeight w:val="567" w:hRule="exact"/>
          <w:jc w:val="center"/>
        </w:trPr>
        <w:tc>
          <w:tcPr>
            <w:tcW w:w="229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7"/>
              <w:pageBreakBefore w:val="0"/>
              <w:kinsoku/>
              <w:wordWrap/>
              <w:overflowPunct/>
              <w:topLinePunct w:val="0"/>
              <w:autoSpaceDE/>
              <w:autoSpaceDN/>
              <w:bidi w:val="0"/>
              <w:adjustRightInd/>
              <w:spacing w:before="100" w:line="240" w:lineRule="auto"/>
              <w:ind w:firstLine="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行政事业性收费</w:t>
            </w:r>
          </w:p>
        </w:tc>
        <w:tc>
          <w:tcPr>
            <w:tcW w:w="642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i w:val="0"/>
                <w:color w:val="000000"/>
                <w:sz w:val="24"/>
                <w:szCs w:val="24"/>
                <w:u w:val="none"/>
                <w:lang w:val="en-US" w:eastAsia="zh-CN" w:bidi="en-US"/>
              </w:rPr>
            </w:pPr>
            <w:r>
              <w:rPr>
                <w:rFonts w:hint="eastAsia" w:eastAsia="宋体" w:cs="Times New Roman"/>
                <w:i w:val="0"/>
                <w:color w:val="000000"/>
                <w:sz w:val="24"/>
                <w:szCs w:val="24"/>
                <w:u w:val="none"/>
                <w:lang w:val="en-US" w:eastAsia="zh-CN" w:bidi="en-US"/>
              </w:rPr>
              <w:t>0</w:t>
            </w:r>
          </w:p>
        </w:tc>
      </w:tr>
    </w:tbl>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textAlignment w:val="auto"/>
        <w:rPr>
          <w:rFonts w:hint="eastAsia" w:ascii="黑体" w:hAnsi="宋体" w:eastAsia="黑体" w:cs="黑体"/>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三、收到和处理政府信息公开申请情况</w:t>
      </w:r>
    </w:p>
    <w:tbl>
      <w:tblPr>
        <w:tblStyle w:val="4"/>
        <w:tblW w:w="0" w:type="auto"/>
        <w:jc w:val="center"/>
        <w:tblLayout w:type="fixed"/>
        <w:tblCellMar>
          <w:top w:w="0" w:type="dxa"/>
          <w:left w:w="10" w:type="dxa"/>
          <w:bottom w:w="0" w:type="dxa"/>
          <w:right w:w="10" w:type="dxa"/>
        </w:tblCellMar>
      </w:tblPr>
      <w:tblGrid>
        <w:gridCol w:w="520"/>
        <w:gridCol w:w="1420"/>
        <w:gridCol w:w="2722"/>
        <w:gridCol w:w="627"/>
        <w:gridCol w:w="565"/>
        <w:gridCol w:w="564"/>
        <w:gridCol w:w="569"/>
        <w:gridCol w:w="568"/>
        <w:gridCol w:w="568"/>
        <w:gridCol w:w="637"/>
      </w:tblGrid>
      <w:tr>
        <w:tblPrEx>
          <w:tblCellMar>
            <w:top w:w="0" w:type="dxa"/>
            <w:left w:w="10" w:type="dxa"/>
            <w:bottom w:w="0" w:type="dxa"/>
            <w:right w:w="10" w:type="dxa"/>
          </w:tblCellMar>
        </w:tblPrEx>
        <w:trPr>
          <w:trHeight w:val="342" w:hRule="atLeast"/>
          <w:jc w:val="center"/>
        </w:trPr>
        <w:tc>
          <w:tcPr>
            <w:tcW w:w="4662" w:type="dxa"/>
            <w:gridSpan w:val="3"/>
            <w:vMerge w:val="restart"/>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（本列数据的勾稽关系为：第一项加第二项之和，</w:t>
            </w:r>
          </w:p>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等于第三项加第四项之和）</w:t>
            </w:r>
          </w:p>
        </w:tc>
        <w:tc>
          <w:tcPr>
            <w:tcW w:w="4098" w:type="dxa"/>
            <w:gridSpan w:val="7"/>
            <w:tcBorders>
              <w:top w:val="single" w:color="auto" w:sz="4" w:space="0"/>
              <w:left w:val="single" w:color="auto" w:sz="4" w:space="0"/>
              <w:righ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申请人情况</w:t>
            </w:r>
          </w:p>
        </w:tc>
      </w:tr>
      <w:tr>
        <w:tblPrEx>
          <w:tblCellMar>
            <w:top w:w="0" w:type="dxa"/>
            <w:left w:w="10" w:type="dxa"/>
            <w:bottom w:w="0" w:type="dxa"/>
            <w:right w:w="10" w:type="dxa"/>
          </w:tblCellMar>
        </w:tblPrEx>
        <w:trPr>
          <w:trHeight w:val="342"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restart"/>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自然人</w:t>
            </w:r>
          </w:p>
        </w:tc>
        <w:tc>
          <w:tcPr>
            <w:tcW w:w="2834" w:type="dxa"/>
            <w:gridSpan w:val="5"/>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法人或其他组织</w:t>
            </w:r>
          </w:p>
        </w:tc>
        <w:tc>
          <w:tcPr>
            <w:tcW w:w="637" w:type="dxa"/>
            <w:vMerge w:val="restart"/>
            <w:tcBorders>
              <w:top w:val="single" w:color="auto" w:sz="4" w:space="0"/>
              <w:left w:val="single" w:color="auto" w:sz="4" w:space="0"/>
              <w:righ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总计</w:t>
            </w:r>
          </w:p>
        </w:tc>
      </w:tr>
      <w:tr>
        <w:tblPrEx>
          <w:tblCellMar>
            <w:top w:w="0" w:type="dxa"/>
            <w:left w:w="10" w:type="dxa"/>
            <w:bottom w:w="0" w:type="dxa"/>
            <w:right w:w="10" w:type="dxa"/>
          </w:tblCellMar>
        </w:tblPrEx>
        <w:trPr>
          <w:trHeight w:val="921"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565"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商业 企业</w:t>
            </w:r>
          </w:p>
        </w:tc>
        <w:tc>
          <w:tcPr>
            <w:tcW w:w="564"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科研 机构</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黑体" w:cs="Times New Roman"/>
                <w:sz w:val="10"/>
                <w:szCs w:val="10"/>
                <w:lang w:eastAsia="zh-CN"/>
              </w:rPr>
            </w:pPr>
            <w:r>
              <w:rPr>
                <w:rFonts w:hint="default" w:ascii="Times New Roman" w:hAnsi="Times New Roman" w:eastAsia="黑体" w:cs="Times New Roman"/>
                <w:sz w:val="20"/>
                <w:szCs w:val="20"/>
                <w:lang w:val="zh-TW" w:eastAsia="zh-CN" w:bidi="zh-TW"/>
              </w:rPr>
              <w:t>社会公益组织</w:t>
            </w:r>
          </w:p>
        </w:tc>
        <w:tc>
          <w:tcPr>
            <w:tcW w:w="568"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法律 服务 机构</w:t>
            </w:r>
          </w:p>
        </w:tc>
        <w:tc>
          <w:tcPr>
            <w:tcW w:w="568"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其他</w:t>
            </w:r>
          </w:p>
        </w:tc>
        <w:tc>
          <w:tcPr>
            <w:tcW w:w="637"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一、本年新收政府信息公开申请数量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1</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1</w:t>
            </w: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二、上年结转政府信息公开申请数量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restart"/>
            <w:tcBorders>
              <w:top w:val="single" w:color="auto" w:sz="4" w:space="0"/>
              <w:left w:val="single" w:color="auto" w:sz="4" w:space="0"/>
            </w:tcBorders>
            <w:shd w:val="clear" w:color="auto" w:fill="FFFFFF"/>
            <w:noWrap w:val="0"/>
            <w:textDirection w:val="tbRlV"/>
            <w:vAlign w:val="center"/>
          </w:tcPr>
          <w:p>
            <w:pPr>
              <w:pStyle w:val="8"/>
              <w:keepNext w:val="0"/>
              <w:keepLines w:val="0"/>
              <w:pageBreakBefore w:val="0"/>
              <w:kinsoku/>
              <w:wordWrap/>
              <w:overflowPunct/>
              <w:topLinePunct w:val="0"/>
              <w:autoSpaceDE/>
              <w:autoSpaceDN/>
              <w:bidi w:val="0"/>
              <w:adjustRightInd/>
              <w:snapToGrid/>
              <w:spacing w:before="0" w:line="280" w:lineRule="exact"/>
              <w:textAlignment w:val="auto"/>
              <w:outlineLvl w:val="9"/>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三、本年度办理结果</w:t>
            </w:r>
          </w:p>
        </w:tc>
        <w:tc>
          <w:tcPr>
            <w:tcW w:w="4142" w:type="dxa"/>
            <w:gridSpan w:val="2"/>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（一）予以公开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1</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1</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1"/>
                <w:szCs w:val="21"/>
              </w:rPr>
            </w:pPr>
          </w:p>
        </w:tc>
        <w:tc>
          <w:tcPr>
            <w:tcW w:w="4142" w:type="dxa"/>
            <w:gridSpan w:val="2"/>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（二）部分公开（区分处理的，只计这一情 形，不计其他情形）</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（三）不予公开</w:t>
            </w: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属于国家秘密</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lang w:eastAsia="zh-CN"/>
              </w:rPr>
              <w:t>其他法律行政法规</w:t>
            </w:r>
            <w:r>
              <w:rPr>
                <w:rFonts w:hint="default" w:ascii="Times New Roman" w:hAnsi="Times New Roman" w:eastAsia="仿宋_GB2312" w:cs="Times New Roman"/>
                <w:sz w:val="18"/>
                <w:szCs w:val="18"/>
              </w:rPr>
              <w:t>禁止公开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危及</w:t>
            </w:r>
            <w:r>
              <w:rPr>
                <w:rFonts w:hint="default" w:ascii="Times New Roman" w:hAnsi="Times New Roman" w:eastAsia="仿宋_GB2312" w:cs="Times New Roman"/>
                <w:sz w:val="18"/>
                <w:szCs w:val="18"/>
                <w:lang w:val="zh-CN" w:eastAsia="zh-CN" w:bidi="zh-CN"/>
              </w:rPr>
              <w:t>“三</w:t>
            </w:r>
            <w:r>
              <w:rPr>
                <w:rFonts w:hint="default" w:ascii="Times New Roman" w:hAnsi="Times New Roman" w:eastAsia="仿宋_GB2312" w:cs="Times New Roman"/>
                <w:sz w:val="18"/>
                <w:szCs w:val="18"/>
              </w:rPr>
              <w:t>安全一稳定”</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4.</w:t>
            </w:r>
            <w:r>
              <w:rPr>
                <w:rFonts w:hint="default" w:ascii="Times New Roman" w:hAnsi="Times New Roman" w:eastAsia="仿宋_GB2312" w:cs="Times New Roman"/>
                <w:sz w:val="18"/>
                <w:szCs w:val="18"/>
              </w:rPr>
              <w:t>保护第三方合法权益</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属于三类内部事务信息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6.</w:t>
            </w:r>
            <w:r>
              <w:rPr>
                <w:rFonts w:hint="default" w:ascii="Times New Roman" w:hAnsi="Times New Roman" w:eastAsia="仿宋_GB2312" w:cs="Times New Roman"/>
                <w:sz w:val="18"/>
                <w:szCs w:val="18"/>
              </w:rPr>
              <w:t>属于四类过程性信息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7.</w:t>
            </w:r>
            <w:r>
              <w:rPr>
                <w:rFonts w:hint="default" w:ascii="Times New Roman" w:hAnsi="Times New Roman" w:eastAsia="仿宋_GB2312" w:cs="Times New Roman"/>
                <w:sz w:val="18"/>
                <w:szCs w:val="18"/>
              </w:rPr>
              <w:t>属于行政执法案卷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8.</w:t>
            </w:r>
            <w:r>
              <w:rPr>
                <w:rFonts w:hint="default" w:ascii="Times New Roman" w:hAnsi="Times New Roman" w:eastAsia="仿宋_GB2312" w:cs="Times New Roman"/>
                <w:sz w:val="18"/>
                <w:szCs w:val="18"/>
              </w:rPr>
              <w:t>属于行政查询事项</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restart"/>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（四）无法提供</w:t>
            </w: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1.</w:t>
            </w:r>
            <w:r>
              <w:rPr>
                <w:rFonts w:hint="default" w:ascii="Times New Roman" w:hAnsi="Times New Roman" w:eastAsia="仿宋_GB2312" w:cs="Times New Roman"/>
                <w:sz w:val="18"/>
                <w:szCs w:val="18"/>
              </w:rPr>
              <w:t>本机关不掌握相关政府信息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rPr>
              <w:t>没有现成信息需要另行制作</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补正后申请内容仍不明确</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（五）不予处理</w:t>
            </w: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信访举报投诉类申请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2.</w:t>
            </w:r>
            <w:r>
              <w:rPr>
                <w:rFonts w:hint="default" w:ascii="Times New Roman" w:hAnsi="Times New Roman" w:eastAsia="仿宋_GB2312" w:cs="Times New Roman"/>
                <w:sz w:val="18"/>
                <w:szCs w:val="18"/>
              </w:rPr>
              <w:t>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3.</w:t>
            </w:r>
            <w:r>
              <w:rPr>
                <w:rFonts w:hint="default" w:ascii="Times New Roman" w:hAnsi="Times New Roman" w:eastAsia="仿宋_GB2312" w:cs="Times New Roman"/>
                <w:sz w:val="18"/>
                <w:szCs w:val="18"/>
              </w:rPr>
              <w:t>要求提供公开出版物</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4.</w:t>
            </w:r>
            <w:r>
              <w:rPr>
                <w:rFonts w:hint="default" w:ascii="Times New Roman" w:hAnsi="Times New Roman" w:eastAsia="仿宋_GB2312" w:cs="Times New Roman"/>
                <w:sz w:val="18"/>
                <w:szCs w:val="18"/>
              </w:rPr>
              <w:t>无正当理由大量反复申请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left="340" w:hanging="34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要求行政机关确认或重新出具已获取信息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（六）其他处理</w:t>
            </w: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color w:val="000000"/>
                <w:sz w:val="18"/>
                <w:szCs w:val="18"/>
                <w:lang w:val="zh-TW" w:eastAsia="zh-TW" w:bidi="zh-TW"/>
              </w:rPr>
            </w:pPr>
            <w:r>
              <w:rPr>
                <w:rFonts w:hint="default" w:ascii="Times New Roman" w:hAnsi="Times New Roman" w:eastAsia="仿宋_GB2312" w:cs="Times New Roman"/>
                <w:color w:val="000000"/>
                <w:sz w:val="18"/>
                <w:szCs w:val="18"/>
                <w:lang w:val="en-US" w:eastAsia="zh-CN" w:bidi="zh-TW"/>
              </w:rPr>
              <w:t xml:space="preserve">1.申请人无正当理由逾期不补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正、行政机关不再处理其政府信息公开申请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2.申请人逾期未按收费通知要求缴纳费用、行政机关不再处理其政府信息公开申请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20"/>
                <w:szCs w:val="20"/>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18"/>
                <w:szCs w:val="18"/>
                <w:lang w:val="en-US" w:eastAsia="zh-CN" w:bidi="zh-TW"/>
              </w:rPr>
              <w:t>3.其他</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4142" w:type="dxa"/>
            <w:gridSpan w:val="2"/>
            <w:tcBorders>
              <w:top w:val="single" w:color="auto" w:sz="4" w:space="0"/>
              <w:left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（七）总计</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1</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eastAsia="仿宋_GB2312" w:cs="Times New Roman"/>
                <w:color w:val="000000"/>
                <w:sz w:val="24"/>
                <w:szCs w:val="24"/>
                <w:lang w:val="en-US" w:eastAsia="zh-CN" w:bidi="zh-TW"/>
              </w:rPr>
              <w:t>1</w:t>
            </w:r>
            <w:bookmarkStart w:id="0" w:name="_GoBack"/>
            <w:bookmarkEnd w:id="0"/>
          </w:p>
        </w:tc>
      </w:tr>
      <w:tr>
        <w:tblPrEx>
          <w:tblCellMar>
            <w:top w:w="0" w:type="dxa"/>
            <w:left w:w="10" w:type="dxa"/>
            <w:bottom w:w="0" w:type="dxa"/>
            <w:right w:w="10" w:type="dxa"/>
          </w:tblCellMar>
        </w:tblPrEx>
        <w:trPr>
          <w:trHeight w:val="353" w:hRule="atLeast"/>
          <w:jc w:val="center"/>
        </w:trPr>
        <w:tc>
          <w:tcPr>
            <w:tcW w:w="4662" w:type="dxa"/>
            <w:gridSpan w:val="3"/>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四、结转下年度继续办理</w:t>
            </w:r>
          </w:p>
        </w:tc>
        <w:tc>
          <w:tcPr>
            <w:tcW w:w="62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黑体" w:hAnsi="宋体" w:eastAsia="黑体" w:cs="黑体"/>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rPr>
        <w:t>四、政府信息公开行政复议、行政诉讼情况</w:t>
      </w:r>
    </w:p>
    <w:tbl>
      <w:tblPr>
        <w:tblStyle w:val="4"/>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2" w:hRule="atLeast"/>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行政复议</w:t>
            </w:r>
          </w:p>
        </w:tc>
        <w:tc>
          <w:tcPr>
            <w:tcW w:w="568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trPr>
        <w:tc>
          <w:tcPr>
            <w:tcW w:w="5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结果维持</w:t>
            </w:r>
          </w:p>
        </w:tc>
        <w:tc>
          <w:tcPr>
            <w:tcW w:w="59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结果纠正</w:t>
            </w:r>
          </w:p>
        </w:tc>
        <w:tc>
          <w:tcPr>
            <w:tcW w:w="59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其他结果</w:t>
            </w:r>
          </w:p>
        </w:tc>
        <w:tc>
          <w:tcPr>
            <w:tcW w:w="59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尚未审结</w:t>
            </w:r>
          </w:p>
        </w:tc>
        <w:tc>
          <w:tcPr>
            <w:tcW w:w="463"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总计</w:t>
            </w:r>
          </w:p>
        </w:tc>
        <w:tc>
          <w:tcPr>
            <w:tcW w:w="2839"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未经复议直接起诉</w:t>
            </w:r>
          </w:p>
        </w:tc>
        <w:tc>
          <w:tcPr>
            <w:tcW w:w="284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9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9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9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463"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caps w:val="0"/>
                <w:color w:val="000000"/>
                <w:spacing w:val="0"/>
                <w:sz w:val="27"/>
                <w:szCs w:val="27"/>
              </w:rPr>
            </w:pP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结果维持</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结果纠正</w:t>
            </w:r>
          </w:p>
        </w:tc>
        <w:tc>
          <w:tcPr>
            <w:tcW w:w="5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其他结果</w:t>
            </w:r>
          </w:p>
        </w:tc>
        <w:tc>
          <w:tcPr>
            <w:tcW w:w="5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尚未审结</w:t>
            </w:r>
          </w:p>
        </w:tc>
        <w:tc>
          <w:tcPr>
            <w:tcW w:w="4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总计</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结果维持</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结果纠正</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其他结果</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尚未审结</w:t>
            </w:r>
          </w:p>
        </w:tc>
        <w:tc>
          <w:tcPr>
            <w:tcW w:w="46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trPr>
        <w:tc>
          <w:tcPr>
            <w:tcW w:w="5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46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46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4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6"/>
                <w:rFonts w:hint="default" w:ascii="Times New Roman" w:hAnsi="Times New Roman" w:eastAsia="微软雅黑" w:cs="Times New Roman"/>
                <w:b/>
                <w:i w:val="0"/>
                <w:caps w:val="0"/>
                <w:color w:val="000000"/>
                <w:spacing w:val="0"/>
                <w:sz w:val="18"/>
                <w:szCs w:val="18"/>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rPr>
        <w:t>2021年，</w:t>
      </w:r>
      <w:r>
        <w:rPr>
          <w:rFonts w:hint="eastAsia" w:ascii="仿宋_GB2312" w:hAnsi="微软雅黑" w:eastAsia="仿宋_GB2312" w:cs="仿宋_GB2312"/>
          <w:i w:val="0"/>
          <w:caps w:val="0"/>
          <w:color w:val="000000"/>
          <w:spacing w:val="0"/>
          <w:sz w:val="32"/>
          <w:szCs w:val="32"/>
          <w:lang w:eastAsia="zh-CN"/>
        </w:rPr>
        <w:t>市生态环境局沂源分局</w:t>
      </w:r>
      <w:r>
        <w:rPr>
          <w:rFonts w:ascii="仿宋_GB2312" w:hAnsi="微软雅黑" w:eastAsia="仿宋_GB2312" w:cs="仿宋_GB2312"/>
          <w:i w:val="0"/>
          <w:caps w:val="0"/>
          <w:color w:val="000000"/>
          <w:spacing w:val="0"/>
          <w:sz w:val="32"/>
          <w:szCs w:val="32"/>
        </w:rPr>
        <w:t>政府信息公开工作虽取得了新的进展，但也还存在一些问题：如，部分栏目内容不够丰富；推动政务公开和政府信息公开的力度不够，部分信息公开不够及时，规范化制度化亟待完善，公开渠道有待拓宽；信息发布的积极性和主动性不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结合以上不足，</w:t>
      </w: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将采取以下措施完善信息公开工作：进一步提高对政务公开和信息公开工作重要性的认识，继续加强对政务公开和信息公开工作的领导，全面规范政务公开工作。抓好政务信息公开工作的规章制度健全、工作作风转变、业务流程规范等建设，做实做细信息公开服务，及时回应社会关切问题。进一步加强政务公开培训，不断提高工作人员的思想政治素质和业务能力水平，确保政务公开工作顺利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rPr>
        <w:t>六、其他需要报告的事项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（一）</w:t>
      </w:r>
      <w:r>
        <w:rPr>
          <w:rFonts w:hint="eastAsia" w:ascii="仿宋_GB2312" w:hAnsi="宋体" w:eastAsia="仿宋_GB2312" w:cs="仿宋_GB2312"/>
          <w:i w:val="0"/>
          <w:caps w:val="0"/>
          <w:color w:val="000000"/>
          <w:spacing w:val="0"/>
          <w:sz w:val="32"/>
          <w:szCs w:val="32"/>
          <w:shd w:val="clear" w:fill="FFFFFF"/>
        </w:rPr>
        <w:t>本行政机关</w:t>
      </w:r>
      <w:r>
        <w:rPr>
          <w:rFonts w:ascii="仿宋_GB2312" w:hAnsi="宋体" w:eastAsia="仿宋_GB2312" w:cs="仿宋_GB2312"/>
          <w:i w:val="0"/>
          <w:caps w:val="0"/>
          <w:color w:val="000000"/>
          <w:spacing w:val="0"/>
          <w:sz w:val="32"/>
          <w:szCs w:val="32"/>
          <w:shd w:val="clear" w:fill="FFFFFF"/>
        </w:rPr>
        <w:t>落实年度政务公开工作要点情况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lang w:eastAsia="zh-CN"/>
        </w:rPr>
        <w:t>市生态环境局沂源分局</w:t>
      </w:r>
      <w:r>
        <w:rPr>
          <w:rFonts w:ascii="仿宋_GB2312" w:hAnsi="微软雅黑" w:eastAsia="仿宋_GB2312" w:cs="仿宋_GB2312"/>
          <w:i w:val="0"/>
          <w:caps w:val="0"/>
          <w:color w:val="000000"/>
          <w:spacing w:val="0"/>
          <w:sz w:val="32"/>
          <w:szCs w:val="32"/>
        </w:rPr>
        <w:t>严格</w:t>
      </w:r>
      <w:r>
        <w:rPr>
          <w:rFonts w:hint="eastAsia" w:ascii="仿宋_GB2312" w:hAnsi="微软雅黑" w:eastAsia="仿宋_GB2312" w:cs="仿宋_GB2312"/>
          <w:i w:val="0"/>
          <w:caps w:val="0"/>
          <w:color w:val="000000"/>
          <w:spacing w:val="0"/>
          <w:sz w:val="32"/>
          <w:szCs w:val="32"/>
        </w:rPr>
        <w:t>按照2021年沂源县政务公开工作要点的新要求、新任务进行详细梳理，形成本部门政务公开任务清单，进一步落实责任主体，完善政务公开制度机制，加强政务公开平台建设管理，提升政务服务工作实效，确保年度政务公开工作要点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微软雅黑" w:eastAsia="仿宋_GB2312" w:cs="仿宋_GB2312"/>
          <w:i w:val="0"/>
          <w:caps w:val="0"/>
          <w:color w:val="000000"/>
          <w:spacing w:val="0"/>
          <w:sz w:val="32"/>
          <w:szCs w:val="32"/>
        </w:rPr>
      </w:pPr>
      <w:r>
        <w:rPr>
          <w:rFonts w:ascii="仿宋_GB2312" w:hAnsi="宋体" w:eastAsia="仿宋_GB2312" w:cs="仿宋_GB2312"/>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lang w:eastAsia="zh-CN"/>
        </w:rPr>
        <w:t>二</w:t>
      </w:r>
      <w:r>
        <w:rPr>
          <w:rFonts w:ascii="仿宋_GB2312" w:hAnsi="宋体" w:eastAsia="仿宋_GB2312" w:cs="仿宋_GB2312"/>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rPr>
        <w:t>本行政机关人大代表建议和政协提案办理结果公开情况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微软雅黑" w:eastAsia="仿宋_GB2312" w:cs="仿宋_GB2312"/>
          <w:i w:val="0"/>
          <w:caps w:val="0"/>
          <w:color w:val="000000"/>
          <w:spacing w:val="0"/>
          <w:sz w:val="32"/>
          <w:szCs w:val="32"/>
          <w:lang w:eastAsia="zh-CN"/>
        </w:rPr>
      </w:pPr>
      <w:r>
        <w:rPr>
          <w:rFonts w:hint="eastAsia" w:ascii="仿宋_GB2312" w:hAnsi="微软雅黑" w:eastAsia="仿宋_GB2312" w:cs="仿宋_GB2312"/>
          <w:i w:val="0"/>
          <w:caps w:val="0"/>
          <w:color w:val="000000"/>
          <w:spacing w:val="0"/>
          <w:sz w:val="32"/>
          <w:szCs w:val="32"/>
        </w:rPr>
        <w:t>2021年</w:t>
      </w:r>
      <w:r>
        <w:rPr>
          <w:rFonts w:hint="eastAsia" w:ascii="仿宋_GB2312" w:hAnsi="微软雅黑" w:eastAsia="仿宋_GB2312" w:cs="仿宋_GB2312"/>
          <w:i w:val="0"/>
          <w:caps w:val="0"/>
          <w:color w:val="000000"/>
          <w:spacing w:val="0"/>
          <w:sz w:val="32"/>
          <w:szCs w:val="32"/>
          <w:lang w:eastAsia="zh-CN"/>
        </w:rPr>
        <w:t>市生态环境局沂源分局</w:t>
      </w:r>
      <w:r>
        <w:rPr>
          <w:rFonts w:hint="eastAsia" w:ascii="仿宋_GB2312" w:hAnsi="微软雅黑" w:eastAsia="仿宋_GB2312" w:cs="仿宋_GB2312"/>
          <w:i w:val="0"/>
          <w:caps w:val="0"/>
          <w:color w:val="000000"/>
          <w:spacing w:val="0"/>
          <w:sz w:val="32"/>
          <w:szCs w:val="32"/>
        </w:rPr>
        <w:t>共承办人大代表建议5件，办复率100%；承办政协提案</w:t>
      </w:r>
      <w:r>
        <w:rPr>
          <w:rFonts w:hint="eastAsia" w:ascii="仿宋_GB2312" w:hAnsi="微软雅黑" w:eastAsia="仿宋_GB2312" w:cs="仿宋_GB2312"/>
          <w:i w:val="0"/>
          <w:caps w:val="0"/>
          <w:color w:val="000000"/>
          <w:spacing w:val="0"/>
          <w:sz w:val="32"/>
          <w:szCs w:val="32"/>
          <w:lang w:val="en-US" w:eastAsia="zh-CN"/>
        </w:rPr>
        <w:t>1</w:t>
      </w:r>
      <w:r>
        <w:rPr>
          <w:rFonts w:hint="eastAsia" w:ascii="仿宋_GB2312" w:hAnsi="微软雅黑" w:eastAsia="仿宋_GB2312" w:cs="仿宋_GB2312"/>
          <w:i w:val="0"/>
          <w:caps w:val="0"/>
          <w:color w:val="000000"/>
          <w:spacing w:val="0"/>
          <w:sz w:val="32"/>
          <w:szCs w:val="32"/>
        </w:rPr>
        <w:t>件，办复率100%。</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0" w:leftChars="0" w:right="0" w:rightChars="0"/>
        <w:rPr>
          <w:rFonts w:hint="eastAsia" w:ascii="仿宋_GB2312" w:hAnsi="宋体"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rPr>
        <w:t>本行政机关年度政务公开工作创新情况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eastAsia"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2021年1</w:t>
      </w:r>
      <w:r>
        <w:rPr>
          <w:rFonts w:hint="eastAsia" w:ascii="仿宋_GB2312" w:hAnsi="宋体" w:eastAsia="仿宋_GB2312" w:cs="仿宋_GB2312"/>
          <w:i w:val="0"/>
          <w:caps w:val="0"/>
          <w:color w:val="000000"/>
          <w:spacing w:val="0"/>
          <w:sz w:val="32"/>
          <w:szCs w:val="32"/>
          <w:shd w:val="clear" w:fill="FFFFFF"/>
          <w:lang w:val="en-US" w:eastAsia="zh-CN"/>
        </w:rPr>
        <w:t>1</w:t>
      </w:r>
      <w:r>
        <w:rPr>
          <w:rFonts w:ascii="仿宋_GB2312" w:hAnsi="宋体" w:eastAsia="仿宋_GB2312" w:cs="仿宋_GB2312"/>
          <w:i w:val="0"/>
          <w:caps w:val="0"/>
          <w:color w:val="000000"/>
          <w:spacing w:val="0"/>
          <w:sz w:val="32"/>
          <w:szCs w:val="32"/>
          <w:shd w:val="clear" w:fill="FFFFFF"/>
        </w:rPr>
        <w:t>月1</w:t>
      </w:r>
      <w:r>
        <w:rPr>
          <w:rFonts w:hint="eastAsia" w:ascii="仿宋_GB2312" w:hAnsi="宋体" w:eastAsia="仿宋_GB2312" w:cs="仿宋_GB2312"/>
          <w:i w:val="0"/>
          <w:caps w:val="0"/>
          <w:color w:val="000000"/>
          <w:spacing w:val="0"/>
          <w:sz w:val="32"/>
          <w:szCs w:val="32"/>
          <w:shd w:val="clear" w:fill="FFFFFF"/>
          <w:lang w:val="en-US" w:eastAsia="zh-CN"/>
        </w:rPr>
        <w:t>8</w:t>
      </w:r>
      <w:r>
        <w:rPr>
          <w:rFonts w:ascii="仿宋_GB2312" w:hAnsi="宋体" w:eastAsia="仿宋_GB2312" w:cs="仿宋_GB2312"/>
          <w:i w:val="0"/>
          <w:caps w:val="0"/>
          <w:color w:val="000000"/>
          <w:spacing w:val="0"/>
          <w:sz w:val="32"/>
          <w:szCs w:val="32"/>
          <w:shd w:val="clear" w:fill="FFFFFF"/>
        </w:rPr>
        <w:t>日，</w:t>
      </w:r>
      <w:r>
        <w:rPr>
          <w:rFonts w:hint="eastAsia" w:ascii="仿宋_GB2312" w:hAnsi="宋体" w:eastAsia="仿宋_GB2312" w:cs="仿宋_GB2312"/>
          <w:i w:val="0"/>
          <w:caps w:val="0"/>
          <w:color w:val="000000"/>
          <w:spacing w:val="0"/>
          <w:sz w:val="32"/>
          <w:szCs w:val="32"/>
          <w:shd w:val="clear" w:fill="FFFFFF"/>
          <w:lang w:eastAsia="zh-CN"/>
        </w:rPr>
        <w:t>市生态环境局沂源分局</w:t>
      </w:r>
      <w:r>
        <w:rPr>
          <w:rFonts w:hint="eastAsia" w:ascii="仿宋_GB2312" w:hAnsi="宋体" w:eastAsia="仿宋_GB2312" w:cs="仿宋_GB2312"/>
          <w:i w:val="0"/>
          <w:caps w:val="0"/>
          <w:color w:val="000000"/>
          <w:spacing w:val="0"/>
          <w:sz w:val="32"/>
          <w:szCs w:val="32"/>
          <w:shd w:val="clear" w:fill="FFFFFF"/>
        </w:rPr>
        <w:t>开展了以“共话环境变化战果 共享优质生态环境”为主题的“政府开放日”活动。邀请县人大代表、政协委员、群众代表、媒体记者等参加。既展示了全县生态环境治理工作开展情况和生态沂源建设成效，也征求到了许多利于工作开展的良好意见和建议，取得了良好的效果。</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0" w:leftChars="0" w:right="0" w:rightChars="0" w:firstLine="0" w:firstLineChars="0"/>
        <w:rPr>
          <w:rFonts w:hint="eastAsia" w:ascii="仿宋_GB2312" w:hAnsi="宋体"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rPr>
        <w:t>收取信息处理费情况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rPr>
          <w:rFonts w:hint="eastAsia" w:ascii="仿宋_GB2312" w:hAnsi="宋体"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微软雅黑" w:eastAsia="仿宋_GB2312" w:cs="仿宋_GB2312"/>
          <w:i w:val="0"/>
          <w:caps w:val="0"/>
          <w:color w:val="000000"/>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587" w:right="1587" w:bottom="1587"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1D651"/>
    <w:multiLevelType w:val="singleLevel"/>
    <w:tmpl w:val="E2E1D651"/>
    <w:lvl w:ilvl="0" w:tentative="0">
      <w:start w:val="2"/>
      <w:numFmt w:val="chineseCounting"/>
      <w:suff w:val="nothing"/>
      <w:lvlText w:val="%1、"/>
      <w:lvlJc w:val="left"/>
      <w:rPr>
        <w:rFonts w:hint="eastAsia"/>
      </w:rPr>
    </w:lvl>
  </w:abstractNum>
  <w:abstractNum w:abstractNumId="1">
    <w:nsid w:val="5BDE217B"/>
    <w:multiLevelType w:val="singleLevel"/>
    <w:tmpl w:val="5BDE217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1329F"/>
    <w:rsid w:val="000D0B3B"/>
    <w:rsid w:val="00886CD6"/>
    <w:rsid w:val="03105344"/>
    <w:rsid w:val="0AF551EB"/>
    <w:rsid w:val="0B485283"/>
    <w:rsid w:val="0D2D1EA7"/>
    <w:rsid w:val="10533D6D"/>
    <w:rsid w:val="11A463FF"/>
    <w:rsid w:val="12AF14C6"/>
    <w:rsid w:val="14784207"/>
    <w:rsid w:val="151236D7"/>
    <w:rsid w:val="15E76D62"/>
    <w:rsid w:val="176439A8"/>
    <w:rsid w:val="19BC7F52"/>
    <w:rsid w:val="1B6A5107"/>
    <w:rsid w:val="1C276076"/>
    <w:rsid w:val="2288791B"/>
    <w:rsid w:val="24AA2BFD"/>
    <w:rsid w:val="253B246D"/>
    <w:rsid w:val="270D3EF0"/>
    <w:rsid w:val="28A56DE5"/>
    <w:rsid w:val="29D8716D"/>
    <w:rsid w:val="2A5270A5"/>
    <w:rsid w:val="2FE2355E"/>
    <w:rsid w:val="32220030"/>
    <w:rsid w:val="3BA1163E"/>
    <w:rsid w:val="3C5A404D"/>
    <w:rsid w:val="3CF3060D"/>
    <w:rsid w:val="3E151CDD"/>
    <w:rsid w:val="418C7137"/>
    <w:rsid w:val="44E51839"/>
    <w:rsid w:val="4A2D697C"/>
    <w:rsid w:val="4A761092"/>
    <w:rsid w:val="4A785657"/>
    <w:rsid w:val="4B0C7A7F"/>
    <w:rsid w:val="4E8E7749"/>
    <w:rsid w:val="4ECE0C8D"/>
    <w:rsid w:val="51415F29"/>
    <w:rsid w:val="52E85CEA"/>
    <w:rsid w:val="566D72C8"/>
    <w:rsid w:val="57793912"/>
    <w:rsid w:val="57864212"/>
    <w:rsid w:val="5961329F"/>
    <w:rsid w:val="5BE8337C"/>
    <w:rsid w:val="5D1206EA"/>
    <w:rsid w:val="63927156"/>
    <w:rsid w:val="68033FA5"/>
    <w:rsid w:val="6AE0042C"/>
    <w:rsid w:val="705235F0"/>
    <w:rsid w:val="71620B77"/>
    <w:rsid w:val="733A4B0C"/>
    <w:rsid w:val="7484158E"/>
    <w:rsid w:val="74E439C5"/>
    <w:rsid w:val="792402D4"/>
    <w:rsid w:val="79620450"/>
    <w:rsid w:val="7FA9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主动公开政府信息数量</a:t>
            </a:r>
          </a:p>
        </c:rich>
      </c:tx>
      <c:layout/>
      <c:overlay val="0"/>
      <c:spPr>
        <a:noFill/>
        <a:ln>
          <a:noFill/>
        </a:ln>
        <a:effectLst/>
      </c:spPr>
    </c:title>
    <c:autoTitleDeleted val="0"/>
    <c:plotArea>
      <c:layout>
        <c:manualLayout>
          <c:layoutTarget val="inner"/>
          <c:xMode val="edge"/>
          <c:yMode val="edge"/>
          <c:x val="0.307986111111111"/>
          <c:y val="0.166666666666667"/>
          <c:w val="0.400694444444444"/>
          <c:h val="0.667824074074074"/>
        </c:manualLayout>
      </c:layout>
      <c:pieChart>
        <c:varyColors val="1"/>
        <c:ser>
          <c:idx val="0"/>
          <c:order val="0"/>
          <c:tx>
            <c:strRef>
              <c:f>[工作簿1]Sheet1!$B$2</c:f>
              <c:strCache>
                <c:ptCount val="1"/>
                <c:pt idx="0">
                  <c:v>公开数量</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[工作簿1]Sheet1!$A$3:$A$5</c:f>
              <c:strCache>
                <c:ptCount val="3"/>
                <c:pt idx="0">
                  <c:v>行政许可类</c:v>
                </c:pt>
                <c:pt idx="1">
                  <c:v>行政处罚类</c:v>
                </c:pt>
                <c:pt idx="2">
                  <c:v>其他</c:v>
                </c:pt>
              </c:strCache>
            </c:strRef>
          </c:cat>
          <c:val>
            <c:numRef>
              <c:f>[工作簿1]Sheet1!$B$3:$B$5</c:f>
              <c:numCache>
                <c:formatCode>General</c:formatCode>
                <c:ptCount val="3"/>
                <c:pt idx="0">
                  <c:v>159</c:v>
                </c:pt>
                <c:pt idx="1">
                  <c:v>34</c:v>
                </c:pt>
                <c:pt idx="2">
                  <c:v>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01111111111111"/>
          <c:y val="0.86041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历年依申请公开数量</a:t>
            </a:r>
          </a:p>
        </c:rich>
      </c:tx>
      <c:layout/>
      <c:overlay val="0"/>
      <c:spPr>
        <a:noFill/>
        <a:ln>
          <a:noFill/>
        </a:ln>
        <a:effectLst/>
      </c:spPr>
    </c:title>
    <c:autoTitleDeleted val="0"/>
    <c:plotArea>
      <c:layout/>
      <c:barChart>
        <c:barDir val="col"/>
        <c:grouping val="clustered"/>
        <c:varyColors val="0"/>
        <c:ser>
          <c:idx val="0"/>
          <c:order val="0"/>
          <c:tx>
            <c:strRef>
              <c:f>[工作簿1]Sheet1!$B$1</c:f>
              <c:strCache>
                <c:ptCount val="1"/>
                <c:pt idx="0">
                  <c:v>收到申请</c:v>
                </c:pt>
              </c:strCache>
            </c:strRef>
          </c:tx>
          <c:spPr>
            <a:solidFill>
              <a:schemeClr val="accent1"/>
            </a:solidFill>
            <a:ln>
              <a:noFill/>
            </a:ln>
            <a:effectLst/>
          </c:spPr>
          <c:invertIfNegative val="0"/>
          <c:dLbls>
            <c:delete val="1"/>
          </c:dLbls>
          <c:cat>
            <c:numRef>
              <c:f>[工作簿1]Sheet1!$A$2:$A$5</c:f>
              <c:numCache>
                <c:formatCode>General</c:formatCode>
                <c:ptCount val="4"/>
                <c:pt idx="0">
                  <c:v>2018</c:v>
                </c:pt>
                <c:pt idx="1">
                  <c:v>2019</c:v>
                </c:pt>
                <c:pt idx="2">
                  <c:v>2020</c:v>
                </c:pt>
                <c:pt idx="3">
                  <c:v>2021</c:v>
                </c:pt>
              </c:numCache>
            </c:numRef>
          </c:cat>
          <c:val>
            <c:numRef>
              <c:f>[工作簿1]Sheet1!$B$2:$B$5</c:f>
              <c:numCache>
                <c:formatCode>General</c:formatCode>
                <c:ptCount val="4"/>
                <c:pt idx="0">
                  <c:v>0</c:v>
                </c:pt>
                <c:pt idx="1">
                  <c:v>0</c:v>
                </c:pt>
                <c:pt idx="2">
                  <c:v>0</c:v>
                </c:pt>
                <c:pt idx="3">
                  <c:v>1</c:v>
                </c:pt>
              </c:numCache>
            </c:numRef>
          </c:val>
        </c:ser>
        <c:dLbls>
          <c:showLegendKey val="0"/>
          <c:showVal val="0"/>
          <c:showCatName val="0"/>
          <c:showSerName val="0"/>
          <c:showPercent val="0"/>
          <c:showBubbleSize val="0"/>
        </c:dLbls>
        <c:gapWidth val="219"/>
        <c:overlap val="-27"/>
        <c:axId val="813475329"/>
        <c:axId val="548349816"/>
      </c:barChart>
      <c:catAx>
        <c:axId val="8134753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8349816"/>
        <c:crosses val="autoZero"/>
        <c:auto val="1"/>
        <c:lblAlgn val="ctr"/>
        <c:lblOffset val="100"/>
        <c:noMultiLvlLbl val="0"/>
      </c:catAx>
      <c:valAx>
        <c:axId val="54834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4753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2022-01-27T00:54:00Z</dcterms:created>
  <dc:creator>青花作笔丶</dc:creator>
  <cp:lastModifiedBy>白白白白</cp:lastModifiedBy>
  <dcterms:modified xsi:type="dcterms:W3CDTF">2022-02-07T00:35:12Z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E0CC3B5D399B4A11A347E2E1CCFF96C4</vt:lpwstr>
  </property>
</Properties>
</file>