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/>
          <w:sz w:val="32"/>
          <w:szCs w:val="21"/>
        </w:rPr>
      </w:pPr>
      <w:r>
        <w:rPr>
          <w:rFonts w:hint="eastAsia" w:ascii="黑体" w:hAnsi="黑体" w:eastAsia="黑体" w:cs="仿宋_GB2312"/>
          <w:b/>
          <w:sz w:val="32"/>
          <w:szCs w:val="21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2018年度政府信息公开工作情况统计表</w:t>
      </w:r>
    </w:p>
    <w:tbl>
      <w:tblPr>
        <w:tblStyle w:val="4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（一）主动公开政府信息数（不同渠道和方式公开相同信息计1条）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（一）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</w:rPr>
              <w:t>回应公众关注热点或重大舆情数</w:t>
            </w:r>
            <w:bookmarkEnd w:id="0"/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3.政策解读稿件发布数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八、政府公报发行量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（一）公报发行期数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九、设置政府信息查阅点数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（一）县直部门、单位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（一）县直部门、单位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1.专职人员数（不包括政府网站工作人员数）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（三）政府信息公开专项经费（不包括政府网站建设维护等方面的经费）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（注：各子栏目数要等于总栏目数量）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3A3"/>
    <w:rsid w:val="002245BC"/>
    <w:rsid w:val="00440077"/>
    <w:rsid w:val="008933A3"/>
    <w:rsid w:val="00911104"/>
    <w:rsid w:val="00A314ED"/>
    <w:rsid w:val="00B96647"/>
    <w:rsid w:val="00D72F2A"/>
    <w:rsid w:val="00EC751E"/>
    <w:rsid w:val="00F55A87"/>
    <w:rsid w:val="00F83683"/>
    <w:rsid w:val="00FF05D6"/>
    <w:rsid w:val="43D7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253</Words>
  <Characters>1443</Characters>
  <Lines>12</Lines>
  <Paragraphs>3</Paragraphs>
  <TotalTime>34</TotalTime>
  <ScaleCrop>false</ScaleCrop>
  <LinksUpToDate>false</LinksUpToDate>
  <CharactersWithSpaces>1693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2019-03-27T07:32:00Z</dcterms:created>
  <dc:creator>User</dc:creator>
  <cp:lastModifiedBy>唯@美.cn</cp:lastModifiedBy>
  <cp:lastPrinted>2019-01-15T01:27:00Z</cp:lastPrinted>
  <dcterms:modified xsi:type="dcterms:W3CDTF">2019-03-27T08:22:47Z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