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沂源县食品药品</w:t>
      </w:r>
      <w:r>
        <w:rPr>
          <w:rFonts w:hint="eastAsia" w:ascii="方正小标宋简体" w:hAnsi="方正小标宋简体" w:eastAsia="方正小标宋简体" w:cs="方正小标宋简体"/>
          <w:kern w:val="0"/>
          <w:sz w:val="44"/>
          <w:szCs w:val="44"/>
          <w:lang w:eastAsia="zh-CN"/>
        </w:rPr>
        <w:t>监督管理</w:t>
      </w:r>
      <w:r>
        <w:rPr>
          <w:rFonts w:hint="eastAsia" w:ascii="方正小标宋简体" w:hAnsi="方正小标宋简体" w:eastAsia="方正小标宋简体" w:cs="方正小标宋简体"/>
          <w:kern w:val="0"/>
          <w:sz w:val="44"/>
          <w:szCs w:val="44"/>
        </w:rPr>
        <w:t>局</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201</w:t>
      </w:r>
      <w:r>
        <w:rPr>
          <w:rFonts w:hint="eastAsia" w:ascii="方正小标宋简体" w:hAnsi="方正小标宋简体" w:eastAsia="方正小标宋简体" w:cs="方正小标宋简体"/>
          <w:kern w:val="0"/>
          <w:sz w:val="44"/>
          <w:szCs w:val="44"/>
          <w:lang w:val="en-US" w:eastAsia="zh-CN"/>
        </w:rPr>
        <w:t>7</w:t>
      </w:r>
      <w:r>
        <w:rPr>
          <w:rFonts w:hint="eastAsia" w:ascii="方正小标宋简体" w:hAnsi="方正小标宋简体" w:eastAsia="方正小标宋简体" w:cs="方正小标宋简体"/>
          <w:kern w:val="0"/>
          <w:sz w:val="44"/>
          <w:szCs w:val="44"/>
        </w:rPr>
        <w:t>年信息公开年度报告</w:t>
      </w:r>
    </w:p>
    <w:p>
      <w:pPr>
        <w:widowControl/>
        <w:wordWrap w:val="0"/>
        <w:spacing w:line="380" w:lineRule="atLeast"/>
        <w:rPr>
          <w:kern w:val="0"/>
          <w:sz w:val="28"/>
          <w:szCs w:val="28"/>
        </w:rPr>
      </w:pPr>
      <w:r>
        <w:rPr>
          <w:rFonts w:hAnsi="Arial"/>
          <w:kern w:val="0"/>
          <w:sz w:val="28"/>
          <w:szCs w:val="28"/>
        </w:rPr>
        <w:t>　</w:t>
      </w:r>
    </w:p>
    <w:p>
      <w:pPr>
        <w:ind w:firstLine="560" w:firstLineChars="200"/>
        <w:rPr>
          <w:rFonts w:eastAsia="仿宋_GB2312"/>
          <w:kern w:val="0"/>
          <w:sz w:val="28"/>
          <w:szCs w:val="28"/>
        </w:rPr>
      </w:pPr>
      <w:r>
        <w:rPr>
          <w:rFonts w:eastAsia="仿宋_GB2312"/>
          <w:kern w:val="0"/>
          <w:sz w:val="28"/>
          <w:szCs w:val="28"/>
        </w:rPr>
        <w:t>根据《</w:t>
      </w:r>
      <w:r>
        <w:rPr>
          <w:rFonts w:eastAsia="仿宋_GB2312"/>
          <w:sz w:val="28"/>
          <w:szCs w:val="28"/>
        </w:rPr>
        <w:t>沂源县人民政府办公室关于做好201</w:t>
      </w:r>
      <w:r>
        <w:rPr>
          <w:rFonts w:hint="eastAsia" w:eastAsia="仿宋_GB2312"/>
          <w:sz w:val="28"/>
          <w:szCs w:val="28"/>
          <w:lang w:val="en-US" w:eastAsia="zh-CN"/>
        </w:rPr>
        <w:t>7</w:t>
      </w:r>
      <w:r>
        <w:rPr>
          <w:rFonts w:eastAsia="仿宋_GB2312"/>
          <w:sz w:val="28"/>
          <w:szCs w:val="28"/>
        </w:rPr>
        <w:t>年政府信息公开工作年度报告编制</w:t>
      </w:r>
      <w:r>
        <w:rPr>
          <w:rFonts w:hint="eastAsia" w:eastAsia="仿宋_GB2312"/>
          <w:sz w:val="28"/>
          <w:szCs w:val="28"/>
          <w:lang w:eastAsia="zh-CN"/>
        </w:rPr>
        <w:t>发布</w:t>
      </w:r>
      <w:r>
        <w:rPr>
          <w:rFonts w:eastAsia="仿宋_GB2312"/>
          <w:sz w:val="28"/>
          <w:szCs w:val="28"/>
        </w:rPr>
        <w:t>工作的通知</w:t>
      </w:r>
      <w:r>
        <w:rPr>
          <w:rFonts w:eastAsia="仿宋_GB2312"/>
          <w:kern w:val="0"/>
          <w:sz w:val="28"/>
          <w:szCs w:val="28"/>
        </w:rPr>
        <w:t>》要求，形成县食品药品监管局201</w:t>
      </w:r>
      <w:r>
        <w:rPr>
          <w:rFonts w:hint="eastAsia" w:eastAsia="仿宋_GB2312"/>
          <w:kern w:val="0"/>
          <w:sz w:val="28"/>
          <w:szCs w:val="28"/>
          <w:lang w:val="en-US" w:eastAsia="zh-CN"/>
        </w:rPr>
        <w:t>7</w:t>
      </w:r>
      <w:r>
        <w:rPr>
          <w:rFonts w:eastAsia="仿宋_GB2312"/>
          <w:kern w:val="0"/>
          <w:sz w:val="28"/>
          <w:szCs w:val="28"/>
        </w:rPr>
        <w:t>年信息公开工作报告如下：</w:t>
      </w:r>
    </w:p>
    <w:p>
      <w:pPr>
        <w:widowControl/>
        <w:ind w:firstLine="560" w:firstLineChars="200"/>
        <w:rPr>
          <w:rFonts w:hint="eastAsia" w:ascii="黑体" w:eastAsia="黑体"/>
          <w:kern w:val="0"/>
          <w:sz w:val="28"/>
          <w:szCs w:val="28"/>
          <w:lang w:eastAsia="zh-CN"/>
        </w:rPr>
      </w:pPr>
      <w:r>
        <w:rPr>
          <w:rFonts w:hint="eastAsia" w:ascii="黑体" w:eastAsia="黑体"/>
          <w:kern w:val="0"/>
          <w:sz w:val="28"/>
          <w:szCs w:val="28"/>
          <w:lang w:val="en-US" w:eastAsia="zh-CN"/>
        </w:rPr>
        <w:t xml:space="preserve"> 一</w:t>
      </w:r>
      <w:r>
        <w:rPr>
          <w:rFonts w:ascii="黑体" w:eastAsia="黑体"/>
          <w:kern w:val="0"/>
          <w:sz w:val="28"/>
          <w:szCs w:val="28"/>
        </w:rPr>
        <w:t>、政府信息公开</w:t>
      </w:r>
      <w:r>
        <w:rPr>
          <w:rFonts w:hint="eastAsia" w:ascii="黑体" w:eastAsia="黑体"/>
          <w:kern w:val="0"/>
          <w:sz w:val="28"/>
          <w:szCs w:val="28"/>
          <w:lang w:eastAsia="zh-CN"/>
        </w:rPr>
        <w:t>工作概述</w:t>
      </w:r>
    </w:p>
    <w:p>
      <w:pPr>
        <w:widowControl/>
        <w:ind w:firstLine="560" w:firstLineChars="200"/>
        <w:rPr>
          <w:rFonts w:eastAsia="仿宋_GB2312"/>
          <w:kern w:val="0"/>
          <w:sz w:val="28"/>
          <w:szCs w:val="28"/>
        </w:rPr>
      </w:pPr>
      <w:r>
        <w:rPr>
          <w:rFonts w:eastAsia="仿宋_GB2312"/>
          <w:kern w:val="0"/>
          <w:sz w:val="28"/>
          <w:szCs w:val="28"/>
        </w:rPr>
        <w:t>我</w:t>
      </w:r>
      <w:r>
        <w:rPr>
          <w:rFonts w:hint="eastAsia" w:eastAsia="仿宋_GB2312"/>
          <w:kern w:val="0"/>
          <w:sz w:val="28"/>
          <w:szCs w:val="28"/>
          <w:lang w:eastAsia="zh-CN"/>
        </w:rPr>
        <w:t>局</w:t>
      </w:r>
      <w:r>
        <w:rPr>
          <w:rFonts w:eastAsia="仿宋_GB2312"/>
          <w:kern w:val="0"/>
          <w:sz w:val="28"/>
          <w:szCs w:val="28"/>
        </w:rPr>
        <w:t>根据《中华人民共和国政府信息公开条例》的规定，充分利用县政府网站政务信息公开的载体作用，对我局的机构职能、政策法规、规划计划、业务工作、财务收支等情况进行了及时公开，全年共主动公开各类信息</w:t>
      </w:r>
      <w:r>
        <w:rPr>
          <w:rFonts w:hint="eastAsia" w:eastAsia="仿宋_GB2312"/>
          <w:kern w:val="0"/>
          <w:sz w:val="28"/>
          <w:szCs w:val="28"/>
          <w:lang w:val="en-US" w:eastAsia="zh-CN"/>
        </w:rPr>
        <w:t>390</w:t>
      </w:r>
      <w:r>
        <w:rPr>
          <w:rFonts w:eastAsia="仿宋_GB2312"/>
          <w:kern w:val="0"/>
          <w:sz w:val="28"/>
          <w:szCs w:val="28"/>
        </w:rPr>
        <w:t>条。</w:t>
      </w:r>
    </w:p>
    <w:p>
      <w:pPr>
        <w:widowControl/>
        <w:ind w:firstLine="560" w:firstLineChars="200"/>
        <w:rPr>
          <w:rFonts w:hint="eastAsia" w:ascii="黑体" w:eastAsia="黑体"/>
          <w:kern w:val="0"/>
          <w:sz w:val="28"/>
          <w:szCs w:val="28"/>
        </w:rPr>
      </w:pPr>
      <w:r>
        <w:rPr>
          <w:rFonts w:hint="eastAsia" w:ascii="黑体" w:eastAsia="黑体"/>
          <w:kern w:val="0"/>
          <w:sz w:val="28"/>
          <w:szCs w:val="28"/>
          <w:lang w:eastAsia="zh-CN"/>
        </w:rPr>
        <w:t>二</w:t>
      </w:r>
      <w:r>
        <w:rPr>
          <w:rFonts w:hint="eastAsia" w:ascii="黑体" w:eastAsia="黑体"/>
          <w:kern w:val="0"/>
          <w:sz w:val="28"/>
          <w:szCs w:val="28"/>
        </w:rPr>
        <w:t>、</w:t>
      </w:r>
      <w:r>
        <w:rPr>
          <w:rFonts w:hint="eastAsia" w:ascii="黑体" w:eastAsia="黑体"/>
          <w:kern w:val="0"/>
          <w:sz w:val="28"/>
          <w:szCs w:val="28"/>
          <w:lang w:eastAsia="zh-CN"/>
        </w:rPr>
        <w:t>政府信息公开的组织领导和</w:t>
      </w:r>
      <w:r>
        <w:rPr>
          <w:rFonts w:hint="eastAsia" w:ascii="黑体" w:eastAsia="黑体"/>
          <w:kern w:val="0"/>
          <w:sz w:val="28"/>
          <w:szCs w:val="28"/>
        </w:rPr>
        <w:t>制度建设基本情况</w:t>
      </w:r>
    </w:p>
    <w:p>
      <w:pPr>
        <w:widowControl/>
        <w:ind w:firstLine="560" w:firstLineChars="200"/>
        <w:rPr>
          <w:rFonts w:eastAsia="仿宋_GB2312"/>
          <w:kern w:val="0"/>
          <w:sz w:val="28"/>
          <w:szCs w:val="28"/>
        </w:rPr>
      </w:pPr>
      <w:r>
        <w:rPr>
          <w:rFonts w:eastAsia="仿宋_GB2312"/>
          <w:kern w:val="0"/>
          <w:sz w:val="28"/>
          <w:szCs w:val="28"/>
        </w:rPr>
        <w:t>为切实加强对政府信息公开工作的组织领导，我局专门成立了信息公开领导小组，主要领导任组长，分管领导为副组长，科室负责人为成员，成立了办公室，安排专人具体负责信息的收集和公开工作，主动公开了信息公开咨询电话，并结合食品药品监管工作实际，制定出台了信息公开的相关制度，明确要求局机关各科室将所有与企业、群众利益密切</w:t>
      </w:r>
      <w:r>
        <w:rPr>
          <w:rFonts w:hint="eastAsia" w:eastAsia="仿宋_GB2312"/>
          <w:kern w:val="0"/>
          <w:sz w:val="28"/>
          <w:szCs w:val="28"/>
          <w:lang w:eastAsia="zh-CN"/>
        </w:rPr>
        <w:t>吗</w:t>
      </w:r>
      <w:bookmarkStart w:id="0" w:name="_GoBack"/>
      <w:bookmarkEnd w:id="0"/>
      <w:r>
        <w:rPr>
          <w:rFonts w:eastAsia="仿宋_GB2312"/>
          <w:kern w:val="0"/>
          <w:sz w:val="28"/>
          <w:szCs w:val="28"/>
        </w:rPr>
        <w:t>相关的信息、政策及制度实行公开，对公开的内容、形式、时间进行了统一要求，并认真组织编写了信息公开目录和信息公开指南，确保了信息公开工作的扎实开展。</w:t>
      </w:r>
    </w:p>
    <w:p>
      <w:pPr>
        <w:widowControl/>
        <w:ind w:firstLine="560" w:firstLineChars="200"/>
        <w:rPr>
          <w:rFonts w:hint="eastAsia" w:ascii="黑体" w:eastAsia="黑体"/>
          <w:kern w:val="0"/>
          <w:sz w:val="28"/>
          <w:szCs w:val="28"/>
          <w:lang w:eastAsia="zh-CN"/>
        </w:rPr>
      </w:pPr>
      <w:r>
        <w:rPr>
          <w:rFonts w:ascii="黑体" w:eastAsia="黑体"/>
          <w:kern w:val="0"/>
          <w:sz w:val="28"/>
          <w:szCs w:val="28"/>
        </w:rPr>
        <w:t> </w:t>
      </w:r>
      <w:r>
        <w:rPr>
          <w:rFonts w:hint="eastAsia" w:ascii="黑体" w:eastAsia="黑体"/>
          <w:kern w:val="0"/>
          <w:sz w:val="28"/>
          <w:szCs w:val="28"/>
          <w:lang w:eastAsia="zh-CN"/>
        </w:rPr>
        <w:t>三、重点领域政府信息公开工作推进情况</w:t>
      </w:r>
    </w:p>
    <w:p>
      <w:pPr>
        <w:widowControl/>
        <w:ind w:firstLine="560" w:firstLineChars="200"/>
        <w:rPr>
          <w:rFonts w:hint="eastAsia" w:eastAsia="仿宋_GB2312"/>
          <w:kern w:val="0"/>
          <w:sz w:val="28"/>
          <w:szCs w:val="28"/>
          <w:lang w:eastAsia="zh-CN"/>
        </w:rPr>
      </w:pPr>
      <w:r>
        <w:rPr>
          <w:rFonts w:hint="eastAsia" w:eastAsia="仿宋_GB2312"/>
          <w:kern w:val="0"/>
          <w:sz w:val="28"/>
          <w:szCs w:val="28"/>
          <w:lang w:eastAsia="zh-CN"/>
        </w:rPr>
        <w:t>我局按照政府信息主动公开范围，严格遵守信息公开制度，及时准确的公开食品药品监管信息、处罚信息、消费警示信息等重点领域信息，对群众关心的重点领域情况做到及时公开。</w:t>
      </w:r>
    </w:p>
    <w:p>
      <w:pPr>
        <w:widowControl/>
        <w:ind w:firstLine="560" w:firstLineChars="200"/>
        <w:rPr>
          <w:rFonts w:ascii="黑体" w:eastAsia="黑体"/>
          <w:kern w:val="0"/>
          <w:sz w:val="28"/>
          <w:szCs w:val="28"/>
        </w:rPr>
      </w:pPr>
      <w:r>
        <w:rPr>
          <w:rFonts w:hint="eastAsia" w:ascii="黑体" w:eastAsia="黑体"/>
          <w:kern w:val="0"/>
          <w:sz w:val="28"/>
          <w:szCs w:val="28"/>
          <w:lang w:eastAsia="zh-CN"/>
        </w:rPr>
        <w:t>四</w:t>
      </w:r>
      <w:r>
        <w:rPr>
          <w:rFonts w:ascii="黑体" w:eastAsia="黑体"/>
          <w:kern w:val="0"/>
          <w:sz w:val="28"/>
          <w:szCs w:val="28"/>
        </w:rPr>
        <w:t>、</w:t>
      </w:r>
      <w:r>
        <w:rPr>
          <w:rFonts w:hint="eastAsia" w:ascii="黑体" w:eastAsia="黑体"/>
          <w:kern w:val="0"/>
          <w:sz w:val="28"/>
          <w:szCs w:val="28"/>
          <w:lang w:eastAsia="zh-CN"/>
        </w:rPr>
        <w:t>主动公开政府信息以及公开平台建设</w:t>
      </w:r>
      <w:r>
        <w:rPr>
          <w:rFonts w:ascii="黑体" w:eastAsia="黑体"/>
          <w:kern w:val="0"/>
          <w:sz w:val="28"/>
          <w:szCs w:val="28"/>
        </w:rPr>
        <w:t>情况</w:t>
      </w:r>
    </w:p>
    <w:p>
      <w:pPr>
        <w:widowControl/>
        <w:ind w:firstLine="560" w:firstLineChars="200"/>
        <w:rPr>
          <w:rFonts w:hint="eastAsia" w:eastAsia="仿宋_GB2312"/>
          <w:kern w:val="0"/>
          <w:sz w:val="28"/>
          <w:szCs w:val="28"/>
          <w:lang w:eastAsia="zh-CN"/>
        </w:rPr>
      </w:pPr>
      <w:r>
        <w:rPr>
          <w:rFonts w:hint="eastAsia" w:eastAsia="仿宋_GB2312"/>
          <w:kern w:val="0"/>
          <w:sz w:val="28"/>
          <w:szCs w:val="28"/>
          <w:lang w:eastAsia="zh-CN"/>
        </w:rPr>
        <w:t>积极做好平台建设、制度建设和人员配备建设。充分利用政府信息公开平台及时将我局信息公开，建立了信息公开领导机制及制定信息公开相关制度，配备专人负责信息公开相关工作的开展。</w:t>
      </w:r>
    </w:p>
    <w:p>
      <w:pPr>
        <w:widowControl/>
        <w:ind w:firstLine="560" w:firstLineChars="200"/>
        <w:rPr>
          <w:rFonts w:ascii="黑体" w:eastAsia="黑体"/>
          <w:kern w:val="0"/>
          <w:sz w:val="28"/>
          <w:szCs w:val="28"/>
        </w:rPr>
      </w:pPr>
      <w:r>
        <w:rPr>
          <w:rFonts w:hint="eastAsia" w:ascii="黑体" w:eastAsia="黑体"/>
          <w:kern w:val="0"/>
          <w:sz w:val="28"/>
          <w:szCs w:val="28"/>
          <w:lang w:eastAsia="zh-CN"/>
        </w:rPr>
        <w:t>五、</w:t>
      </w:r>
      <w:r>
        <w:rPr>
          <w:rFonts w:ascii="黑体" w:eastAsia="黑体"/>
          <w:kern w:val="0"/>
          <w:sz w:val="28"/>
          <w:szCs w:val="28"/>
        </w:rPr>
        <w:t>政府信息公开的收费</w:t>
      </w:r>
      <w:r>
        <w:rPr>
          <w:rFonts w:hint="eastAsia" w:ascii="黑体" w:eastAsia="黑体"/>
          <w:kern w:val="0"/>
          <w:sz w:val="28"/>
          <w:szCs w:val="28"/>
          <w:lang w:eastAsia="zh-CN"/>
        </w:rPr>
        <w:t>及减免</w:t>
      </w:r>
      <w:r>
        <w:rPr>
          <w:rFonts w:ascii="黑体" w:eastAsia="黑体"/>
          <w:kern w:val="0"/>
          <w:sz w:val="28"/>
          <w:szCs w:val="28"/>
        </w:rPr>
        <w:t>情况</w:t>
      </w:r>
    </w:p>
    <w:p>
      <w:pPr>
        <w:widowControl/>
        <w:ind w:firstLine="560" w:firstLineChars="200"/>
        <w:rPr>
          <w:rFonts w:eastAsia="仿宋_GB2312"/>
          <w:kern w:val="0"/>
          <w:sz w:val="28"/>
          <w:szCs w:val="28"/>
        </w:rPr>
      </w:pPr>
      <w:r>
        <w:rPr>
          <w:rFonts w:eastAsia="仿宋_GB2312"/>
          <w:kern w:val="0"/>
          <w:sz w:val="28"/>
          <w:szCs w:val="28"/>
        </w:rPr>
        <w:t>201</w:t>
      </w:r>
      <w:r>
        <w:rPr>
          <w:rFonts w:hint="eastAsia" w:eastAsia="仿宋_GB2312"/>
          <w:kern w:val="0"/>
          <w:sz w:val="28"/>
          <w:szCs w:val="28"/>
          <w:lang w:val="en-US" w:eastAsia="zh-CN"/>
        </w:rPr>
        <w:t>7</w:t>
      </w:r>
      <w:r>
        <w:rPr>
          <w:rFonts w:eastAsia="仿宋_GB2312"/>
          <w:kern w:val="0"/>
          <w:sz w:val="28"/>
          <w:szCs w:val="28"/>
        </w:rPr>
        <w:t>年我局无任何政府信息公开收费情况。</w:t>
      </w:r>
    </w:p>
    <w:p>
      <w:pPr>
        <w:widowControl/>
        <w:ind w:firstLine="560" w:firstLineChars="200"/>
        <w:rPr>
          <w:rFonts w:ascii="黑体" w:eastAsia="黑体"/>
          <w:kern w:val="0"/>
          <w:sz w:val="28"/>
          <w:szCs w:val="28"/>
        </w:rPr>
      </w:pPr>
      <w:r>
        <w:rPr>
          <w:rFonts w:hint="eastAsia" w:ascii="黑体" w:eastAsia="黑体"/>
          <w:kern w:val="0"/>
          <w:sz w:val="28"/>
          <w:szCs w:val="28"/>
          <w:lang w:eastAsia="zh-CN"/>
        </w:rPr>
        <w:t>七</w:t>
      </w:r>
      <w:r>
        <w:rPr>
          <w:rFonts w:ascii="黑体" w:eastAsia="黑体"/>
          <w:kern w:val="0"/>
          <w:sz w:val="28"/>
          <w:szCs w:val="28"/>
        </w:rPr>
        <w:t>、因政府信息公开申请行政复议、提起行政诉讼情况</w:t>
      </w:r>
    </w:p>
    <w:p>
      <w:pPr>
        <w:widowControl/>
        <w:ind w:firstLine="560" w:firstLineChars="200"/>
        <w:rPr>
          <w:rFonts w:eastAsia="仿宋_GB2312"/>
          <w:kern w:val="0"/>
          <w:sz w:val="28"/>
          <w:szCs w:val="28"/>
        </w:rPr>
      </w:pPr>
      <w:r>
        <w:rPr>
          <w:rFonts w:eastAsia="仿宋_GB2312"/>
          <w:kern w:val="0"/>
          <w:sz w:val="28"/>
          <w:szCs w:val="28"/>
        </w:rPr>
        <w:t>201</w:t>
      </w:r>
      <w:r>
        <w:rPr>
          <w:rFonts w:hint="eastAsia" w:eastAsia="仿宋_GB2312"/>
          <w:kern w:val="0"/>
          <w:sz w:val="28"/>
          <w:szCs w:val="28"/>
          <w:lang w:val="en-US" w:eastAsia="zh-CN"/>
        </w:rPr>
        <w:t>7</w:t>
      </w:r>
      <w:r>
        <w:rPr>
          <w:rFonts w:eastAsia="仿宋_GB2312"/>
          <w:kern w:val="0"/>
          <w:sz w:val="28"/>
          <w:szCs w:val="28"/>
        </w:rPr>
        <w:t>年我局没有发生本部门有关政府信息公开事务的行政复议和诉讼案件。</w:t>
      </w:r>
    </w:p>
    <w:p>
      <w:pPr>
        <w:widowControl/>
        <w:numPr>
          <w:ilvl w:val="0"/>
          <w:numId w:val="1"/>
        </w:numPr>
        <w:ind w:firstLine="560" w:firstLineChars="200"/>
        <w:rPr>
          <w:rFonts w:hint="eastAsia" w:ascii="黑体" w:eastAsia="黑体"/>
          <w:kern w:val="0"/>
          <w:sz w:val="28"/>
          <w:szCs w:val="28"/>
          <w:lang w:eastAsia="zh-CN"/>
        </w:rPr>
      </w:pPr>
      <w:r>
        <w:rPr>
          <w:rFonts w:hint="eastAsia" w:ascii="黑体" w:eastAsia="黑体"/>
          <w:kern w:val="0"/>
          <w:sz w:val="28"/>
          <w:szCs w:val="28"/>
          <w:lang w:eastAsia="zh-CN"/>
        </w:rPr>
        <w:t>政府信息公开保密审查及监督检查情况</w:t>
      </w:r>
    </w:p>
    <w:p>
      <w:pPr>
        <w:widowControl/>
        <w:ind w:firstLine="560" w:firstLineChars="200"/>
        <w:rPr>
          <w:rFonts w:hint="eastAsia" w:eastAsia="仿宋_GB2312"/>
          <w:kern w:val="0"/>
          <w:sz w:val="28"/>
          <w:szCs w:val="28"/>
          <w:lang w:eastAsia="zh-CN"/>
        </w:rPr>
      </w:pPr>
      <w:r>
        <w:rPr>
          <w:rFonts w:hint="eastAsia" w:eastAsia="仿宋_GB2312"/>
          <w:kern w:val="0"/>
          <w:sz w:val="28"/>
          <w:szCs w:val="28"/>
          <w:lang w:eastAsia="zh-CN"/>
        </w:rPr>
        <w:t>我局领导重高度重视信息公开保密审查及监督检查工作，成立了保密工作领导小组，分别落实领导干部及各职能科室负责人保密工作责任；其次是明确了一名分管领导全面负责政府信息公开保密审查，并确定由办公室室具体负责对全局政府信息公开保密审查工作的指导和监督。进一步修定完善《沂源县食品药品监督管理局信息公开保密审查制度》，对保密职责、保密范围、保密措施做出具体规定，将制定的制度落实到每个岗位和个人，从制度上保证保密工作务实有效，不断强化全体职工的保密意识。</w:t>
      </w:r>
    </w:p>
    <w:p>
      <w:pPr>
        <w:widowControl/>
        <w:ind w:firstLine="560" w:firstLineChars="200"/>
        <w:rPr>
          <w:rFonts w:ascii="黑体" w:eastAsia="黑体"/>
          <w:kern w:val="0"/>
          <w:sz w:val="28"/>
          <w:szCs w:val="28"/>
        </w:rPr>
      </w:pPr>
      <w:r>
        <w:rPr>
          <w:rFonts w:hint="eastAsia" w:ascii="黑体" w:eastAsia="黑体"/>
          <w:kern w:val="0"/>
          <w:sz w:val="28"/>
          <w:szCs w:val="28"/>
          <w:lang w:eastAsia="zh-CN"/>
        </w:rPr>
        <w:t>九、政府信息公开工作</w:t>
      </w:r>
      <w:r>
        <w:rPr>
          <w:rFonts w:ascii="黑体" w:eastAsia="黑体"/>
          <w:kern w:val="0"/>
          <w:sz w:val="28"/>
          <w:szCs w:val="28"/>
        </w:rPr>
        <w:t>存在的主要问题</w:t>
      </w:r>
      <w:r>
        <w:rPr>
          <w:rFonts w:hint="eastAsia" w:ascii="黑体" w:eastAsia="黑体"/>
          <w:kern w:val="0"/>
          <w:sz w:val="28"/>
          <w:szCs w:val="28"/>
          <w:lang w:eastAsia="zh-CN"/>
        </w:rPr>
        <w:t>及</w:t>
      </w:r>
      <w:r>
        <w:rPr>
          <w:rFonts w:ascii="黑体" w:eastAsia="黑体"/>
          <w:kern w:val="0"/>
          <w:sz w:val="28"/>
          <w:szCs w:val="28"/>
        </w:rPr>
        <w:t>改进措施</w:t>
      </w:r>
    </w:p>
    <w:p>
      <w:pPr>
        <w:widowControl/>
        <w:ind w:firstLine="560" w:firstLineChars="200"/>
        <w:rPr>
          <w:rFonts w:eastAsia="仿宋_GB2312"/>
          <w:kern w:val="0"/>
          <w:sz w:val="28"/>
          <w:szCs w:val="28"/>
        </w:rPr>
      </w:pPr>
      <w:r>
        <w:rPr>
          <w:rFonts w:eastAsia="仿宋_GB2312"/>
          <w:kern w:val="0"/>
          <w:sz w:val="28"/>
          <w:szCs w:val="28"/>
        </w:rPr>
        <w:t>201</w:t>
      </w:r>
      <w:r>
        <w:rPr>
          <w:rFonts w:hint="eastAsia" w:eastAsia="仿宋_GB2312"/>
          <w:kern w:val="0"/>
          <w:sz w:val="28"/>
          <w:szCs w:val="28"/>
          <w:lang w:val="en-US" w:eastAsia="zh-CN"/>
        </w:rPr>
        <w:t>7</w:t>
      </w:r>
      <w:r>
        <w:rPr>
          <w:rFonts w:eastAsia="仿宋_GB2312"/>
          <w:kern w:val="0"/>
          <w:sz w:val="28"/>
          <w:szCs w:val="28"/>
        </w:rPr>
        <w:t>年，我局政府信息公开工作虽然取得了一定的成绩，但也存在一些问题和不足，主要是信息公开的内容有待进一步完善，信息更新还不够及时。为进一步做好我局信息公开工作，我们在今后的信息公开工作中将进一步统一认识，努力规范工作流程，进一步梳理局机关所掌握的政府信息，及时提供，定期维护，确保政府信息公开工作能按照既定的工作流程有效运作，方便公众查询。另外，我们还将进一步对政府信息公开目录进行补充完善，认真梳理，逐步扩大公开内容，保证公开信息的完整性和准确性。</w:t>
      </w:r>
    </w:p>
    <w:p>
      <w:pPr>
        <w:widowControl/>
        <w:ind w:firstLine="560" w:firstLineChars="200"/>
        <w:rPr>
          <w:rFonts w:eastAsia="仿宋_GB2312"/>
          <w:kern w:val="0"/>
          <w:sz w:val="28"/>
          <w:szCs w:val="28"/>
        </w:rPr>
      </w:pPr>
    </w:p>
    <w:p>
      <w:pPr>
        <w:widowControl/>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 xml:space="preserve">                           </w:t>
      </w:r>
    </w:p>
    <w:p>
      <w:pPr>
        <w:widowControl/>
        <w:ind w:firstLine="4760" w:firstLineChars="1700"/>
        <w:rPr>
          <w:rFonts w:hint="eastAsia" w:eastAsia="仿宋_GB2312"/>
          <w:kern w:val="0"/>
          <w:sz w:val="28"/>
          <w:szCs w:val="28"/>
          <w:lang w:val="en-US" w:eastAsia="zh-CN"/>
        </w:rPr>
      </w:pPr>
      <w:r>
        <w:rPr>
          <w:rFonts w:hint="eastAsia" w:eastAsia="仿宋_GB2312"/>
          <w:kern w:val="0"/>
          <w:sz w:val="28"/>
          <w:szCs w:val="28"/>
          <w:lang w:val="en-US" w:eastAsia="zh-CN"/>
        </w:rPr>
        <w:t xml:space="preserve">   2018年2月6日</w:t>
      </w:r>
    </w:p>
    <w:p>
      <w:pPr>
        <w:widowControl/>
        <w:ind w:firstLine="645"/>
        <w:rPr>
          <w:rFonts w:eastAsia="仿宋_GB2312"/>
          <w:kern w:val="0"/>
          <w:sz w:val="28"/>
          <w:szCs w:val="28"/>
        </w:rPr>
      </w:pPr>
    </w:p>
    <w:p>
      <w:pPr>
        <w:widowControl/>
        <w:rPr>
          <w:rFonts w:hint="eastAsia" w:eastAsia="仿宋_GB2312"/>
          <w:kern w:val="0"/>
          <w:sz w:val="28"/>
          <w:szCs w:val="28"/>
        </w:rPr>
      </w:pPr>
      <w:r>
        <w:rPr>
          <w:rFonts w:eastAsia="仿宋_GB2312"/>
          <w:kern w:val="0"/>
          <w:sz w:val="28"/>
          <w:szCs w:val="28"/>
        </w:rPr>
        <w:t>附：201</w:t>
      </w:r>
      <w:r>
        <w:rPr>
          <w:rFonts w:hint="eastAsia" w:eastAsia="仿宋_GB2312"/>
          <w:kern w:val="0"/>
          <w:sz w:val="28"/>
          <w:szCs w:val="28"/>
          <w:lang w:val="en-US" w:eastAsia="zh-CN"/>
        </w:rPr>
        <w:t>7</w:t>
      </w:r>
      <w:r>
        <w:rPr>
          <w:rFonts w:eastAsia="仿宋_GB2312"/>
          <w:kern w:val="0"/>
          <w:sz w:val="28"/>
          <w:szCs w:val="28"/>
        </w:rPr>
        <w:t>年政府信息公开工作情况统计表</w:t>
      </w:r>
    </w:p>
    <w:p>
      <w:pPr>
        <w:widowControl/>
        <w:wordWrap w:val="0"/>
        <w:spacing w:line="380" w:lineRule="atLeast"/>
        <w:ind w:firstLine="645"/>
        <w:rPr>
          <w:rFonts w:hint="eastAsia" w:ascii="仿宋_GB2312" w:hAnsi="Arial" w:eastAsia="仿宋_GB2312" w:cs="Arial"/>
          <w:kern w:val="0"/>
          <w:sz w:val="28"/>
          <w:szCs w:val="28"/>
        </w:rPr>
      </w:pPr>
    </w:p>
    <w:p>
      <w:pPr>
        <w:spacing w:line="560" w:lineRule="exact"/>
        <w:ind w:left="1260" w:leftChars="600"/>
        <w:rPr>
          <w:rFonts w:ascii="仿宋_GB2312" w:eastAsia="仿宋_GB2312"/>
          <w:b/>
          <w:sz w:val="28"/>
          <w:szCs w:val="28"/>
        </w:rPr>
      </w:pPr>
    </w:p>
    <w:p>
      <w:pPr>
        <w:widowControl/>
        <w:jc w:val="left"/>
        <w:rPr>
          <w:rFonts w:hint="eastAsia" w:ascii="黑体" w:hAnsi="宋体" w:eastAsia="黑体"/>
          <w:b/>
          <w:sz w:val="32"/>
          <w:szCs w:val="32"/>
        </w:rPr>
      </w:pPr>
    </w:p>
    <w:p>
      <w:pPr>
        <w:widowControl/>
        <w:jc w:val="left"/>
        <w:rPr>
          <w:rFonts w:hint="eastAsia" w:ascii="黑体" w:hAnsi="宋体" w:eastAsia="黑体"/>
          <w:b/>
          <w:sz w:val="32"/>
          <w:szCs w:val="32"/>
        </w:rPr>
      </w:pPr>
    </w:p>
    <w:p>
      <w:pPr>
        <w:spacing w:line="560" w:lineRule="exact"/>
        <w:jc w:val="center"/>
        <w:rPr>
          <w:rFonts w:ascii="方正小标宋简体" w:hAnsi="宋体" w:eastAsia="方正小标宋简体"/>
          <w:b/>
          <w:sz w:val="44"/>
          <w:szCs w:val="44"/>
        </w:rPr>
      </w:pPr>
      <w:r>
        <w:rPr>
          <w:rFonts w:ascii="方正小标宋简体" w:hAnsi="宋体" w:eastAsia="方正小标宋简体"/>
          <w:b/>
          <w:sz w:val="44"/>
          <w:szCs w:val="44"/>
        </w:rPr>
        <w:t>2017</w:t>
      </w:r>
      <w:r>
        <w:rPr>
          <w:rFonts w:hint="eastAsia" w:ascii="方正小标宋简体" w:hAnsi="宋体" w:eastAsia="方正小标宋简体"/>
          <w:b/>
          <w:sz w:val="44"/>
          <w:szCs w:val="44"/>
        </w:rPr>
        <w:t>年度政府信息公开工作情况统计表</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（县政府各部门、各有关单位）</w:t>
      </w:r>
    </w:p>
    <w:p>
      <w:pPr>
        <w:spacing w:line="420" w:lineRule="exact"/>
        <w:jc w:val="center"/>
        <w:rPr>
          <w:rFonts w:ascii="方正小标宋简体" w:hAnsi="宋体" w:eastAsia="方正小标宋简体"/>
          <w:b/>
          <w:sz w:val="44"/>
          <w:szCs w:val="44"/>
        </w:rPr>
      </w:pPr>
    </w:p>
    <w:tbl>
      <w:tblPr>
        <w:tblStyle w:val="7"/>
        <w:tblW w:w="9450"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
      <w:tblGrid>
        <w:gridCol w:w="7575"/>
        <w:gridCol w:w="1020"/>
        <w:gridCol w:w="85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51" w:hRule="exact"/>
          <w:tblHeader/>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8"/>
              <w:spacing w:before="0" w:beforeAutospacing="0" w:after="0" w:afterAutospacing="0" w:line="420" w:lineRule="atLeast"/>
              <w:jc w:val="center"/>
              <w:rPr>
                <w:rFonts w:ascii="黑体" w:hAnsi="黑体" w:eastAsia="黑体"/>
                <w:color w:val="000000"/>
                <w:sz w:val="28"/>
                <w:szCs w:val="28"/>
              </w:rPr>
            </w:pPr>
            <w:r>
              <w:rPr>
                <w:rStyle w:val="5"/>
                <w:rFonts w:hint="eastAsia" w:ascii="黑体" w:hAnsi="黑体" w:eastAsia="黑体" w:cs="宋体"/>
                <w:bCs/>
                <w:color w:val="000000"/>
                <w:sz w:val="28"/>
                <w:szCs w:val="28"/>
              </w:rPr>
              <w:t>统　计　指　标</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黑体" w:hAnsi="黑体" w:eastAsia="黑体" w:cs="宋体"/>
                <w:color w:val="000000"/>
                <w:sz w:val="28"/>
                <w:szCs w:val="28"/>
              </w:rPr>
            </w:pPr>
            <w:r>
              <w:rPr>
                <w:rStyle w:val="5"/>
                <w:rFonts w:hint="eastAsia" w:ascii="黑体" w:hAnsi="黑体" w:eastAsia="黑体"/>
                <w:bCs/>
                <w:color w:val="000000"/>
                <w:sz w:val="28"/>
                <w:szCs w:val="28"/>
              </w:rPr>
              <w:t>单位</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黑体" w:hAnsi="黑体" w:eastAsia="黑体" w:cs="宋体"/>
                <w:color w:val="000000"/>
                <w:sz w:val="28"/>
                <w:szCs w:val="28"/>
              </w:rPr>
            </w:pPr>
            <w:r>
              <w:rPr>
                <w:rStyle w:val="5"/>
                <w:rFonts w:hint="eastAsia" w:ascii="黑体" w:hAnsi="黑体" w:eastAsia="黑体"/>
                <w:bCs/>
                <w:color w:val="000000"/>
                <w:sz w:val="28"/>
                <w:szCs w:val="28"/>
              </w:rPr>
              <w:t>统计</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楷体_GB2312" w:hAnsi="宋体" w:eastAsia="楷体_GB2312" w:cs="宋体"/>
                <w:b/>
                <w:color w:val="000000"/>
                <w:sz w:val="24"/>
              </w:rPr>
            </w:pPr>
            <w:r>
              <w:rPr>
                <w:rFonts w:hint="eastAsia" w:ascii="楷体_GB2312" w:hAnsi="宋体" w:eastAsia="楷体_GB2312"/>
                <w:b/>
                <w:color w:val="000000"/>
                <w:sz w:val="20"/>
                <w:szCs w:val="20"/>
              </w:rPr>
              <w:t>一、主动公开情况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仿宋_GB2312" w:hAnsi="宋体" w:eastAsia="仿宋_GB2312" w:cs="宋体"/>
                <w:b/>
                <w:color w:val="000000"/>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（一）主动公开政府信息数（不同渠道和方式公开相同信息计</w:t>
            </w:r>
            <w:r>
              <w:rPr>
                <w:rFonts w:ascii="仿宋_GB2312" w:hAnsi="宋体" w:eastAsia="仿宋_GB2312"/>
                <w:b/>
                <w:color w:val="000000"/>
                <w:sz w:val="20"/>
                <w:szCs w:val="20"/>
              </w:rPr>
              <w:t>1</w:t>
            </w:r>
            <w:r>
              <w:rPr>
                <w:rFonts w:hint="eastAsia" w:ascii="仿宋_GB2312" w:hAnsi="宋体" w:eastAsia="仿宋_GB2312"/>
                <w:b/>
                <w:color w:val="000000"/>
                <w:sz w:val="20"/>
                <w:szCs w:val="20"/>
              </w:rPr>
              <w:t>条）</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其中：主动公开规范性文件数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hint="eastAsia" w:ascii="仿宋_GB2312" w:hAnsi="宋体" w:eastAsia="仿宋_GB2312"/>
                <w:b/>
                <w:color w:val="000000"/>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制发规范性文件总数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（二）通过不同渠道和方式公开政府信息的情况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仿宋_GB2312" w:hAnsi="宋体" w:eastAsia="仿宋_GB2312" w:cs="宋体"/>
                <w:b/>
                <w:color w:val="000000"/>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1.</w:t>
            </w:r>
            <w:r>
              <w:rPr>
                <w:rFonts w:hint="eastAsia" w:ascii="仿宋_GB2312" w:hAnsi="宋体" w:eastAsia="仿宋_GB2312"/>
                <w:b/>
                <w:color w:val="000000"/>
                <w:sz w:val="20"/>
                <w:szCs w:val="20"/>
              </w:rPr>
              <w:t>政府网站公开政府信息数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hint="eastAsia" w:ascii="仿宋_GB2312" w:hAnsi="宋体" w:eastAsia="仿宋_GB2312"/>
                <w:b/>
                <w:color w:val="000000"/>
                <w:sz w:val="20"/>
                <w:szCs w:val="20"/>
                <w:lang w:val="en-US" w:eastAsia="zh-CN"/>
              </w:rPr>
              <w:t>68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2.</w:t>
            </w:r>
            <w:r>
              <w:rPr>
                <w:rFonts w:hint="eastAsia" w:ascii="仿宋_GB2312" w:hAnsi="宋体" w:eastAsia="仿宋_GB2312"/>
                <w:b/>
                <w:color w:val="000000"/>
                <w:sz w:val="20"/>
                <w:szCs w:val="20"/>
              </w:rPr>
              <w:t>政务微博公开政府信息数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3.</w:t>
            </w:r>
            <w:r>
              <w:rPr>
                <w:rFonts w:hint="eastAsia" w:ascii="仿宋_GB2312" w:hAnsi="宋体" w:eastAsia="仿宋_GB2312"/>
                <w:b/>
                <w:color w:val="000000"/>
                <w:sz w:val="20"/>
                <w:szCs w:val="20"/>
              </w:rPr>
              <w:t>政务微信公开政府信息数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hint="eastAsia" w:ascii="仿宋_GB2312" w:hAnsi="宋体" w:eastAsia="仿宋_GB2312"/>
                <w:b/>
                <w:color w:val="000000"/>
                <w:sz w:val="20"/>
                <w:szCs w:val="20"/>
                <w:lang w:val="en-US" w:eastAsia="zh-CN"/>
              </w:rPr>
              <w:t>320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4.</w:t>
            </w:r>
            <w:r>
              <w:rPr>
                <w:rFonts w:hint="eastAsia" w:ascii="仿宋_GB2312" w:hAnsi="宋体" w:eastAsia="仿宋_GB2312"/>
                <w:b/>
                <w:color w:val="000000"/>
                <w:sz w:val="20"/>
                <w:szCs w:val="20"/>
              </w:rPr>
              <w:t>其他方式公开政府信息数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二、回应解读情况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8"/>
              <w:spacing w:before="0" w:beforeAutospacing="0" w:after="0" w:afterAutospacing="0" w:line="420" w:lineRule="atLeast"/>
              <w:ind w:firstLine="685"/>
              <w:jc w:val="center"/>
              <w:rPr>
                <w:rFonts w:ascii="仿宋_GB2312" w:eastAsia="仿宋_GB2312"/>
                <w:b/>
                <w:color w:val="000000"/>
              </w:rPr>
            </w:pPr>
          </w:p>
        </w:tc>
        <w:tc>
          <w:tcPr>
            <w:tcW w:w="855" w:type="dxa"/>
            <w:tcBorders>
              <w:top w:val="single" w:color="auto" w:sz="6" w:space="0"/>
              <w:left w:val="single" w:color="auto" w:sz="6" w:space="0"/>
              <w:bottom w:val="single" w:color="auto" w:sz="6" w:space="0"/>
              <w:tr2bl w:val="single" w:color="auto" w:sz="4" w:space="0"/>
            </w:tcBorders>
            <w:shd w:val="clear" w:color="auto" w:fill="FFFFFF"/>
            <w:vAlign w:val="center"/>
          </w:tcPr>
          <w:p>
            <w:pPr>
              <w:rPr>
                <w:rFonts w:ascii="仿宋_GB2312" w:eastAsia="仿宋_GB2312"/>
                <w:b/>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402" w:firstLineChars="200"/>
              <w:rPr>
                <w:rFonts w:ascii="仿宋_GB2312" w:hAnsi="宋体" w:eastAsia="仿宋_GB2312"/>
                <w:b/>
                <w:color w:val="000000"/>
                <w:sz w:val="20"/>
                <w:szCs w:val="20"/>
              </w:rPr>
            </w:pPr>
            <w:r>
              <w:rPr>
                <w:rFonts w:hint="eastAsia" w:ascii="仿宋_GB2312" w:hAnsi="宋体" w:eastAsia="仿宋_GB2312"/>
                <w:b/>
                <w:color w:val="000000"/>
                <w:sz w:val="20"/>
                <w:szCs w:val="20"/>
              </w:rPr>
              <w:t>（一）回应公众关注热点或重大舆情数（不同方式回应同一热点或舆情计</w:t>
            </w:r>
            <w:r>
              <w:rPr>
                <w:rFonts w:ascii="仿宋_GB2312" w:hAnsi="宋体" w:eastAsia="仿宋_GB2312"/>
                <w:b/>
                <w:color w:val="000000"/>
                <w:sz w:val="20"/>
                <w:szCs w:val="20"/>
              </w:rPr>
              <w:t>1</w:t>
            </w:r>
            <w:r>
              <w:rPr>
                <w:rFonts w:hint="eastAsia" w:ascii="仿宋_GB2312" w:hAnsi="宋体" w:eastAsia="仿宋_GB2312"/>
                <w:b/>
                <w:color w:val="000000"/>
                <w:sz w:val="20"/>
                <w:szCs w:val="20"/>
              </w:rPr>
              <w:t>次）</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r>
              <w:rPr>
                <w:rFonts w:hint="eastAsia" w:ascii="仿宋_GB2312" w:hAnsi="宋体" w:eastAsia="仿宋_GB2312"/>
                <w:b/>
                <w:color w:val="000000"/>
                <w:sz w:val="20"/>
                <w:szCs w:val="20"/>
              </w:rPr>
              <w:t>　　（二）通过不同渠道和方式回应解读的情况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仿宋_GB2312" w:hAnsi="宋体" w:eastAsia="仿宋_GB2312" w:cs="宋体"/>
                <w:b/>
                <w:color w:val="000000"/>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1.</w:t>
            </w:r>
            <w:r>
              <w:rPr>
                <w:rFonts w:hint="eastAsia" w:ascii="仿宋_GB2312" w:hAnsi="宋体" w:eastAsia="仿宋_GB2312"/>
                <w:b/>
                <w:color w:val="000000"/>
                <w:sz w:val="20"/>
                <w:szCs w:val="20"/>
              </w:rPr>
              <w:t>参加或举办新闻发布会总次数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其中：主要负责同志参加新闻发布会次数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2.</w:t>
            </w:r>
            <w:r>
              <w:rPr>
                <w:rFonts w:hint="eastAsia" w:ascii="仿宋_GB2312" w:hAnsi="宋体" w:eastAsia="仿宋_GB2312"/>
                <w:b/>
                <w:color w:val="000000"/>
                <w:sz w:val="20"/>
                <w:szCs w:val="20"/>
              </w:rPr>
              <w:t>政府网站在线访谈次数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其中：主要负责同志参加政府网站在线访谈次数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3.</w:t>
            </w:r>
            <w:r>
              <w:rPr>
                <w:rFonts w:hint="eastAsia" w:ascii="仿宋_GB2312" w:hAnsi="宋体" w:eastAsia="仿宋_GB2312"/>
                <w:b/>
                <w:color w:val="000000"/>
                <w:sz w:val="20"/>
                <w:szCs w:val="20"/>
              </w:rPr>
              <w:t>政策解读稿件发布数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篇</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4.</w:t>
            </w:r>
            <w:r>
              <w:rPr>
                <w:rFonts w:hint="eastAsia" w:ascii="仿宋_GB2312" w:hAnsi="宋体" w:eastAsia="仿宋_GB2312"/>
                <w:b/>
                <w:color w:val="000000"/>
                <w:sz w:val="20"/>
                <w:szCs w:val="20"/>
              </w:rPr>
              <w:t>微博微信回应事件数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5.</w:t>
            </w:r>
            <w:r>
              <w:rPr>
                <w:rFonts w:hint="eastAsia" w:ascii="仿宋_GB2312" w:hAnsi="宋体" w:eastAsia="仿宋_GB2312"/>
                <w:b/>
                <w:color w:val="000000"/>
                <w:sz w:val="20"/>
                <w:szCs w:val="20"/>
              </w:rPr>
              <w:t>其他方式回应事件数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三、依申请公开情况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8"/>
              <w:spacing w:before="0" w:beforeAutospacing="0" w:after="0" w:afterAutospacing="0" w:line="420" w:lineRule="atLeast"/>
              <w:ind w:firstLine="685"/>
              <w:jc w:val="center"/>
              <w:rPr>
                <w:rFonts w:ascii="仿宋_GB2312" w:eastAsia="仿宋_GB2312"/>
                <w:b/>
                <w:color w:val="000000"/>
              </w:rPr>
            </w:pPr>
          </w:p>
        </w:tc>
        <w:tc>
          <w:tcPr>
            <w:tcW w:w="855" w:type="dxa"/>
            <w:tcBorders>
              <w:top w:val="single" w:color="auto" w:sz="6" w:space="0"/>
              <w:left w:val="single" w:color="auto" w:sz="6" w:space="0"/>
              <w:bottom w:val="single" w:color="auto" w:sz="6" w:space="0"/>
              <w:tr2bl w:val="single" w:color="auto" w:sz="4" w:space="0"/>
            </w:tcBorders>
            <w:shd w:val="clear" w:color="auto" w:fill="FFFFFF"/>
            <w:vAlign w:val="center"/>
          </w:tcPr>
          <w:p>
            <w:pPr>
              <w:rPr>
                <w:rFonts w:ascii="仿宋_GB2312" w:eastAsia="仿宋_GB2312"/>
                <w:b/>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（一）收到申请数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1.</w:t>
            </w:r>
            <w:r>
              <w:rPr>
                <w:rFonts w:hint="eastAsia" w:ascii="仿宋_GB2312" w:hAnsi="宋体" w:eastAsia="仿宋_GB2312"/>
                <w:b/>
                <w:color w:val="000000"/>
                <w:sz w:val="20"/>
                <w:szCs w:val="20"/>
              </w:rPr>
              <w:t>当面申请数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2.</w:t>
            </w:r>
            <w:r>
              <w:rPr>
                <w:rFonts w:hint="eastAsia" w:ascii="仿宋_GB2312" w:hAnsi="宋体" w:eastAsia="仿宋_GB2312"/>
                <w:b/>
                <w:color w:val="000000"/>
                <w:sz w:val="20"/>
                <w:szCs w:val="20"/>
              </w:rPr>
              <w:t>传真申请数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3.</w:t>
            </w:r>
            <w:r>
              <w:rPr>
                <w:rFonts w:hint="eastAsia" w:ascii="仿宋_GB2312" w:hAnsi="宋体" w:eastAsia="仿宋_GB2312"/>
                <w:b/>
                <w:color w:val="000000"/>
                <w:sz w:val="20"/>
                <w:szCs w:val="20"/>
              </w:rPr>
              <w:t>网络申请数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82" w:hRule="exact"/>
          <w:jc w:val="center"/>
        </w:trPr>
        <w:tc>
          <w:tcPr>
            <w:tcW w:w="7575"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4.</w:t>
            </w:r>
            <w:r>
              <w:rPr>
                <w:rFonts w:hint="eastAsia" w:ascii="仿宋_GB2312" w:hAnsi="宋体" w:eastAsia="仿宋_GB2312"/>
                <w:b/>
                <w:color w:val="000000"/>
                <w:sz w:val="20"/>
                <w:szCs w:val="20"/>
              </w:rPr>
              <w:t>信函申请数</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r>
              <w:rPr>
                <w:rFonts w:ascii="仿宋_GB2312" w:hAnsi="宋体" w:eastAsia="仿宋_GB2312"/>
                <w:b/>
                <w:color w:val="000000"/>
                <w:sz w:val="20"/>
                <w:szCs w:val="20"/>
              </w:rPr>
              <w:t xml:space="preserve">          5.</w:t>
            </w:r>
            <w:r>
              <w:rPr>
                <w:rFonts w:hint="eastAsia" w:ascii="仿宋_GB2312" w:hAnsi="宋体" w:eastAsia="仿宋_GB2312"/>
                <w:b/>
                <w:color w:val="000000"/>
                <w:sz w:val="20"/>
                <w:szCs w:val="20"/>
              </w:rPr>
              <w:t>其他形式</w:t>
            </w:r>
          </w:p>
        </w:tc>
        <w:tc>
          <w:tcPr>
            <w:tcW w:w="1020"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件</w:t>
            </w:r>
          </w:p>
        </w:tc>
        <w:tc>
          <w:tcPr>
            <w:tcW w:w="85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（二）申请办结数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1.</w:t>
            </w:r>
            <w:r>
              <w:rPr>
                <w:rFonts w:hint="eastAsia" w:ascii="仿宋_GB2312" w:hAnsi="宋体" w:eastAsia="仿宋_GB2312"/>
                <w:b/>
                <w:color w:val="000000"/>
                <w:sz w:val="20"/>
                <w:szCs w:val="20"/>
              </w:rPr>
              <w:t>按时办结数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2.</w:t>
            </w:r>
            <w:r>
              <w:rPr>
                <w:rFonts w:hint="eastAsia" w:ascii="仿宋_GB2312" w:hAnsi="宋体" w:eastAsia="仿宋_GB2312"/>
                <w:b/>
                <w:color w:val="000000"/>
                <w:sz w:val="20"/>
                <w:szCs w:val="20"/>
              </w:rPr>
              <w:t>延期办结数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（三）申请答复数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1.</w:t>
            </w:r>
            <w:r>
              <w:rPr>
                <w:rFonts w:hint="eastAsia" w:ascii="仿宋_GB2312" w:hAnsi="宋体" w:eastAsia="仿宋_GB2312"/>
                <w:b/>
                <w:color w:val="000000"/>
                <w:sz w:val="20"/>
                <w:szCs w:val="20"/>
              </w:rPr>
              <w:t>属于已主动公开范围数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2.</w:t>
            </w:r>
            <w:r>
              <w:rPr>
                <w:rFonts w:hint="eastAsia" w:ascii="仿宋_GB2312" w:hAnsi="宋体" w:eastAsia="仿宋_GB2312"/>
                <w:b/>
                <w:color w:val="000000"/>
                <w:sz w:val="20"/>
                <w:szCs w:val="20"/>
              </w:rPr>
              <w:t>同意公开答复数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3.</w:t>
            </w:r>
            <w:r>
              <w:rPr>
                <w:rFonts w:hint="eastAsia" w:ascii="仿宋_GB2312" w:hAnsi="宋体" w:eastAsia="仿宋_GB2312"/>
                <w:b/>
                <w:color w:val="000000"/>
                <w:sz w:val="20"/>
                <w:szCs w:val="20"/>
              </w:rPr>
              <w:t>同意部分公开答复数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4.</w:t>
            </w:r>
            <w:r>
              <w:rPr>
                <w:rFonts w:hint="eastAsia" w:ascii="仿宋_GB2312" w:hAnsi="宋体" w:eastAsia="仿宋_GB2312"/>
                <w:b/>
                <w:color w:val="000000"/>
                <w:sz w:val="20"/>
                <w:szCs w:val="20"/>
              </w:rPr>
              <w:t>不同意公开答复数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　其中：涉及国家秘密</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涉及商业秘密</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涉及个人隐私</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危及国家安全、公共安全、经济安全和社会稳定</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不是《条例》所指政府信息</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法律法规规定的其他情形</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5.</w:t>
            </w:r>
            <w:r>
              <w:rPr>
                <w:rFonts w:hint="eastAsia" w:ascii="仿宋_GB2312" w:hAnsi="宋体" w:eastAsia="仿宋_GB2312"/>
                <w:b/>
                <w:color w:val="000000"/>
                <w:sz w:val="20"/>
                <w:szCs w:val="20"/>
              </w:rPr>
              <w:t>不属于本行政机关公开数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6.</w:t>
            </w:r>
            <w:r>
              <w:rPr>
                <w:rFonts w:hint="eastAsia" w:ascii="仿宋_GB2312" w:hAnsi="宋体" w:eastAsia="仿宋_GB2312"/>
                <w:b/>
                <w:color w:val="000000"/>
                <w:sz w:val="20"/>
                <w:szCs w:val="20"/>
              </w:rPr>
              <w:t>申请信息不存在数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7.</w:t>
            </w:r>
            <w:r>
              <w:rPr>
                <w:rFonts w:hint="eastAsia" w:ascii="仿宋_GB2312" w:hAnsi="宋体" w:eastAsia="仿宋_GB2312"/>
                <w:b/>
                <w:color w:val="000000"/>
                <w:sz w:val="20"/>
                <w:szCs w:val="20"/>
              </w:rPr>
              <w:t>告知作出更改补充数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8.</w:t>
            </w:r>
            <w:r>
              <w:rPr>
                <w:rFonts w:hint="eastAsia" w:ascii="仿宋_GB2312" w:hAnsi="宋体" w:eastAsia="仿宋_GB2312"/>
                <w:b/>
                <w:color w:val="000000"/>
                <w:sz w:val="20"/>
                <w:szCs w:val="20"/>
              </w:rPr>
              <w:t>告知通过其他途径办理数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四、行政复议数量</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（一）维持具体行政行为数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（二）被依法纠错数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（三）其他情形数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五、行政诉讼数量</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（一）维持具体行政行为或者驳回原告诉讼请求数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（二）被依法纠错数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（三）其他情形数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26" w:hRule="exact"/>
          <w:jc w:val="center"/>
        </w:trPr>
        <w:tc>
          <w:tcPr>
            <w:tcW w:w="757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六、被举报投诉数量</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件</w:t>
            </w:r>
          </w:p>
        </w:tc>
        <w:tc>
          <w:tcPr>
            <w:tcW w:w="85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（一）维持具体行政行为数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（二）被纠错数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（三）其他情形数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86"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502" w:firstLineChars="250"/>
              <w:rPr>
                <w:rFonts w:ascii="楷体_GB2312" w:hAnsi="宋体" w:eastAsia="楷体_GB2312"/>
                <w:b/>
                <w:color w:val="000000"/>
                <w:sz w:val="20"/>
                <w:szCs w:val="20"/>
              </w:rPr>
            </w:pPr>
            <w:r>
              <w:rPr>
                <w:rFonts w:hint="eastAsia" w:ascii="楷体_GB2312" w:hAnsi="宋体" w:eastAsia="楷体_GB2312"/>
                <w:b/>
                <w:color w:val="000000"/>
                <w:sz w:val="20"/>
                <w:szCs w:val="20"/>
              </w:rPr>
              <w:t>七、向图书馆、档案馆等查阅场所报送信息数</w:t>
            </w:r>
          </w:p>
          <w:p>
            <w:pPr>
              <w:spacing w:line="420" w:lineRule="atLeast"/>
              <w:rPr>
                <w:rFonts w:ascii="仿宋_GB2312" w:hAnsi="宋体" w:eastAsia="仿宋_GB2312"/>
                <w:b/>
                <w:color w:val="000000"/>
                <w:sz w:val="20"/>
                <w:szCs w:val="20"/>
              </w:rPr>
            </w:pP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条</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（一）纸质文件数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条</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（二）电子文件数</w:t>
            </w:r>
          </w:p>
        </w:tc>
        <w:tc>
          <w:tcPr>
            <w:tcW w:w="1020"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条</w:t>
            </w:r>
          </w:p>
        </w:tc>
        <w:tc>
          <w:tcPr>
            <w:tcW w:w="85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八、机构建设和保障经费情况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仿宋_GB2312" w:hAnsi="宋体" w:eastAsia="仿宋_GB2312" w:cs="宋体"/>
                <w:b/>
                <w:color w:val="000000"/>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（一）政府信息公开工作专门机构数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个</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（二）设置政府信息公开查阅点数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个</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r>
              <w:rPr>
                <w:rFonts w:ascii="仿宋_GB2312" w:hAnsi="宋体" w:eastAsia="仿宋_GB2312"/>
                <w:b/>
                <w:color w:val="000000"/>
                <w:sz w:val="20"/>
                <w:szCs w:val="20"/>
              </w:rPr>
              <w:t xml:space="preserve">    </w:t>
            </w:r>
            <w:r>
              <w:rPr>
                <w:rFonts w:hint="eastAsia" w:ascii="仿宋_GB2312" w:hAnsi="宋体" w:eastAsia="仿宋_GB2312"/>
                <w:b/>
                <w:color w:val="000000"/>
                <w:sz w:val="20"/>
                <w:szCs w:val="20"/>
              </w:rPr>
              <w:t>（三）查阅点接待人数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b/>
                <w:color w:val="000000"/>
                <w:sz w:val="20"/>
                <w:szCs w:val="20"/>
              </w:rPr>
            </w:pPr>
            <w:r>
              <w:rPr>
                <w:rFonts w:hint="eastAsia" w:ascii="仿宋_GB2312" w:hAnsi="宋体" w:eastAsia="仿宋_GB2312"/>
                <w:b/>
                <w:color w:val="000000"/>
                <w:sz w:val="20"/>
                <w:szCs w:val="20"/>
              </w:rPr>
              <w:t>人次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b/>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（四）从事政府信息公开工作人员数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1.</w:t>
            </w:r>
            <w:r>
              <w:rPr>
                <w:rFonts w:hint="eastAsia" w:ascii="仿宋_GB2312" w:hAnsi="宋体" w:eastAsia="仿宋_GB2312"/>
                <w:b/>
                <w:color w:val="000000"/>
                <w:sz w:val="20"/>
                <w:szCs w:val="20"/>
              </w:rPr>
              <w:t>专职人员数（不包括政府公报及政府网站工作人员数）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ascii="仿宋_GB2312" w:hAnsi="宋体" w:eastAsia="仿宋_GB2312"/>
                <w:b/>
                <w:color w:val="000000"/>
                <w:sz w:val="20"/>
                <w:szCs w:val="20"/>
              </w:rPr>
              <w:t>2.</w:t>
            </w:r>
            <w:r>
              <w:rPr>
                <w:rFonts w:hint="eastAsia" w:ascii="仿宋_GB2312" w:hAnsi="宋体" w:eastAsia="仿宋_GB2312"/>
                <w:b/>
                <w:color w:val="000000"/>
                <w:sz w:val="20"/>
                <w:szCs w:val="20"/>
              </w:rPr>
              <w:t>兼职人员数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hint="eastAsia" w:ascii="仿宋_GB2312" w:hAnsi="宋体" w:eastAsia="仿宋_GB2312"/>
                <w:b/>
                <w:color w:val="000000"/>
                <w:sz w:val="20"/>
                <w:szCs w:val="20"/>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（五）政府信息公开专项经费（不包括政府公报编辑管理及政府网站建设）</w:t>
            </w:r>
            <w:r>
              <w:rPr>
                <w:rFonts w:ascii="仿宋_GB2312" w:hAnsi="宋体" w:eastAsia="仿宋_GB2312"/>
                <w:b/>
                <w:color w:val="000000"/>
                <w:sz w:val="20"/>
                <w:szCs w:val="20"/>
              </w:rPr>
              <w:br w:type="textWrapping"/>
            </w:r>
            <w:r>
              <w:rPr>
                <w:rFonts w:hint="eastAsia" w:ascii="仿宋_GB2312" w:hAnsi="宋体" w:eastAsia="仿宋_GB2312"/>
                <w:b/>
                <w:color w:val="000000"/>
                <w:sz w:val="20"/>
                <w:szCs w:val="20"/>
              </w:rPr>
              <w:t>　　　　　护等方面的经费）</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万元</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hint="eastAsia" w:ascii="仿宋_GB2312" w:hAnsi="宋体" w:eastAsia="仿宋_GB2312"/>
                <w:b/>
                <w:color w:val="000000"/>
                <w:sz w:val="20"/>
                <w:szCs w:val="20"/>
                <w:lang w:val="en-US" w:eastAsia="zh-CN"/>
              </w:rPr>
              <w:t>0.3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502" w:firstLineChars="250"/>
              <w:rPr>
                <w:rFonts w:ascii="仿宋_GB2312" w:hAnsi="宋体" w:eastAsia="仿宋_GB2312" w:cs="宋体"/>
                <w:b/>
                <w:color w:val="000000"/>
                <w:sz w:val="24"/>
              </w:rPr>
            </w:pPr>
            <w:r>
              <w:rPr>
                <w:rFonts w:hint="eastAsia" w:ascii="楷体_GB2312" w:hAnsi="宋体" w:eastAsia="楷体_GB2312"/>
                <w:b/>
                <w:color w:val="000000"/>
                <w:sz w:val="20"/>
                <w:szCs w:val="20"/>
              </w:rPr>
              <w:t>九、政府信息公开会议和培训情况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仿宋_GB2312" w:hAnsi="宋体" w:eastAsia="仿宋_GB2312" w:cs="宋体"/>
                <w:b/>
                <w:color w:val="000000"/>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（一）召开政府信息公开工作会议或专题会议数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（二）举办各类培训班数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w:t>
            </w:r>
            <w:r>
              <w:rPr>
                <w:rFonts w:hint="eastAsia" w:ascii="仿宋_GB2312" w:hAnsi="宋体" w:eastAsia="仿宋_GB2312"/>
                <w:b/>
                <w:color w:val="000000"/>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sz w:val="20"/>
                <w:szCs w:val="20"/>
              </w:rPr>
              <w:t>　　（三）接受培训人员数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仿宋_GB2312" w:hAnsi="宋体" w:eastAsia="仿宋_GB2312" w:cs="宋体"/>
                <w:b/>
                <w:color w:val="000000"/>
                <w:sz w:val="24"/>
              </w:rPr>
            </w:pPr>
            <w:r>
              <w:rPr>
                <w:rFonts w:hint="eastAsia" w:ascii="仿宋_GB2312" w:hAnsi="宋体" w:eastAsia="仿宋_GB2312"/>
                <w:b/>
                <w:color w:val="000000"/>
                <w:sz w:val="20"/>
                <w:szCs w:val="20"/>
              </w:rPr>
              <w:t>人次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仿宋_GB2312" w:hAnsi="宋体" w:eastAsia="仿宋_GB2312" w:cs="宋体"/>
                <w:b/>
                <w:color w:val="000000"/>
                <w:sz w:val="24"/>
              </w:rPr>
            </w:pPr>
            <w:r>
              <w:rPr>
                <w:rFonts w:hint="eastAsia" w:ascii="仿宋_GB2312" w:hAnsi="宋体" w:eastAsia="仿宋_GB2312"/>
                <w:b/>
                <w:color w:val="000000"/>
              </w:rPr>
              <w:t>　</w:t>
            </w:r>
            <w:r>
              <w:rPr>
                <w:rFonts w:hint="eastAsia" w:ascii="仿宋_GB2312" w:hAnsi="宋体" w:eastAsia="仿宋_GB2312"/>
                <w:b/>
                <w:color w:val="000000"/>
                <w:lang w:val="en-US" w:eastAsia="zh-CN"/>
              </w:rPr>
              <w:t>228</w:t>
            </w:r>
          </w:p>
        </w:tc>
      </w:tr>
    </w:tbl>
    <w:p>
      <w:pPr>
        <w:rPr>
          <w:rFonts w:ascii="仿宋_GB2312" w:eastAsia="仿宋_GB2312"/>
          <w:b/>
        </w:rPr>
      </w:pPr>
    </w:p>
    <w:p>
      <w:pPr>
        <w:jc w:val="left"/>
        <w:rPr>
          <w:rFonts w:ascii="仿宋_GB2312" w:eastAsia="仿宋_GB2312"/>
          <w:b/>
          <w:sz w:val="32"/>
          <w:szCs w:val="32"/>
        </w:rPr>
      </w:pPr>
    </w:p>
    <w:p>
      <w:pPr>
        <w:jc w:val="left"/>
        <w:rPr>
          <w:rFonts w:ascii="仿宋_GB2312" w:eastAsia="仿宋_GB2312"/>
          <w:b/>
          <w:sz w:val="32"/>
          <w:szCs w:val="32"/>
        </w:rPr>
      </w:pPr>
    </w:p>
    <w:p>
      <w:pPr>
        <w:jc w:val="left"/>
        <w:rPr>
          <w:rFonts w:ascii="仿宋_GB2312" w:eastAsia="仿宋_GB2312"/>
          <w:b/>
          <w:sz w:val="32"/>
          <w:szCs w:val="32"/>
        </w:rPr>
      </w:pPr>
    </w:p>
    <w:p>
      <w:pPr>
        <w:jc w:val="left"/>
        <w:rPr>
          <w:rFonts w:eastAsia="仿宋_GB2312"/>
          <w:b/>
          <w:sz w:val="32"/>
          <w:szCs w:val="32"/>
        </w:rPr>
      </w:pPr>
    </w:p>
    <w:p>
      <w:pPr>
        <w:jc w:val="left"/>
        <w:rPr>
          <w:rFonts w:eastAsia="仿宋_GB2312"/>
          <w:b/>
          <w:sz w:val="32"/>
          <w:szCs w:val="32"/>
        </w:rPr>
      </w:pPr>
    </w:p>
    <w:p>
      <w:pPr>
        <w:jc w:val="left"/>
        <w:rPr>
          <w:rFonts w:eastAsia="仿宋_GB2312"/>
          <w:b/>
          <w:sz w:val="32"/>
          <w:szCs w:val="32"/>
        </w:rPr>
      </w:pPr>
    </w:p>
    <w:p>
      <w:pPr>
        <w:jc w:val="left"/>
        <w:rPr>
          <w:rFonts w:ascii="仿宋_GB2312" w:eastAsia="仿宋_GB2312"/>
          <w:b/>
          <w:sz w:val="32"/>
          <w:szCs w:val="32"/>
        </w:rPr>
      </w:pPr>
    </w:p>
    <w:p>
      <w:pPr>
        <w:spacing w:line="520" w:lineRule="exact"/>
        <w:ind w:firstLine="643" w:firstLineChars="200"/>
        <w:rPr>
          <w:rFonts w:ascii="仿宋_GB2312" w:eastAsia="仿宋_GB2312"/>
          <w:b/>
          <w:sz w:val="32"/>
          <w:szCs w:val="32"/>
        </w:rPr>
      </w:pPr>
    </w:p>
    <w:p>
      <w:pPr>
        <w:spacing w:line="520" w:lineRule="exact"/>
        <w:ind w:firstLine="643" w:firstLineChars="200"/>
        <w:rPr>
          <w:rFonts w:ascii="仿宋_GB2312" w:eastAsia="仿宋_GB2312"/>
          <w:b/>
          <w:sz w:val="32"/>
          <w:szCs w:val="32"/>
        </w:rPr>
      </w:pPr>
    </w:p>
    <w:p>
      <w:pPr>
        <w:spacing w:line="520" w:lineRule="exact"/>
        <w:ind w:firstLine="643" w:firstLineChars="200"/>
        <w:rPr>
          <w:rFonts w:ascii="仿宋_GB2312" w:eastAsia="仿宋_GB2312"/>
          <w:b/>
          <w:sz w:val="32"/>
          <w:szCs w:val="32"/>
        </w:rPr>
      </w:pPr>
    </w:p>
    <w:p>
      <w:pPr>
        <w:spacing w:line="520" w:lineRule="exact"/>
        <w:rPr>
          <w:rFonts w:ascii="仿宋_GB2312" w:eastAsia="仿宋_GB2312"/>
          <w:b/>
          <w:sz w:val="32"/>
          <w:szCs w:val="32"/>
        </w:rPr>
      </w:pPr>
    </w:p>
    <w:p>
      <w:pPr>
        <w:shd w:val="clear" w:color="auto" w:fill="FFFFFF"/>
        <w:spacing w:line="20" w:lineRule="exact"/>
        <w:rPr>
          <w:rFonts w:ascii="仿宋_GB2312" w:eastAsia="仿宋_GB2312"/>
          <w:b/>
          <w:sz w:val="32"/>
          <w:szCs w:val="32"/>
        </w:rPr>
      </w:pP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rPr>
        <w:rFonts w:ascii="宋体"/>
        <w:sz w:val="28"/>
        <w:szCs w:val="28"/>
      </w:rPr>
    </w:pPr>
    <w:r>
      <w:rPr>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rPr>
        <w:rFonts w:ascii="宋体"/>
        <w:sz w:val="28"/>
        <w:szCs w:val="28"/>
      </w:rPr>
    </w:pPr>
    <w:r>
      <w:rPr>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78FCA"/>
    <w:multiLevelType w:val="singleLevel"/>
    <w:tmpl w:val="58C78FCA"/>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B29"/>
    <w:rsid w:val="00016A8A"/>
    <w:rsid w:val="000360F5"/>
    <w:rsid w:val="00093762"/>
    <w:rsid w:val="000E56DB"/>
    <w:rsid w:val="000F6D36"/>
    <w:rsid w:val="00137431"/>
    <w:rsid w:val="00150F8A"/>
    <w:rsid w:val="00196D6B"/>
    <w:rsid w:val="001A7B29"/>
    <w:rsid w:val="001B3D50"/>
    <w:rsid w:val="00201727"/>
    <w:rsid w:val="002063C4"/>
    <w:rsid w:val="00275AC1"/>
    <w:rsid w:val="00283E83"/>
    <w:rsid w:val="0028563B"/>
    <w:rsid w:val="002C3F9D"/>
    <w:rsid w:val="002C7EBA"/>
    <w:rsid w:val="002D377F"/>
    <w:rsid w:val="002F26FD"/>
    <w:rsid w:val="00371094"/>
    <w:rsid w:val="00406A3F"/>
    <w:rsid w:val="004273AF"/>
    <w:rsid w:val="004A4D52"/>
    <w:rsid w:val="004E35C8"/>
    <w:rsid w:val="004F4367"/>
    <w:rsid w:val="005B1D08"/>
    <w:rsid w:val="005C0938"/>
    <w:rsid w:val="005D31B7"/>
    <w:rsid w:val="005E74DF"/>
    <w:rsid w:val="00616A3B"/>
    <w:rsid w:val="006612EA"/>
    <w:rsid w:val="006B357D"/>
    <w:rsid w:val="006F0006"/>
    <w:rsid w:val="00706D19"/>
    <w:rsid w:val="00742F80"/>
    <w:rsid w:val="007A4AC8"/>
    <w:rsid w:val="007B3284"/>
    <w:rsid w:val="007B6D1C"/>
    <w:rsid w:val="007E44AA"/>
    <w:rsid w:val="00823A14"/>
    <w:rsid w:val="008314FD"/>
    <w:rsid w:val="00835A0D"/>
    <w:rsid w:val="00844971"/>
    <w:rsid w:val="00850DBC"/>
    <w:rsid w:val="00855F46"/>
    <w:rsid w:val="008B2469"/>
    <w:rsid w:val="008F75BD"/>
    <w:rsid w:val="00980E46"/>
    <w:rsid w:val="009A6D07"/>
    <w:rsid w:val="009C12FA"/>
    <w:rsid w:val="009C29AF"/>
    <w:rsid w:val="009E7087"/>
    <w:rsid w:val="00A00ABC"/>
    <w:rsid w:val="00A0545E"/>
    <w:rsid w:val="00AF78A7"/>
    <w:rsid w:val="00B338B1"/>
    <w:rsid w:val="00B43611"/>
    <w:rsid w:val="00B645B7"/>
    <w:rsid w:val="00B7692E"/>
    <w:rsid w:val="00B9280B"/>
    <w:rsid w:val="00C20F71"/>
    <w:rsid w:val="00C60048"/>
    <w:rsid w:val="00CA04A8"/>
    <w:rsid w:val="00CA44B3"/>
    <w:rsid w:val="00D302D5"/>
    <w:rsid w:val="00DB38E5"/>
    <w:rsid w:val="00DF2897"/>
    <w:rsid w:val="00E00292"/>
    <w:rsid w:val="00E118CA"/>
    <w:rsid w:val="00E154F9"/>
    <w:rsid w:val="00E63D10"/>
    <w:rsid w:val="00EE6099"/>
    <w:rsid w:val="00F120BE"/>
    <w:rsid w:val="00F67713"/>
    <w:rsid w:val="00F7471E"/>
    <w:rsid w:val="00F8474B"/>
    <w:rsid w:val="00F94C10"/>
    <w:rsid w:val="00F95598"/>
    <w:rsid w:val="00FA29D1"/>
    <w:rsid w:val="00FC0EE4"/>
    <w:rsid w:val="00FF40ED"/>
    <w:rsid w:val="00FF797C"/>
    <w:rsid w:val="05BB49DA"/>
    <w:rsid w:val="157347D8"/>
    <w:rsid w:val="17591A4C"/>
    <w:rsid w:val="1D8351DC"/>
    <w:rsid w:val="21B052DA"/>
    <w:rsid w:val="2FD144CD"/>
    <w:rsid w:val="3DA626C3"/>
    <w:rsid w:val="412D324E"/>
    <w:rsid w:val="4685371D"/>
    <w:rsid w:val="488A6053"/>
    <w:rsid w:val="53B41AA3"/>
    <w:rsid w:val="54376686"/>
    <w:rsid w:val="54DD7C78"/>
    <w:rsid w:val="551A6474"/>
    <w:rsid w:val="58902432"/>
    <w:rsid w:val="5F84051D"/>
    <w:rsid w:val="628E5374"/>
    <w:rsid w:val="72F25DAB"/>
    <w:rsid w:val="749872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99"/>
    <w:rPr>
      <w:rFonts w:cs="Times New Roman"/>
      <w:b/>
    </w:rPr>
  </w:style>
  <w:style w:type="character" w:styleId="6">
    <w:name w:val="Hyperlink"/>
    <w:basedOn w:val="4"/>
    <w:uiPriority w:val="99"/>
    <w:rPr>
      <w:rFonts w:cs="Times New Roman"/>
      <w:color w:val="0000FF"/>
      <w:u w:val="single"/>
    </w:rPr>
  </w:style>
  <w:style w:type="paragraph" w:customStyle="1" w:styleId="8">
    <w:name w:val="普通(网站)1"/>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9">
    <w:name w:val="Header Char"/>
    <w:basedOn w:val="4"/>
    <w:link w:val="3"/>
    <w:semiHidden/>
    <w:locked/>
    <w:uiPriority w:val="99"/>
    <w:rPr>
      <w:rFonts w:cs="Times New Roman"/>
      <w:sz w:val="18"/>
      <w:szCs w:val="18"/>
    </w:rPr>
  </w:style>
  <w:style w:type="character" w:customStyle="1" w:styleId="10">
    <w:name w:val="Footer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706</Words>
  <Characters>4025</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2018-02-05T06:03:00Z</dcterms:created>
  <dc:creator>Administrator</dc:creator>
  <cp:lastModifiedBy>Administrator</cp:lastModifiedBy>
  <cp:lastPrinted>2018-02-11T07:13:44Z</cp:lastPrinted>
  <dcterms:modified xsi:type="dcterms:W3CDTF">2018-02-11T07:39:44Z</dcterms:modified>
  <dc:title>源政办字〔2018〕8号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