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86F7">
      <w:pPr>
        <w:spacing w:beforeLines="50" w:afterLines="50" w:line="480" w:lineRule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</w:p>
    <w:p w14:paraId="31AADE74">
      <w:pPr>
        <w:spacing w:before="156" w:beforeLines="50" w:after="156" w:afterLines="50" w:line="480" w:lineRule="auto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关于部分检测项目的说明</w:t>
      </w:r>
    </w:p>
    <w:p w14:paraId="7EAF4D1D"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氯氟氰菊酯和高效氯氟氰菊酯</w:t>
      </w:r>
    </w:p>
    <w:p w14:paraId="50ADF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氯氟氰菊酯又叫三氟氯氰菊酯，属拟除虫菊酯类仿生物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"https://baike.so.com/doc/1218627.html"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农药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具有杀虫广谱、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"https://baike.so.com/doc/1518551.html"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高效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"https://baike.so.com/doc/3917713.html"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速度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快、持效期长的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"https://baike.so.com/doc/6019647.html"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特点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；对害虫和螨类具有强烈的触杀和胃毒作用，有渗透性而无内吸作用，可有效地防治鳞翅目、鞘翅目、半翅目和螨类害虫；其性质稳定，耐雨水冲刷。高效氯氟氰菊酯为黄色至棕色粘稠油状液体，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"https://baike.so.com/doc/1595268-1686339.html"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杀虫谱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广，活性较高，药效迅速，喷洒后耐雨水冲刷，但长期使用易对其产生抗性，对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"https://baike.so.com/doc/6452457-6666142.html"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刺吸式口器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的害虫及害螨有一定防效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适用于花生、大豆、棉花、果树、蔬菜的害虫。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《食品安全国家标准 食品中农药最大残留限量》（GB 2763-2026）中规定，氯氟氰菊酯和高效氯氟氰菊酯在梨中的最大残留限量值为0.2mg/kg。梨不合格的原因可能是：（1）种植者未严格遵守农药安全间隔期相关规定，施药后，为达到快速上市追求利益最大化，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提前将产品收获上市，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是在蔬菜采收期间使用农药，导致农药残留超标。（2）农药质量低劣，农药行业制药水平参差不齐，农民使用的农药品质不纯，导致蔬菜出现农药残留超标问题。（3）化学农药在环境中的降解速度缓慢，易在表面残留较长时间。</w:t>
      </w:r>
    </w:p>
    <w:p w14:paraId="15FCEBAE"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噻虫嗪</w:t>
      </w:r>
    </w:p>
    <w:p w14:paraId="3958F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噻虫嗪为烟碱类杀虫剂，一般为白色结晶粉末。噻虫嗪杀虫原理为：阻断昆虫中枢神经系统的传导，造成昆虫出现麻痹而死亡。其作用跟啶虫脒、吡虫啉等相似，不仅具有触杀、胃毒、内吸活性，而且具有更高的活性、更好的安全性、更广的杀虫谱及作用、速度快、持效期长等特点。《食品安全国家标准 食品中农药最大残留限量》（GB 2763-2026）中规定，噻虫嗪在黄瓜中的最大残留限量值为0.5mg/kg。黄瓜中噻虫嗪超标的原因，可能是农户为快速控制虫害加大用药量，或未遵守采摘间隔期规定，致使上市销售时产品中的药物残留量未降解至标准限量以下。</w:t>
      </w:r>
    </w:p>
    <w:p w14:paraId="425C1705"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呋虫胺</w:t>
      </w:r>
    </w:p>
    <w:p w14:paraId="3237F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呋虫胺为烟碱类杀虫剂。其与现有的烟碱类杀虫剂的化学结构可谓大相径庭，它的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"https://baike.so.com/doc/1372972-1451294.html"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四氢呋喃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基取代了以前的氯代吡啶基、氯代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"https://baike.so.com/doc/5412093-5650218.html"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噻唑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基，并不含卤族元素。同时，在性能方面也与烟碱有所不同，故而，目前人们将其称为"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"https://baike.so.com/doc/2987873-3151336.html"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呋喃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烟碱"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该药剂具有触杀、胃毒、和根部内吸性强、速效高、持效期长、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"https://baike.so.com/doc/1595268-1686339.html"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杀虫谱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广等特点，且对刺吸口器害虫有优异防效，并在很低的剂量即显示了很高的杀虫活性。主要用于防治小麦、水稻、棉花、蔬菜、果树、烟叶等多种作物上的蚜虫、叶蝉、飞虱、蓟马、粉虱及其抗性品系，同时对鞘翅目、双翅目和鳞翅目、双翅目、甲虫目和总翅目害虫有高效，并对蜚蠊、白蚁、家蝇等卫生害虫有高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。《食品安全国家标准 食品中农药最大残留限量》（GB 2763-2026）中规定，呋虫胺在辣椒中的最大残留限量值为0.5mg/kg。辣椒中呋虫胺不合格的原因可能是：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（1）果蔬本身的病虫害较多，为达到快速治病的效果，种植者随意使用农药。（2）施药后，为达到快速上市追求利益最大化，未严格落实农药使用的休药间隔期，导致上市流通的产品的农药残留超标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3）农业种植水平低下、科技化程度不高，施药的技术、施药量以及施药时间及方式等方面薄弱，导致农药的滥用及超标。（4）农药行业制药水平参差不齐，农民使用的农药品质不纯，或者部分生产厂商为利益所驱动为达到高效治病的效果，在低毒农药中违法混配高中毒农药，从而导致施药过程中带入高毒农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312BC1D"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噻虫胺</w:t>
      </w:r>
    </w:p>
    <w:p w14:paraId="41C33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噻虫胺是一类高效安全、高选择性的新型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烟碱类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杀虫剂，其作用与烟碱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"https://baike.so.com/doc/6786295-7002902.html"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乙酰胆碱受体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类似，具有触杀、胃毒和内吸活性。主要用于水稻、蔬菜、果树及其他作物上防治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"https://baike.so.com/doc/5415993-5654138.html"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蚜虫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"https://baike.so.com/doc/6328167-6541777.html"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叶蝉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"https://baike.so.com/doc/5437184-5675493.html"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蓟马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"https://baike.so.com/doc/5666270-5878929.html"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飞虱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等半翅目、鞘翅目、双翅目和某些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"https://baike.so.com/doc/4590427-4801972.html"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鳞翅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目类害虫的杀虫剂，具有高效、广谱、用量少、毒性低、药效持效期长、对作物无药害、使用安全、与常规农药无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"https://baike.so.com/doc/4134061-4333625.html"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交互抗性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等优点，有卓越的内吸和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"https://baike.so.com/doc/4751554-4966887.html" \t "https://baike.so.com/doc/_blank"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渗透作用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，是替代高毒有机磷农药的又一品种。其结构新颖、特殊，性能与传统烟碱类杀虫剂相比更为优异。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《食品安全国家标准 食品中农药最大残留限量》（GB 2763-2026）中规定，噻虫胺在甜椒中的最大残留限量值为0.05mg/kg。甜椒中噻虫胺不合格的原因主要为：（1）种植者未严格遵守农药安全间隔期相关规定，施药后，为达到快速上市追求利益最大化，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提前将产品收获上市，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或是在蔬菜采收期间使用农药，导致农药残留超标。（2）农药质量低劣，农药行业制药水平参差不齐，农民使用的农药品质不纯，导致蔬菜出现农药残留超标问题。</w:t>
      </w:r>
    </w:p>
    <w:p w14:paraId="47C5F745">
      <w:pPr>
        <w:pStyle w:val="2"/>
        <w:rPr>
          <w:rFonts w:hint="eastAsia"/>
          <w:lang w:val="en-US" w:eastAsia="zh-CN"/>
        </w:rPr>
      </w:pPr>
    </w:p>
    <w:p w14:paraId="5874D85C">
      <w:pPr>
        <w:pStyle w:val="9"/>
        <w:rPr>
          <w:rFonts w:hint="eastAsia"/>
          <w:lang w:val="en-US" w:eastAsia="zh-CN"/>
        </w:rPr>
      </w:pPr>
    </w:p>
    <w:p w14:paraId="48DB661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B928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  <w:highlight w:val="red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D7A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cd291358-7e92-4e0e-8748-5dbef03e8859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23A4D71"/>
    <w:rsid w:val="06373325"/>
    <w:rsid w:val="095A4305"/>
    <w:rsid w:val="099645B5"/>
    <w:rsid w:val="0A190C82"/>
    <w:rsid w:val="0CA64390"/>
    <w:rsid w:val="100D52ED"/>
    <w:rsid w:val="185E1E80"/>
    <w:rsid w:val="19831FC6"/>
    <w:rsid w:val="1A702BC9"/>
    <w:rsid w:val="1C1B387C"/>
    <w:rsid w:val="1E2732A5"/>
    <w:rsid w:val="24666186"/>
    <w:rsid w:val="25E91E30"/>
    <w:rsid w:val="26BE49B4"/>
    <w:rsid w:val="2895747D"/>
    <w:rsid w:val="29744848"/>
    <w:rsid w:val="2AAA71D9"/>
    <w:rsid w:val="2D0F1B7A"/>
    <w:rsid w:val="2DD1788D"/>
    <w:rsid w:val="388557F6"/>
    <w:rsid w:val="39127C81"/>
    <w:rsid w:val="3AA51AC1"/>
    <w:rsid w:val="3BA07172"/>
    <w:rsid w:val="3DA934AC"/>
    <w:rsid w:val="44DA1A20"/>
    <w:rsid w:val="4501662E"/>
    <w:rsid w:val="47DE5FD9"/>
    <w:rsid w:val="4A351BC6"/>
    <w:rsid w:val="519C4558"/>
    <w:rsid w:val="5C7431FF"/>
    <w:rsid w:val="5D141FCB"/>
    <w:rsid w:val="60A31252"/>
    <w:rsid w:val="6114329D"/>
    <w:rsid w:val="694C1F68"/>
    <w:rsid w:val="69980750"/>
    <w:rsid w:val="6A726503"/>
    <w:rsid w:val="6E456818"/>
    <w:rsid w:val="6EB14CAF"/>
    <w:rsid w:val="6F10376B"/>
    <w:rsid w:val="6FAC48AB"/>
    <w:rsid w:val="6FCC47EB"/>
    <w:rsid w:val="71B46742"/>
    <w:rsid w:val="760A5FA9"/>
    <w:rsid w:val="783A3C30"/>
    <w:rsid w:val="7E083E99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695</Words>
  <Characters>722</Characters>
  <Lines>3</Lines>
  <Paragraphs>1</Paragraphs>
  <TotalTime>0</TotalTime>
  <ScaleCrop>false</ScaleCrop>
  <LinksUpToDate>false</LinksUpToDate>
  <CharactersWithSpaces>726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清清楚楚</cp:lastModifiedBy>
  <dcterms:modified xsi:type="dcterms:W3CDTF">2026-06-25T06:30:00Z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49F3FB5E1CD24893BE49C45C2CEB75C8</vt:lpwstr>
  </property>
  <property fmtid="{D5CDD505-2E9C-101B-9397-08002B2CF9AE}" pid="4" name="KSOTemplateDocerSaveRecord">
    <vt:lpwstr>eyJoZGlkIjoiZTY5NTM1MjZmNDNlYmM2MjQxOTI0NDYxY2NiNzgyNzciLCJ1c2VySWQiOiIzODQwNzMyNzgifQ==</vt:lpwstr>
  </property>
</Properties>
</file>