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BAEA1">
      <w:pPr>
        <w:spacing w:before="240"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沂源</w:t>
      </w:r>
      <w:r>
        <w:rPr>
          <w:rFonts w:hint="eastAsia" w:ascii="方正小标宋简体" w:eastAsia="方正小标宋简体"/>
          <w:sz w:val="44"/>
          <w:szCs w:val="44"/>
        </w:rPr>
        <w:t>县专利侵权纠纷</w:t>
      </w:r>
      <w:r>
        <w:rPr>
          <w:rFonts w:ascii="方正小标宋简体" w:eastAsia="方正小标宋简体"/>
          <w:sz w:val="44"/>
          <w:szCs w:val="44"/>
        </w:rPr>
        <w:t>行政裁决</w:t>
      </w:r>
      <w:r>
        <w:rPr>
          <w:rFonts w:hint="eastAsia" w:ascii="方正小标宋简体" w:eastAsia="方正小标宋简体"/>
          <w:sz w:val="44"/>
          <w:szCs w:val="44"/>
        </w:rPr>
        <w:t>案件信息公开表（一）</w:t>
      </w:r>
    </w:p>
    <w:p w14:paraId="5298808F"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tbl>
      <w:tblPr>
        <w:tblStyle w:val="6"/>
        <w:tblW w:w="157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544"/>
        <w:gridCol w:w="1434"/>
        <w:gridCol w:w="1559"/>
        <w:gridCol w:w="1276"/>
        <w:gridCol w:w="1134"/>
        <w:gridCol w:w="2551"/>
        <w:gridCol w:w="1276"/>
        <w:gridCol w:w="2126"/>
        <w:gridCol w:w="1418"/>
        <w:gridCol w:w="964"/>
      </w:tblGrid>
      <w:tr w14:paraId="360C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472" w:type="dxa"/>
            <w:noWrap w:val="0"/>
            <w:vAlign w:val="center"/>
          </w:tcPr>
          <w:p w14:paraId="1EA8B208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z w:val="28"/>
                <w:szCs w:val="28"/>
                <w:lang/>
              </w:rPr>
              <w:t>序</w:t>
            </w:r>
          </w:p>
          <w:p w14:paraId="0551304F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z w:val="28"/>
                <w:szCs w:val="28"/>
                <w:lang/>
              </w:rPr>
              <w:t>号</w:t>
            </w:r>
          </w:p>
        </w:tc>
        <w:tc>
          <w:tcPr>
            <w:tcW w:w="1544" w:type="dxa"/>
            <w:noWrap w:val="0"/>
            <w:vAlign w:val="center"/>
          </w:tcPr>
          <w:p w14:paraId="058B3C48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处理决定书</w:t>
            </w:r>
          </w:p>
          <w:p w14:paraId="4B5C0E7C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文 号</w:t>
            </w:r>
          </w:p>
        </w:tc>
        <w:tc>
          <w:tcPr>
            <w:tcW w:w="1434" w:type="dxa"/>
            <w:noWrap w:val="0"/>
            <w:vAlign w:val="center"/>
          </w:tcPr>
          <w:p w14:paraId="794FAF98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案件名称</w:t>
            </w:r>
          </w:p>
        </w:tc>
        <w:tc>
          <w:tcPr>
            <w:tcW w:w="1559" w:type="dxa"/>
            <w:noWrap w:val="0"/>
            <w:vAlign w:val="center"/>
          </w:tcPr>
          <w:p w14:paraId="0FB2F842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被请求人姓名或名称</w:t>
            </w:r>
          </w:p>
        </w:tc>
        <w:tc>
          <w:tcPr>
            <w:tcW w:w="1276" w:type="dxa"/>
            <w:noWrap w:val="0"/>
            <w:vAlign w:val="center"/>
          </w:tcPr>
          <w:p w14:paraId="452F7611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被请求人统一社会信用代码</w:t>
            </w:r>
          </w:p>
        </w:tc>
        <w:tc>
          <w:tcPr>
            <w:tcW w:w="1134" w:type="dxa"/>
            <w:noWrap w:val="0"/>
            <w:vAlign w:val="center"/>
          </w:tcPr>
          <w:p w14:paraId="5E57C45D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法定代表人</w:t>
            </w:r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或经营者</w:t>
            </w: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姓名</w:t>
            </w:r>
          </w:p>
        </w:tc>
        <w:tc>
          <w:tcPr>
            <w:tcW w:w="2551" w:type="dxa"/>
            <w:noWrap w:val="0"/>
            <w:vAlign w:val="center"/>
          </w:tcPr>
          <w:p w14:paraId="1FBA4B4D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行政处理</w:t>
            </w:r>
          </w:p>
          <w:p w14:paraId="20B9DD03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认定事实</w:t>
            </w:r>
          </w:p>
        </w:tc>
        <w:tc>
          <w:tcPr>
            <w:tcW w:w="1276" w:type="dxa"/>
            <w:noWrap w:val="0"/>
            <w:vAlign w:val="center"/>
          </w:tcPr>
          <w:p w14:paraId="52AA1BC5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行政处理</w:t>
            </w:r>
          </w:p>
          <w:p w14:paraId="7470A343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的种类</w:t>
            </w:r>
          </w:p>
        </w:tc>
        <w:tc>
          <w:tcPr>
            <w:tcW w:w="2126" w:type="dxa"/>
            <w:noWrap w:val="0"/>
            <w:vAlign w:val="center"/>
          </w:tcPr>
          <w:p w14:paraId="3F401266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行政处理</w:t>
            </w:r>
          </w:p>
          <w:p w14:paraId="2BB87BED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的履行方式</w:t>
            </w:r>
          </w:p>
          <w:p w14:paraId="4FDF24DB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和期限</w:t>
            </w:r>
          </w:p>
        </w:tc>
        <w:tc>
          <w:tcPr>
            <w:tcW w:w="1418" w:type="dxa"/>
            <w:noWrap w:val="0"/>
            <w:vAlign w:val="center"/>
          </w:tcPr>
          <w:p w14:paraId="4D8001FC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作出</w:t>
            </w:r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行</w:t>
            </w:r>
            <w:bookmarkStart w:id="0" w:name="_GoBack"/>
            <w:bookmarkEnd w:id="0"/>
            <w:r>
              <w:rPr>
                <w:rFonts w:ascii="黑体" w:eastAsia="黑体"/>
                <w:spacing w:val="-6"/>
                <w:sz w:val="28"/>
                <w:szCs w:val="28"/>
                <w:lang/>
              </w:rPr>
              <w:t>政处理</w:t>
            </w:r>
            <w:r>
              <w:rPr>
                <w:rFonts w:hint="eastAsia" w:ascii="黑体" w:eastAsia="黑体"/>
                <w:spacing w:val="-6"/>
                <w:sz w:val="28"/>
                <w:szCs w:val="28"/>
                <w:lang/>
              </w:rPr>
              <w:t>的机关名称和日期</w:t>
            </w:r>
          </w:p>
        </w:tc>
        <w:tc>
          <w:tcPr>
            <w:tcW w:w="964" w:type="dxa"/>
            <w:noWrap w:val="0"/>
            <w:vAlign w:val="center"/>
          </w:tcPr>
          <w:p w14:paraId="5596B3C4">
            <w:pPr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hint="eastAsia" w:ascii="黑体" w:eastAsia="黑体"/>
                <w:sz w:val="28"/>
                <w:szCs w:val="28"/>
                <w:lang/>
              </w:rPr>
            </w:pPr>
            <w:r>
              <w:rPr>
                <w:rFonts w:hint="eastAsia" w:ascii="黑体" w:eastAsia="黑体"/>
                <w:sz w:val="28"/>
                <w:szCs w:val="28"/>
                <w:lang/>
              </w:rPr>
              <w:t>备 注</w:t>
            </w:r>
          </w:p>
        </w:tc>
      </w:tr>
      <w:tr w14:paraId="0AFE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9" w:hRule="atLeast"/>
          <w:jc w:val="center"/>
        </w:trPr>
        <w:tc>
          <w:tcPr>
            <w:tcW w:w="472" w:type="dxa"/>
            <w:noWrap w:val="0"/>
            <w:vAlign w:val="center"/>
          </w:tcPr>
          <w:p w14:paraId="720B18BB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  <w:t>1</w:t>
            </w:r>
          </w:p>
        </w:tc>
        <w:tc>
          <w:tcPr>
            <w:tcW w:w="1544" w:type="dxa"/>
            <w:noWrap w:val="0"/>
            <w:vAlign w:val="center"/>
          </w:tcPr>
          <w:p w14:paraId="0CF29DBD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鲁淄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知法裁字〔2026〕1号</w:t>
            </w:r>
          </w:p>
        </w:tc>
        <w:tc>
          <w:tcPr>
            <w:tcW w:w="1434" w:type="dxa"/>
            <w:noWrap w:val="0"/>
            <w:vAlign w:val="center"/>
          </w:tcPr>
          <w:p w14:paraId="624E456F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“ZL202430418756.2 苹果纸箱（一）”外观设计专利侵权纠纷</w:t>
            </w:r>
          </w:p>
        </w:tc>
        <w:tc>
          <w:tcPr>
            <w:tcW w:w="1559" w:type="dxa"/>
            <w:noWrap w:val="0"/>
            <w:vAlign w:val="center"/>
          </w:tcPr>
          <w:p w14:paraId="2F7AF5F1">
            <w:pPr>
              <w:spacing w:line="0" w:lineRule="atLeas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沂源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1276" w:type="dxa"/>
            <w:noWrap w:val="0"/>
            <w:vAlign w:val="center"/>
          </w:tcPr>
          <w:p w14:paraId="599E29E7">
            <w:pPr>
              <w:spacing w:line="0" w:lineRule="atLeas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92370323MAE*****</w:t>
            </w:r>
          </w:p>
        </w:tc>
        <w:tc>
          <w:tcPr>
            <w:tcW w:w="1134" w:type="dxa"/>
            <w:noWrap w:val="0"/>
            <w:vAlign w:val="center"/>
          </w:tcPr>
          <w:p w14:paraId="38440AB5">
            <w:pPr>
              <w:spacing w:line="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</w:p>
        </w:tc>
        <w:tc>
          <w:tcPr>
            <w:tcW w:w="2551" w:type="dxa"/>
            <w:noWrap w:val="0"/>
            <w:vAlign w:val="center"/>
          </w:tcPr>
          <w:p w14:paraId="5E7B56DE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被控侵权产品外观设计与授权外观设计专利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两者在整体视觉效果上无无差异，应当认定两者构成相同。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被控侵权产品外观设计落入涉案外观设计专利权的保护范围。被请求人以经营为目的，未经专利权人许可，销售、许诺销售被控侵权产品，构成专利侵权。</w:t>
            </w:r>
          </w:p>
        </w:tc>
        <w:tc>
          <w:tcPr>
            <w:tcW w:w="1276" w:type="dxa"/>
            <w:noWrap w:val="0"/>
            <w:vAlign w:val="center"/>
          </w:tcPr>
          <w:p w14:paraId="5F08EBA4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行政裁决</w:t>
            </w:r>
          </w:p>
        </w:tc>
        <w:tc>
          <w:tcPr>
            <w:tcW w:w="2126" w:type="dxa"/>
            <w:noWrap w:val="0"/>
            <w:vAlign w:val="center"/>
          </w:tcPr>
          <w:p w14:paraId="0B25E3AE">
            <w:pPr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  <w:t>责令被请求人立即停止销售、许诺销售侵权行为</w:t>
            </w:r>
          </w:p>
        </w:tc>
        <w:tc>
          <w:tcPr>
            <w:tcW w:w="1418" w:type="dxa"/>
            <w:noWrap w:val="0"/>
            <w:vAlign w:val="center"/>
          </w:tcPr>
          <w:p w14:paraId="0E33A951">
            <w:pPr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沂源县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市场监督管理局                              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964" w:type="dxa"/>
            <w:noWrap w:val="0"/>
            <w:vAlign w:val="center"/>
          </w:tcPr>
          <w:p w14:paraId="36602A2E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</w:pPr>
          </w:p>
        </w:tc>
      </w:tr>
      <w:tr w14:paraId="05080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472" w:type="dxa"/>
            <w:noWrap w:val="0"/>
            <w:vAlign w:val="center"/>
          </w:tcPr>
          <w:p w14:paraId="5D00421D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  <w:t>2</w:t>
            </w:r>
          </w:p>
        </w:tc>
        <w:tc>
          <w:tcPr>
            <w:tcW w:w="1544" w:type="dxa"/>
            <w:noWrap w:val="0"/>
            <w:vAlign w:val="center"/>
          </w:tcPr>
          <w:p w14:paraId="7E972B50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鲁淄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知法裁字〔2026〕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</w:t>
            </w:r>
          </w:p>
        </w:tc>
        <w:tc>
          <w:tcPr>
            <w:tcW w:w="1434" w:type="dxa"/>
            <w:noWrap w:val="0"/>
            <w:vAlign w:val="center"/>
          </w:tcPr>
          <w:p w14:paraId="1F630F06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“ZL202430418756.2 苹果纸箱（一）”外观设计专利侵权纠纷</w:t>
            </w:r>
          </w:p>
        </w:tc>
        <w:tc>
          <w:tcPr>
            <w:tcW w:w="1559" w:type="dxa"/>
            <w:noWrap w:val="0"/>
            <w:vAlign w:val="center"/>
          </w:tcPr>
          <w:p w14:paraId="24A9DE66">
            <w:pPr>
              <w:spacing w:line="0" w:lineRule="atLeas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沂源***</w:t>
            </w:r>
          </w:p>
        </w:tc>
        <w:tc>
          <w:tcPr>
            <w:tcW w:w="1276" w:type="dxa"/>
            <w:noWrap w:val="0"/>
            <w:vAlign w:val="center"/>
          </w:tcPr>
          <w:p w14:paraId="5922B530">
            <w:pPr>
              <w:spacing w:line="0" w:lineRule="atLeas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92370323MA948*****</w:t>
            </w:r>
          </w:p>
        </w:tc>
        <w:tc>
          <w:tcPr>
            <w:tcW w:w="1134" w:type="dxa"/>
            <w:noWrap w:val="0"/>
            <w:vAlign w:val="center"/>
          </w:tcPr>
          <w:p w14:paraId="1893C11C">
            <w:pPr>
              <w:spacing w:line="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刘**</w:t>
            </w:r>
          </w:p>
        </w:tc>
        <w:tc>
          <w:tcPr>
            <w:tcW w:w="2551" w:type="dxa"/>
            <w:noWrap w:val="0"/>
            <w:vAlign w:val="center"/>
          </w:tcPr>
          <w:p w14:paraId="7436FE13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被控侵权产品外观设计与授权外观设计专利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两者在整体视觉效果上无无差异，应当认定两者构成相同。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被控侵权产品外观设计落入涉案外观设计专利权的保护范围。被请求人以经营为目的，未经专利权人许可，销售、许诺销售被控侵权产品，构成专利侵权。</w:t>
            </w:r>
          </w:p>
        </w:tc>
        <w:tc>
          <w:tcPr>
            <w:tcW w:w="1276" w:type="dxa"/>
            <w:noWrap w:val="0"/>
            <w:vAlign w:val="center"/>
          </w:tcPr>
          <w:p w14:paraId="0974499D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行政裁决</w:t>
            </w:r>
          </w:p>
        </w:tc>
        <w:tc>
          <w:tcPr>
            <w:tcW w:w="2126" w:type="dxa"/>
            <w:noWrap w:val="0"/>
            <w:vAlign w:val="center"/>
          </w:tcPr>
          <w:p w14:paraId="49011309">
            <w:pPr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  <w:t>责令被请求人立即停止销售、许诺销售侵权行为</w:t>
            </w:r>
          </w:p>
        </w:tc>
        <w:tc>
          <w:tcPr>
            <w:tcW w:w="1418" w:type="dxa"/>
            <w:noWrap w:val="0"/>
            <w:vAlign w:val="center"/>
          </w:tcPr>
          <w:p w14:paraId="2DBF76AB">
            <w:pPr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沂源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县市场监督管理局                              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964" w:type="dxa"/>
            <w:noWrap w:val="0"/>
            <w:vAlign w:val="center"/>
          </w:tcPr>
          <w:p w14:paraId="13BEAFDC">
            <w:pPr>
              <w:spacing w:line="0" w:lineRule="atLeast"/>
              <w:textAlignment w:val="center"/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</w:pPr>
          </w:p>
        </w:tc>
      </w:tr>
    </w:tbl>
    <w:p w14:paraId="539DEB8C">
      <w:pPr>
        <w:spacing w:line="0" w:lineRule="atLeast"/>
        <w:textAlignment w:val="center"/>
        <w:rPr>
          <w:rFonts w:hint="eastAsia" w:ascii="仿宋_GB2312" w:hAnsi="仿宋_GB2312" w:eastAsia="仿宋_GB2312" w:cs="仿宋_GB2312"/>
          <w:spacing w:val="2"/>
          <w:kern w:val="0"/>
          <w:sz w:val="24"/>
          <w:szCs w:val="24"/>
        </w:rPr>
      </w:pPr>
    </w:p>
    <w:sectPr>
      <w:footerReference r:id="rId3" w:type="default"/>
      <w:pgSz w:w="16838" w:h="11906" w:orient="landscape"/>
      <w:pgMar w:top="1457" w:right="1440" w:bottom="1457" w:left="1440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1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E1002EFF" w:usb1="C000605B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5DF34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  <w:lang/>
      </w:rPr>
      <w:t>- 8 -</w:t>
    </w:r>
    <w:r>
      <w:fldChar w:fldCharType="end"/>
    </w:r>
  </w:p>
  <w:p w14:paraId="780C7AA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ZDJmOTdkZDM5OWE4ZTY4OGFiM2M1MTA2NDMzNjQifQ=="/>
  </w:docVars>
  <w:rsids>
    <w:rsidRoot w:val="00C408B2"/>
    <w:rsid w:val="000049CB"/>
    <w:rsid w:val="000251DD"/>
    <w:rsid w:val="000321C0"/>
    <w:rsid w:val="000342CE"/>
    <w:rsid w:val="00061A63"/>
    <w:rsid w:val="000A799F"/>
    <w:rsid w:val="000A7A85"/>
    <w:rsid w:val="000C143D"/>
    <w:rsid w:val="000C5754"/>
    <w:rsid w:val="00107B37"/>
    <w:rsid w:val="00120B3F"/>
    <w:rsid w:val="00127CDE"/>
    <w:rsid w:val="00134B85"/>
    <w:rsid w:val="00161355"/>
    <w:rsid w:val="001671D7"/>
    <w:rsid w:val="001A1AE8"/>
    <w:rsid w:val="001B5949"/>
    <w:rsid w:val="001C6CD0"/>
    <w:rsid w:val="001F3EA1"/>
    <w:rsid w:val="00231ED7"/>
    <w:rsid w:val="002E5FC1"/>
    <w:rsid w:val="002F38A3"/>
    <w:rsid w:val="002F7C3A"/>
    <w:rsid w:val="00355F08"/>
    <w:rsid w:val="00385089"/>
    <w:rsid w:val="00387C33"/>
    <w:rsid w:val="003956AC"/>
    <w:rsid w:val="00396248"/>
    <w:rsid w:val="003F218E"/>
    <w:rsid w:val="003F5ECA"/>
    <w:rsid w:val="00422AA0"/>
    <w:rsid w:val="00431026"/>
    <w:rsid w:val="00456E42"/>
    <w:rsid w:val="00494F99"/>
    <w:rsid w:val="004B0549"/>
    <w:rsid w:val="00513671"/>
    <w:rsid w:val="00533366"/>
    <w:rsid w:val="005E1127"/>
    <w:rsid w:val="005F6DE1"/>
    <w:rsid w:val="00632368"/>
    <w:rsid w:val="006336DB"/>
    <w:rsid w:val="00634BEC"/>
    <w:rsid w:val="00642E30"/>
    <w:rsid w:val="00655508"/>
    <w:rsid w:val="00656997"/>
    <w:rsid w:val="006950CF"/>
    <w:rsid w:val="006E3E9E"/>
    <w:rsid w:val="00764204"/>
    <w:rsid w:val="00774CC0"/>
    <w:rsid w:val="007B70D8"/>
    <w:rsid w:val="007D4988"/>
    <w:rsid w:val="008158B9"/>
    <w:rsid w:val="00853448"/>
    <w:rsid w:val="00873855"/>
    <w:rsid w:val="00884231"/>
    <w:rsid w:val="00894E01"/>
    <w:rsid w:val="008A7535"/>
    <w:rsid w:val="008F6508"/>
    <w:rsid w:val="0091634E"/>
    <w:rsid w:val="00924EB8"/>
    <w:rsid w:val="009365CF"/>
    <w:rsid w:val="00951C94"/>
    <w:rsid w:val="00961E0D"/>
    <w:rsid w:val="00993973"/>
    <w:rsid w:val="009B4B41"/>
    <w:rsid w:val="009E5208"/>
    <w:rsid w:val="00A34564"/>
    <w:rsid w:val="00A87933"/>
    <w:rsid w:val="00AB7852"/>
    <w:rsid w:val="00AD0FBA"/>
    <w:rsid w:val="00AF4240"/>
    <w:rsid w:val="00B03C56"/>
    <w:rsid w:val="00B15967"/>
    <w:rsid w:val="00B406F8"/>
    <w:rsid w:val="00B50153"/>
    <w:rsid w:val="00B93575"/>
    <w:rsid w:val="00B95D19"/>
    <w:rsid w:val="00BB6796"/>
    <w:rsid w:val="00C408B2"/>
    <w:rsid w:val="00C70E9F"/>
    <w:rsid w:val="00CA0731"/>
    <w:rsid w:val="00CD36B1"/>
    <w:rsid w:val="00D21473"/>
    <w:rsid w:val="00D718B4"/>
    <w:rsid w:val="00DA63FC"/>
    <w:rsid w:val="00DE1C09"/>
    <w:rsid w:val="00DF083E"/>
    <w:rsid w:val="00E04752"/>
    <w:rsid w:val="00E072CF"/>
    <w:rsid w:val="00E27935"/>
    <w:rsid w:val="00E50453"/>
    <w:rsid w:val="00E728BC"/>
    <w:rsid w:val="00E732D7"/>
    <w:rsid w:val="00E809C4"/>
    <w:rsid w:val="00E91A5C"/>
    <w:rsid w:val="00EA3270"/>
    <w:rsid w:val="00EE1A7A"/>
    <w:rsid w:val="00F05014"/>
    <w:rsid w:val="00F63833"/>
    <w:rsid w:val="00F87F28"/>
    <w:rsid w:val="00F93FB3"/>
    <w:rsid w:val="06DD1C6D"/>
    <w:rsid w:val="093F343F"/>
    <w:rsid w:val="0C896BC8"/>
    <w:rsid w:val="0D373E68"/>
    <w:rsid w:val="0DA466A2"/>
    <w:rsid w:val="10DA2CDE"/>
    <w:rsid w:val="111A2D88"/>
    <w:rsid w:val="12AC282E"/>
    <w:rsid w:val="131B42F0"/>
    <w:rsid w:val="14312339"/>
    <w:rsid w:val="16260642"/>
    <w:rsid w:val="17210D33"/>
    <w:rsid w:val="1B227122"/>
    <w:rsid w:val="1DCA08C1"/>
    <w:rsid w:val="21C45BE8"/>
    <w:rsid w:val="224833AC"/>
    <w:rsid w:val="22633ADD"/>
    <w:rsid w:val="2A947AA6"/>
    <w:rsid w:val="2D623B8D"/>
    <w:rsid w:val="2DD22D3F"/>
    <w:rsid w:val="2FFBB402"/>
    <w:rsid w:val="30A139DD"/>
    <w:rsid w:val="31AA0B72"/>
    <w:rsid w:val="373A29CC"/>
    <w:rsid w:val="3926424C"/>
    <w:rsid w:val="3AFF0AE8"/>
    <w:rsid w:val="3B08223A"/>
    <w:rsid w:val="3BC518B4"/>
    <w:rsid w:val="3D7C7C10"/>
    <w:rsid w:val="3DAE1081"/>
    <w:rsid w:val="3F6FD85C"/>
    <w:rsid w:val="467D1CBD"/>
    <w:rsid w:val="4A5E109B"/>
    <w:rsid w:val="4C4334E7"/>
    <w:rsid w:val="4D553E7B"/>
    <w:rsid w:val="4FDA6C5E"/>
    <w:rsid w:val="4FF9F670"/>
    <w:rsid w:val="51347CF1"/>
    <w:rsid w:val="52FE336F"/>
    <w:rsid w:val="56F7330C"/>
    <w:rsid w:val="57B59859"/>
    <w:rsid w:val="5AAC4392"/>
    <w:rsid w:val="5BFE4B09"/>
    <w:rsid w:val="5D750C41"/>
    <w:rsid w:val="5D876E91"/>
    <w:rsid w:val="5E7B2F72"/>
    <w:rsid w:val="5FA600C5"/>
    <w:rsid w:val="5FD7C2BB"/>
    <w:rsid w:val="63A548F2"/>
    <w:rsid w:val="65396243"/>
    <w:rsid w:val="65C953F4"/>
    <w:rsid w:val="6712276E"/>
    <w:rsid w:val="69DD2402"/>
    <w:rsid w:val="6AA80231"/>
    <w:rsid w:val="6DC41C57"/>
    <w:rsid w:val="6F3C7069"/>
    <w:rsid w:val="71DF4513"/>
    <w:rsid w:val="75FF0362"/>
    <w:rsid w:val="7B7E224F"/>
    <w:rsid w:val="7BB22216"/>
    <w:rsid w:val="7DAFFD0A"/>
    <w:rsid w:val="7DD7016E"/>
    <w:rsid w:val="7F012232"/>
    <w:rsid w:val="7F4DD4BC"/>
    <w:rsid w:val="7FBE4594"/>
    <w:rsid w:val="7FFD7EE6"/>
    <w:rsid w:val="7FFE7796"/>
    <w:rsid w:val="9AFEBADD"/>
    <w:rsid w:val="9E9ED0E3"/>
    <w:rsid w:val="AAFE08AC"/>
    <w:rsid w:val="ADFF4622"/>
    <w:rsid w:val="AFFFF690"/>
    <w:rsid w:val="BF5A7B00"/>
    <w:rsid w:val="BFE6A4FF"/>
    <w:rsid w:val="BFFC96ED"/>
    <w:rsid w:val="D277172D"/>
    <w:rsid w:val="D7FDD05C"/>
    <w:rsid w:val="DBCE9D79"/>
    <w:rsid w:val="DFFBD772"/>
    <w:rsid w:val="F6EFFBA9"/>
    <w:rsid w:val="F73F1D67"/>
    <w:rsid w:val="F7FA762D"/>
    <w:rsid w:val="FD3F0FAD"/>
    <w:rsid w:val="FD79EE7B"/>
    <w:rsid w:val="FFD7EC56"/>
    <w:rsid w:val="FFDEA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</w:style>
  <w:style w:type="character" w:styleId="10">
    <w:name w:val="page number"/>
    <w:uiPriority w:val="0"/>
  </w:style>
  <w:style w:type="character" w:styleId="11">
    <w:name w:val="Emphasis"/>
    <w:qFormat/>
    <w:uiPriority w:val="0"/>
  </w:style>
  <w:style w:type="character" w:styleId="12">
    <w:name w:val="HTML Definition"/>
    <w:uiPriority w:val="0"/>
  </w:style>
  <w:style w:type="character" w:styleId="13">
    <w:name w:val="HTML Variable"/>
    <w:uiPriority w:val="0"/>
  </w:style>
  <w:style w:type="character" w:styleId="14">
    <w:name w:val="HTML Code"/>
    <w:uiPriority w:val="0"/>
    <w:rPr>
      <w:rFonts w:ascii="Courier New" w:hAnsi="Courier New"/>
      <w:sz w:val="20"/>
    </w:rPr>
  </w:style>
  <w:style w:type="character" w:styleId="15">
    <w:name w:val="HTML Cite"/>
    <w:uiPriority w:val="0"/>
  </w:style>
  <w:style w:type="paragraph" w:customStyle="1" w:styleId="16">
    <w:name w:val="Char"/>
    <w:basedOn w:val="1"/>
    <w:uiPriority w:val="0"/>
    <w:rPr>
      <w:rFonts w:ascii="Tahoma" w:hAnsi="Tahoma"/>
      <w:sz w:val="24"/>
    </w:rPr>
  </w:style>
  <w:style w:type="character" w:customStyle="1" w:styleId="17">
    <w:name w:val="font21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l-tab-strip-text"/>
    <w:uiPriority w:val="0"/>
    <w:rPr>
      <w:rFonts w:ascii="Tahoma" w:hAnsi="Tahoma" w:eastAsia="Tahoma" w:cs="Tahoma"/>
      <w:color w:val="416AA3"/>
      <w:sz w:val="18"/>
      <w:szCs w:val="18"/>
    </w:rPr>
  </w:style>
  <w:style w:type="character" w:customStyle="1" w:styleId="19">
    <w:name w:val="l-tab-strip-text1"/>
    <w:uiPriority w:val="0"/>
  </w:style>
  <w:style w:type="character" w:customStyle="1" w:styleId="20">
    <w:name w:val="l-tab-strip-text2"/>
    <w:uiPriority w:val="0"/>
  </w:style>
  <w:style w:type="character" w:customStyle="1" w:styleId="21">
    <w:name w:val="l-tab-strip-text3"/>
    <w:uiPriority w:val="0"/>
    <w:rPr>
      <w:color w:val="15428B"/>
    </w:rPr>
  </w:style>
  <w:style w:type="character" w:customStyle="1" w:styleId="22">
    <w:name w:val="l-tab-strip-text4"/>
    <w:uiPriority w:val="0"/>
    <w:rPr>
      <w:b/>
      <w:bCs/>
      <w:color w:val="15428B"/>
    </w:rPr>
  </w:style>
  <w:style w:type="character" w:customStyle="1" w:styleId="23">
    <w:name w:val="l-tab-strip-text5"/>
    <w:uiPriority w:val="0"/>
  </w:style>
  <w:style w:type="character" w:customStyle="1" w:styleId="24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1154</Words>
  <Characters>1351</Characters>
  <Lines>225</Lines>
  <Paragraphs>108</Paragraphs>
  <TotalTime>13</TotalTime>
  <ScaleCrop>false</ScaleCrop>
  <LinksUpToDate>false</LinksUpToDate>
  <CharactersWithSpaces>2397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2014-04-23T11:30:00Z</dcterms:created>
  <dc:creator>于光</dc:creator>
  <cp:lastModifiedBy>wangwei</cp:lastModifiedBy>
  <cp:lastPrinted>2014-05-09T15:01:00Z</cp:lastPrinted>
  <dcterms:modified xsi:type="dcterms:W3CDTF">2026-08-13T11:28:51Z</dcterms:modified>
  <dc:title>《关于公开有关专利行政执法案件信息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0BA835FACB641E2CF3397D6AE6896FA7_43</vt:lpwstr>
  </property>
</Properties>
</file>