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hd w:val="clear" w:color="auto" w:fill="FFFFFF"/>
        <w:spacing w:beforeAutospacing="0" w:afterAutospacing="0"/>
        <w:jc w:val="center"/>
        <w:rPr>
          <w:rFonts w:ascii="方正小标宋简体" w:hAnsi="方正小标宋简体" w:eastAsia="方正小标宋简体" w:cs="方正小标宋简体"/>
          <w:b/>
          <w:color w:val="333333"/>
          <w:sz w:val="36"/>
          <w:szCs w:val="36"/>
          <w:shd w:val="clear" w:color="auto" w:fill="FFFFFF"/>
        </w:rPr>
      </w:pPr>
    </w:p>
    <w:p>
      <w:pPr>
        <w:spacing w:line="500" w:lineRule="exact"/>
        <w:jc w:val="center"/>
        <w:rPr>
          <w:rFonts w:hint="eastAsia" w:ascii="黑体" w:eastAsia="黑体"/>
          <w:b/>
          <w:color w:val="0D0D0D" w:themeColor="text1" w:themeTint="F2"/>
          <w:sz w:val="44"/>
          <w:szCs w:val="44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eastAsia="黑体"/>
          <w:b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沂源县</w:t>
      </w:r>
      <w:r>
        <w:rPr>
          <w:rFonts w:hint="eastAsia" w:ascii="黑体" w:eastAsia="黑体"/>
          <w:b/>
          <w:color w:val="0D0D0D" w:themeColor="text1" w:themeTint="F2"/>
          <w:sz w:val="44"/>
          <w:szCs w:val="44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融媒体中心</w:t>
      </w:r>
    </w:p>
    <w:p>
      <w:pPr>
        <w:spacing w:line="500" w:lineRule="exact"/>
        <w:jc w:val="center"/>
        <w:rPr>
          <w:rFonts w:hint="eastAsia" w:ascii="黑体" w:eastAsia="黑体"/>
          <w:b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eastAsia="黑体"/>
          <w:b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</w:t>
      </w:r>
      <w:r>
        <w:rPr>
          <w:rFonts w:hint="eastAsia" w:ascii="黑体" w:eastAsia="黑体"/>
          <w:b/>
          <w:color w:val="0D0D0D" w:themeColor="text1" w:themeTint="F2"/>
          <w:sz w:val="44"/>
          <w:szCs w:val="44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</w:t>
      </w:r>
      <w:r>
        <w:rPr>
          <w:rFonts w:hint="eastAsia" w:ascii="黑体" w:eastAsia="黑体"/>
          <w:b/>
          <w:color w:val="0D0D0D" w:themeColor="text1" w:themeTint="F2"/>
          <w:sz w:val="44"/>
          <w:szCs w:val="4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年政府信息公开工作年度报告</w:t>
      </w:r>
    </w:p>
    <w:p>
      <w:pPr>
        <w:spacing w:line="360" w:lineRule="auto"/>
        <w:rPr>
          <w:rFonts w:hint="eastAsia" w:ascii="仿宋_GB2312" w:eastAsia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b w:val="0"/>
          <w:bCs/>
        </w:rPr>
      </w:pPr>
      <w:r>
        <w:rPr>
          <w:rStyle w:val="8"/>
          <w:rFonts w:ascii="仿宋" w:hAnsi="仿宋" w:eastAsia="仿宋" w:cs="仿宋"/>
          <w:b w:val="0"/>
          <w:bCs/>
          <w:sz w:val="31"/>
          <w:szCs w:val="31"/>
        </w:rPr>
        <w:t>本报告按照新修订的《中华人民共和国政府信息公开条例》（以下简称《条例》）和《山东省政府信息公开办法》（以下简称《办法》）规定，报告全文由总体情况、主动公开政府信息情况、收到和处理政府信息公开申请情况、因政府信息公开工作被申请行政复议与提起行政诉讼情况、政府信息公开工作存在的主要问题及改进情况、其他需要报告的事项等六个部分组成。报告中所列数据统计期限自20</w:t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  <w:lang w:val="en-US" w:eastAsia="zh-CN"/>
        </w:rPr>
        <w:t>20</w:t>
      </w:r>
      <w:r>
        <w:rPr>
          <w:rStyle w:val="8"/>
          <w:rFonts w:ascii="仿宋" w:hAnsi="仿宋" w:eastAsia="仿宋" w:cs="仿宋"/>
          <w:b w:val="0"/>
          <w:bCs/>
          <w:sz w:val="31"/>
          <w:szCs w:val="31"/>
        </w:rPr>
        <w:t>年1月1日始，至20</w:t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  <w:lang w:val="en-US" w:eastAsia="zh-CN"/>
        </w:rPr>
        <w:t>20</w:t>
      </w:r>
      <w:r>
        <w:rPr>
          <w:rStyle w:val="8"/>
          <w:rFonts w:ascii="仿宋" w:hAnsi="仿宋" w:eastAsia="仿宋" w:cs="仿宋"/>
          <w:b w:val="0"/>
          <w:bCs/>
          <w:sz w:val="31"/>
          <w:szCs w:val="31"/>
        </w:rPr>
        <w:t>年12月31日止。报告电子版可从沂源县人民政府门户网站（</w:t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fldChar w:fldCharType="begin"/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instrText xml:space="preserve"> HYPERLINK "http://www.yiyuan.gov.cn" </w:instrText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fldChar w:fldCharType="separate"/>
      </w:r>
      <w:r>
        <w:rPr>
          <w:rStyle w:val="9"/>
          <w:rFonts w:hint="eastAsia" w:ascii="仿宋" w:hAnsi="仿宋" w:eastAsia="仿宋" w:cs="仿宋"/>
          <w:b w:val="0"/>
          <w:bCs/>
          <w:sz w:val="31"/>
          <w:szCs w:val="31"/>
        </w:rPr>
        <w:t>www.yiyuan.gov.cn</w:t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fldChar w:fldCharType="end"/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）下载。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</w:rPr>
      </w:pP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 xml:space="preserve">    </w:t>
      </w:r>
      <w:r>
        <w:rPr>
          <w:rStyle w:val="8"/>
          <w:rFonts w:ascii="黑体" w:hAnsi="宋体" w:eastAsia="黑体" w:cs="黑体"/>
          <w:b w:val="0"/>
          <w:bCs/>
          <w:sz w:val="31"/>
          <w:szCs w:val="31"/>
        </w:rPr>
        <w:t>一、总体情况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</w:pP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 xml:space="preserve">    </w:t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  <w:lang w:val="en-US" w:eastAsia="zh-CN"/>
        </w:rPr>
        <w:t>2020</w:t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年，县融媒体中心按照县委县政府的总体部署和工作要求，深入贯彻实施《中华人民共和国政府信息公开条例》，强化各项工作措施，及时向社会公开，扎实推进政府信息公开工作，有效保障了公民的知情权、参与权和监督权。   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10" w:firstLineChars="100"/>
        <w:textAlignment w:val="auto"/>
        <w:rPr>
          <w:b w:val="0"/>
          <w:bCs/>
        </w:rPr>
      </w:pP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（一）主动公开内容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20" w:firstLineChars="200"/>
        <w:textAlignment w:val="auto"/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</w:pP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做好机构职能信息公开。按照要求，对机构概况和领导分工等信息进行公开，并根据变化随时调整更新。20</w:t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  <w:lang w:val="en-US" w:eastAsia="zh-CN"/>
        </w:rPr>
        <w:t>20</w:t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年，根据机构改革后新组建的司法局的职能和定位，根据“三定”方案，对机构职能和内设机构进行重新公开。适应职责变化，对局领导分工进行及时更新，确保做到职责清晰，分工明确。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" w:firstLineChars="200"/>
        <w:textAlignment w:val="auto"/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</w:pP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82550</wp:posOffset>
            </wp:positionV>
            <wp:extent cx="5271770" cy="5012690"/>
            <wp:effectExtent l="0" t="0" r="5080" b="16510"/>
            <wp:wrapSquare wrapText="bothSides"/>
            <wp:docPr id="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5012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仿宋_GB2312" w:eastAsia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</w:t>
      </w:r>
      <w:r>
        <w:rPr>
          <w:rFonts w:hint="eastAsia" w:ascii="仿宋_GB2312" w:eastAsia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</w:t>
      </w:r>
      <w:r>
        <w:rPr>
          <w:rFonts w:hint="eastAsia" w:ascii="仿宋_GB2312" w:eastAsia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年，我</w:t>
      </w:r>
      <w:r>
        <w:rPr>
          <w:rFonts w:hint="eastAsia" w:ascii="仿宋_GB2312" w:eastAsia="仿宋_GB2312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中心</w:t>
      </w:r>
      <w:r>
        <w:rPr>
          <w:rFonts w:hint="eastAsia" w:ascii="仿宋_GB2312" w:eastAsia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主动公开政府信息</w:t>
      </w:r>
      <w:r>
        <w:rPr>
          <w:rFonts w:hint="eastAsia" w:ascii="仿宋_GB2312" w:eastAsia="仿宋_GB2312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《沂源新闻》</w:t>
      </w:r>
      <w:r>
        <w:rPr>
          <w:rFonts w:hint="eastAsia" w:ascii="仿宋_GB2312" w:eastAsia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365期，沂源通讯140余期，《掌上沂源》微信公众号365期，沂源政府网站时政要闻365期。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8"/>
          <w:rFonts w:hint="eastAsia" w:ascii="仿宋" w:hAnsi="仿宋" w:eastAsia="仿宋" w:cs="仿宋"/>
          <w:b w:val="0"/>
          <w:bCs/>
          <w:sz w:val="31"/>
          <w:szCs w:val="31"/>
          <w:lang w:val="en-US" w:eastAsia="zh-CN"/>
        </w:rPr>
      </w:pP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66675</wp:posOffset>
            </wp:positionH>
            <wp:positionV relativeFrom="paragraph">
              <wp:posOffset>1270</wp:posOffset>
            </wp:positionV>
            <wp:extent cx="5273675" cy="4541520"/>
            <wp:effectExtent l="0" t="0" r="3175" b="11430"/>
            <wp:wrapSquare wrapText="bothSides"/>
            <wp:docPr id="8" name="图片 8" descr="Screenshot_20210204-092733_WeCh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Screenshot_20210204-092733_WeChat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541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   </w:t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  <w:lang w:val="en-US" w:eastAsia="zh-CN"/>
        </w:rPr>
        <w:t xml:space="preserve">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10" w:firstLineChars="100"/>
        <w:textAlignment w:val="auto"/>
        <w:rPr>
          <w:b w:val="0"/>
          <w:bCs/>
        </w:rPr>
      </w:pP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（二）依申请公开情况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</w:rPr>
      </w:pP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 xml:space="preserve">    </w:t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  <w:lang w:val="en-US" w:eastAsia="zh-CN"/>
        </w:rPr>
        <w:t>2020</w:t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年，县融媒体中心没有收到要求公开政府信息的申请。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</w:pP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 xml:space="preserve">   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10" w:firstLineChars="100"/>
        <w:textAlignment w:val="auto"/>
        <w:rPr>
          <w:b w:val="0"/>
          <w:bCs/>
        </w:rPr>
      </w:pP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（三）政府信息管理情况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</w:rPr>
      </w:pP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    根据机构改革后机构设置和职能调整，重新调整充实了政务公开工作领导小组，保证专人负责。按照“谁主管、谁负责”的原则，将信息公开责任落实到各科室具体责任人，完善责任机制。建立政府信息管理制度，丰富政府信息公开形式，增强了工作的透明度，在全社会树立了良好的部门形象。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</w:rPr>
      </w:pP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    （四）政府信息公开平台、机构建设和人员情况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</w:rPr>
      </w:pPr>
      <w: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35560</wp:posOffset>
            </wp:positionH>
            <wp:positionV relativeFrom="paragraph">
              <wp:posOffset>1859280</wp:posOffset>
            </wp:positionV>
            <wp:extent cx="5271135" cy="4236085"/>
            <wp:effectExtent l="0" t="0" r="5715" b="12065"/>
            <wp:wrapTight wrapText="bothSides">
              <wp:wrapPolygon>
                <wp:start x="0" y="0"/>
                <wp:lineTo x="0" y="21467"/>
                <wp:lineTo x="21545" y="21467"/>
                <wp:lineTo x="21545" y="0"/>
                <wp:lineTo x="0" y="0"/>
              </wp:wrapPolygon>
            </wp:wrapTight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4236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    健全完善政府信息公开工作机制，成立了以中心主要领导任组长，分管领导任副组长，各科室负责人为成员的信息公开领导小组，确定中心办公室为具体承办科室，负责对全中心的政府信息进行审核、统计以及向社会公开，确保信息公开工作扎实开展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</w:pP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 xml:space="preserve">    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</w:rPr>
      </w:pPr>
      <w:bookmarkStart w:id="0" w:name="_GoBack"/>
      <w:bookmarkEnd w:id="0"/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（五）监督保障情况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</w:rPr>
      </w:pP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    严格按照《条例》规定，建立和完善了机关工作管理制度和主动公开、依申请公开、保密审查、评议考核等相关工作制度以及信息发布的保密审查和程序，从工作程序到岗位责任，做出了明确规定，较好地规范了工作程序和依法行政行为，提高了工作效率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b w:val="0"/>
          <w:bCs/>
        </w:rPr>
      </w:pP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    （六）建议提案办理结果公开情况</w:t>
      </w:r>
    </w:p>
    <w:p>
      <w:pPr>
        <w:pStyle w:val="5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D0D0D" w:themeColor="text1" w:themeTint="F2"/>
          <w:sz w:val="32"/>
          <w:szCs w:val="32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Style w:val="8"/>
          <w:rFonts w:hint="eastAsia" w:ascii="仿宋" w:hAnsi="仿宋" w:eastAsia="仿宋" w:cs="仿宋"/>
          <w:b w:val="0"/>
          <w:bCs/>
          <w:sz w:val="31"/>
          <w:szCs w:val="31"/>
        </w:rPr>
        <w:t>    无 </w:t>
      </w:r>
    </w:p>
    <w:p>
      <w:pPr>
        <w:pStyle w:val="5"/>
        <w:widowControl/>
        <w:shd w:val="clear" w:color="auto" w:fill="FFFFFF"/>
        <w:spacing w:beforeAutospacing="0" w:after="240" w:afterAutospacing="0"/>
        <w:ind w:firstLine="640"/>
        <w:jc w:val="both"/>
        <w:rPr>
          <w:rFonts w:ascii="黑体" w:hAnsi="黑体" w:eastAsia="黑体" w:cs="黑体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color w:val="0D0D0D" w:themeColor="text1" w:themeTint="F2"/>
          <w:sz w:val="32"/>
          <w:szCs w:val="32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二、主动公开政府信息情况</w:t>
      </w:r>
    </w:p>
    <w:tbl>
      <w:tblPr>
        <w:tblStyle w:val="6"/>
        <w:tblW w:w="8708" w:type="dxa"/>
        <w:jc w:val="center"/>
        <w:shd w:val="clear" w:color="auto" w:fill="FFFFFF" w:themeFill="background1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073"/>
        <w:gridCol w:w="17"/>
        <w:gridCol w:w="2095"/>
        <w:gridCol w:w="1505"/>
        <w:gridCol w:w="2018"/>
      </w:tblGrid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4" w:hRule="atLeast"/>
          <w:jc w:val="center"/>
        </w:trPr>
        <w:tc>
          <w:tcPr>
            <w:tcW w:w="870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第二十条第（一）项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66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本年新制作数量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本年新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br w:type="textWrapping"/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公开数量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对外公开</w:t>
            </w:r>
          </w:p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总数量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规章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　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4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规范性文件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　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第二十条第（五）项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6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上一年项目数量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本年增/减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处理决定数量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行政许可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　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　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其他对外管理服务事项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　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　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第二十条第（六）项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上一年项目数量</w:t>
            </w:r>
          </w:p>
        </w:tc>
        <w:tc>
          <w:tcPr>
            <w:tcW w:w="15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本年增/减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处理决定数量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行政处罚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　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　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9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行政强制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15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　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201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　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4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第二十条第（八）项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7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信息内容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上一年项目数量</w:t>
            </w:r>
          </w:p>
        </w:tc>
        <w:tc>
          <w:tcPr>
            <w:tcW w:w="352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本年增/减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  <w:jc w:val="center"/>
        </w:trPr>
        <w:tc>
          <w:tcPr>
            <w:tcW w:w="3073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行政事业性收费</w:t>
            </w:r>
          </w:p>
        </w:tc>
        <w:tc>
          <w:tcPr>
            <w:tcW w:w="211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　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 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  <w:jc w:val="center"/>
        </w:trPr>
        <w:tc>
          <w:tcPr>
            <w:tcW w:w="8708" w:type="dxa"/>
            <w:gridSpan w:val="5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第二十条第（九）项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7" w:hRule="atLeast"/>
          <w:jc w:val="center"/>
        </w:trPr>
        <w:tc>
          <w:tcPr>
            <w:tcW w:w="309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信息内容</w:t>
            </w:r>
          </w:p>
        </w:tc>
        <w:tc>
          <w:tcPr>
            <w:tcW w:w="2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采购项目数量</w:t>
            </w:r>
          </w:p>
        </w:tc>
        <w:tc>
          <w:tcPr>
            <w:tcW w:w="352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采购总金额</w:t>
            </w:r>
          </w:p>
        </w:tc>
      </w:tr>
      <w:tr>
        <w:tblPrEx>
          <w:shd w:val="clear" w:color="auto" w:fill="FFFFFF" w:themeFill="background1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  <w:jc w:val="center"/>
        </w:trPr>
        <w:tc>
          <w:tcPr>
            <w:tcW w:w="3090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left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政府集中采购</w:t>
            </w:r>
          </w:p>
        </w:tc>
        <w:tc>
          <w:tcPr>
            <w:tcW w:w="209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　</w:t>
            </w:r>
          </w:p>
        </w:tc>
        <w:tc>
          <w:tcPr>
            <w:tcW w:w="3523" w:type="dxa"/>
            <w:gridSpan w:val="2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FFFFFF" w:themeFill="background1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Theme="minorEastAsia" w:hAnsiTheme="minorEastAsia" w:cstheme="minorEastAsia"/>
                <w:color w:val="0D0D0D" w:themeColor="text1" w:themeTint="F2"/>
                <w:kern w:val="0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</w:tbl>
    <w:p>
      <w:pPr>
        <w:pStyle w:val="5"/>
        <w:widowControl/>
        <w:shd w:val="clear" w:color="auto" w:fill="FFFFFF"/>
        <w:spacing w:beforeAutospacing="0" w:afterAutospacing="0"/>
        <w:ind w:firstLine="420"/>
        <w:jc w:val="both"/>
        <w:rPr>
          <w:rFonts w:ascii="宋体" w:hAnsi="宋体" w:eastAsia="宋体" w:cs="宋体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5"/>
        <w:widowControl/>
        <w:shd w:val="clear" w:color="auto" w:fill="FFFFFF"/>
        <w:spacing w:beforeAutospacing="0" w:after="240" w:afterAutospacing="0"/>
        <w:ind w:left="-199" w:leftChars="-95" w:firstLine="620"/>
        <w:jc w:val="both"/>
        <w:rPr>
          <w:rFonts w:ascii="黑体" w:hAnsi="黑体" w:eastAsia="黑体" w:cs="黑体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黑体"/>
          <w:b/>
          <w:color w:val="0D0D0D" w:themeColor="text1" w:themeTint="F2"/>
          <w:sz w:val="32"/>
          <w:szCs w:val="32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三、收到和处理政府信息公开申请情况</w:t>
      </w: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25"/>
        <w:gridCol w:w="1418"/>
        <w:gridCol w:w="2835"/>
        <w:gridCol w:w="850"/>
        <w:gridCol w:w="567"/>
        <w:gridCol w:w="567"/>
        <w:gridCol w:w="567"/>
        <w:gridCol w:w="567"/>
        <w:gridCol w:w="540"/>
        <w:gridCol w:w="63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atLeast"/>
          <w:jc w:val="center"/>
        </w:trPr>
        <w:tc>
          <w:tcPr>
            <w:tcW w:w="4778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（本列数据的勾稽关系为：第一项加第二项之和，</w:t>
            </w:r>
          </w:p>
          <w:p>
            <w:pPr>
              <w:widowControl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等于第三项加第四项之和）</w:t>
            </w:r>
          </w:p>
        </w:tc>
        <w:tc>
          <w:tcPr>
            <w:tcW w:w="4293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477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5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自然人</w:t>
            </w:r>
          </w:p>
        </w:tc>
        <w:tc>
          <w:tcPr>
            <w:tcW w:w="2808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法人或其他组织</w:t>
            </w:r>
          </w:p>
        </w:tc>
        <w:tc>
          <w:tcPr>
            <w:tcW w:w="635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7" w:hRule="atLeast"/>
          <w:jc w:val="center"/>
        </w:trPr>
        <w:tc>
          <w:tcPr>
            <w:tcW w:w="4778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85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商业企业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科研机构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7" w:leftChars="-51" w:right="-107" w:rightChars="-51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社会公益组织</w:t>
            </w:r>
          </w:p>
        </w:tc>
        <w:tc>
          <w:tcPr>
            <w:tcW w:w="56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ind w:left="-106" w:leftChars="-51" w:right="-107" w:rightChars="-51" w:hanging="1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法律服务机构</w:t>
            </w:r>
          </w:p>
        </w:tc>
        <w:tc>
          <w:tcPr>
            <w:tcW w:w="54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60" w:lineRule="exact"/>
              <w:ind w:left="-63" w:leftChars="-30" w:right="-134" w:rightChars="-64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其他</w:t>
            </w:r>
          </w:p>
        </w:tc>
        <w:tc>
          <w:tcPr>
            <w:tcW w:w="635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一、本年新收政府信息公开申请数量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二、上年结转政府信息公开申请数量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hint="eastAsia" w:eastAsiaTheme="minor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三、本年度办理结果</w:t>
            </w: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（一）予以公开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（二）部分公开（区分处理的，只计这一情形，不计其他情形）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（三）不予公开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1.属于国家秘密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2.其他法律行政法规禁止公开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3.危及“三安全一稳定”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4.保护第三方合法权益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5.属于三类内部事务信息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6.属于四类过程性信息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7.属于行政执法案卷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8.属于行政查询事项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（四）无法提供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1.本机关不掌握相关政府信息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2.没有现成信息需要另行制作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ind w:left="-107" w:leftChars="-51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3.补正后申请内容仍不明确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ind w:left="-107" w:leftChars="-51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（五）不予处理</w:t>
            </w: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1.信访举报投诉类申请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rFonts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2.重复申请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3.要求提供公开出版物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4.无正当理由大量反复申请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1418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spacing w:line="200" w:lineRule="exact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5.要求行政机关确认或重新</w:t>
            </w:r>
          </w:p>
          <w:p>
            <w:pPr>
              <w:widowControl/>
              <w:spacing w:line="300" w:lineRule="exact"/>
              <w:ind w:firstLine="200" w:firstLineChars="100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出具已获取信息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（六）其他处理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exact"/>
          <w:jc w:val="center"/>
        </w:trPr>
        <w:tc>
          <w:tcPr>
            <w:tcW w:w="52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425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200" w:lineRule="exact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（七）总计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778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四、结转下年度继续办理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after="180"/>
              <w:jc w:val="center"/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/>
                <w:color w:val="0D0D0D" w:themeColor="text1" w:themeTint="F2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</w:tbl>
    <w:p>
      <w:pPr>
        <w:pStyle w:val="5"/>
        <w:widowControl/>
        <w:shd w:val="clear" w:color="auto" w:fill="FFFFFF"/>
        <w:spacing w:beforeAutospacing="0" w:afterAutospacing="0"/>
        <w:ind w:firstLine="420"/>
        <w:jc w:val="both"/>
        <w:rPr>
          <w:rFonts w:ascii="宋体" w:hAnsi="宋体" w:eastAsia="宋体" w:cs="宋体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pStyle w:val="5"/>
        <w:widowControl/>
        <w:shd w:val="clear" w:color="auto" w:fill="FFFFFF"/>
        <w:spacing w:beforeAutospacing="0" w:afterAutospacing="0"/>
        <w:ind w:firstLine="420"/>
        <w:jc w:val="both"/>
        <w:rPr>
          <w:rFonts w:ascii="黑体" w:hAnsi="黑体" w:eastAsia="黑体" w:cs="宋体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宋体"/>
          <w:color w:val="0D0D0D" w:themeColor="text1" w:themeTint="F2"/>
          <w:sz w:val="32"/>
          <w:szCs w:val="32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四、政府信息公开行政复议、行政诉讼情况</w:t>
      </w:r>
    </w:p>
    <w:p>
      <w:pPr>
        <w:pStyle w:val="5"/>
        <w:widowControl/>
        <w:shd w:val="clear" w:color="auto" w:fill="FFFFFF"/>
        <w:spacing w:beforeAutospacing="0" w:afterAutospacing="0"/>
        <w:ind w:firstLine="420"/>
        <w:jc w:val="both"/>
        <w:rPr>
          <w:rFonts w:ascii="宋体" w:hAnsi="宋体" w:eastAsia="宋体" w:cs="宋体"/>
          <w:color w:val="0D0D0D" w:themeColor="text1" w:themeTint="F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tbl>
      <w:tblPr>
        <w:tblStyle w:val="6"/>
        <w:tblW w:w="907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04"/>
        <w:gridCol w:w="604"/>
        <w:gridCol w:w="604"/>
        <w:gridCol w:w="604"/>
        <w:gridCol w:w="658"/>
        <w:gridCol w:w="550"/>
        <w:gridCol w:w="605"/>
        <w:gridCol w:w="605"/>
        <w:gridCol w:w="605"/>
        <w:gridCol w:w="605"/>
        <w:gridCol w:w="605"/>
        <w:gridCol w:w="605"/>
        <w:gridCol w:w="605"/>
        <w:gridCol w:w="606"/>
        <w:gridCol w:w="606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  <w:jc w:val="center"/>
        </w:trPr>
        <w:tc>
          <w:tcPr>
            <w:tcW w:w="3074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行政复议</w:t>
            </w:r>
          </w:p>
        </w:tc>
        <w:tc>
          <w:tcPr>
            <w:tcW w:w="5997" w:type="dxa"/>
            <w:gridSpan w:val="10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7" w:hRule="atLeast"/>
          <w:jc w:val="center"/>
        </w:trPr>
        <w:tc>
          <w:tcPr>
            <w:tcW w:w="604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49" w:leftChars="-71" w:right="-170" w:rightChars="-81"/>
              <w:jc w:val="center"/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结果</w:t>
            </w:r>
          </w:p>
          <w:p>
            <w:pPr>
              <w:widowControl/>
              <w:ind w:left="-149" w:leftChars="-71" w:right="-170" w:rightChars="-81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维持</w:t>
            </w:r>
          </w:p>
        </w:tc>
        <w:tc>
          <w:tcPr>
            <w:tcW w:w="604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43" w:leftChars="-21" w:right="-132" w:rightChars="-63" w:hanging="1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结果纠正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2" w:leftChars="-39" w:right="-97" w:rightChars="-46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其他结果</w:t>
            </w:r>
          </w:p>
        </w:tc>
        <w:tc>
          <w:tcPr>
            <w:tcW w:w="604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18" w:leftChars="-56" w:right="-118" w:rightChars="-56"/>
              <w:jc w:val="center"/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尚未</w:t>
            </w:r>
          </w:p>
          <w:p>
            <w:pPr>
              <w:widowControl/>
              <w:ind w:left="-118" w:leftChars="-56" w:right="-118" w:rightChars="-56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审结</w:t>
            </w:r>
          </w:p>
        </w:tc>
        <w:tc>
          <w:tcPr>
            <w:tcW w:w="658" w:type="dxa"/>
            <w:vMerge w:val="restar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20" w:lineRule="exact"/>
              <w:jc w:val="center"/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总</w:t>
            </w:r>
          </w:p>
          <w:p>
            <w:pPr>
              <w:widowControl/>
              <w:spacing w:line="320" w:lineRule="exact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计</w:t>
            </w:r>
          </w:p>
        </w:tc>
        <w:tc>
          <w:tcPr>
            <w:tcW w:w="297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未经复议直接起诉</w:t>
            </w:r>
          </w:p>
        </w:tc>
        <w:tc>
          <w:tcPr>
            <w:tcW w:w="3027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6" w:hRule="atLeast"/>
          <w:jc w:val="center"/>
        </w:trPr>
        <w:tc>
          <w:tcPr>
            <w:tcW w:w="604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604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658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rPr>
                <w:rFonts w:ascii="宋体"/>
                <w:color w:val="0D0D0D" w:themeColor="text1" w:themeTint="F2"/>
                <w:sz w:val="24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05" w:leftChars="-50" w:right="-126" w:rightChars="-60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86" w:leftChars="-41" w:right="-88" w:rightChars="-42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结果纠正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26" w:leftChars="-60" w:right="-136" w:rightChars="-65"/>
              <w:jc w:val="center"/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其他</w:t>
            </w:r>
          </w:p>
          <w:p>
            <w:pPr>
              <w:widowControl/>
              <w:ind w:left="-126" w:leftChars="-60" w:right="-136" w:rightChars="-65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结果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64" w:leftChars="-78" w:right="-153" w:rightChars="-73"/>
              <w:jc w:val="center"/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尚未</w:t>
            </w:r>
          </w:p>
          <w:p>
            <w:pPr>
              <w:widowControl/>
              <w:ind w:left="-164" w:leftChars="-78" w:right="-153" w:rightChars="-73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审结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总计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99" w:leftChars="-47" w:right="-78" w:rightChars="-37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结果维持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36" w:leftChars="-65" w:right="-124" w:rightChars="-59"/>
              <w:jc w:val="center"/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结果</w:t>
            </w:r>
          </w:p>
          <w:p>
            <w:pPr>
              <w:widowControl/>
              <w:ind w:left="-136" w:leftChars="-65" w:right="-124" w:rightChars="-59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纠正</w:t>
            </w:r>
          </w:p>
        </w:tc>
        <w:tc>
          <w:tcPr>
            <w:tcW w:w="60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173" w:leftChars="-83" w:right="-134" w:rightChars="-64" w:hanging="1"/>
              <w:jc w:val="center"/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其他</w:t>
            </w:r>
          </w:p>
          <w:p>
            <w:pPr>
              <w:widowControl/>
              <w:ind w:left="-173" w:leftChars="-83" w:right="-134" w:rightChars="-64" w:hanging="1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结果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ind w:left="-67" w:leftChars="-33" w:right="-105" w:rightChars="-50" w:hanging="2" w:hangingChars="1"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尚未审结</w:t>
            </w:r>
          </w:p>
        </w:tc>
        <w:tc>
          <w:tcPr>
            <w:tcW w:w="60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jc w:val="center"/>
              <w:rPr>
                <w:color w:val="0D0D0D" w:themeColor="text1" w:themeTint="F2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0D0D0D" w:themeColor="text1" w:themeTint="F2"/>
                <w:kern w:val="0"/>
                <w:sz w:val="20"/>
                <w:szCs w:val="20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04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04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58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55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0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jc w:val="center"/>
              <w:rPr>
                <w:rFonts w:hint="eastAsia" w:ascii="宋体" w:eastAsiaTheme="minorEastAsia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</w:pPr>
            <w:r>
              <w:rPr>
                <w:rFonts w:hint="eastAsia" w:ascii="宋体"/>
                <w:color w:val="0D0D0D" w:themeColor="text1" w:themeTint="F2"/>
                <w:sz w:val="24"/>
                <w:lang w:val="en-US" w:eastAsia="zh-CN"/>
                <w14:textFill>
                  <w14:solidFill>
                    <w14:schemeClr w14:val="tx1">
                      <w14:lumMod w14:val="95000"/>
                      <w14:lumOff w14:val="5000"/>
                    </w14:schemeClr>
                  </w14:solidFill>
                </w14:textFill>
              </w:rPr>
              <w:t>0</w:t>
            </w:r>
          </w:p>
        </w:tc>
      </w:tr>
    </w:tbl>
    <w:p>
      <w:pPr>
        <w:spacing w:line="360" w:lineRule="auto"/>
        <w:ind w:firstLine="640" w:firstLineChars="200"/>
        <w:rPr>
          <w:rFonts w:hint="eastAsia" w:ascii="黑体" w:eastAsia="黑体"/>
          <w:b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hAnsi="黑体" w:eastAsia="黑体" w:cs="宋体"/>
          <w:color w:val="0D0D0D" w:themeColor="text1" w:themeTint="F2"/>
          <w:sz w:val="32"/>
          <w:szCs w:val="32"/>
          <w:shd w:val="clear" w:color="auto" w:fill="FFFFFF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五、存在的主要问题及改进情况</w:t>
      </w:r>
    </w:p>
    <w:p>
      <w:pPr>
        <w:spacing w:line="360" w:lineRule="auto"/>
        <w:ind w:firstLine="640" w:firstLineChars="200"/>
        <w:rPr>
          <w:rFonts w:hint="eastAsia" w:ascii="仿宋_GB2312" w:eastAsia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eastAsia="仿宋_GB2312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我中心</w:t>
      </w:r>
      <w:r>
        <w:rPr>
          <w:rFonts w:hint="eastAsia" w:ascii="仿宋_GB2312" w:eastAsia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政府信息公开工作虽然取得了一定的成绩，但也存在一些问题和不足，主要是信息公开的内容有待进一步完善，信息更新还不够及时。为进一步做好我</w:t>
      </w:r>
      <w:r>
        <w:rPr>
          <w:rFonts w:hint="eastAsia" w:ascii="仿宋_GB2312" w:eastAsia="仿宋_GB2312"/>
          <w:color w:val="0D0D0D" w:themeColor="text1" w:themeTint="F2"/>
          <w:sz w:val="32"/>
          <w:szCs w:val="32"/>
          <w:lang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中心</w:t>
      </w:r>
      <w:r>
        <w:rPr>
          <w:rFonts w:hint="eastAsia" w:ascii="仿宋_GB2312" w:eastAsia="仿宋_GB2312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信息公开工作，我们在今后的信息公开工作中将进一步统一认识，努力规范工作流程，进一步梳理局机关所掌握的政府信息，及时提供，定期维护，确保政府信息公开工作能按照既定的工作流程有效运作，方便公众查询。同时，我们还将进一步对政府信息公开目录进行补充完善，认真梳理，逐步扩大公开内容，保证公开信息的完整性和准确性。</w:t>
      </w:r>
    </w:p>
    <w:p>
      <w:pPr>
        <w:pStyle w:val="5"/>
        <w:widowControl/>
        <w:shd w:val="clear" w:color="auto" w:fill="FFFFFF"/>
        <w:spacing w:beforeAutospacing="0" w:afterAutospacing="0"/>
        <w:ind w:firstLine="420"/>
        <w:jc w:val="both"/>
        <w:rPr>
          <w:rFonts w:ascii="黑体" w:hAnsi="黑体" w:eastAsia="黑体" w:cs="宋体"/>
          <w:color w:val="0D0D0D" w:themeColor="text1" w:themeTint="F2"/>
          <w:sz w:val="32"/>
          <w:szCs w:val="32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360" w:lineRule="auto"/>
        <w:ind w:firstLine="640" w:firstLineChars="200"/>
        <w:rPr>
          <w:rFonts w:hint="eastAsia" w:ascii="仿宋_GB2312" w:eastAsia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360" w:lineRule="auto"/>
        <w:ind w:firstLine="640" w:firstLineChars="200"/>
        <w:rPr>
          <w:rFonts w:hint="eastAsia" w:ascii="仿宋_GB2312" w:eastAsia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</w:p>
    <w:p>
      <w:pPr>
        <w:spacing w:line="360" w:lineRule="auto"/>
        <w:ind w:firstLine="5440" w:firstLineChars="1700"/>
        <w:rPr>
          <w:rFonts w:hint="default" w:ascii="仿宋_GB2312" w:eastAsia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仿宋_GB2312" w:eastAsia="仿宋_GB2312"/>
          <w:color w:val="0D0D0D" w:themeColor="text1" w:themeTint="F2"/>
          <w:sz w:val="32"/>
          <w:szCs w:val="32"/>
          <w:lang w:val="en-US" w:eastAsia="zh-CN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2021年1月28日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14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14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4105D4"/>
    <w:rsid w:val="000D1159"/>
    <w:rsid w:val="002C5B52"/>
    <w:rsid w:val="003F475E"/>
    <w:rsid w:val="00476ACF"/>
    <w:rsid w:val="00901FD7"/>
    <w:rsid w:val="009844C0"/>
    <w:rsid w:val="00AD3CA8"/>
    <w:rsid w:val="00B121CD"/>
    <w:rsid w:val="00C26EFC"/>
    <w:rsid w:val="0A943485"/>
    <w:rsid w:val="0B8978B0"/>
    <w:rsid w:val="0EED657A"/>
    <w:rsid w:val="1F075C97"/>
    <w:rsid w:val="2BF91DF0"/>
    <w:rsid w:val="2CD973F4"/>
    <w:rsid w:val="2E223195"/>
    <w:rsid w:val="37464714"/>
    <w:rsid w:val="40066E40"/>
    <w:rsid w:val="40FB746B"/>
    <w:rsid w:val="4B24395B"/>
    <w:rsid w:val="53471FC6"/>
    <w:rsid w:val="56015F00"/>
    <w:rsid w:val="59002FBB"/>
    <w:rsid w:val="5AF5141F"/>
    <w:rsid w:val="66DD230F"/>
    <w:rsid w:val="727E74A5"/>
    <w:rsid w:val="75007749"/>
    <w:rsid w:val="7B4105D4"/>
    <w:rsid w:val="7FE25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3.pn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876</Words>
  <Characters>4999</Characters>
  <Lines>41</Lines>
  <Paragraphs>11</Paragraphs>
  <TotalTime>10</TotalTime>
  <ScaleCrop>false</ScaleCrop>
  <LinksUpToDate>false</LinksUpToDate>
  <CharactersWithSpaces>5864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2019-12-13T05:37:00Z</dcterms:created>
  <dc:creator>January</dc:creator>
  <cp:lastModifiedBy>热爱！</cp:lastModifiedBy>
  <cp:lastPrinted>2020-01-22T01:21:00Z</cp:lastPrinted>
  <dcterms:modified xsi:type="dcterms:W3CDTF">2021-02-04T01:55:28Z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