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ind w:left="0" w:firstLine="420"/>
        <w:jc w:val="center"/>
      </w:pPr>
      <w:r>
        <w:t> </w:t>
      </w:r>
    </w:p>
    <w:p>
      <w:pPr>
        <w:pStyle w:val="3"/>
        <w:keepNext w:val="0"/>
        <w:keepLines w:val="0"/>
        <w:widowControl/>
        <w:suppressLineNumbers w:val="0"/>
        <w:spacing w:line="26" w:lineRule="atLeast"/>
        <w:ind w:left="0" w:firstLine="420"/>
        <w:jc w:val="center"/>
      </w:pPr>
      <w:r>
        <w:rPr>
          <w:rStyle w:val="6"/>
          <w:rFonts w:ascii="微软雅黑" w:hAnsi="微软雅黑" w:eastAsia="微软雅黑" w:cs="微软雅黑"/>
          <w:sz w:val="36"/>
          <w:szCs w:val="36"/>
        </w:rPr>
        <w:t>沂源县人力资源和社会保障局</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sz w:val="36"/>
          <w:szCs w:val="36"/>
        </w:rPr>
        <w:t>2023年政府信息公开工作年度报</w:t>
      </w:r>
      <w:bookmarkStart w:id="0" w:name="_GoBack"/>
      <w:bookmarkEnd w:id="0"/>
      <w:r>
        <w:rPr>
          <w:rStyle w:val="6"/>
          <w:rFonts w:hint="eastAsia" w:ascii="微软雅黑" w:hAnsi="微软雅黑" w:eastAsia="微软雅黑" w:cs="微软雅黑"/>
          <w:sz w:val="36"/>
          <w:szCs w:val="36"/>
        </w:rPr>
        <w:t>告</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按照《中华人民共和国政府信息公开条例》要求，我局始终把保障和改善民生作为工作的根本出发点和落脚点，认真贯彻落实《中华人民共和国政府信息公开条例》（以下简称《条例》），坚持公开是常态不公开是例外的原则，进一步加强制度建设，畅通公开渠道，加大公开力度，政府信息公开工作取得了新的进展。报告全文由总体情况、主动公开政府信息情况、收到和处理政府信息公开申请情况、因政府信息公开工作被申请行政复议提起行政诉讼情况、政府信息公开工作存在的主要问题及改进情况、其他需要报告的事项等六个部分组成。报告中所列数据统计期限自2023年1月1日始，至2023年12月31日止。报告电子版可从沂源县人民政府门户网站（www.yiyuan.gov.cn）下载。如对本报告有疑问，请联系沂源县人力资源和社会保障局</w:t>
      </w:r>
      <w:r>
        <w:t>（地址：沂源县鲁山路7号；邮政编码：256100；电话：0533—3241046；传真：0533—3241046；邮箱：yyxrsjbgs@zb.shandong.cn）。 </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一、总体情况</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（一）主动公开内容</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按照有关要求及时准确公开我局2023年部门决算、2023年行政审批情况，有关就业补贴、失业保险补贴、职业技能补贴等资金使用以及社会保障、人事人才、劳动关系、就业创业等方面的政府信息。通过门户网站、微信公众号等新媒体平台及时向社会公开2023年度人员招考、职称评审、资金使用、政策调整以及其他需要进行公示公开的信息，全年局网站公开各类信息378条；“沂源人社”微信公众号428条。</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rPr>
        <w:t>（二）依申请公开情况</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2023年，我局收到申请公开信息1次，依申请为西南财经大学学生要求提供我县城乡居民养老保险实施情况，截至2023年该地区城乡居民养老保险的缴费档次、对应补贴、基础养老金以及缴费档次与基础养老金的实施时间，为其论文的撰写提供了详实的数据支撑。</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rPr>
        <w:t>（三）政府信息管理情况</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我局对政府信息公开工作高度重视，成立了由主要负责同志任组长，分管领导任副组长，全局各科室负责人为成员的领导小组，明确了由办公室和信息中心具体负责政府信息公开工作，设定专人负责报送政府信息和工作信息，严格执行主要领导、分管领导、科室负责人审核的信息发布三级审核制度，确保公开工作做到内容准确、及时高效，群众满意。</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rPr>
        <w:t>（四）政策解读和回应关切</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在推进政务公开工作过程中，我局积极通过多渠道开展政务公开工作，不断深化人社信息公开工作，主动接受人民群众的咨询和投诉，并及时反馈问题处理情况。完善政府信息发布途径，利用“沂源人社”微信公众号“政府门户网站”等平台及时发布政府信息，宣传人社政策。</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rPr>
        <w:t>（五）平台建设情况</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rPr>
        <w:t>我局一方面通过沂源县电视台、广播等传统渠道公开政务信息，另一方面安排专门科室及人员定期维护门户网站、微信公众号等新媒体平台，及时发布工作动态、权威解读业务政策，通过转发人社部、省人社厅、市人社局等多个官方微信平台权威信息和工作动态，坚持图文并茂，通俗易懂的原则，运用图表、图片、视频等可视化方式，增强人社政策解读效果。</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rPr>
        <w:t>（六）监督保障情况</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及时更新沂源县人力资源和社会保障局信息公开制度，切实加强了政府信息公开的指导协调和督促检查，确保政府信息公开扎实、规范、高效开展，以实际行动做到让政府放心、让群众满意。</w:t>
      </w:r>
    </w:p>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二、主动公开政府信息情况</w:t>
      </w:r>
    </w:p>
    <w:p>
      <w:pPr>
        <w:pStyle w:val="3"/>
        <w:keepNext w:val="0"/>
        <w:keepLines w:val="0"/>
        <w:widowControl/>
        <w:suppressLineNumbers w:val="0"/>
        <w:spacing w:line="26" w:lineRule="atLeast"/>
        <w:ind w:left="0" w:firstLine="420"/>
      </w:pPr>
      <w:r>
        <w:t> </w:t>
      </w: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15"/>
        <w:gridCol w:w="2215"/>
        <w:gridCol w:w="2215"/>
        <w:gridCol w:w="2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0" w:type="dxa"/>
          <w:jc w:val="center"/>
        </w:trPr>
        <w:tc>
          <w:tcPr>
            <w:tcW w:w="9735" w:type="dxa"/>
            <w:gridSpan w:val="4"/>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43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信息内容</w:t>
            </w:r>
          </w:p>
        </w:tc>
        <w:tc>
          <w:tcPr>
            <w:tcW w:w="243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本年制发件数</w:t>
            </w:r>
          </w:p>
        </w:tc>
        <w:tc>
          <w:tcPr>
            <w:tcW w:w="243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本年废止件数</w:t>
            </w:r>
          </w:p>
        </w:tc>
        <w:tc>
          <w:tcPr>
            <w:tcW w:w="243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430"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规章</w:t>
            </w:r>
          </w:p>
        </w:tc>
        <w:tc>
          <w:tcPr>
            <w:tcW w:w="243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43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43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430"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行政规范性文件</w:t>
            </w:r>
          </w:p>
        </w:tc>
        <w:tc>
          <w:tcPr>
            <w:tcW w:w="243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43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43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9735" w:type="dxa"/>
            <w:gridSpan w:val="4"/>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43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信息内容</w:t>
            </w:r>
          </w:p>
        </w:tc>
        <w:tc>
          <w:tcPr>
            <w:tcW w:w="7305" w:type="dxa"/>
            <w:gridSpan w:val="3"/>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430"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行政许可</w:t>
            </w:r>
          </w:p>
        </w:tc>
        <w:tc>
          <w:tcPr>
            <w:tcW w:w="7305" w:type="dxa"/>
            <w:gridSpan w:val="3"/>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9735" w:type="dxa"/>
            <w:gridSpan w:val="4"/>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43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信息内容</w:t>
            </w:r>
          </w:p>
        </w:tc>
        <w:tc>
          <w:tcPr>
            <w:tcW w:w="7305" w:type="dxa"/>
            <w:gridSpan w:val="3"/>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430"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行政处罚</w:t>
            </w:r>
          </w:p>
        </w:tc>
        <w:tc>
          <w:tcPr>
            <w:tcW w:w="7305" w:type="dxa"/>
            <w:gridSpan w:val="3"/>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430"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行政强制</w:t>
            </w:r>
          </w:p>
        </w:tc>
        <w:tc>
          <w:tcPr>
            <w:tcW w:w="7305" w:type="dxa"/>
            <w:gridSpan w:val="3"/>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9735" w:type="dxa"/>
            <w:gridSpan w:val="4"/>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430"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信息内容</w:t>
            </w:r>
          </w:p>
        </w:tc>
        <w:tc>
          <w:tcPr>
            <w:tcW w:w="7305" w:type="dxa"/>
            <w:gridSpan w:val="3"/>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430"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行政事业性收费</w:t>
            </w:r>
          </w:p>
        </w:tc>
        <w:tc>
          <w:tcPr>
            <w:tcW w:w="7305" w:type="dxa"/>
            <w:gridSpan w:val="3"/>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bl>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三、收到和处理政府信息公开申请情况</w:t>
      </w:r>
    </w:p>
    <w:p>
      <w:pPr>
        <w:pStyle w:val="3"/>
        <w:keepNext w:val="0"/>
        <w:keepLines w:val="0"/>
        <w:widowControl/>
        <w:suppressLineNumbers w:val="0"/>
        <w:spacing w:line="26" w:lineRule="atLeast"/>
        <w:ind w:left="0" w:firstLine="420"/>
      </w:pPr>
      <w:r>
        <w:t> </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60"/>
        <w:gridCol w:w="1200"/>
        <w:gridCol w:w="1680"/>
        <w:gridCol w:w="720"/>
        <w:gridCol w:w="720"/>
        <w:gridCol w:w="720"/>
        <w:gridCol w:w="720"/>
        <w:gridCol w:w="720"/>
        <w:gridCol w:w="726"/>
        <w:gridCol w:w="7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920" w:type="dxa"/>
            <w:gridSpan w:val="3"/>
            <w:vMerge w:val="restart"/>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（本列数据的勾稽关系为：第一项加第二项之和，等于第三项加第四项之和）</w:t>
            </w:r>
          </w:p>
        </w:tc>
        <w:tc>
          <w:tcPr>
            <w:tcW w:w="4815" w:type="dxa"/>
            <w:gridSpan w:val="7"/>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920" w:type="dxa"/>
            <w:gridSpan w:val="3"/>
            <w:vMerge w:val="continue"/>
            <w:shd w:val="clear"/>
            <w:vAlign w:val="center"/>
          </w:tcPr>
          <w:p>
            <w:pPr>
              <w:rPr>
                <w:rFonts w:hint="eastAsia" w:ascii="宋体"/>
                <w:sz w:val="24"/>
                <w:szCs w:val="24"/>
              </w:rPr>
            </w:pPr>
          </w:p>
        </w:tc>
        <w:tc>
          <w:tcPr>
            <w:tcW w:w="675" w:type="dxa"/>
            <w:vMerge w:val="restar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自然人</w:t>
            </w:r>
          </w:p>
        </w:tc>
        <w:tc>
          <w:tcPr>
            <w:tcW w:w="3435" w:type="dxa"/>
            <w:gridSpan w:val="5"/>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法人或其他组织</w:t>
            </w:r>
          </w:p>
        </w:tc>
        <w:tc>
          <w:tcPr>
            <w:tcW w:w="675" w:type="dxa"/>
            <w:vMerge w:val="restar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920" w:type="dxa"/>
            <w:gridSpan w:val="3"/>
            <w:vMerge w:val="continue"/>
            <w:shd w:val="clear"/>
            <w:vAlign w:val="center"/>
          </w:tcPr>
          <w:p>
            <w:pPr>
              <w:rPr>
                <w:rFonts w:hint="eastAsia" w:ascii="宋体"/>
                <w:sz w:val="24"/>
                <w:szCs w:val="24"/>
              </w:rPr>
            </w:pPr>
          </w:p>
        </w:tc>
        <w:tc>
          <w:tcPr>
            <w:tcW w:w="675" w:type="dxa"/>
            <w:vMerge w:val="continue"/>
            <w:shd w:val="clear"/>
            <w:vAlign w:val="center"/>
          </w:tcPr>
          <w:p>
            <w:pPr>
              <w:rPr>
                <w:rFonts w:hint="eastAsia" w:ascii="宋体"/>
                <w:sz w:val="24"/>
                <w:szCs w:val="24"/>
              </w:rPr>
            </w:pP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商业</w:t>
            </w:r>
          </w:p>
          <w:p>
            <w:pPr>
              <w:pStyle w:val="3"/>
              <w:keepNext w:val="0"/>
              <w:keepLines w:val="0"/>
              <w:widowControl/>
              <w:suppressLineNumbers w:val="0"/>
              <w:ind w:left="0" w:firstLine="420"/>
              <w:jc w:val="center"/>
            </w:pPr>
            <w:r>
              <w:rPr>
                <w:rFonts w:hint="eastAsia" w:ascii="微软雅黑" w:hAnsi="微软雅黑" w:eastAsia="微软雅黑" w:cs="微软雅黑"/>
              </w:rPr>
              <w:t>企业</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科研</w:t>
            </w:r>
          </w:p>
          <w:p>
            <w:pPr>
              <w:pStyle w:val="3"/>
              <w:keepNext w:val="0"/>
              <w:keepLines w:val="0"/>
              <w:widowControl/>
              <w:suppressLineNumbers w:val="0"/>
              <w:ind w:left="0" w:firstLine="420"/>
              <w:jc w:val="center"/>
            </w:pPr>
            <w:r>
              <w:rPr>
                <w:rFonts w:hint="eastAsia" w:ascii="微软雅黑" w:hAnsi="微软雅黑" w:eastAsia="微软雅黑" w:cs="微软雅黑"/>
              </w:rPr>
              <w:t>机构</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社会公益组织</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法律服务机构</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其他</w:t>
            </w:r>
          </w:p>
        </w:tc>
        <w:tc>
          <w:tcPr>
            <w:tcW w:w="675" w:type="dxa"/>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920" w:type="dxa"/>
            <w:gridSpan w:val="3"/>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一、本年新收政府信息公开申请数量</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920" w:type="dxa"/>
            <w:gridSpan w:val="3"/>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二、上年结转政府信息公开申请数量</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restart"/>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三、本年度办理结果</w:t>
            </w:r>
          </w:p>
        </w:tc>
        <w:tc>
          <w:tcPr>
            <w:tcW w:w="4155" w:type="dxa"/>
            <w:gridSpan w:val="2"/>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（一）予以公开</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4155" w:type="dxa"/>
            <w:gridSpan w:val="2"/>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（二）部分公开（区分处理的，只计这一情形，不计其他情形）</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restart"/>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（三）不予公开</w:t>
            </w: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1.属于国家秘密</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2.其他法律行政法规禁止公开</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3.危及“三安全一稳定”</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4.保护第三方合法权益</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5.属于三类内部事务信息</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6.属于四类过程性信息</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7.属于行政执法案卷</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8.属于行政查询事项</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restart"/>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（四）无法提供</w:t>
            </w: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1.本机关不掌握相关政府信息</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2.没有现成信息需要另行制作</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3.补正后申请内容仍不明确</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restart"/>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（五）不予处理</w:t>
            </w: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1.信访举报投诉类申请</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2.重复申请</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3.要求提供公开出版物</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top"/>
          </w:tcPr>
          <w:p>
            <w:pPr>
              <w:pStyle w:val="3"/>
              <w:keepNext w:val="0"/>
              <w:keepLines w:val="0"/>
              <w:widowControl/>
              <w:suppressLineNumbers w:val="0"/>
              <w:ind w:left="0" w:firstLine="420"/>
            </w:pPr>
            <w:r>
              <w:rPr>
                <w:rFonts w:hint="eastAsia" w:ascii="微软雅黑" w:hAnsi="微软雅黑" w:eastAsia="微软雅黑" w:cs="微软雅黑"/>
              </w:rPr>
              <w:t>4.无正当理由大量反复申请</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center"/>
          </w:tcPr>
          <w:p>
            <w:pPr>
              <w:pStyle w:val="3"/>
              <w:keepNext w:val="0"/>
              <w:keepLines w:val="0"/>
              <w:widowControl/>
              <w:suppressLineNumbers w:val="0"/>
              <w:ind w:left="0" w:firstLine="420"/>
              <w:jc w:val="both"/>
            </w:pPr>
            <w:r>
              <w:rPr>
                <w:rFonts w:hint="eastAsia" w:ascii="微软雅黑" w:hAnsi="微软雅黑" w:eastAsia="微软雅黑" w:cs="微软雅黑"/>
              </w:rPr>
              <w:t>5.要求行政机关确认或重新出具已获取信息</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restart"/>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（六）其他处理</w:t>
            </w:r>
          </w:p>
        </w:tc>
        <w:tc>
          <w:tcPr>
            <w:tcW w:w="3210" w:type="dxa"/>
            <w:shd w:val="clear"/>
            <w:vAlign w:val="center"/>
          </w:tcPr>
          <w:p>
            <w:pPr>
              <w:pStyle w:val="3"/>
              <w:keepNext w:val="0"/>
              <w:keepLines w:val="0"/>
              <w:widowControl/>
              <w:suppressLineNumbers w:val="0"/>
              <w:ind w:left="0" w:firstLine="420"/>
              <w:jc w:val="both"/>
            </w:pPr>
            <w:r>
              <w:rPr>
                <w:rFonts w:hint="eastAsia" w:ascii="微软雅黑" w:hAnsi="微软雅黑" w:eastAsia="微软雅黑" w:cs="微软雅黑"/>
              </w:rPr>
              <w:t>1.申请人无正当理由逾期不补正、行政机关不再处理其政府信息公开申请</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center"/>
          </w:tcPr>
          <w:p>
            <w:pPr>
              <w:pStyle w:val="3"/>
              <w:keepNext w:val="0"/>
              <w:keepLines w:val="0"/>
              <w:widowControl/>
              <w:suppressLineNumbers w:val="0"/>
              <w:ind w:left="0" w:firstLine="420"/>
              <w:jc w:val="both"/>
            </w:pPr>
            <w:r>
              <w:rPr>
                <w:rFonts w:hint="eastAsia" w:ascii="微软雅黑" w:hAnsi="微软雅黑" w:eastAsia="微软雅黑" w:cs="微软雅黑"/>
              </w:rPr>
              <w:t>2.申请人逾期未按收费通知要求缴纳费用、行政机关不再处理其政府信息公开申请</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930" w:type="dxa"/>
            <w:vMerge w:val="continue"/>
            <w:shd w:val="clear"/>
            <w:vAlign w:val="center"/>
          </w:tcPr>
          <w:p>
            <w:pPr>
              <w:rPr>
                <w:rFonts w:hint="eastAsia" w:ascii="宋体"/>
                <w:sz w:val="24"/>
                <w:szCs w:val="24"/>
              </w:rPr>
            </w:pPr>
          </w:p>
        </w:tc>
        <w:tc>
          <w:tcPr>
            <w:tcW w:w="3210"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3.其他</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65" w:type="dxa"/>
            <w:vMerge w:val="continue"/>
            <w:shd w:val="clear"/>
            <w:vAlign w:val="center"/>
          </w:tcPr>
          <w:p>
            <w:pPr>
              <w:rPr>
                <w:rFonts w:hint="eastAsia" w:ascii="宋体"/>
                <w:sz w:val="24"/>
                <w:szCs w:val="24"/>
              </w:rPr>
            </w:pPr>
          </w:p>
        </w:tc>
        <w:tc>
          <w:tcPr>
            <w:tcW w:w="4155" w:type="dxa"/>
            <w:gridSpan w:val="2"/>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（七）总计</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top"/>
          </w:tcPr>
          <w:p>
            <w:pPr>
              <w:pStyle w:val="3"/>
              <w:keepNext w:val="0"/>
              <w:keepLines w:val="0"/>
              <w:widowControl/>
              <w:suppressLineNumbers w:val="0"/>
              <w:ind w:left="0" w:firstLine="420"/>
              <w:jc w:val="center"/>
            </w:pPr>
            <w:r>
              <w:rPr>
                <w:rFonts w:hint="eastAsia" w:ascii="微软雅黑" w:hAnsi="微软雅黑" w:eastAsia="微软雅黑" w:cs="微软雅黑"/>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920" w:type="dxa"/>
            <w:gridSpan w:val="3"/>
            <w:shd w:val="clear"/>
            <w:vAlign w:val="center"/>
          </w:tcPr>
          <w:p>
            <w:pPr>
              <w:pStyle w:val="3"/>
              <w:keepNext w:val="0"/>
              <w:keepLines w:val="0"/>
              <w:widowControl/>
              <w:suppressLineNumbers w:val="0"/>
              <w:ind w:left="0" w:firstLine="420"/>
            </w:pPr>
            <w:r>
              <w:rPr>
                <w:rFonts w:hint="eastAsia" w:ascii="微软雅黑" w:hAnsi="微软雅黑" w:eastAsia="微软雅黑" w:cs="微软雅黑"/>
              </w:rPr>
              <w:t>四、结转下年度继续办理</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675" w:type="dxa"/>
            <w:shd w:val="clear"/>
            <w:vAlign w:val="top"/>
          </w:tcPr>
          <w:p>
            <w:pPr>
              <w:pStyle w:val="3"/>
              <w:keepNext w:val="0"/>
              <w:keepLines w:val="0"/>
              <w:widowControl/>
              <w:suppressLineNumbers w:val="0"/>
              <w:ind w:left="0" w:firstLine="420"/>
              <w:jc w:val="both"/>
            </w:pPr>
            <w:r>
              <w:rPr>
                <w:rFonts w:hint="eastAsia" w:ascii="微软雅黑" w:hAnsi="微软雅黑" w:eastAsia="微软雅黑" w:cs="微软雅黑"/>
              </w:rPr>
              <w:t>0</w:t>
            </w:r>
          </w:p>
        </w:tc>
      </w:tr>
    </w:tbl>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四、政府信息公开行政复议、行政诉讼情况</w:t>
      </w:r>
    </w:p>
    <w:p>
      <w:pPr>
        <w:pStyle w:val="3"/>
        <w:keepNext w:val="0"/>
        <w:keepLines w:val="0"/>
        <w:widowControl/>
        <w:suppressLineNumbers w:val="0"/>
        <w:spacing w:line="26" w:lineRule="atLeast"/>
        <w:ind w:left="0" w:firstLine="420"/>
      </w:pPr>
      <w:r>
        <w:t> </w:t>
      </w:r>
    </w:p>
    <w:tbl>
      <w:tblPr>
        <w:tblW w:w="3179"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93"/>
        <w:gridCol w:w="593"/>
        <w:gridCol w:w="593"/>
        <w:gridCol w:w="593"/>
        <w:gridCol w:w="593"/>
        <w:gridCol w:w="593"/>
        <w:gridCol w:w="594"/>
        <w:gridCol w:w="594"/>
        <w:gridCol w:w="594"/>
        <w:gridCol w:w="594"/>
        <w:gridCol w:w="594"/>
        <w:gridCol w:w="594"/>
        <w:gridCol w:w="594"/>
        <w:gridCol w:w="594"/>
        <w:gridCol w:w="5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291" w:type="pct"/>
            <w:gridSpan w:val="5"/>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行政复议</w:t>
            </w:r>
          </w:p>
        </w:tc>
        <w:tc>
          <w:tcPr>
            <w:tcW w:w="2583" w:type="pct"/>
            <w:gridSpan w:val="10"/>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58" w:type="pct"/>
            <w:vMerge w:val="restar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结果维持</w:t>
            </w:r>
          </w:p>
        </w:tc>
        <w:tc>
          <w:tcPr>
            <w:tcW w:w="258" w:type="pct"/>
            <w:vMerge w:val="restar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结果</w:t>
            </w:r>
          </w:p>
          <w:p>
            <w:pPr>
              <w:pStyle w:val="3"/>
              <w:keepNext w:val="0"/>
              <w:keepLines w:val="0"/>
              <w:widowControl/>
              <w:suppressLineNumbers w:val="0"/>
              <w:ind w:left="0" w:firstLine="420"/>
              <w:jc w:val="center"/>
            </w:pPr>
            <w:r>
              <w:rPr>
                <w:rFonts w:hint="eastAsia" w:ascii="微软雅黑" w:hAnsi="微软雅黑" w:eastAsia="微软雅黑" w:cs="微软雅黑"/>
              </w:rPr>
              <w:t>纠正</w:t>
            </w:r>
          </w:p>
        </w:tc>
        <w:tc>
          <w:tcPr>
            <w:tcW w:w="258" w:type="pct"/>
            <w:vMerge w:val="restar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其他</w:t>
            </w:r>
          </w:p>
          <w:p>
            <w:pPr>
              <w:pStyle w:val="3"/>
              <w:keepNext w:val="0"/>
              <w:keepLines w:val="0"/>
              <w:widowControl/>
              <w:suppressLineNumbers w:val="0"/>
              <w:ind w:left="0" w:firstLine="420"/>
              <w:jc w:val="center"/>
            </w:pPr>
            <w:r>
              <w:rPr>
                <w:rFonts w:hint="eastAsia" w:ascii="微软雅黑" w:hAnsi="微软雅黑" w:eastAsia="微软雅黑" w:cs="微软雅黑"/>
              </w:rPr>
              <w:t>结果</w:t>
            </w:r>
          </w:p>
        </w:tc>
        <w:tc>
          <w:tcPr>
            <w:tcW w:w="258" w:type="pct"/>
            <w:vMerge w:val="restar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尚未</w:t>
            </w:r>
          </w:p>
          <w:p>
            <w:pPr>
              <w:pStyle w:val="3"/>
              <w:keepNext w:val="0"/>
              <w:keepLines w:val="0"/>
              <w:widowControl/>
              <w:suppressLineNumbers w:val="0"/>
              <w:ind w:left="0" w:firstLine="420"/>
              <w:jc w:val="center"/>
            </w:pPr>
            <w:r>
              <w:rPr>
                <w:rFonts w:hint="eastAsia" w:ascii="微软雅黑" w:hAnsi="微软雅黑" w:eastAsia="微软雅黑" w:cs="微软雅黑"/>
              </w:rPr>
              <w:t>审结</w:t>
            </w:r>
          </w:p>
        </w:tc>
        <w:tc>
          <w:tcPr>
            <w:tcW w:w="258" w:type="pct"/>
            <w:vMerge w:val="restar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总计</w:t>
            </w:r>
          </w:p>
        </w:tc>
        <w:tc>
          <w:tcPr>
            <w:tcW w:w="1291" w:type="pct"/>
            <w:gridSpan w:val="5"/>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未经复议直接起诉</w:t>
            </w:r>
          </w:p>
        </w:tc>
        <w:tc>
          <w:tcPr>
            <w:tcW w:w="1291" w:type="pct"/>
            <w:gridSpan w:val="5"/>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58" w:type="pct"/>
            <w:vMerge w:val="continue"/>
            <w:shd w:val="clear"/>
            <w:vAlign w:val="center"/>
          </w:tcPr>
          <w:p>
            <w:pPr>
              <w:rPr>
                <w:rFonts w:hint="eastAsia" w:ascii="宋体"/>
                <w:sz w:val="24"/>
                <w:szCs w:val="24"/>
              </w:rPr>
            </w:pPr>
          </w:p>
        </w:tc>
        <w:tc>
          <w:tcPr>
            <w:tcW w:w="258" w:type="pct"/>
            <w:vMerge w:val="continue"/>
            <w:shd w:val="clear"/>
            <w:vAlign w:val="center"/>
          </w:tcPr>
          <w:p>
            <w:pPr>
              <w:rPr>
                <w:rFonts w:hint="eastAsia" w:ascii="宋体"/>
                <w:sz w:val="24"/>
                <w:szCs w:val="24"/>
              </w:rPr>
            </w:pPr>
          </w:p>
        </w:tc>
        <w:tc>
          <w:tcPr>
            <w:tcW w:w="258" w:type="pct"/>
            <w:vMerge w:val="continue"/>
            <w:shd w:val="clear"/>
            <w:vAlign w:val="center"/>
          </w:tcPr>
          <w:p>
            <w:pPr>
              <w:rPr>
                <w:rFonts w:hint="eastAsia" w:ascii="宋体"/>
                <w:sz w:val="24"/>
                <w:szCs w:val="24"/>
              </w:rPr>
            </w:pPr>
          </w:p>
        </w:tc>
        <w:tc>
          <w:tcPr>
            <w:tcW w:w="258" w:type="pct"/>
            <w:vMerge w:val="continue"/>
            <w:shd w:val="clear"/>
            <w:vAlign w:val="center"/>
          </w:tcPr>
          <w:p>
            <w:pPr>
              <w:rPr>
                <w:rFonts w:hint="eastAsia" w:ascii="宋体"/>
                <w:sz w:val="24"/>
                <w:szCs w:val="24"/>
              </w:rPr>
            </w:pPr>
          </w:p>
        </w:tc>
        <w:tc>
          <w:tcPr>
            <w:tcW w:w="258" w:type="pct"/>
            <w:vMerge w:val="continue"/>
            <w:shd w:val="clear"/>
            <w:vAlign w:val="center"/>
          </w:tcPr>
          <w:p>
            <w:pPr>
              <w:rPr>
                <w:rFonts w:hint="eastAsia" w:ascii="宋体"/>
                <w:sz w:val="24"/>
                <w:szCs w:val="24"/>
              </w:rPr>
            </w:pP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结果</w:t>
            </w:r>
          </w:p>
          <w:p>
            <w:pPr>
              <w:pStyle w:val="3"/>
              <w:keepNext w:val="0"/>
              <w:keepLines w:val="0"/>
              <w:widowControl/>
              <w:suppressLineNumbers w:val="0"/>
              <w:ind w:left="0" w:firstLine="420"/>
              <w:jc w:val="center"/>
            </w:pPr>
            <w:r>
              <w:rPr>
                <w:rFonts w:hint="eastAsia" w:ascii="微软雅黑" w:hAnsi="微软雅黑" w:eastAsia="微软雅黑" w:cs="微软雅黑"/>
              </w:rPr>
              <w:t>维持</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结果</w:t>
            </w:r>
          </w:p>
          <w:p>
            <w:pPr>
              <w:pStyle w:val="3"/>
              <w:keepNext w:val="0"/>
              <w:keepLines w:val="0"/>
              <w:widowControl/>
              <w:suppressLineNumbers w:val="0"/>
              <w:ind w:left="0" w:firstLine="420"/>
              <w:jc w:val="center"/>
            </w:pPr>
            <w:r>
              <w:rPr>
                <w:rFonts w:hint="eastAsia" w:ascii="微软雅黑" w:hAnsi="微软雅黑" w:eastAsia="微软雅黑" w:cs="微软雅黑"/>
              </w:rPr>
              <w:t>纠正</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其他</w:t>
            </w:r>
          </w:p>
          <w:p>
            <w:pPr>
              <w:pStyle w:val="3"/>
              <w:keepNext w:val="0"/>
              <w:keepLines w:val="0"/>
              <w:widowControl/>
              <w:suppressLineNumbers w:val="0"/>
              <w:ind w:left="0" w:firstLine="420"/>
              <w:jc w:val="center"/>
            </w:pPr>
            <w:r>
              <w:rPr>
                <w:rFonts w:hint="eastAsia" w:ascii="微软雅黑" w:hAnsi="微软雅黑" w:eastAsia="微软雅黑" w:cs="微软雅黑"/>
              </w:rPr>
              <w:t>结果</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尚未</w:t>
            </w:r>
          </w:p>
          <w:p>
            <w:pPr>
              <w:pStyle w:val="3"/>
              <w:keepNext w:val="0"/>
              <w:keepLines w:val="0"/>
              <w:widowControl/>
              <w:suppressLineNumbers w:val="0"/>
              <w:ind w:left="0" w:firstLine="420"/>
              <w:jc w:val="center"/>
            </w:pPr>
            <w:r>
              <w:rPr>
                <w:rFonts w:hint="eastAsia" w:ascii="微软雅黑" w:hAnsi="微软雅黑" w:eastAsia="微软雅黑" w:cs="微软雅黑"/>
              </w:rPr>
              <w:t>审结</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总计</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结果</w:t>
            </w:r>
          </w:p>
          <w:p>
            <w:pPr>
              <w:pStyle w:val="3"/>
              <w:keepNext w:val="0"/>
              <w:keepLines w:val="0"/>
              <w:widowControl/>
              <w:suppressLineNumbers w:val="0"/>
              <w:ind w:left="0" w:firstLine="420"/>
              <w:jc w:val="center"/>
            </w:pPr>
            <w:r>
              <w:rPr>
                <w:rFonts w:hint="eastAsia" w:ascii="微软雅黑" w:hAnsi="微软雅黑" w:eastAsia="微软雅黑" w:cs="微软雅黑"/>
              </w:rPr>
              <w:t>维持</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结果</w:t>
            </w:r>
          </w:p>
          <w:p>
            <w:pPr>
              <w:pStyle w:val="3"/>
              <w:keepNext w:val="0"/>
              <w:keepLines w:val="0"/>
              <w:widowControl/>
              <w:suppressLineNumbers w:val="0"/>
              <w:ind w:left="0" w:firstLine="420"/>
              <w:jc w:val="center"/>
            </w:pPr>
            <w:r>
              <w:rPr>
                <w:rFonts w:hint="eastAsia" w:ascii="微软雅黑" w:hAnsi="微软雅黑" w:eastAsia="微软雅黑" w:cs="微软雅黑"/>
              </w:rPr>
              <w:t>纠正</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其他</w:t>
            </w:r>
          </w:p>
          <w:p>
            <w:pPr>
              <w:pStyle w:val="3"/>
              <w:keepNext w:val="0"/>
              <w:keepLines w:val="0"/>
              <w:widowControl/>
              <w:suppressLineNumbers w:val="0"/>
              <w:ind w:left="0" w:firstLine="420"/>
              <w:jc w:val="center"/>
            </w:pPr>
            <w:r>
              <w:rPr>
                <w:rFonts w:hint="eastAsia" w:ascii="微软雅黑" w:hAnsi="微软雅黑" w:eastAsia="微软雅黑" w:cs="微软雅黑"/>
              </w:rPr>
              <w:t>结果</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尚未</w:t>
            </w:r>
          </w:p>
          <w:p>
            <w:pPr>
              <w:pStyle w:val="3"/>
              <w:keepNext w:val="0"/>
              <w:keepLines w:val="0"/>
              <w:widowControl/>
              <w:suppressLineNumbers w:val="0"/>
              <w:ind w:left="0" w:firstLine="420"/>
              <w:jc w:val="center"/>
            </w:pPr>
            <w:r>
              <w:rPr>
                <w:rFonts w:hint="eastAsia" w:ascii="微软雅黑" w:hAnsi="微软雅黑" w:eastAsia="微软雅黑" w:cs="微软雅黑"/>
              </w:rPr>
              <w:t>审结</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6</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c>
          <w:tcPr>
            <w:tcW w:w="258" w:type="pct"/>
            <w:shd w:val="clear"/>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0</w:t>
            </w:r>
          </w:p>
        </w:tc>
      </w:tr>
    </w:tbl>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五、存在主要问题及改进情况</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（一）主要问题。一是信息公开制度建设需进一步完善；二是信息公开的时效性、针对性有待进一步加强；三是信息公开的途径有待进一步拓展。</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改进措施。一是结合实际情况，建立长效工作机制，进一步完善各项规章制度，确保政府信息公开工作制度化、规范化发展，深入、持续、高效地开展政府信息公开工作。二是不断完善政府信息公开的内容，围绕全局中心工作和社会关注的热点、难点问题，着力抓好就业创业、人事人才、社会保障、劳动权益保障以及依申请公开工作，使信息内容更新常态化。三是严格落实信息公开审查制度，对政务公开工作进行规范管理，防止出现死角和漏洞，广泛征求意见，通过定期检查梳理，进一步修改和完善。四是围绕中心工作，进一步拓宽公开渠道，采取多种形式，向社会和广大群众深入宣传政务公开和信息公开工作，进一步加大公开力度。</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六、其他需要报告的事项</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（一）政府信息收费情况。依据《政府信息公开信息处理费管理办法》规定，本年度本机关未收取政府信息公开信息处理费。</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（二）落实上级年度政府公开工作要点情况。规范信息公开发布，深化信息公开内容，做好政务公开载体建设。</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（三）人大及政协提案办理结果公开情况。2023年，沂源县人社局局共收到相关人大政协提案2件，已按照要求办理答复并予以公开。</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本行政机关年度政务公开工作创新情况。围绕全县经济社会发展大局，提升民生保障水平，落实援企稳岗政策，抓好高校毕业生等重点群体就业，千方百计稳定全县就业局面，为我县绿色低碳高质量发展注入人社力量。</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（五）本机关政府信息公开工作年度报告数据统计说明。报告中所列数据的统计时限自2023年1月1日至2023年12月31日。</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rPr>
          <w:rFonts w:hint="eastAsia"/>
          <w:lang w:val="en-US" w:eastAsia="zh-CN"/>
        </w:rPr>
      </w:pPr>
    </w:p>
    <w:sectPr>
      <w:pgSz w:w="11906" w:h="16838"/>
      <w:pgMar w:top="1984"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47F0745F"/>
    <w:rsid w:val="0C2F632C"/>
    <w:rsid w:val="17E56F60"/>
    <w:rsid w:val="2E397A3E"/>
    <w:rsid w:val="344D0167"/>
    <w:rsid w:val="3DFB1D93"/>
    <w:rsid w:val="47F0745F"/>
    <w:rsid w:val="4A8B20A9"/>
    <w:rsid w:val="59BD3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2024-01-30T09:29:00Z</dcterms:created>
  <dc:creator>刘满仓</dc:creator>
  <cp:lastModifiedBy>白白白白</cp:lastModifiedBy>
  <dcterms:modified xsi:type="dcterms:W3CDTF">2024-01-31T01:55:38Z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DBFBC28EE5374A82AAFFB3D8436AC2B2_11</vt:lpwstr>
  </property>
</Properties>
</file>