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 w:lineRule="atLeast"/>
        <w:ind w:left="0" w:firstLine="420"/>
        <w:jc w:val="center"/>
      </w:pPr>
      <w:r>
        <w:t> </w:t>
      </w:r>
    </w:p>
    <w:p>
      <w:pPr>
        <w:pStyle w:val="3"/>
        <w:keepNext w:val="0"/>
        <w:keepLines w:val="0"/>
        <w:widowControl/>
        <w:suppressLineNumbers w:val="0"/>
        <w:spacing w:line="26" w:lineRule="atLeast"/>
        <w:ind w:left="0" w:firstLine="420"/>
        <w:jc w:val="center"/>
      </w:pPr>
      <w:r>
        <w:rPr>
          <w:rStyle w:val="6"/>
          <w:rFonts w:ascii="微软雅黑" w:hAnsi="微软雅黑" w:eastAsia="微软雅黑" w:cs="微软雅黑"/>
          <w:sz w:val="36"/>
          <w:szCs w:val="36"/>
        </w:rPr>
        <w:t>沂源县人力资源和社会保障局</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sz w:val="36"/>
          <w:szCs w:val="36"/>
        </w:rPr>
        <w:t>2023年政府信息公开工作年度报</w:t>
      </w:r>
      <w:bookmarkStart w:id="0" w:name="_GoBack"/>
      <w:bookmarkEnd w:id="0"/>
      <w:r>
        <w:rPr>
          <w:rStyle w:val="6"/>
          <w:rFonts w:hint="eastAsia" w:ascii="微软雅黑" w:hAnsi="微软雅黑" w:eastAsia="微软雅黑" w:cs="微软雅黑"/>
          <w:sz w:val="36"/>
          <w:szCs w:val="36"/>
        </w:rPr>
        <w:t>告</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按照《中华人民共和国政府信息公开条例》要求，我局始终把保障和改善民生作为工作的根本出发点和落脚点，认真贯彻落实《中华人民共和国政府信息公开条例》（以下简称《条例》），坚持公开是常态不公开是例外的原则，进一步加强制度建设，畅通公开渠道，加大公开力度，政府信息公开工作取得了新的进展。报告全文由总体情况、主动公开政府信息情况、收到和处理政府信息公开申请情况、因政府信息公开工作被申请行政复议提起行政诉讼情况、政府信息公开工作存在的主要问题及改进情况、其他需要报告的事项等六个部分组成。报告中所列数据统计期限自2023年1月1日始，至2023年12月31日止。报告电子版可从沂源县人民政府门户网站（www.yiyuan.gov.cn）下载。如对本报告有疑问，请联系沂源县人力资源和社会保障局</w:t>
      </w:r>
      <w:r>
        <w:t>（地址：沂源县鲁山路7号；邮政编码：256100；电话：0533—3241046；传真：0533—3241046；邮箱：yyxrsjbgs@zb.shandong.cn）。 </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一、总体情况</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（一）主动公开内容</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按照有关要求及时准确公开我局2023年部门决算、2023年行政审批情况，有关就业补贴、失业保险补贴、职业技能补贴等资金使用以及社会保障、人事人才、劳动关系、就业创业等方面的政府信息。通过门户网站、微信公众号等新媒体平台及时向社会公开2023年度人员招考、职称评审、资金使用、政策调整以及其他需要进行公示公开的信息，全年局网站公开各类信息378条；“沂源人社”微信公众号428条。</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（二）依申请公开情况</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2023年，我局收到申请公开信息1次，依申请为西南财经大学学生要求提供我县城乡居民养老保险实施情况，截至2023年该地区城乡居民养老保险的缴费档次、对应补贴、基础养老金以及缴费档次与基础养老金的实施时间，为其论文的撰写提供了详实的数据支撑。</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（三）政府信息管理情况</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我局对政府信息公开工作高度重视，成立了由主要负责同志任组长，分管领导任副组长，全局各科室负责人为成员的领导小组，明确了由办公室和信息中心具体负责政府信息公开工作，设定专人负责报送政府信息和工作信息，严格执行主要领导、分管领导、科室负责人审核的信息发布三级审核制度，确保公开工作做到内容准确、及时高效，群众满意。</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（四）政策解读和回应关切</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在推进政务公开工作过程中，我局积极通过多渠道开展政务公开工作，不断深化人社信息公开工作，主动接受人民群众的咨询和投诉，并及时反馈问题处理情况。完善政府信息发布途径，利用“沂源人社”微信公众号“政府门户网站”等平台及时发布政府信息，宣传人社政策。</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（五）平台建设情况</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我局一方面通过沂源县电视台、广播等传统渠道公开政务信息，另一方面安排专门科室及人员定期维护门户网站、微信公众号等新媒体平台，及时发布工作动态、权威解读业务政策，通过转发人社部、省人社厅、市人社局等多个官方微信平台权威信息和工作动态，坚持图文并茂，通俗易懂的原则，运用图表、图片、视频等可视化方式，增强人社政策解读效果。</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（六）监督保障情况</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及时更新沂源县人力资源和社会保障局信息公开制度，切实加强了政府信息公开的指导协调和督促检查，确保政府信息公开扎实、规范、高效开展，以实际行动做到让政府放心、让群众满意。</w:t>
      </w:r>
    </w:p>
    <w:p>
      <w:pPr>
        <w:pStyle w:val="3"/>
        <w:keepNext w:val="0"/>
        <w:keepLines w:val="0"/>
        <w:widowControl/>
        <w:suppressLineNumbers w:val="0"/>
        <w:spacing w:line="26" w:lineRule="atLeast"/>
        <w:ind w:left="0" w:firstLine="420"/>
      </w:pPr>
      <w:r>
        <w:t> </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二、主动公开政府信息情况</w:t>
      </w:r>
    </w:p>
    <w:p>
      <w:pPr>
        <w:pStyle w:val="3"/>
        <w:keepNext w:val="0"/>
        <w:keepLines w:val="0"/>
        <w:widowControl/>
        <w:suppressLineNumbers w:val="0"/>
        <w:spacing w:line="26" w:lineRule="atLeast"/>
        <w:ind w:left="0" w:firstLine="420"/>
      </w:pPr>
      <w: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15"/>
        <w:gridCol w:w="2215"/>
        <w:gridCol w:w="2215"/>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9735" w:type="dxa"/>
            <w:gridSpan w:val="4"/>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信息内容</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本年制发件数</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本年废止件数</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规章</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行政规范性文件</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735" w:type="dxa"/>
            <w:gridSpan w:val="4"/>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信息内容</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行政许可</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735" w:type="dxa"/>
            <w:gridSpan w:val="4"/>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信息内容</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行政处罚</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行政强制</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735" w:type="dxa"/>
            <w:gridSpan w:val="4"/>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信息内容</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43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行政事业性收费</w:t>
            </w:r>
          </w:p>
        </w:tc>
        <w:tc>
          <w:tcPr>
            <w:tcW w:w="7305" w:type="dxa"/>
            <w:gridSpan w:val="3"/>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bl>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三、收到和处理政府信息公开申请情况</w:t>
      </w:r>
    </w:p>
    <w:p>
      <w:pPr>
        <w:pStyle w:val="3"/>
        <w:keepNext w:val="0"/>
        <w:keepLines w:val="0"/>
        <w:widowControl/>
        <w:suppressLineNumbers w:val="0"/>
        <w:spacing w:line="26" w:lineRule="atLeast"/>
        <w:ind w:left="0" w:firstLine="420"/>
      </w:pPr>
      <w:r>
        <w:t>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1200"/>
        <w:gridCol w:w="1680"/>
        <w:gridCol w:w="720"/>
        <w:gridCol w:w="720"/>
        <w:gridCol w:w="720"/>
        <w:gridCol w:w="720"/>
        <w:gridCol w:w="720"/>
        <w:gridCol w:w="726"/>
        <w:gridCol w:w="7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4920" w:type="dxa"/>
            <w:gridSpan w:val="3"/>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（本列数据的勾稽关系为：第一项加第二项之和，等于第三项加第四项之和）</w:t>
            </w:r>
          </w:p>
        </w:tc>
        <w:tc>
          <w:tcPr>
            <w:tcW w:w="4815" w:type="dxa"/>
            <w:gridSpan w:val="7"/>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920" w:type="dxa"/>
            <w:gridSpan w:val="3"/>
            <w:vMerge w:val="continue"/>
            <w:shd w:val="clear"/>
            <w:vAlign w:val="center"/>
          </w:tcPr>
          <w:p>
            <w:pPr>
              <w:rPr>
                <w:rFonts w:hint="eastAsia" w:ascii="宋体"/>
                <w:sz w:val="24"/>
                <w:szCs w:val="24"/>
              </w:rPr>
            </w:pPr>
          </w:p>
        </w:tc>
        <w:tc>
          <w:tcPr>
            <w:tcW w:w="675" w:type="dxa"/>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自然人</w:t>
            </w:r>
          </w:p>
        </w:tc>
        <w:tc>
          <w:tcPr>
            <w:tcW w:w="3435" w:type="dxa"/>
            <w:gridSpan w:val="5"/>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法人或其他组织</w:t>
            </w:r>
          </w:p>
        </w:tc>
        <w:tc>
          <w:tcPr>
            <w:tcW w:w="675" w:type="dxa"/>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920" w:type="dxa"/>
            <w:gridSpan w:val="3"/>
            <w:vMerge w:val="continue"/>
            <w:shd w:val="clear"/>
            <w:vAlign w:val="center"/>
          </w:tcPr>
          <w:p>
            <w:pPr>
              <w:rPr>
                <w:rFonts w:hint="eastAsia" w:ascii="宋体"/>
                <w:sz w:val="24"/>
                <w:szCs w:val="24"/>
              </w:rPr>
            </w:pPr>
          </w:p>
        </w:tc>
        <w:tc>
          <w:tcPr>
            <w:tcW w:w="675" w:type="dxa"/>
            <w:vMerge w:val="continue"/>
            <w:shd w:val="clear"/>
            <w:vAlign w:val="center"/>
          </w:tcPr>
          <w:p>
            <w:pPr>
              <w:rPr>
                <w:rFonts w:hint="eastAsia" w:ascii="宋体"/>
                <w:sz w:val="24"/>
                <w:szCs w:val="24"/>
              </w:rPr>
            </w:pP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商业</w:t>
            </w:r>
          </w:p>
          <w:p>
            <w:pPr>
              <w:pStyle w:val="3"/>
              <w:keepNext w:val="0"/>
              <w:keepLines w:val="0"/>
              <w:widowControl/>
              <w:suppressLineNumbers w:val="0"/>
              <w:ind w:left="0" w:firstLine="420"/>
              <w:jc w:val="center"/>
            </w:pPr>
            <w:r>
              <w:rPr>
                <w:rFonts w:hint="eastAsia" w:ascii="微软雅黑" w:hAnsi="微软雅黑" w:eastAsia="微软雅黑" w:cs="微软雅黑"/>
              </w:rPr>
              <w:t>企业</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科研</w:t>
            </w:r>
          </w:p>
          <w:p>
            <w:pPr>
              <w:pStyle w:val="3"/>
              <w:keepNext w:val="0"/>
              <w:keepLines w:val="0"/>
              <w:widowControl/>
              <w:suppressLineNumbers w:val="0"/>
              <w:ind w:left="0" w:firstLine="420"/>
              <w:jc w:val="center"/>
            </w:pPr>
            <w:r>
              <w:rPr>
                <w:rFonts w:hint="eastAsia" w:ascii="微软雅黑" w:hAnsi="微软雅黑" w:eastAsia="微软雅黑" w:cs="微软雅黑"/>
              </w:rPr>
              <w:t>机构</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社会公益组织</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法律服务机构</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其他</w:t>
            </w:r>
          </w:p>
        </w:tc>
        <w:tc>
          <w:tcPr>
            <w:tcW w:w="67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920" w:type="dxa"/>
            <w:gridSpan w:val="3"/>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一、本年新收政府信息公开申请数量</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1</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920" w:type="dxa"/>
            <w:gridSpan w:val="3"/>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二、上年结转政府信息公开申请数量</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三、本年度办理结果</w:t>
            </w:r>
          </w:p>
        </w:tc>
        <w:tc>
          <w:tcPr>
            <w:tcW w:w="4155" w:type="dxa"/>
            <w:gridSpan w:val="2"/>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（一）予以公开</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1</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4155" w:type="dxa"/>
            <w:gridSpan w:val="2"/>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（二）部分公开（区分处理的，只计这一情形，不计其他情形）</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（三）不予公开</w:t>
            </w: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1.属于国家秘密</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2.其他法律行政法规禁止公开</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3.危及“三安全一稳定”</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4.保护第三方合法权益</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5.属于三类内部事务信息</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6.属于四类过程性信息</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7.属于行政执法案卷</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8.属于行政查询事项</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（四）无法提供</w:t>
            </w: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1.本机关不掌握相关政府信息</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2.没有现成信息需要另行制作</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3.补正后申请内容仍不明确</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（五）不予处理</w:t>
            </w: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1.信访举报投诉类申请</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2.重复申请</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3.要求提供公开出版物</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top"/>
          </w:tcPr>
          <w:p>
            <w:pPr>
              <w:pStyle w:val="3"/>
              <w:keepNext w:val="0"/>
              <w:keepLines w:val="0"/>
              <w:widowControl/>
              <w:suppressLineNumbers w:val="0"/>
              <w:ind w:left="0" w:firstLine="420"/>
            </w:pPr>
            <w:r>
              <w:rPr>
                <w:rFonts w:hint="eastAsia" w:ascii="微软雅黑" w:hAnsi="微软雅黑" w:eastAsia="微软雅黑" w:cs="微软雅黑"/>
              </w:rPr>
              <w:t>4.无正当理由大量反复申请</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center"/>
          </w:tcPr>
          <w:p>
            <w:pPr>
              <w:pStyle w:val="3"/>
              <w:keepNext w:val="0"/>
              <w:keepLines w:val="0"/>
              <w:widowControl/>
              <w:suppressLineNumbers w:val="0"/>
              <w:ind w:left="0" w:firstLine="420"/>
              <w:jc w:val="both"/>
            </w:pPr>
            <w:r>
              <w:rPr>
                <w:rFonts w:hint="eastAsia" w:ascii="微软雅黑" w:hAnsi="微软雅黑" w:eastAsia="微软雅黑" w:cs="微软雅黑"/>
              </w:rPr>
              <w:t>5.要求行政机关确认或重新出具已获取信息</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restart"/>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（六）其他处理</w:t>
            </w:r>
          </w:p>
        </w:tc>
        <w:tc>
          <w:tcPr>
            <w:tcW w:w="3210" w:type="dxa"/>
            <w:shd w:val="clear"/>
            <w:vAlign w:val="center"/>
          </w:tcPr>
          <w:p>
            <w:pPr>
              <w:pStyle w:val="3"/>
              <w:keepNext w:val="0"/>
              <w:keepLines w:val="0"/>
              <w:widowControl/>
              <w:suppressLineNumbers w:val="0"/>
              <w:ind w:left="0" w:firstLine="420"/>
              <w:jc w:val="both"/>
            </w:pPr>
            <w:r>
              <w:rPr>
                <w:rFonts w:hint="eastAsia" w:ascii="微软雅黑" w:hAnsi="微软雅黑" w:eastAsia="微软雅黑" w:cs="微软雅黑"/>
              </w:rPr>
              <w:t>1.申请人无正当理由逾期不补正、行政机关不再处理其政府信息公开申请</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center"/>
          </w:tcPr>
          <w:p>
            <w:pPr>
              <w:pStyle w:val="3"/>
              <w:keepNext w:val="0"/>
              <w:keepLines w:val="0"/>
              <w:widowControl/>
              <w:suppressLineNumbers w:val="0"/>
              <w:ind w:left="0" w:firstLine="420"/>
              <w:jc w:val="both"/>
            </w:pPr>
            <w:r>
              <w:rPr>
                <w:rFonts w:hint="eastAsia" w:ascii="微软雅黑" w:hAnsi="微软雅黑" w:eastAsia="微软雅黑" w:cs="微软雅黑"/>
              </w:rPr>
              <w:t>2.申请人逾期未按收费通知要求缴纳费用、行政机关不再处理其政府信息公开申请</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930" w:type="dxa"/>
            <w:vMerge w:val="continue"/>
            <w:shd w:val="clear"/>
            <w:vAlign w:val="center"/>
          </w:tcPr>
          <w:p>
            <w:pPr>
              <w:rPr>
                <w:rFonts w:hint="eastAsia" w:ascii="宋体"/>
                <w:sz w:val="24"/>
                <w:szCs w:val="24"/>
              </w:rPr>
            </w:pPr>
          </w:p>
        </w:tc>
        <w:tc>
          <w:tcPr>
            <w:tcW w:w="3210" w:type="dxa"/>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3.其他</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65" w:type="dxa"/>
            <w:vMerge w:val="continue"/>
            <w:shd w:val="clear"/>
            <w:vAlign w:val="center"/>
          </w:tcPr>
          <w:p>
            <w:pPr>
              <w:rPr>
                <w:rFonts w:hint="eastAsia" w:ascii="宋体"/>
                <w:sz w:val="24"/>
                <w:szCs w:val="24"/>
              </w:rPr>
            </w:pPr>
          </w:p>
        </w:tc>
        <w:tc>
          <w:tcPr>
            <w:tcW w:w="4155" w:type="dxa"/>
            <w:gridSpan w:val="2"/>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（七）总计</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1</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center"/>
            </w:pPr>
            <w:r>
              <w:rPr>
                <w:rFonts w:hint="eastAsia" w:ascii="微软雅黑" w:hAnsi="微软雅黑" w:eastAsia="微软雅黑" w:cs="微软雅黑"/>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920" w:type="dxa"/>
            <w:gridSpan w:val="3"/>
            <w:shd w:val="clear"/>
            <w:vAlign w:val="center"/>
          </w:tcPr>
          <w:p>
            <w:pPr>
              <w:pStyle w:val="3"/>
              <w:keepNext w:val="0"/>
              <w:keepLines w:val="0"/>
              <w:widowControl/>
              <w:suppressLineNumbers w:val="0"/>
              <w:ind w:left="0" w:firstLine="420"/>
            </w:pPr>
            <w:r>
              <w:rPr>
                <w:rFonts w:hint="eastAsia" w:ascii="微软雅黑" w:hAnsi="微软雅黑" w:eastAsia="微软雅黑" w:cs="微软雅黑"/>
              </w:rPr>
              <w:t>四、结转下年度继续办理</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675" w:type="dxa"/>
            <w:shd w:val="clear"/>
            <w:vAlign w:val="top"/>
          </w:tcPr>
          <w:p>
            <w:pPr>
              <w:pStyle w:val="3"/>
              <w:keepNext w:val="0"/>
              <w:keepLines w:val="0"/>
              <w:widowControl/>
              <w:suppressLineNumbers w:val="0"/>
              <w:ind w:left="0" w:firstLine="420"/>
              <w:jc w:val="both"/>
            </w:pPr>
            <w:r>
              <w:rPr>
                <w:rFonts w:hint="eastAsia" w:ascii="微软雅黑" w:hAnsi="微软雅黑" w:eastAsia="微软雅黑" w:cs="微软雅黑"/>
              </w:rPr>
              <w:t>0</w:t>
            </w:r>
          </w:p>
        </w:tc>
      </w:tr>
    </w:tbl>
    <w:p>
      <w:pPr>
        <w:pStyle w:val="3"/>
        <w:keepNext w:val="0"/>
        <w:keepLines w:val="0"/>
        <w:widowControl/>
        <w:suppressLineNumbers w:val="0"/>
        <w:spacing w:line="26" w:lineRule="atLeast"/>
        <w:ind w:left="0" w:firstLine="420"/>
      </w:pPr>
      <w:r>
        <w:t> </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四、政府信息公开行政复议、行政诉讼情况</w:t>
      </w:r>
    </w:p>
    <w:p>
      <w:pPr>
        <w:pStyle w:val="3"/>
        <w:keepNext w:val="0"/>
        <w:keepLines w:val="0"/>
        <w:widowControl/>
        <w:suppressLineNumbers w:val="0"/>
        <w:spacing w:line="26" w:lineRule="atLeast"/>
        <w:ind w:left="0" w:firstLine="420"/>
      </w:pPr>
      <w:r>
        <w:t> </w:t>
      </w:r>
    </w:p>
    <w:tbl>
      <w:tblPr>
        <w:tblW w:w="317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3"/>
        <w:gridCol w:w="593"/>
        <w:gridCol w:w="593"/>
        <w:gridCol w:w="593"/>
        <w:gridCol w:w="593"/>
        <w:gridCol w:w="593"/>
        <w:gridCol w:w="594"/>
        <w:gridCol w:w="594"/>
        <w:gridCol w:w="594"/>
        <w:gridCol w:w="594"/>
        <w:gridCol w:w="594"/>
        <w:gridCol w:w="594"/>
        <w:gridCol w:w="594"/>
        <w:gridCol w:w="594"/>
        <w:gridCol w:w="5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291" w:type="pct"/>
            <w:gridSpan w:val="5"/>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行政复议</w:t>
            </w:r>
          </w:p>
        </w:tc>
        <w:tc>
          <w:tcPr>
            <w:tcW w:w="2583" w:type="pct"/>
            <w:gridSpan w:val="10"/>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58" w:type="pct"/>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结果维持</w:t>
            </w:r>
          </w:p>
        </w:tc>
        <w:tc>
          <w:tcPr>
            <w:tcW w:w="258" w:type="pct"/>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w:t>
            </w:r>
          </w:p>
          <w:p>
            <w:pPr>
              <w:pStyle w:val="3"/>
              <w:keepNext w:val="0"/>
              <w:keepLines w:val="0"/>
              <w:widowControl/>
              <w:suppressLineNumbers w:val="0"/>
              <w:ind w:left="0" w:firstLine="420"/>
              <w:jc w:val="center"/>
            </w:pPr>
            <w:r>
              <w:rPr>
                <w:rFonts w:hint="eastAsia" w:ascii="微软雅黑" w:hAnsi="微软雅黑" w:eastAsia="微软雅黑" w:cs="微软雅黑"/>
              </w:rPr>
              <w:t>纠正</w:t>
            </w:r>
          </w:p>
        </w:tc>
        <w:tc>
          <w:tcPr>
            <w:tcW w:w="258" w:type="pct"/>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其他</w:t>
            </w:r>
          </w:p>
          <w:p>
            <w:pPr>
              <w:pStyle w:val="3"/>
              <w:keepNext w:val="0"/>
              <w:keepLines w:val="0"/>
              <w:widowControl/>
              <w:suppressLineNumbers w:val="0"/>
              <w:ind w:left="0" w:firstLine="420"/>
              <w:jc w:val="center"/>
            </w:pPr>
            <w:r>
              <w:rPr>
                <w:rFonts w:hint="eastAsia" w:ascii="微软雅黑" w:hAnsi="微软雅黑" w:eastAsia="微软雅黑" w:cs="微软雅黑"/>
              </w:rPr>
              <w:t>结果</w:t>
            </w:r>
          </w:p>
        </w:tc>
        <w:tc>
          <w:tcPr>
            <w:tcW w:w="258" w:type="pct"/>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尚未</w:t>
            </w:r>
          </w:p>
          <w:p>
            <w:pPr>
              <w:pStyle w:val="3"/>
              <w:keepNext w:val="0"/>
              <w:keepLines w:val="0"/>
              <w:widowControl/>
              <w:suppressLineNumbers w:val="0"/>
              <w:ind w:left="0" w:firstLine="420"/>
              <w:jc w:val="center"/>
            </w:pPr>
            <w:r>
              <w:rPr>
                <w:rFonts w:hint="eastAsia" w:ascii="微软雅黑" w:hAnsi="微软雅黑" w:eastAsia="微软雅黑" w:cs="微软雅黑"/>
              </w:rPr>
              <w:t>审结</w:t>
            </w:r>
          </w:p>
        </w:tc>
        <w:tc>
          <w:tcPr>
            <w:tcW w:w="258" w:type="pct"/>
            <w:vMerge w:val="restar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总计</w:t>
            </w:r>
          </w:p>
        </w:tc>
        <w:tc>
          <w:tcPr>
            <w:tcW w:w="1291" w:type="pct"/>
            <w:gridSpan w:val="5"/>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未经复议直接起诉</w:t>
            </w:r>
          </w:p>
        </w:tc>
        <w:tc>
          <w:tcPr>
            <w:tcW w:w="1291" w:type="pct"/>
            <w:gridSpan w:val="5"/>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58" w:type="pct"/>
            <w:vMerge w:val="continue"/>
            <w:shd w:val="clear"/>
            <w:vAlign w:val="center"/>
          </w:tcPr>
          <w:p>
            <w:pPr>
              <w:rPr>
                <w:rFonts w:hint="eastAsia" w:ascii="宋体"/>
                <w:sz w:val="24"/>
                <w:szCs w:val="24"/>
              </w:rPr>
            </w:pPr>
          </w:p>
        </w:tc>
        <w:tc>
          <w:tcPr>
            <w:tcW w:w="258" w:type="pct"/>
            <w:vMerge w:val="continue"/>
            <w:shd w:val="clear"/>
            <w:vAlign w:val="center"/>
          </w:tcPr>
          <w:p>
            <w:pPr>
              <w:rPr>
                <w:rFonts w:hint="eastAsia" w:ascii="宋体"/>
                <w:sz w:val="24"/>
                <w:szCs w:val="24"/>
              </w:rPr>
            </w:pPr>
          </w:p>
        </w:tc>
        <w:tc>
          <w:tcPr>
            <w:tcW w:w="258" w:type="pct"/>
            <w:vMerge w:val="continue"/>
            <w:shd w:val="clear"/>
            <w:vAlign w:val="center"/>
          </w:tcPr>
          <w:p>
            <w:pPr>
              <w:rPr>
                <w:rFonts w:hint="eastAsia" w:ascii="宋体"/>
                <w:sz w:val="24"/>
                <w:szCs w:val="24"/>
              </w:rPr>
            </w:pPr>
          </w:p>
        </w:tc>
        <w:tc>
          <w:tcPr>
            <w:tcW w:w="258" w:type="pct"/>
            <w:vMerge w:val="continue"/>
            <w:shd w:val="clear"/>
            <w:vAlign w:val="center"/>
          </w:tcPr>
          <w:p>
            <w:pPr>
              <w:rPr>
                <w:rFonts w:hint="eastAsia" w:ascii="宋体"/>
                <w:sz w:val="24"/>
                <w:szCs w:val="24"/>
              </w:rPr>
            </w:pPr>
          </w:p>
        </w:tc>
        <w:tc>
          <w:tcPr>
            <w:tcW w:w="258" w:type="pct"/>
            <w:vMerge w:val="continue"/>
            <w:shd w:val="clear"/>
            <w:vAlign w:val="center"/>
          </w:tcPr>
          <w:p>
            <w:pPr>
              <w:rPr>
                <w:rFonts w:hint="eastAsia" w:ascii="宋体"/>
                <w:sz w:val="24"/>
                <w:szCs w:val="24"/>
              </w:rPr>
            </w:pP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w:t>
            </w:r>
          </w:p>
          <w:p>
            <w:pPr>
              <w:pStyle w:val="3"/>
              <w:keepNext w:val="0"/>
              <w:keepLines w:val="0"/>
              <w:widowControl/>
              <w:suppressLineNumbers w:val="0"/>
              <w:ind w:left="0" w:firstLine="420"/>
              <w:jc w:val="center"/>
            </w:pPr>
            <w:r>
              <w:rPr>
                <w:rFonts w:hint="eastAsia" w:ascii="微软雅黑" w:hAnsi="微软雅黑" w:eastAsia="微软雅黑" w:cs="微软雅黑"/>
              </w:rPr>
              <w:t>维持</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w:t>
            </w:r>
          </w:p>
          <w:p>
            <w:pPr>
              <w:pStyle w:val="3"/>
              <w:keepNext w:val="0"/>
              <w:keepLines w:val="0"/>
              <w:widowControl/>
              <w:suppressLineNumbers w:val="0"/>
              <w:ind w:left="0" w:firstLine="420"/>
              <w:jc w:val="center"/>
            </w:pPr>
            <w:r>
              <w:rPr>
                <w:rFonts w:hint="eastAsia" w:ascii="微软雅黑" w:hAnsi="微软雅黑" w:eastAsia="微软雅黑" w:cs="微软雅黑"/>
              </w:rPr>
              <w:t>纠正</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其他</w:t>
            </w:r>
          </w:p>
          <w:p>
            <w:pPr>
              <w:pStyle w:val="3"/>
              <w:keepNext w:val="0"/>
              <w:keepLines w:val="0"/>
              <w:widowControl/>
              <w:suppressLineNumbers w:val="0"/>
              <w:ind w:left="0" w:firstLine="420"/>
              <w:jc w:val="center"/>
            </w:pPr>
            <w:r>
              <w:rPr>
                <w:rFonts w:hint="eastAsia" w:ascii="微软雅黑" w:hAnsi="微软雅黑" w:eastAsia="微软雅黑" w:cs="微软雅黑"/>
              </w:rPr>
              <w:t>结果</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尚未</w:t>
            </w:r>
          </w:p>
          <w:p>
            <w:pPr>
              <w:pStyle w:val="3"/>
              <w:keepNext w:val="0"/>
              <w:keepLines w:val="0"/>
              <w:widowControl/>
              <w:suppressLineNumbers w:val="0"/>
              <w:ind w:left="0" w:firstLine="420"/>
              <w:jc w:val="center"/>
            </w:pPr>
            <w:r>
              <w:rPr>
                <w:rFonts w:hint="eastAsia" w:ascii="微软雅黑" w:hAnsi="微软雅黑" w:eastAsia="微软雅黑" w:cs="微软雅黑"/>
              </w:rPr>
              <w:t>审结</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总计</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w:t>
            </w:r>
          </w:p>
          <w:p>
            <w:pPr>
              <w:pStyle w:val="3"/>
              <w:keepNext w:val="0"/>
              <w:keepLines w:val="0"/>
              <w:widowControl/>
              <w:suppressLineNumbers w:val="0"/>
              <w:ind w:left="0" w:firstLine="420"/>
              <w:jc w:val="center"/>
            </w:pPr>
            <w:r>
              <w:rPr>
                <w:rFonts w:hint="eastAsia" w:ascii="微软雅黑" w:hAnsi="微软雅黑" w:eastAsia="微软雅黑" w:cs="微软雅黑"/>
              </w:rPr>
              <w:t>维持</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结果</w:t>
            </w:r>
          </w:p>
          <w:p>
            <w:pPr>
              <w:pStyle w:val="3"/>
              <w:keepNext w:val="0"/>
              <w:keepLines w:val="0"/>
              <w:widowControl/>
              <w:suppressLineNumbers w:val="0"/>
              <w:ind w:left="0" w:firstLine="420"/>
              <w:jc w:val="center"/>
            </w:pPr>
            <w:r>
              <w:rPr>
                <w:rFonts w:hint="eastAsia" w:ascii="微软雅黑" w:hAnsi="微软雅黑" w:eastAsia="微软雅黑" w:cs="微软雅黑"/>
              </w:rPr>
              <w:t>纠正</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其他</w:t>
            </w:r>
          </w:p>
          <w:p>
            <w:pPr>
              <w:pStyle w:val="3"/>
              <w:keepNext w:val="0"/>
              <w:keepLines w:val="0"/>
              <w:widowControl/>
              <w:suppressLineNumbers w:val="0"/>
              <w:ind w:left="0" w:firstLine="420"/>
              <w:jc w:val="center"/>
            </w:pPr>
            <w:r>
              <w:rPr>
                <w:rFonts w:hint="eastAsia" w:ascii="微软雅黑" w:hAnsi="微软雅黑" w:eastAsia="微软雅黑" w:cs="微软雅黑"/>
              </w:rPr>
              <w:t>结果</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尚未</w:t>
            </w:r>
          </w:p>
          <w:p>
            <w:pPr>
              <w:pStyle w:val="3"/>
              <w:keepNext w:val="0"/>
              <w:keepLines w:val="0"/>
              <w:widowControl/>
              <w:suppressLineNumbers w:val="0"/>
              <w:ind w:left="0" w:firstLine="420"/>
              <w:jc w:val="center"/>
            </w:pPr>
            <w:r>
              <w:rPr>
                <w:rFonts w:hint="eastAsia" w:ascii="微软雅黑" w:hAnsi="微软雅黑" w:eastAsia="微软雅黑" w:cs="微软雅黑"/>
              </w:rPr>
              <w:t>审结</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3</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3</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6</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6</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c>
          <w:tcPr>
            <w:tcW w:w="258" w:type="pct"/>
            <w:shd w:val="clear"/>
            <w:vAlign w:val="center"/>
          </w:tcPr>
          <w:p>
            <w:pPr>
              <w:pStyle w:val="3"/>
              <w:keepNext w:val="0"/>
              <w:keepLines w:val="0"/>
              <w:widowControl/>
              <w:suppressLineNumbers w:val="0"/>
              <w:ind w:left="0" w:firstLine="420"/>
              <w:jc w:val="center"/>
            </w:pPr>
            <w:r>
              <w:rPr>
                <w:rFonts w:hint="eastAsia" w:ascii="微软雅黑" w:hAnsi="微软雅黑" w:eastAsia="微软雅黑" w:cs="微软雅黑"/>
              </w:rPr>
              <w:t>0</w:t>
            </w:r>
          </w:p>
        </w:tc>
      </w:tr>
    </w:tbl>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五、存在主要问题及改进情况</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（一）主要问题。一是信息公开制度建设需进一步完善；二是信息公开的时效性、针对性有待进一步加强；三是信息公开的途径有待进一步拓展。</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二）改进措施。一是结合实际情况，建立长效工作机制，进一步完善各项规章制度，确保政府信息公开工作制度化、规范化发展，深入、持续、高效地开展政府信息公开工作。二是不断完善政府信息公开的内容，围绕全局中心工作和社会关注的热点、难点问题，着力抓好就业创业、人事人才、社会保障、劳动权益保障以及依申请公开工作，使信息内容更新常态化。三是严格落实信息公开审查制度，对政务公开工作进行规范管理，防止出现死角和漏洞，广泛征求意见，通过定期检查梳理，进一步修改和完善。四是围绕中心工作，进一步拓宽公开渠道，采取多种形式，向社会和广大群众深入宣传政务公开和信息公开工作，进一步加大公开力度。</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六、其他需要报告的事项</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（一）政府信息收费情况。依据《政府信息公开信息处理费管理办法》规定，本年度本机关未收取政府信息公开信息处理费。</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（二）落实上级年度政府公开工作要点情况。规范信息公开发布，深化信息公开内容，做好政务公开载体建设。</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（三）人大及政协提案办理结果公开情况。2023年，沂源县人社局局共收到相关人大政协提案2件，已按照要求办理答复并予以公开。</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四）本行政机关年度政务公开工作创新情况。围绕全县经济社会发展大局，提升民生保障水平，落实援企稳岗政策，抓好高校毕业生等重点群体就业，千方百计稳定全县就业局面，为我县绿色低碳高质量发展注入人社力量。</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（五）本机关政府信息公开工作年度报告数据统计说明。报告中所列数据的统计时限自2023年1月1日至2023年12月31日。</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rPr>
          <w:rFonts w:hint="eastAsia"/>
          <w:lang w:val="en-US" w:eastAsia="zh-CN"/>
        </w:rPr>
      </w:pPr>
    </w:p>
    <w:sectPr>
      <w:pgSz w:w="11906" w:h="16838"/>
      <w:pgMar w:top="198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47F0745F"/>
    <w:rsid w:val="0C2F632C"/>
    <w:rsid w:val="17E56F60"/>
    <w:rsid w:val="2E397A3E"/>
    <w:rsid w:val="344D0167"/>
    <w:rsid w:val="3DFB1D93"/>
    <w:rsid w:val="47F0745F"/>
    <w:rsid w:val="4A8B20A9"/>
    <w:rsid w:val="59BD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2024-01-30T09:29:00Z</dcterms:created>
  <dc:creator>刘满仓</dc:creator>
  <cp:lastModifiedBy>白白白白</cp:lastModifiedBy>
  <dcterms:modified xsi:type="dcterms:W3CDTF">2024-01-31T01:55:38Z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DBFBC28EE5374A82AAFFB3D8436AC2B2_11</vt:lpwstr>
  </property>
</Properties>
</file>