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321" w:firstLineChars="100"/>
        <w:jc w:val="center"/>
        <w:rPr>
          <w:rFonts w:ascii="方正小标宋简体" w:hAnsi="仿宋" w:eastAsia="方正小标宋简体" w:cs="宋体"/>
          <w:b/>
          <w:bCs/>
          <w:color w:val="3D3D3D"/>
          <w:kern w:val="0"/>
          <w:sz w:val="40"/>
          <w:szCs w:val="40"/>
        </w:rPr>
      </w:pPr>
      <w:r>
        <w:rPr>
          <w:rFonts w:hint="eastAsia" w:ascii="方正小标宋简体" w:hAnsi="仿宋" w:eastAsia="方正小标宋简体" w:cs="宋体"/>
          <w:b/>
          <w:bCs/>
          <w:color w:val="3D3D3D"/>
          <w:kern w:val="0"/>
          <w:sz w:val="32"/>
          <w:szCs w:val="32"/>
        </w:rPr>
        <w:t>沂源县农业农村局</w:t>
      </w:r>
      <w:r>
        <w:rPr>
          <w:rFonts w:hint="eastAsia" w:ascii="方正小标宋简体" w:hAnsi="仿宋" w:eastAsia="方正小标宋简体" w:cs="宋体"/>
          <w:b/>
          <w:bCs/>
          <w:color w:val="3D3D3D"/>
          <w:kern w:val="0"/>
          <w:sz w:val="32"/>
          <w:szCs w:val="32"/>
          <w:lang w:val="en-US" w:eastAsia="zh-CN"/>
        </w:rPr>
        <w:t>2021</w:t>
      </w:r>
      <w:r>
        <w:rPr>
          <w:rFonts w:hint="eastAsia" w:ascii="方正小标宋简体" w:hAnsi="仿宋" w:eastAsia="方正小标宋简体" w:cs="宋体"/>
          <w:b/>
          <w:bCs/>
          <w:color w:val="3D3D3D"/>
          <w:kern w:val="0"/>
          <w:sz w:val="32"/>
          <w:szCs w:val="32"/>
        </w:rPr>
        <w:t>年政府信息公开工作年度报告</w:t>
      </w:r>
    </w:p>
    <w:p>
      <w:pPr>
        <w:widowControl/>
        <w:shd w:val="clear" w:color="auto" w:fill="FFFFFF"/>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政府信息公开条例》和各级政府有关信息公开的要求，结合我局政府信息公开工作实际，现向社会公开2021年度我局政府信息公开年度报告。本报告中所列数据的统计期限自2021年1月1日起至2021年12月31日止。公民、法人及其他组织需要查询报告中相关政府信息公开工作事项或对本报告有任何疑问的，请与沂源县农业农村局办公室联系（地址：沂源县胜利路3号；邮编：256100；电话：7050800；传真：3242073；电子邮箱:yyxnyjbgs@zb.shandong.cn ）。</w:t>
      </w:r>
      <w:bookmarkStart w:id="0" w:name="_GoBack"/>
      <w:bookmarkEnd w:id="0"/>
    </w:p>
    <w:p>
      <w:pPr>
        <w:widowControl/>
        <w:shd w:val="clear" w:color="auto" w:fill="FFFFFF"/>
        <w:jc w:val="both"/>
        <w:rPr>
          <w:rFonts w:ascii="黑体" w:hAnsi="黑体" w:eastAsia="黑体" w:cs="Times New Roman"/>
          <w:color w:val="3D3D3D"/>
          <w:kern w:val="0"/>
          <w:sz w:val="23"/>
          <w:szCs w:val="23"/>
        </w:rPr>
      </w:pPr>
      <w:r>
        <w:rPr>
          <w:rFonts w:ascii="Times New Roman" w:hAnsi="Times New Roman" w:eastAsia="黑体" w:cs="Times New Roman"/>
          <w:b/>
          <w:bCs/>
          <w:color w:val="3D3D3D"/>
          <w:kern w:val="0"/>
          <w:sz w:val="32"/>
        </w:rPr>
        <w:t> </w:t>
      </w:r>
      <w:r>
        <w:rPr>
          <w:rFonts w:ascii="黑体" w:hAnsi="黑体" w:eastAsia="黑体" w:cs="Times New Roman"/>
          <w:b/>
          <w:bCs/>
          <w:color w:val="3D3D3D"/>
          <w:kern w:val="0"/>
          <w:sz w:val="32"/>
        </w:rPr>
        <w:t xml:space="preserve"> </w:t>
      </w:r>
      <w:r>
        <w:rPr>
          <w:rFonts w:ascii="Times New Roman" w:hAnsi="Times New Roman" w:eastAsia="黑体" w:cs="Times New Roman"/>
          <w:b/>
          <w:bCs/>
          <w:color w:val="3D3D3D"/>
          <w:kern w:val="0"/>
          <w:sz w:val="32"/>
        </w:rPr>
        <w:t> </w:t>
      </w:r>
      <w:r>
        <w:rPr>
          <w:rFonts w:ascii="黑体" w:hAnsi="黑体" w:eastAsia="黑体" w:cs="Times New Roman"/>
          <w:b/>
          <w:bCs/>
          <w:color w:val="3D3D3D"/>
          <w:kern w:val="0"/>
          <w:sz w:val="32"/>
        </w:rPr>
        <w:t xml:space="preserve"> </w:t>
      </w:r>
      <w:r>
        <w:rPr>
          <w:rFonts w:hint="eastAsia" w:ascii="黑体" w:hAnsi="黑体" w:eastAsia="黑体" w:cs="Times New Roman"/>
          <w:b/>
          <w:bCs/>
          <w:color w:val="3D3D3D"/>
          <w:kern w:val="0"/>
          <w:sz w:val="32"/>
        </w:rPr>
        <w:t xml:space="preserve"> </w:t>
      </w:r>
      <w:r>
        <w:rPr>
          <w:rFonts w:ascii="黑体" w:hAnsi="黑体" w:eastAsia="黑体" w:cs="Times New Roman"/>
          <w:b/>
          <w:bCs/>
          <w:color w:val="3D3D3D"/>
          <w:kern w:val="0"/>
          <w:sz w:val="32"/>
        </w:rPr>
        <w:t>一、总体情况</w:t>
      </w:r>
    </w:p>
    <w:p>
      <w:pPr>
        <w:widowControl/>
        <w:shd w:val="clear" w:color="auto" w:fill="FFFFFF"/>
        <w:jc w:val="both"/>
        <w:rPr>
          <w:rFonts w:hint="eastAsia" w:ascii="Times New Roman" w:hAnsi="Times New Roman" w:eastAsia="仿宋_GB2312" w:cs="Times New Roman"/>
          <w:b/>
          <w:bCs/>
          <w:color w:val="3D3D3D"/>
          <w:kern w:val="0"/>
          <w:sz w:val="32"/>
        </w:rPr>
      </w:pPr>
      <w:r>
        <w:rPr>
          <w:rFonts w:ascii="Times New Roman" w:hAnsi="Times New Roman" w:eastAsia="仿宋_GB2312" w:cs="Times New Roman"/>
          <w:b/>
          <w:bCs/>
          <w:color w:val="3D3D3D"/>
          <w:kern w:val="0"/>
          <w:sz w:val="32"/>
        </w:rPr>
        <w:t>   </w:t>
      </w:r>
      <w:r>
        <w:rPr>
          <w:rFonts w:hint="eastAsia" w:ascii="Times New Roman" w:hAnsi="Times New Roman" w:eastAsia="仿宋_GB2312" w:cs="Times New Roman"/>
          <w:b/>
          <w:bCs/>
          <w:color w:val="3D3D3D"/>
          <w:kern w:val="0"/>
          <w:sz w:val="32"/>
        </w:rPr>
        <w:t xml:space="preserve"> </w:t>
      </w:r>
      <w:r>
        <w:rPr>
          <w:rFonts w:ascii="Times New Roman" w:hAnsi="Times New Roman" w:eastAsia="仿宋_GB2312" w:cs="Times New Roman"/>
          <w:b/>
          <w:bCs/>
          <w:color w:val="3D3D3D"/>
          <w:kern w:val="0"/>
          <w:sz w:val="32"/>
        </w:rPr>
        <w:t xml:space="preserve"> </w:t>
      </w:r>
      <w:r>
        <w:rPr>
          <w:rFonts w:hint="eastAsia" w:ascii="仿宋_GB2312" w:hAnsi="仿宋_GB2312" w:eastAsia="仿宋_GB2312" w:cs="仿宋_GB2312"/>
          <w:kern w:val="2"/>
          <w:sz w:val="32"/>
          <w:szCs w:val="32"/>
          <w:lang w:val="en-US" w:eastAsia="zh-CN" w:bidi="ar-SA"/>
        </w:rPr>
        <w:t>2021年，沂源县农业农村局认真贯彻落实《中华人民共和国政府信息公开条例》，全面落实县政府关于政府信息公开的部署要求，积极主动地做好政务信息公开，及时回应社会关切，详细解答群众关心关注的问题，搭建起了政府与群众互动联系的桥梁。</w:t>
      </w:r>
    </w:p>
    <w:p>
      <w:pPr>
        <w:pStyle w:val="5"/>
        <w:numPr>
          <w:ilvl w:val="0"/>
          <w:numId w:val="1"/>
        </w:numPr>
        <w:shd w:val="clear" w:color="auto" w:fill="FFFFFF"/>
        <w:spacing w:before="0" w:beforeAutospacing="0" w:after="0" w:afterAutospacing="0" w:line="495" w:lineRule="atLeast"/>
        <w:ind w:firstLine="645"/>
        <w:jc w:val="both"/>
        <w:rPr>
          <w:rFonts w:hint="eastAsia" w:ascii="仿宋_GB2312" w:hAnsi="微软雅黑" w:eastAsia="仿宋_GB2312"/>
          <w:b/>
          <w:bCs/>
          <w:color w:val="333333"/>
          <w:sz w:val="32"/>
          <w:szCs w:val="32"/>
        </w:rPr>
      </w:pPr>
      <w:r>
        <w:rPr>
          <w:rFonts w:hint="eastAsia" w:ascii="仿宋_GB2312" w:hAnsi="微软雅黑" w:eastAsia="仿宋_GB2312"/>
          <w:b/>
          <w:bCs/>
          <w:color w:val="333333"/>
          <w:sz w:val="32"/>
          <w:szCs w:val="32"/>
        </w:rPr>
        <w:t>主动公开</w:t>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2021年1月1日至12月31日，沂源县农业农村局主动公开相关政府信息共计211条，通过县政府网站公开信息211条。</w:t>
      </w:r>
    </w:p>
    <w:p>
      <w:pPr>
        <w:pStyle w:val="5"/>
        <w:numPr>
          <w:ilvl w:val="0"/>
          <w:numId w:val="0"/>
        </w:numPr>
        <w:shd w:val="clear" w:color="auto" w:fill="FFFFFF"/>
        <w:spacing w:before="0" w:beforeAutospacing="0" w:after="0" w:afterAutospacing="0" w:line="495" w:lineRule="atLeast"/>
        <w:ind w:firstLine="643" w:firstLineChars="200"/>
        <w:jc w:val="both"/>
        <w:rPr>
          <w:rFonts w:hint="eastAsia" w:ascii="Times New Roman" w:hAnsi="Times New Roman" w:eastAsia="仿宋_GB2312" w:cs="Times New Roman"/>
          <w:b/>
          <w:bCs/>
          <w:color w:val="auto"/>
          <w:kern w:val="0"/>
          <w:sz w:val="32"/>
          <w:szCs w:val="22"/>
          <w:lang w:val="en-US" w:eastAsia="zh-CN" w:bidi="ar-SA"/>
        </w:rPr>
      </w:pPr>
      <w:r>
        <w:rPr>
          <w:rFonts w:hint="eastAsia" w:ascii="Times New Roman" w:hAnsi="Times New Roman" w:eastAsia="仿宋_GB2312" w:cs="Times New Roman"/>
          <w:b/>
          <w:bCs/>
          <w:color w:val="auto"/>
          <w:kern w:val="0"/>
          <w:sz w:val="32"/>
          <w:szCs w:val="22"/>
          <w:lang w:val="en-US" w:eastAsia="zh-CN" w:bidi="ar-SA"/>
        </w:rPr>
        <w:drawing>
          <wp:inline distT="0" distB="0" distL="114300" distR="114300">
            <wp:extent cx="4784725" cy="3486150"/>
            <wp:effectExtent l="4445" t="5080" r="11430" b="52070"/>
            <wp:docPr id="1" name="图表 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drawing>
          <wp:anchor distT="0" distB="0" distL="114300" distR="114300" simplePos="0" relativeHeight="251659264" behindDoc="0" locked="0" layoutInCell="1" allowOverlap="1">
            <wp:simplePos x="0" y="0"/>
            <wp:positionH relativeFrom="column">
              <wp:posOffset>66675</wp:posOffset>
            </wp:positionH>
            <wp:positionV relativeFrom="paragraph">
              <wp:posOffset>2000250</wp:posOffset>
            </wp:positionV>
            <wp:extent cx="5267325" cy="2216785"/>
            <wp:effectExtent l="0" t="0" r="9525" b="12065"/>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5"/>
                    <a:stretch>
                      <a:fillRect/>
                    </a:stretch>
                  </pic:blipFill>
                  <pic:spPr>
                    <a:xfrm>
                      <a:off x="0" y="0"/>
                      <a:ext cx="5267325" cy="2216785"/>
                    </a:xfrm>
                    <a:prstGeom prst="rect">
                      <a:avLst/>
                    </a:prstGeom>
                    <a:noFill/>
                    <a:ln>
                      <a:noFill/>
                    </a:ln>
                  </pic:spPr>
                </pic:pic>
              </a:graphicData>
            </a:graphic>
          </wp:anchor>
        </w:drawing>
      </w:r>
      <w:r>
        <w:rPr>
          <w:rFonts w:hint="eastAsia" w:ascii="仿宋_GB2312" w:hAnsi="仿宋_GB2312" w:eastAsia="仿宋_GB2312" w:cs="仿宋_GB2312"/>
          <w:kern w:val="2"/>
          <w:sz w:val="32"/>
          <w:szCs w:val="32"/>
          <w:lang w:val="en-US" w:eastAsia="zh-CN" w:bidi="ar-SA"/>
        </w:rPr>
        <w:t>围绕管理和服务公开、执行和结果公开，加强会议公开力度，常态化公开农业农村局会议，主动公开专题会议1次，部门会议1次，会议解读1次。2021年积极采用主要负责人解读等形式进行解读7次；组织中心及各科室主动公开美丽乡村、脱贫攻坚、涉农补贴等领域的政府信息。</w:t>
      </w:r>
    </w:p>
    <w:p>
      <w:pPr>
        <w:pStyle w:val="5"/>
        <w:shd w:val="clear" w:color="auto" w:fill="FFFFFF"/>
        <w:spacing w:before="0" w:beforeAutospacing="0" w:after="0" w:afterAutospacing="0" w:line="495" w:lineRule="atLeast"/>
        <w:ind w:firstLine="645"/>
        <w:jc w:val="both"/>
        <w:rPr>
          <w:rFonts w:hint="eastAsia" w:ascii="微软雅黑" w:hAnsi="微软雅黑" w:eastAsia="微软雅黑"/>
          <w:color w:val="3D3D3D"/>
          <w:sz w:val="23"/>
          <w:szCs w:val="23"/>
        </w:rPr>
      </w:pPr>
      <w:r>
        <w:rPr>
          <w:rFonts w:hint="eastAsia" w:ascii="仿宋_GB2312" w:hAnsi="微软雅黑" w:eastAsia="仿宋_GB2312"/>
          <w:b/>
          <w:bCs/>
          <w:color w:val="333333"/>
          <w:sz w:val="32"/>
          <w:szCs w:val="32"/>
        </w:rPr>
        <w:t>（二）依申请公开</w:t>
      </w:r>
    </w:p>
    <w:p>
      <w:pPr>
        <w:pStyle w:val="5"/>
        <w:shd w:val="clear" w:color="auto" w:fill="FFFFFF"/>
        <w:spacing w:before="0" w:beforeAutospacing="0" w:after="0" w:afterAutospacing="0" w:line="495" w:lineRule="atLeas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2021年，通过各种渠道收到有关政府信息公开申请5件，内容涉及“2021年沂源县农业生产发展资金分配及使用情况”“沂源县农村空心化状况、乡村治理状况、村民参与乡村治理的现状以及目前沂源县乡村治理取得的成效和面临的困境”“帮忙填写‘小农户与现代农业发展有机衔接’”的县镇访谈问卷”等农业农村领域各方面内容，均按《中华人民共和国政府信息公开条例》文件要求，按时认真回复。与2020年相比，增加了5件，均为免费提供。</w:t>
      </w:r>
    </w:p>
    <w:p>
      <w:pPr>
        <w:pStyle w:val="5"/>
        <w:shd w:val="clear" w:color="auto" w:fill="FFFFFF"/>
        <w:spacing w:before="0" w:beforeAutospacing="0" w:after="0" w:afterAutospacing="0" w:line="495" w:lineRule="atLeast"/>
        <w:ind w:firstLine="645"/>
        <w:jc w:val="both"/>
        <w:rPr>
          <w:rFonts w:hint="default" w:ascii="Times New Roman" w:hAnsi="Times New Roman" w:eastAsia="仿宋_GB2312" w:cs="Times New Roman"/>
          <w:b/>
          <w:bCs/>
          <w:color w:val="3D3D3D"/>
          <w:kern w:val="0"/>
          <w:sz w:val="32"/>
          <w:szCs w:val="22"/>
          <w:lang w:val="en-US" w:eastAsia="zh-CN" w:bidi="ar-SA"/>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shd w:val="clear" w:color="auto" w:fill="FFFFFF"/>
        <w:spacing w:before="0" w:beforeAutospacing="0" w:after="0" w:afterAutospacing="0" w:line="495" w:lineRule="atLeast"/>
        <w:ind w:firstLine="645"/>
        <w:jc w:val="both"/>
        <w:rPr>
          <w:rFonts w:hint="eastAsia" w:ascii="微软雅黑" w:hAnsi="微软雅黑" w:eastAsia="微软雅黑"/>
          <w:color w:val="3D3D3D"/>
          <w:sz w:val="23"/>
          <w:szCs w:val="23"/>
        </w:rPr>
      </w:pPr>
      <w:r>
        <w:rPr>
          <w:rFonts w:hint="eastAsia" w:ascii="仿宋_GB2312" w:hAnsi="微软雅黑" w:eastAsia="仿宋_GB2312"/>
          <w:b/>
          <w:bCs/>
          <w:color w:val="333333"/>
          <w:sz w:val="32"/>
          <w:szCs w:val="32"/>
        </w:rPr>
        <w:t>（三）政府信息管理</w:t>
      </w:r>
    </w:p>
    <w:p>
      <w:pPr>
        <w:pStyle w:val="5"/>
        <w:shd w:val="clear" w:color="auto" w:fill="FFFFFF"/>
        <w:spacing w:before="0" w:beforeAutospacing="0" w:after="0" w:afterAutospacing="0" w:line="495" w:lineRule="atLeast"/>
        <w:jc w:val="both"/>
        <w:rPr>
          <w:rFonts w:hint="eastAsia" w:ascii="Times New Roman" w:hAnsi="Times New Roman" w:eastAsia="仿宋_GB2312" w:cs="Times New Roman"/>
          <w:b/>
          <w:bCs/>
          <w:color w:val="3D3D3D"/>
          <w:kern w:val="0"/>
          <w:sz w:val="32"/>
          <w:szCs w:val="22"/>
          <w:lang w:val="en-US" w:eastAsia="zh-CN" w:bidi="ar-SA"/>
        </w:rPr>
      </w:pPr>
      <w:r>
        <w:rPr>
          <w:rFonts w:hint="eastAsia" w:ascii="仿宋_GB2312" w:hAnsi="微软雅黑" w:eastAsia="仿宋_GB2312"/>
          <w:color w:val="333333"/>
          <w:sz w:val="32"/>
          <w:szCs w:val="32"/>
        </w:rPr>
        <w:t xml:space="preserve">     </w:t>
      </w:r>
      <w:r>
        <w:rPr>
          <w:rFonts w:hint="eastAsia" w:ascii="Times New Roman" w:hAnsi="Times New Roman" w:eastAsia="仿宋_GB2312" w:cs="Times New Roman"/>
          <w:b/>
          <w:bCs/>
          <w:color w:val="3D3D3D"/>
          <w:kern w:val="0"/>
          <w:sz w:val="32"/>
          <w:szCs w:val="22"/>
          <w:lang w:val="en-US" w:eastAsia="zh-CN" w:bidi="ar-SA"/>
        </w:rPr>
        <w:t xml:space="preserve"> </w:t>
      </w:r>
      <w:r>
        <w:rPr>
          <w:rFonts w:hint="eastAsia" w:ascii="仿宋_GB2312" w:hAnsi="仿宋_GB2312" w:eastAsia="仿宋_GB2312" w:cs="仿宋_GB2312"/>
          <w:kern w:val="2"/>
          <w:sz w:val="32"/>
          <w:szCs w:val="32"/>
          <w:lang w:val="en-US" w:eastAsia="zh-CN" w:bidi="ar-SA"/>
        </w:rPr>
        <w:t>加强政府信息公开工作的组织领导，形成了局长亲自抓，分管领导具体抓，各科室分工负责的工作格局。根据机构改革后机构设置和职能调整，重新调整充实了政务公开工作领导小组，保证专人负责。将信息公开责任落实到各科室具体责任人，完善责任机制。建立政府信息管理制度，定期公开制度、公开审查制度、依申请办理制度。</w:t>
      </w:r>
    </w:p>
    <w:p>
      <w:pPr>
        <w:pStyle w:val="5"/>
        <w:shd w:val="clear" w:color="auto" w:fill="FFFFFF"/>
        <w:spacing w:before="0" w:beforeAutospacing="0" w:after="0" w:afterAutospacing="0" w:line="495" w:lineRule="atLeast"/>
        <w:ind w:firstLine="645"/>
        <w:jc w:val="both"/>
        <w:rPr>
          <w:rFonts w:hint="eastAsia" w:ascii="微软雅黑" w:hAnsi="微软雅黑" w:eastAsia="微软雅黑"/>
          <w:color w:val="3D3D3D"/>
          <w:sz w:val="23"/>
          <w:szCs w:val="23"/>
        </w:rPr>
      </w:pPr>
      <w:r>
        <w:rPr>
          <w:rFonts w:hint="eastAsia" w:ascii="仿宋_GB2312" w:hAnsi="微软雅黑" w:eastAsia="仿宋_GB2312"/>
          <w:b/>
          <w:bCs/>
          <w:color w:val="000000"/>
          <w:sz w:val="32"/>
          <w:szCs w:val="32"/>
        </w:rPr>
        <w:t>（四）政府信息公开平台</w:t>
      </w:r>
    </w:p>
    <w:p>
      <w:pPr>
        <w:pStyle w:val="5"/>
        <w:shd w:val="clear" w:color="auto" w:fill="FFFFFF"/>
        <w:spacing w:before="0" w:beforeAutospacing="0" w:after="0" w:afterAutospacing="0" w:line="495" w:lineRule="atLeas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充分发挥沂源县人民政府网站的平台作用，及时发布机构职能、领导分工、政府文件、部门文件、重点领域公开、执法结果等信息，确保应当公开的内容及时公开。建立“谁提供、谁发布、谁负责”的工作机制，要求对平台内容及时更新补充完善。对县政府要求和文件进行落实。县局成立政务公开工作领导小组，抽调专门人员进行政务公开工作，并适时对小组成员进行充实调整，及时对平台建设和信息发布近视反馈和督促，确保政务信息公开到位。</w:t>
      </w:r>
    </w:p>
    <w:p>
      <w:pPr>
        <w:pStyle w:val="5"/>
        <w:shd w:val="clear" w:color="auto" w:fill="FFFFFF"/>
        <w:spacing w:before="0" w:beforeAutospacing="0" w:after="0" w:afterAutospacing="0" w:line="495" w:lineRule="atLeast"/>
        <w:ind w:firstLine="645"/>
        <w:jc w:val="both"/>
        <w:rPr>
          <w:rFonts w:hint="eastAsia" w:ascii="微软雅黑" w:hAnsi="微软雅黑" w:eastAsia="微软雅黑"/>
          <w:color w:val="3D3D3D"/>
          <w:sz w:val="23"/>
          <w:szCs w:val="23"/>
        </w:rPr>
      </w:pPr>
      <w:r>
        <w:rPr>
          <w:rFonts w:hint="eastAsia" w:ascii="仿宋_GB2312" w:hAnsi="微软雅黑" w:eastAsia="仿宋_GB2312"/>
          <w:b/>
          <w:bCs/>
          <w:color w:val="000000"/>
          <w:sz w:val="32"/>
          <w:szCs w:val="32"/>
        </w:rPr>
        <w:t>（五）监督保障</w:t>
      </w:r>
    </w:p>
    <w:p>
      <w:pPr>
        <w:pStyle w:val="5"/>
        <w:shd w:val="clear" w:color="auto" w:fill="FFFFFF"/>
        <w:spacing w:before="0" w:beforeAutospacing="0" w:after="0" w:afterAutospacing="0" w:line="495" w:lineRule="atLeas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政府信息监督考核保障机制，遵循“谁公开，谁审查，谁负责”的原则，保证政府信息公开的安全。局各科室对发现的政务公开的问题和错误及时进行纠正。对县大数据中心发现督导的问题，及时进行整改落实反馈，做到立查立改。建立社会评议制度，对法定公开内容进行主动公开，接受社会群众监督。</w:t>
      </w:r>
    </w:p>
    <w:p>
      <w:pPr>
        <w:pStyle w:val="5"/>
        <w:shd w:val="clear" w:color="auto" w:fill="FFFFFF"/>
        <w:spacing w:before="0" w:beforeAutospacing="0" w:after="0" w:afterAutospacing="0" w:line="495" w:lineRule="atLeast"/>
        <w:jc w:val="both"/>
        <w:rPr>
          <w:rFonts w:hint="eastAsia" w:ascii="Times New Roman" w:hAnsi="Times New Roman" w:eastAsia="仿宋_GB2312" w:cs="Times New Roman"/>
          <w:b/>
          <w:bCs/>
          <w:color w:val="3D3D3D"/>
          <w:kern w:val="0"/>
          <w:sz w:val="32"/>
          <w:szCs w:val="22"/>
          <w:lang w:val="en-US" w:eastAsia="zh-CN" w:bidi="ar-SA"/>
        </w:rPr>
      </w:pPr>
      <w:r>
        <w:drawing>
          <wp:inline distT="0" distB="0" distL="114300" distR="114300">
            <wp:extent cx="5267325" cy="3505200"/>
            <wp:effectExtent l="0" t="0" r="9525"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7"/>
                    <a:stretch>
                      <a:fillRect/>
                    </a:stretch>
                  </pic:blipFill>
                  <pic:spPr>
                    <a:xfrm>
                      <a:off x="0" y="0"/>
                      <a:ext cx="5267325" cy="3505200"/>
                    </a:xfrm>
                    <a:prstGeom prst="rect">
                      <a:avLst/>
                    </a:prstGeom>
                    <a:noFill/>
                    <a:ln>
                      <a:noFill/>
                    </a:ln>
                  </pic:spPr>
                </pic:pic>
              </a:graphicData>
            </a:graphic>
          </wp:inline>
        </w:drawing>
      </w:r>
    </w:p>
    <w:p>
      <w:pPr>
        <w:widowControl/>
        <w:shd w:val="clear" w:color="auto" w:fill="FFFFFF"/>
        <w:ind w:firstLine="645"/>
        <w:jc w:val="both"/>
        <w:rPr>
          <w:rFonts w:ascii="微软雅黑" w:hAnsi="微软雅黑" w:eastAsia="微软雅黑" w:cs="宋体"/>
          <w:color w:val="3D3D3D"/>
          <w:kern w:val="0"/>
          <w:sz w:val="23"/>
          <w:szCs w:val="23"/>
        </w:rPr>
      </w:pPr>
      <w:r>
        <w:rPr>
          <w:rFonts w:hint="eastAsia" w:ascii="微软雅黑" w:hAnsi="微软雅黑" w:eastAsia="微软雅黑" w:cs="宋体"/>
          <w:b/>
          <w:bCs/>
          <w:color w:val="333333"/>
          <w:kern w:val="0"/>
          <w:sz w:val="32"/>
        </w:rPr>
        <w:t>二、主动公开政府信息情况</w:t>
      </w:r>
    </w:p>
    <w:tbl>
      <w:tblPr>
        <w:tblStyle w:val="7"/>
        <w:tblW w:w="8715" w:type="dxa"/>
        <w:tblInd w:w="0" w:type="dxa"/>
        <w:tblLayout w:type="autofit"/>
        <w:tblCellMar>
          <w:top w:w="15" w:type="dxa"/>
          <w:left w:w="15" w:type="dxa"/>
          <w:bottom w:w="15" w:type="dxa"/>
          <w:right w:w="15" w:type="dxa"/>
        </w:tblCellMar>
      </w:tblPr>
      <w:tblGrid>
        <w:gridCol w:w="2294"/>
        <w:gridCol w:w="2088"/>
        <w:gridCol w:w="2105"/>
        <w:gridCol w:w="2228"/>
      </w:tblGrid>
      <w:tr>
        <w:tblPrEx>
          <w:tblCellMar>
            <w:top w:w="15" w:type="dxa"/>
            <w:left w:w="15" w:type="dxa"/>
            <w:bottom w:w="15" w:type="dxa"/>
            <w:right w:w="15" w:type="dxa"/>
          </w:tblCellMar>
        </w:tblPrEx>
        <w:trPr>
          <w:trHeight w:val="90" w:hRule="atLeast"/>
        </w:trPr>
        <w:tc>
          <w:tcPr>
            <w:tcW w:w="8715"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黑体" w:cs="Times New Roman"/>
                <w:sz w:val="24"/>
                <w:szCs w:val="24"/>
              </w:rPr>
              <w:t>第二十条第（一）项</w:t>
            </w:r>
          </w:p>
        </w:tc>
      </w:tr>
      <w:tr>
        <w:tblPrEx>
          <w:tblCellMar>
            <w:top w:w="15" w:type="dxa"/>
            <w:left w:w="15" w:type="dxa"/>
            <w:bottom w:w="15" w:type="dxa"/>
            <w:right w:w="15" w:type="dxa"/>
          </w:tblCellMar>
        </w:tblPrEx>
        <w:trPr>
          <w:trHeight w:val="600"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信息内容</w:t>
            </w:r>
          </w:p>
        </w:tc>
        <w:tc>
          <w:tcPr>
            <w:tcW w:w="208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lang w:eastAsia="zh-CN"/>
              </w:rPr>
              <w:t>本年制发件数</w:t>
            </w:r>
          </w:p>
        </w:tc>
        <w:tc>
          <w:tcPr>
            <w:tcW w:w="21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本年</w:t>
            </w:r>
            <w:r>
              <w:rPr>
                <w:rFonts w:hint="default" w:ascii="Times New Roman" w:hAnsi="Times New Roman" w:eastAsia="仿宋_GB2312" w:cs="Times New Roman"/>
                <w:sz w:val="24"/>
                <w:szCs w:val="24"/>
                <w:lang w:eastAsia="zh-CN"/>
              </w:rPr>
              <w:t>废止件数</w:t>
            </w:r>
          </w:p>
        </w:tc>
        <w:tc>
          <w:tcPr>
            <w:tcW w:w="222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lang w:eastAsia="zh-CN"/>
              </w:rPr>
              <w:t>现行有效件数</w:t>
            </w:r>
          </w:p>
        </w:tc>
      </w:tr>
      <w:tr>
        <w:tblPrEx>
          <w:tblCellMar>
            <w:top w:w="15" w:type="dxa"/>
            <w:left w:w="15" w:type="dxa"/>
            <w:bottom w:w="15" w:type="dxa"/>
            <w:right w:w="15" w:type="dxa"/>
          </w:tblCellMar>
        </w:tblPrEx>
        <w:trPr>
          <w:trHeight w:val="255"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10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规章</w:t>
            </w:r>
          </w:p>
        </w:tc>
        <w:tc>
          <w:tcPr>
            <w:tcW w:w="208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default" w:ascii="Arial" w:hAnsi="Arial" w:eastAsia="宋体" w:cs="Arial"/>
                <w:color w:val="000000"/>
                <w:kern w:val="0"/>
                <w:szCs w:val="21"/>
              </w:rPr>
            </w:pPr>
            <w:r>
              <w:rPr>
                <w:rFonts w:hint="default" w:ascii="Times New Roman" w:hAnsi="Times New Roman" w:eastAsia="宋体" w:cs="Times New Roman"/>
                <w:i w:val="0"/>
                <w:color w:val="000000"/>
                <w:kern w:val="0"/>
                <w:sz w:val="24"/>
                <w:szCs w:val="24"/>
                <w:u w:val="none"/>
                <w:lang w:val="en-US" w:eastAsia="zh-CN" w:bidi="ar"/>
              </w:rPr>
              <w:t>0</w:t>
            </w:r>
          </w:p>
        </w:tc>
        <w:tc>
          <w:tcPr>
            <w:tcW w:w="21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default" w:ascii="Arial" w:hAnsi="Arial" w:eastAsia="宋体" w:cs="Arial"/>
                <w:color w:val="000000"/>
                <w:kern w:val="0"/>
                <w:szCs w:val="21"/>
              </w:rPr>
            </w:pPr>
            <w:r>
              <w:rPr>
                <w:rFonts w:hint="default" w:ascii="Times New Roman" w:hAnsi="Times New Roman" w:eastAsia="宋体" w:cs="Times New Roman"/>
                <w:i w:val="0"/>
                <w:color w:val="000000"/>
                <w:kern w:val="0"/>
                <w:sz w:val="24"/>
                <w:szCs w:val="24"/>
                <w:u w:val="none"/>
                <w:lang w:val="en-US" w:eastAsia="zh-CN" w:bidi="ar"/>
              </w:rPr>
              <w:t>0</w:t>
            </w:r>
          </w:p>
        </w:tc>
        <w:tc>
          <w:tcPr>
            <w:tcW w:w="222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default" w:ascii="Arial" w:hAnsi="Arial" w:eastAsia="宋体" w:cs="Arial"/>
                <w:color w:val="000000"/>
                <w:kern w:val="0"/>
                <w:szCs w:val="21"/>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315"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bottom"/>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规范性文件</w:t>
            </w:r>
          </w:p>
        </w:tc>
        <w:tc>
          <w:tcPr>
            <w:tcW w:w="208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default" w:ascii="Arial" w:hAnsi="Arial" w:eastAsia="宋体" w:cs="Arial"/>
                <w:color w:val="000000"/>
                <w:kern w:val="0"/>
                <w:szCs w:val="21"/>
              </w:rPr>
            </w:pPr>
            <w:r>
              <w:rPr>
                <w:rFonts w:hint="eastAsia" w:ascii="Times New Roman" w:hAnsi="Times New Roman" w:eastAsia="宋体" w:cs="Times New Roman"/>
                <w:i w:val="0"/>
                <w:color w:val="000000"/>
                <w:kern w:val="0"/>
                <w:sz w:val="24"/>
                <w:szCs w:val="24"/>
                <w:u w:val="none"/>
                <w:lang w:val="en-US" w:eastAsia="zh-CN" w:bidi="ar"/>
              </w:rPr>
              <w:t>0</w:t>
            </w:r>
          </w:p>
        </w:tc>
        <w:tc>
          <w:tcPr>
            <w:tcW w:w="21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default" w:ascii="Arial" w:hAnsi="Arial" w:eastAsia="宋体" w:cs="Arial"/>
                <w:color w:val="000000"/>
                <w:kern w:val="0"/>
                <w:szCs w:val="21"/>
              </w:rPr>
            </w:pPr>
            <w:r>
              <w:rPr>
                <w:rFonts w:hint="eastAsia" w:ascii="Times New Roman" w:hAnsi="Times New Roman" w:eastAsia="宋体" w:cs="Times New Roman"/>
                <w:i w:val="0"/>
                <w:color w:val="000000"/>
                <w:kern w:val="0"/>
                <w:sz w:val="24"/>
                <w:szCs w:val="24"/>
                <w:u w:val="none"/>
                <w:lang w:val="en-US" w:eastAsia="zh-CN" w:bidi="ar"/>
              </w:rPr>
              <w:t>0</w:t>
            </w:r>
          </w:p>
        </w:tc>
        <w:tc>
          <w:tcPr>
            <w:tcW w:w="222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default" w:ascii="Arial" w:hAnsi="Arial" w:eastAsia="宋体" w:cs="Arial"/>
                <w:color w:val="000000"/>
                <w:kern w:val="0"/>
                <w:szCs w:val="21"/>
              </w:rPr>
            </w:pPr>
            <w:r>
              <w:rPr>
                <w:rFonts w:hint="eastAsia" w:ascii="Times New Roman" w:hAnsi="Times New Roman" w:eastAsia="宋体" w:cs="Times New Roman"/>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405" w:hRule="atLeast"/>
        </w:trPr>
        <w:tc>
          <w:tcPr>
            <w:tcW w:w="8715"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8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黑体" w:cs="Times New Roman"/>
                <w:sz w:val="24"/>
                <w:szCs w:val="24"/>
              </w:rPr>
              <w:t>第二十条第（五）项</w:t>
            </w:r>
          </w:p>
        </w:tc>
      </w:tr>
      <w:tr>
        <w:tblPrEx>
          <w:tblCellMar>
            <w:top w:w="15" w:type="dxa"/>
            <w:left w:w="15" w:type="dxa"/>
            <w:bottom w:w="15" w:type="dxa"/>
            <w:right w:w="15" w:type="dxa"/>
          </w:tblCellMar>
        </w:tblPrEx>
        <w:trPr>
          <w:trHeight w:val="390"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leftChars="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信息内容</w:t>
            </w:r>
          </w:p>
        </w:tc>
        <w:tc>
          <w:tcPr>
            <w:tcW w:w="6421"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rPr>
                <w:rFonts w:hint="eastAsia" w:ascii="Arial" w:hAnsi="Arial" w:eastAsia="宋体" w:cs="Arial"/>
                <w:color w:val="000000"/>
                <w:kern w:val="0"/>
                <w:szCs w:val="21"/>
                <w:lang w:eastAsia="zh-CN"/>
              </w:rPr>
            </w:pPr>
            <w:r>
              <w:rPr>
                <w:rFonts w:hint="default" w:ascii="Times New Roman" w:hAnsi="Times New Roman" w:eastAsia="仿宋_GB2312" w:cs="Times New Roman"/>
                <w:sz w:val="24"/>
                <w:szCs w:val="24"/>
                <w:lang w:eastAsia="zh-CN"/>
              </w:rPr>
              <w:t>本年处理决定数量</w:t>
            </w:r>
          </w:p>
        </w:tc>
      </w:tr>
      <w:tr>
        <w:tblPrEx>
          <w:tblCellMar>
            <w:top w:w="15" w:type="dxa"/>
            <w:left w:w="15" w:type="dxa"/>
            <w:bottom w:w="15" w:type="dxa"/>
            <w:right w:w="15" w:type="dxa"/>
          </w:tblCellMar>
        </w:tblPrEx>
        <w:trPr>
          <w:trHeight w:val="405"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10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行政许可</w:t>
            </w:r>
          </w:p>
        </w:tc>
        <w:tc>
          <w:tcPr>
            <w:tcW w:w="6421"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default" w:ascii="Arial" w:hAnsi="Arial" w:eastAsia="宋体" w:cs="Arial"/>
                <w:color w:val="000000"/>
                <w:kern w:val="0"/>
                <w:szCs w:val="21"/>
              </w:rPr>
            </w:pPr>
            <w:r>
              <w:rPr>
                <w:rFonts w:hint="eastAsia" w:eastAsia="宋体" w:cs="Times New Roman"/>
                <w:i w:val="0"/>
                <w:color w:val="000000"/>
                <w:kern w:val="0"/>
                <w:sz w:val="24"/>
                <w:szCs w:val="24"/>
                <w:u w:val="none"/>
                <w:lang w:val="en-US" w:eastAsia="zh-CN" w:bidi="ar"/>
              </w:rPr>
              <w:t>0</w:t>
            </w:r>
          </w:p>
        </w:tc>
      </w:tr>
      <w:tr>
        <w:tblPrEx>
          <w:tblCellMar>
            <w:top w:w="15" w:type="dxa"/>
            <w:left w:w="15" w:type="dxa"/>
            <w:bottom w:w="15" w:type="dxa"/>
            <w:right w:w="15" w:type="dxa"/>
          </w:tblCellMar>
        </w:tblPrEx>
        <w:trPr>
          <w:trHeight w:val="405" w:hRule="atLeast"/>
        </w:trPr>
        <w:tc>
          <w:tcPr>
            <w:tcW w:w="8715"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8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黑体" w:cs="Times New Roman"/>
                <w:sz w:val="24"/>
                <w:szCs w:val="24"/>
              </w:rPr>
              <w:t>第二十条第（六）项</w:t>
            </w:r>
          </w:p>
        </w:tc>
      </w:tr>
      <w:tr>
        <w:tblPrEx>
          <w:tblCellMar>
            <w:top w:w="15" w:type="dxa"/>
            <w:left w:w="15" w:type="dxa"/>
            <w:bottom w:w="15" w:type="dxa"/>
            <w:right w:w="15" w:type="dxa"/>
          </w:tblCellMar>
        </w:tblPrEx>
        <w:trPr>
          <w:trHeight w:val="390"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100" w:beforeAutospacing="0" w:after="0" w:afterAutospacing="0" w:line="240" w:lineRule="auto"/>
              <w:ind w:left="0" w:leftChars="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信息内容</w:t>
            </w:r>
          </w:p>
        </w:tc>
        <w:tc>
          <w:tcPr>
            <w:tcW w:w="6421"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100" w:beforeAutospacing="0" w:after="0" w:afterAutospacing="0" w:line="240" w:lineRule="auto"/>
              <w:ind w:left="0" w:right="0" w:firstLine="0" w:firstLineChars="0"/>
              <w:jc w:val="both"/>
              <w:rPr>
                <w:rFonts w:hint="eastAsia" w:ascii="Arial" w:hAnsi="Arial" w:eastAsia="宋体" w:cs="Arial"/>
                <w:color w:val="000000"/>
                <w:kern w:val="0"/>
                <w:szCs w:val="21"/>
                <w:lang w:eastAsia="zh-CN"/>
              </w:rPr>
            </w:pPr>
            <w:r>
              <w:rPr>
                <w:rFonts w:hint="default" w:ascii="Times New Roman" w:hAnsi="Times New Roman" w:eastAsia="仿宋_GB2312" w:cs="Times New Roman"/>
                <w:sz w:val="24"/>
                <w:szCs w:val="24"/>
                <w:lang w:eastAsia="zh-CN"/>
              </w:rPr>
              <w:t>本年处理决定数量</w:t>
            </w:r>
          </w:p>
        </w:tc>
      </w:tr>
      <w:tr>
        <w:tblPrEx>
          <w:tblCellMar>
            <w:top w:w="15" w:type="dxa"/>
            <w:left w:w="15" w:type="dxa"/>
            <w:bottom w:w="15" w:type="dxa"/>
            <w:right w:w="15" w:type="dxa"/>
          </w:tblCellMar>
        </w:tblPrEx>
        <w:trPr>
          <w:trHeight w:val="330"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10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行政处罚</w:t>
            </w:r>
          </w:p>
        </w:tc>
        <w:tc>
          <w:tcPr>
            <w:tcW w:w="6421"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eastAsia" w:ascii="Arial" w:hAnsi="Arial" w:eastAsia="宋体" w:cs="Arial"/>
                <w:color w:val="000000"/>
                <w:kern w:val="0"/>
                <w:szCs w:val="21"/>
                <w:lang w:val="en-US" w:eastAsia="zh-CN"/>
              </w:rPr>
            </w:pPr>
            <w:r>
              <w:rPr>
                <w:rFonts w:hint="eastAsia" w:eastAsia="宋体" w:cs="Times New Roman"/>
                <w:i w:val="0"/>
                <w:color w:val="000000"/>
                <w:sz w:val="24"/>
                <w:szCs w:val="24"/>
                <w:u w:val="none"/>
                <w:lang w:val="en-US" w:eastAsia="zh-CN" w:bidi="en-US"/>
              </w:rPr>
              <w:t>0</w:t>
            </w:r>
          </w:p>
        </w:tc>
      </w:tr>
      <w:tr>
        <w:tblPrEx>
          <w:tblCellMar>
            <w:top w:w="15" w:type="dxa"/>
            <w:left w:w="15" w:type="dxa"/>
            <w:bottom w:w="15" w:type="dxa"/>
            <w:right w:w="15" w:type="dxa"/>
          </w:tblCellMar>
        </w:tblPrEx>
        <w:trPr>
          <w:trHeight w:val="315"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bottom"/>
          </w:tcPr>
          <w:p>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行政强制</w:t>
            </w:r>
          </w:p>
        </w:tc>
        <w:tc>
          <w:tcPr>
            <w:tcW w:w="6421"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eastAsia" w:ascii="Arial" w:hAnsi="Arial" w:eastAsia="宋体" w:cs="Arial"/>
                <w:color w:val="000000"/>
                <w:kern w:val="0"/>
                <w:szCs w:val="21"/>
                <w:lang w:val="en-US" w:eastAsia="zh-CN"/>
              </w:rPr>
            </w:pPr>
            <w:r>
              <w:rPr>
                <w:rFonts w:hint="eastAsia" w:eastAsia="宋体" w:cs="Times New Roman"/>
                <w:i w:val="0"/>
                <w:color w:val="000000"/>
                <w:sz w:val="24"/>
                <w:szCs w:val="24"/>
                <w:u w:val="none"/>
                <w:lang w:val="en-US" w:eastAsia="zh-CN" w:bidi="en-US"/>
              </w:rPr>
              <w:t>0</w:t>
            </w:r>
          </w:p>
        </w:tc>
      </w:tr>
      <w:tr>
        <w:tblPrEx>
          <w:tblCellMar>
            <w:top w:w="15" w:type="dxa"/>
            <w:left w:w="15" w:type="dxa"/>
            <w:bottom w:w="15" w:type="dxa"/>
            <w:right w:w="15" w:type="dxa"/>
          </w:tblCellMar>
        </w:tblPrEx>
        <w:trPr>
          <w:trHeight w:val="480" w:hRule="atLeast"/>
        </w:trPr>
        <w:tc>
          <w:tcPr>
            <w:tcW w:w="8715" w:type="dxa"/>
            <w:gridSpan w:val="4"/>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8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黑体" w:cs="Times New Roman"/>
                <w:sz w:val="24"/>
                <w:szCs w:val="24"/>
              </w:rPr>
              <w:t>第二十条第（八）项</w:t>
            </w:r>
          </w:p>
        </w:tc>
      </w:tr>
      <w:tr>
        <w:tblPrEx>
          <w:tblCellMar>
            <w:top w:w="15" w:type="dxa"/>
            <w:left w:w="15" w:type="dxa"/>
            <w:bottom w:w="15" w:type="dxa"/>
            <w:right w:w="15" w:type="dxa"/>
          </w:tblCellMar>
        </w:tblPrEx>
        <w:trPr>
          <w:trHeight w:val="450"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100" w:beforeAutospacing="0" w:after="0" w:afterAutospacing="0" w:line="240" w:lineRule="auto"/>
              <w:ind w:left="0" w:leftChars="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信息内容</w:t>
            </w:r>
          </w:p>
        </w:tc>
        <w:tc>
          <w:tcPr>
            <w:tcW w:w="6421" w:type="dxa"/>
            <w:gridSpan w:val="3"/>
            <w:tcBorders>
              <w:top w:val="single" w:color="auto" w:sz="6" w:space="0"/>
              <w:left w:val="single" w:color="auto" w:sz="6" w:space="0"/>
              <w:bottom w:val="single" w:color="auto" w:sz="6" w:space="0"/>
              <w:right w:val="single" w:color="000000"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100" w:beforeAutospacing="0" w:after="0" w:afterAutospacing="0" w:line="240" w:lineRule="auto"/>
              <w:ind w:left="0" w:right="0" w:firstLine="0" w:firstLineChars="0"/>
              <w:jc w:val="both"/>
              <w:rPr>
                <w:rFonts w:hint="eastAsia" w:ascii="Arial" w:hAnsi="Arial" w:eastAsia="宋体" w:cs="Arial"/>
                <w:color w:val="000000"/>
                <w:kern w:val="0"/>
                <w:szCs w:val="21"/>
                <w:lang w:eastAsia="zh-CN"/>
              </w:rPr>
            </w:pPr>
            <w:r>
              <w:rPr>
                <w:rFonts w:hint="default" w:ascii="Times New Roman" w:hAnsi="Times New Roman" w:eastAsia="仿宋_GB2312" w:cs="Times New Roman"/>
                <w:sz w:val="24"/>
                <w:szCs w:val="24"/>
                <w:lang w:eastAsia="zh-CN"/>
              </w:rPr>
              <w:t>本年收费金额（单位：万元）</w:t>
            </w:r>
          </w:p>
        </w:tc>
      </w:tr>
      <w:tr>
        <w:tblPrEx>
          <w:tblCellMar>
            <w:top w:w="15" w:type="dxa"/>
            <w:left w:w="15" w:type="dxa"/>
            <w:bottom w:w="15" w:type="dxa"/>
            <w:right w:w="15" w:type="dxa"/>
          </w:tblCellMar>
        </w:tblPrEx>
        <w:trPr>
          <w:trHeight w:val="435" w:hRule="atLeast"/>
        </w:trPr>
        <w:tc>
          <w:tcPr>
            <w:tcW w:w="229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top"/>
          </w:tcPr>
          <w:p>
            <w:pPr>
              <w:pStyle w:val="12"/>
              <w:keepNext w:val="0"/>
              <w:keepLines w:val="0"/>
              <w:pageBreakBefore w:val="0"/>
              <w:suppressLineNumbers w:val="0"/>
              <w:kinsoku/>
              <w:wordWrap/>
              <w:overflowPunct/>
              <w:topLinePunct w:val="0"/>
              <w:autoSpaceDE/>
              <w:autoSpaceDN/>
              <w:bidi w:val="0"/>
              <w:adjustRightInd/>
              <w:spacing w:before="100" w:beforeAutospacing="0" w:after="0" w:afterAutospacing="0" w:line="240" w:lineRule="auto"/>
              <w:ind w:left="0" w:right="0" w:firstLine="0" w:firstLineChars="0"/>
              <w:jc w:val="both"/>
              <w:rPr>
                <w:rFonts w:hint="default" w:ascii="Arial" w:hAnsi="Arial" w:eastAsia="宋体" w:cs="Arial"/>
                <w:color w:val="000000"/>
                <w:kern w:val="0"/>
                <w:szCs w:val="21"/>
              </w:rPr>
            </w:pPr>
            <w:r>
              <w:rPr>
                <w:rFonts w:hint="default" w:ascii="Times New Roman" w:hAnsi="Times New Roman" w:eastAsia="仿宋_GB2312" w:cs="Times New Roman"/>
                <w:sz w:val="24"/>
                <w:szCs w:val="24"/>
              </w:rPr>
              <w:t>行政事业性收费</w:t>
            </w:r>
          </w:p>
        </w:tc>
        <w:tc>
          <w:tcPr>
            <w:tcW w:w="6421" w:type="dxa"/>
            <w:gridSpan w:val="3"/>
            <w:tcBorders>
              <w:top w:val="single" w:color="auto" w:sz="6" w:space="0"/>
              <w:left w:val="single" w:color="auto" w:sz="6" w:space="0"/>
              <w:bottom w:val="single" w:color="auto" w:sz="6" w:space="0"/>
              <w:right w:val="single" w:color="000000" w:sz="6" w:space="0"/>
            </w:tcBorders>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eastAsia" w:ascii="Arial" w:hAnsi="Arial" w:eastAsia="宋体" w:cs="Arial"/>
                <w:color w:val="000000"/>
                <w:kern w:val="0"/>
                <w:szCs w:val="21"/>
                <w:lang w:val="en-US" w:eastAsia="zh-CN"/>
              </w:rPr>
            </w:pPr>
            <w:r>
              <w:rPr>
                <w:rFonts w:hint="eastAsia" w:eastAsia="宋体" w:cs="Times New Roman"/>
                <w:i w:val="0"/>
                <w:color w:val="000000"/>
                <w:sz w:val="24"/>
                <w:szCs w:val="24"/>
                <w:u w:val="none"/>
                <w:lang w:val="en-US" w:eastAsia="zh-CN" w:bidi="en-US"/>
              </w:rPr>
              <w:t>0</w:t>
            </w:r>
          </w:p>
        </w:tc>
      </w:tr>
    </w:tbl>
    <w:p>
      <w:pPr>
        <w:widowControl/>
        <w:shd w:val="clear" w:color="auto" w:fill="FFFFFF"/>
        <w:ind w:firstLine="615"/>
        <w:jc w:val="both"/>
        <w:rPr>
          <w:rFonts w:ascii="微软雅黑" w:hAnsi="微软雅黑" w:eastAsia="微软雅黑" w:cs="宋体"/>
          <w:color w:val="3D3D3D"/>
          <w:kern w:val="0"/>
          <w:sz w:val="23"/>
          <w:szCs w:val="23"/>
        </w:rPr>
      </w:pPr>
      <w:r>
        <w:rPr>
          <w:rFonts w:hint="eastAsia" w:ascii="黑体" w:hAnsi="黑体" w:eastAsia="黑体" w:cs="宋体"/>
          <w:b/>
          <w:bCs/>
          <w:color w:val="333333"/>
          <w:kern w:val="0"/>
          <w:sz w:val="32"/>
        </w:rPr>
        <w:t>三、收到和处理政府信息公开申请情况</w:t>
      </w:r>
    </w:p>
    <w:tbl>
      <w:tblPr>
        <w:tblStyle w:val="7"/>
        <w:tblW w:w="9075" w:type="dxa"/>
        <w:tblInd w:w="0" w:type="dxa"/>
        <w:tblLayout w:type="autofit"/>
        <w:tblCellMar>
          <w:top w:w="15" w:type="dxa"/>
          <w:left w:w="15" w:type="dxa"/>
          <w:bottom w:w="15" w:type="dxa"/>
          <w:right w:w="15" w:type="dxa"/>
        </w:tblCellMar>
      </w:tblPr>
      <w:tblGrid>
        <w:gridCol w:w="610"/>
        <w:gridCol w:w="1410"/>
        <w:gridCol w:w="2781"/>
        <w:gridCol w:w="847"/>
        <w:gridCol w:w="566"/>
        <w:gridCol w:w="566"/>
        <w:gridCol w:w="566"/>
        <w:gridCol w:w="566"/>
        <w:gridCol w:w="537"/>
        <w:gridCol w:w="626"/>
      </w:tblGrid>
      <w:tr>
        <w:tblPrEx>
          <w:tblCellMar>
            <w:top w:w="15" w:type="dxa"/>
            <w:left w:w="15" w:type="dxa"/>
            <w:bottom w:w="15" w:type="dxa"/>
            <w:right w:w="15" w:type="dxa"/>
          </w:tblCellMar>
        </w:tblPrEx>
        <w:trPr>
          <w:trHeight w:val="420" w:hRule="atLeast"/>
        </w:trPr>
        <w:tc>
          <w:tcPr>
            <w:tcW w:w="4801" w:type="dxa"/>
            <w:gridSpan w:val="3"/>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（本列数据的勾稽关系为：第一项加第二项之和，</w:t>
            </w:r>
          </w:p>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等于第三项加第四项之和）</w:t>
            </w:r>
          </w:p>
        </w:tc>
        <w:tc>
          <w:tcPr>
            <w:tcW w:w="4274" w:type="dxa"/>
            <w:gridSpan w:val="7"/>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315" w:lineRule="atLeast"/>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申请人情况</w:t>
            </w:r>
          </w:p>
        </w:tc>
      </w:tr>
      <w:tr>
        <w:tblPrEx>
          <w:tblCellMar>
            <w:top w:w="15" w:type="dxa"/>
            <w:left w:w="15" w:type="dxa"/>
            <w:bottom w:w="15" w:type="dxa"/>
            <w:right w:w="15" w:type="dxa"/>
          </w:tblCellMar>
        </w:tblPrEx>
        <w:trPr>
          <w:trHeight w:val="420" w:hRule="atLeast"/>
        </w:trPr>
        <w:tc>
          <w:tcPr>
            <w:tcW w:w="0" w:type="auto"/>
            <w:gridSpan w:val="3"/>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847"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自然人</w:t>
            </w:r>
          </w:p>
        </w:tc>
        <w:tc>
          <w:tcPr>
            <w:tcW w:w="2801" w:type="dxa"/>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315" w:lineRule="atLeast"/>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法人或其他组织</w:t>
            </w:r>
          </w:p>
        </w:tc>
        <w:tc>
          <w:tcPr>
            <w:tcW w:w="626"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总计</w:t>
            </w:r>
          </w:p>
        </w:tc>
      </w:tr>
      <w:tr>
        <w:tblPrEx>
          <w:tblCellMar>
            <w:top w:w="15" w:type="dxa"/>
            <w:left w:w="15" w:type="dxa"/>
            <w:bottom w:w="15" w:type="dxa"/>
            <w:right w:w="15" w:type="dxa"/>
          </w:tblCellMar>
        </w:tblPrEx>
        <w:trPr>
          <w:trHeight w:val="1125" w:hRule="atLeast"/>
        </w:trPr>
        <w:tc>
          <w:tcPr>
            <w:tcW w:w="0" w:type="auto"/>
            <w:gridSpan w:val="3"/>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315" w:lineRule="atLeast"/>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商业企业</w:t>
            </w: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315" w:lineRule="atLeast"/>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科研机构</w:t>
            </w: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315" w:lineRule="atLeast"/>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社会公益组织</w:t>
            </w: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315" w:lineRule="atLeast"/>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法律服务机构</w:t>
            </w: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360" w:lineRule="atLeast"/>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其他</w:t>
            </w: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r>
      <w:tr>
        <w:tblPrEx>
          <w:tblCellMar>
            <w:top w:w="15" w:type="dxa"/>
            <w:left w:w="15" w:type="dxa"/>
            <w:bottom w:w="15" w:type="dxa"/>
            <w:right w:w="15" w:type="dxa"/>
          </w:tblCellMar>
        </w:tblPrEx>
        <w:tc>
          <w:tcPr>
            <w:tcW w:w="4801"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一、本年新收政府信息公开申请数量</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210" w:firstLineChars="100"/>
              <w:jc w:val="both"/>
              <w:rPr>
                <w:rFonts w:hint="eastAsia"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5</w:t>
            </w: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Arial" w:hAnsi="Arial" w:eastAsia="宋体" w:cs="Arial"/>
                <w:color w:val="000000"/>
                <w:kern w:val="0"/>
                <w:szCs w:val="21"/>
                <w:lang w:eastAsia="zh-CN"/>
              </w:rPr>
            </w:pPr>
            <w:r>
              <w:rPr>
                <w:rFonts w:hint="eastAsia" w:ascii="宋体" w:hAnsi="宋体" w:eastAsia="宋体" w:cs="Arial"/>
                <w:color w:val="000000"/>
                <w:kern w:val="0"/>
                <w:szCs w:val="21"/>
                <w:lang w:val="en-US" w:eastAsia="zh-CN"/>
              </w:rPr>
              <w:t>5</w:t>
            </w:r>
          </w:p>
        </w:tc>
      </w:tr>
      <w:tr>
        <w:tblPrEx>
          <w:tblCellMar>
            <w:top w:w="15" w:type="dxa"/>
            <w:left w:w="15" w:type="dxa"/>
            <w:bottom w:w="15" w:type="dxa"/>
            <w:right w:w="15" w:type="dxa"/>
          </w:tblCellMar>
        </w:tblPrEx>
        <w:tc>
          <w:tcPr>
            <w:tcW w:w="4801"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二、上年结转政府信息公开申请数量</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330" w:hRule="atLeast"/>
        </w:trPr>
        <w:tc>
          <w:tcPr>
            <w:tcW w:w="61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三、本年度办理结果</w:t>
            </w:r>
          </w:p>
        </w:tc>
        <w:tc>
          <w:tcPr>
            <w:tcW w:w="4191"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（一）予以公开</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Arial" w:hAnsi="Arial" w:eastAsia="宋体" w:cs="Arial"/>
                <w:color w:val="000000"/>
                <w:kern w:val="0"/>
                <w:szCs w:val="21"/>
                <w:lang w:eastAsia="zh-CN"/>
              </w:rPr>
            </w:pPr>
            <w:r>
              <w:rPr>
                <w:rFonts w:hint="eastAsia" w:ascii="宋体" w:hAnsi="宋体" w:eastAsia="宋体" w:cs="Arial"/>
                <w:color w:val="000000"/>
                <w:kern w:val="0"/>
                <w:szCs w:val="21"/>
                <w:lang w:val="en-US" w:eastAsia="zh-CN"/>
              </w:rPr>
              <w:t>3</w:t>
            </w:r>
          </w:p>
        </w:tc>
      </w:tr>
      <w:tr>
        <w:tblPrEx>
          <w:tblCellMar>
            <w:top w:w="15" w:type="dxa"/>
            <w:left w:w="15" w:type="dxa"/>
            <w:bottom w:w="15" w:type="dxa"/>
            <w:right w:w="15" w:type="dxa"/>
          </w:tblCellMar>
        </w:tblPrEx>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4191" w:type="dxa"/>
            <w:gridSpan w:val="2"/>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（二）部分公开（区分处理的，只计这一情形，不计其他情形）</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141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（三）不予公开</w:t>
            </w: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1.属于国家秘密</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2.其他法律行政法规禁止公开</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3.危及“三安全一稳定”</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4.保护第三方合法权益</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5.属于三类内部事务信息</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Arial" w:hAnsi="Arial" w:eastAsia="宋体" w:cs="Arial"/>
                <w:color w:val="000000"/>
                <w:kern w:val="0"/>
                <w:szCs w:val="21"/>
                <w:lang w:eastAsia="zh-CN"/>
              </w:rPr>
            </w:pPr>
            <w:r>
              <w:rPr>
                <w:rFonts w:hint="eastAsia" w:ascii="宋体" w:hAnsi="宋体" w:eastAsia="宋体" w:cs="Arial"/>
                <w:color w:val="000000"/>
                <w:kern w:val="0"/>
                <w:szCs w:val="21"/>
                <w:lang w:val="en-US" w:eastAsia="zh-CN"/>
              </w:rPr>
              <w:t>1</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6.属于四类过程性信息</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7.属于行政执法案卷</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8.属于行政查询事项</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141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（四）无法提供</w:t>
            </w: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1.本机关不掌握相关政府信息</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2.没有现成信息需要另行制作</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lang w:val="en-US" w:eastAsia="zh-CN"/>
              </w:rPr>
            </w:pPr>
            <w:r>
              <w:rPr>
                <w:rFonts w:hint="eastAsia" w:ascii="Arial" w:hAnsi="Arial" w:eastAsia="宋体" w:cs="Arial"/>
                <w:color w:val="000000"/>
                <w:kern w:val="0"/>
                <w:szCs w:val="21"/>
                <w:lang w:val="en-US" w:eastAsia="zh-CN"/>
              </w:rPr>
              <w:t>1</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3.补正后申请内容仍不明确</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1410" w:type="dxa"/>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（五）不予处理</w:t>
            </w: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1.信访举报投诉类申请</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2.重复申请</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45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3.要求提供公开出版物</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rPr>
          <w:trHeight w:val="39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195"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4.无正当理由大量反复申请</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line="300" w:lineRule="atLeast"/>
              <w:ind w:left="0" w:right="0"/>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5.要求行政机关确认或重新</w:t>
            </w:r>
          </w:p>
          <w:p>
            <w:pPr>
              <w:keepNext w:val="0"/>
              <w:keepLines w:val="0"/>
              <w:widowControl/>
              <w:suppressLineNumbers w:val="0"/>
              <w:spacing w:before="0" w:beforeAutospacing="0" w:after="0" w:afterAutospacing="0" w:line="300" w:lineRule="atLeast"/>
              <w:ind w:left="0" w:right="0" w:firstLine="195"/>
              <w:jc w:val="both"/>
              <w:rPr>
                <w:rFonts w:hint="default" w:ascii="Arial" w:hAnsi="Arial" w:eastAsia="宋体" w:cs="Arial"/>
                <w:color w:val="000000"/>
                <w:kern w:val="0"/>
                <w:szCs w:val="21"/>
              </w:rPr>
            </w:pPr>
            <w:r>
              <w:rPr>
                <w:rFonts w:hint="eastAsia" w:ascii="楷体" w:hAnsi="楷体" w:eastAsia="楷体" w:cs="Arial"/>
                <w:color w:val="000000"/>
                <w:kern w:val="0"/>
                <w:sz w:val="20"/>
                <w:szCs w:val="20"/>
              </w:rPr>
              <w:t>出具已获取信息</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Cs w:val="21"/>
              </w:rPr>
              <w:t>0</w:t>
            </w:r>
          </w:p>
        </w:tc>
      </w:tr>
      <w:tr>
        <w:tblPrEx>
          <w:tblCellMar>
            <w:top w:w="15" w:type="dxa"/>
            <w:left w:w="15" w:type="dxa"/>
            <w:bottom w:w="15" w:type="dxa"/>
            <w:right w:w="15" w:type="dxa"/>
          </w:tblCellMar>
        </w:tblPrEx>
        <w:tc>
          <w:tcPr>
            <w:tcW w:w="610" w:type="dxa"/>
            <w:vMerge w:val="restart"/>
            <w:tcBorders>
              <w:top w:val="single" w:color="auto" w:sz="6" w:space="0"/>
              <w:left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0"/>
                <w:szCs w:val="20"/>
              </w:rPr>
            </w:pPr>
          </w:p>
        </w:tc>
        <w:tc>
          <w:tcPr>
            <w:tcW w:w="1410" w:type="dxa"/>
            <w:vMerge w:val="restart"/>
            <w:tcBorders>
              <w:top w:val="single" w:color="auto" w:sz="6" w:space="0"/>
              <w:left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楷体" w:cs="Arial"/>
                <w:color w:val="000000"/>
                <w:kern w:val="0"/>
                <w:sz w:val="20"/>
                <w:szCs w:val="20"/>
                <w:lang w:eastAsia="zh-CN"/>
              </w:rPr>
            </w:pPr>
            <w:r>
              <w:rPr>
                <w:rFonts w:hint="eastAsia" w:ascii="楷体" w:hAnsi="楷体" w:eastAsia="楷体" w:cs="Arial"/>
                <w:color w:val="000000"/>
                <w:kern w:val="0"/>
                <w:sz w:val="20"/>
                <w:szCs w:val="20"/>
              </w:rPr>
              <w:t>（</w:t>
            </w:r>
            <w:r>
              <w:rPr>
                <w:rFonts w:hint="eastAsia" w:ascii="楷体" w:hAnsi="楷体" w:eastAsia="楷体" w:cs="Arial"/>
                <w:color w:val="000000"/>
                <w:kern w:val="0"/>
                <w:sz w:val="20"/>
                <w:szCs w:val="20"/>
                <w:lang w:eastAsia="zh-CN"/>
              </w:rPr>
              <w:t>六</w:t>
            </w:r>
            <w:r>
              <w:rPr>
                <w:rFonts w:hint="eastAsia" w:ascii="楷体" w:hAnsi="楷体" w:eastAsia="楷体" w:cs="Arial"/>
                <w:color w:val="000000"/>
                <w:kern w:val="0"/>
                <w:sz w:val="20"/>
                <w:szCs w:val="20"/>
              </w:rPr>
              <w:t>）</w:t>
            </w:r>
            <w:r>
              <w:rPr>
                <w:rFonts w:hint="eastAsia" w:ascii="楷体" w:hAnsi="楷体" w:eastAsia="楷体" w:cs="Arial"/>
                <w:color w:val="000000"/>
                <w:kern w:val="0"/>
                <w:sz w:val="20"/>
                <w:szCs w:val="20"/>
                <w:lang w:eastAsia="zh-CN"/>
              </w:rPr>
              <w:t>其他处理</w:t>
            </w: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1.申请人无正当理由逾期不补正、行政机关不在处理其他政府信息公开申请</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0</w:t>
            </w:r>
          </w:p>
        </w:tc>
      </w:tr>
      <w:tr>
        <w:tblPrEx>
          <w:tblCellMar>
            <w:top w:w="15" w:type="dxa"/>
            <w:left w:w="15" w:type="dxa"/>
            <w:bottom w:w="15" w:type="dxa"/>
            <w:right w:w="15" w:type="dxa"/>
          </w:tblCellMar>
        </w:tblPrEx>
        <w:tc>
          <w:tcPr>
            <w:tcW w:w="610" w:type="dxa"/>
            <w:vMerge w:val="continue"/>
            <w:tcBorders>
              <w:left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0"/>
                <w:szCs w:val="20"/>
              </w:rPr>
            </w:pPr>
          </w:p>
        </w:tc>
        <w:tc>
          <w:tcPr>
            <w:tcW w:w="1410" w:type="dxa"/>
            <w:vMerge w:val="continue"/>
            <w:tcBorders>
              <w:left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0"/>
                <w:szCs w:val="20"/>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2.申请人预期未按收费通知要求缴纳费用、行政机关不再处理旗政府信息公开申请</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0</w:t>
            </w:r>
          </w:p>
        </w:tc>
      </w:tr>
      <w:tr>
        <w:tblPrEx>
          <w:tblCellMar>
            <w:top w:w="15" w:type="dxa"/>
            <w:left w:w="15" w:type="dxa"/>
            <w:bottom w:w="15" w:type="dxa"/>
            <w:right w:w="15" w:type="dxa"/>
          </w:tblCellMar>
        </w:tblPrEx>
        <w:tc>
          <w:tcPr>
            <w:tcW w:w="610" w:type="dxa"/>
            <w:vMerge w:val="continue"/>
            <w:tcBorders>
              <w:left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0"/>
                <w:szCs w:val="20"/>
              </w:rPr>
            </w:pPr>
          </w:p>
        </w:tc>
        <w:tc>
          <w:tcPr>
            <w:tcW w:w="1410" w:type="dxa"/>
            <w:vMerge w:val="continue"/>
            <w:tcBorders>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0"/>
                <w:szCs w:val="20"/>
              </w:rPr>
            </w:pPr>
          </w:p>
        </w:tc>
        <w:tc>
          <w:tcPr>
            <w:tcW w:w="2781"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3.其他</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0</w:t>
            </w:r>
          </w:p>
        </w:tc>
      </w:tr>
      <w:tr>
        <w:tblPrEx>
          <w:tblCellMar>
            <w:top w:w="15" w:type="dxa"/>
            <w:left w:w="15" w:type="dxa"/>
            <w:bottom w:w="15" w:type="dxa"/>
            <w:right w:w="15" w:type="dxa"/>
          </w:tblCellMar>
        </w:tblPrEx>
        <w:tc>
          <w:tcPr>
            <w:tcW w:w="610" w:type="dxa"/>
            <w:vMerge w:val="continue"/>
            <w:tcBorders>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0"/>
                <w:szCs w:val="20"/>
              </w:rPr>
            </w:pPr>
          </w:p>
        </w:tc>
        <w:tc>
          <w:tcPr>
            <w:tcW w:w="4191" w:type="dxa"/>
            <w:gridSpan w:val="2"/>
            <w:tcBorders>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eastAsia="zh-CN"/>
              </w:rPr>
              <w:t>（七）总计</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5</w:t>
            </w:r>
          </w:p>
        </w:tc>
      </w:tr>
      <w:tr>
        <w:tblPrEx>
          <w:tblCellMar>
            <w:top w:w="15" w:type="dxa"/>
            <w:left w:w="15" w:type="dxa"/>
            <w:bottom w:w="15" w:type="dxa"/>
            <w:right w:w="15" w:type="dxa"/>
          </w:tblCellMar>
        </w:tblPrEx>
        <w:tc>
          <w:tcPr>
            <w:tcW w:w="4801" w:type="dxa"/>
            <w:gridSpan w:val="3"/>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0"/>
                <w:szCs w:val="20"/>
              </w:rPr>
              <w:t>四、结转下年度继续办理</w:t>
            </w:r>
          </w:p>
        </w:tc>
        <w:tc>
          <w:tcPr>
            <w:tcW w:w="84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6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5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p>
        </w:tc>
        <w:tc>
          <w:tcPr>
            <w:tcW w:w="626"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both"/>
              <w:rPr>
                <w:rFonts w:hint="default" w:ascii="Arial" w:hAnsi="Arial" w:eastAsia="宋体" w:cs="Arial"/>
                <w:color w:val="000000"/>
                <w:kern w:val="0"/>
                <w:szCs w:val="21"/>
              </w:rPr>
            </w:pPr>
            <w:r>
              <w:rPr>
                <w:rFonts w:hint="eastAsia" w:ascii="宋体" w:hAnsi="宋体" w:eastAsia="宋体" w:cs="Arial"/>
                <w:color w:val="000000"/>
                <w:kern w:val="0"/>
                <w:sz w:val="24"/>
                <w:szCs w:val="24"/>
              </w:rPr>
              <w:t>0</w:t>
            </w:r>
          </w:p>
        </w:tc>
      </w:tr>
    </w:tbl>
    <w:p>
      <w:pPr>
        <w:widowControl/>
        <w:shd w:val="clear" w:color="auto" w:fill="FFFFFF"/>
        <w:ind w:firstLine="420"/>
        <w:jc w:val="both"/>
        <w:rPr>
          <w:rFonts w:ascii="微软雅黑" w:hAnsi="微软雅黑" w:eastAsia="微软雅黑" w:cs="宋体"/>
          <w:color w:val="3D3D3D"/>
          <w:kern w:val="0"/>
          <w:sz w:val="23"/>
          <w:szCs w:val="23"/>
        </w:rPr>
      </w:pPr>
      <w:r>
        <w:rPr>
          <w:rFonts w:hint="eastAsia" w:ascii="宋体" w:hAnsi="宋体" w:eastAsia="宋体" w:cs="宋体"/>
          <w:color w:val="333333"/>
          <w:kern w:val="0"/>
          <w:sz w:val="24"/>
          <w:szCs w:val="24"/>
        </w:rPr>
        <w:t> </w:t>
      </w:r>
    </w:p>
    <w:p>
      <w:pPr>
        <w:widowControl/>
        <w:shd w:val="clear" w:color="auto" w:fill="FFFFFF"/>
        <w:ind w:firstLine="480" w:firstLineChars="150"/>
        <w:jc w:val="both"/>
        <w:rPr>
          <w:rFonts w:ascii="微软雅黑" w:hAnsi="微软雅黑" w:eastAsia="微软雅黑" w:cs="宋体"/>
          <w:color w:val="3D3D3D"/>
          <w:kern w:val="0"/>
          <w:sz w:val="23"/>
          <w:szCs w:val="23"/>
        </w:rPr>
      </w:pPr>
      <w:r>
        <w:rPr>
          <w:rFonts w:hint="eastAsia" w:ascii="黑体" w:hAnsi="黑体" w:eastAsia="黑体" w:cs="宋体"/>
          <w:color w:val="333333"/>
          <w:kern w:val="0"/>
          <w:sz w:val="32"/>
          <w:szCs w:val="32"/>
        </w:rPr>
        <w:t>四、政府信息公开行政复议、行政诉讼情况</w:t>
      </w:r>
    </w:p>
    <w:p>
      <w:pPr>
        <w:widowControl/>
        <w:shd w:val="clear" w:color="auto" w:fill="FFFFFF"/>
        <w:ind w:firstLine="420"/>
        <w:jc w:val="both"/>
        <w:rPr>
          <w:rFonts w:ascii="微软雅黑" w:hAnsi="微软雅黑" w:eastAsia="微软雅黑" w:cs="宋体"/>
          <w:color w:val="3D3D3D"/>
          <w:kern w:val="0"/>
          <w:sz w:val="23"/>
          <w:szCs w:val="23"/>
        </w:rPr>
      </w:pPr>
      <w:r>
        <w:rPr>
          <w:rFonts w:hint="eastAsia" w:ascii="宋体" w:hAnsi="宋体" w:eastAsia="宋体" w:cs="宋体"/>
          <w:color w:val="333333"/>
          <w:kern w:val="0"/>
          <w:sz w:val="24"/>
          <w:szCs w:val="24"/>
        </w:rPr>
        <w:t> </w:t>
      </w:r>
    </w:p>
    <w:p>
      <w:pPr>
        <w:widowControl/>
        <w:shd w:val="clear" w:color="auto" w:fill="FFFFFF"/>
        <w:jc w:val="both"/>
        <w:rPr>
          <w:rFonts w:ascii="微软雅黑" w:hAnsi="微软雅黑" w:eastAsia="微软雅黑" w:cs="宋体"/>
          <w:color w:val="3D3D3D"/>
          <w:kern w:val="0"/>
          <w:sz w:val="23"/>
          <w:szCs w:val="23"/>
        </w:rPr>
      </w:pPr>
      <w:r>
        <w:rPr>
          <w:rFonts w:hint="eastAsia" w:ascii="宋体" w:hAnsi="宋体" w:eastAsia="宋体" w:cs="宋体"/>
          <w:color w:val="333333"/>
          <w:kern w:val="0"/>
          <w:sz w:val="24"/>
          <w:szCs w:val="24"/>
        </w:rPr>
        <w:t> </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618"/>
        <w:gridCol w:w="618"/>
        <w:gridCol w:w="618"/>
        <w:gridCol w:w="679"/>
        <w:gridCol w:w="563"/>
        <w:gridCol w:w="619"/>
        <w:gridCol w:w="619"/>
        <w:gridCol w:w="619"/>
        <w:gridCol w:w="625"/>
        <w:gridCol w:w="619"/>
        <w:gridCol w:w="619"/>
        <w:gridCol w:w="619"/>
        <w:gridCol w:w="620"/>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315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行政复议</w:t>
            </w:r>
          </w:p>
        </w:tc>
        <w:tc>
          <w:tcPr>
            <w:tcW w:w="614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7"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49" w:leftChars="-71" w:right="-170" w:rightChars="-81"/>
              <w:jc w:val="both"/>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49" w:leftChars="-71" w:right="-170" w:rightChars="-81"/>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维持</w:t>
            </w:r>
          </w:p>
        </w:tc>
        <w:tc>
          <w:tcPr>
            <w:tcW w:w="6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3" w:leftChars="-21" w:right="-132" w:rightChars="-63" w:hanging="1"/>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结果纠正</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82" w:leftChars="-39" w:right="-97" w:rightChars="-46"/>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其他结果</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8" w:leftChars="-56" w:right="-118" w:rightChars="-56"/>
              <w:jc w:val="both"/>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尚未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8" w:leftChars="-56" w:right="-118" w:rightChars="-56"/>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审结</w:t>
            </w:r>
          </w:p>
        </w:tc>
        <w:tc>
          <w:tcPr>
            <w:tcW w:w="679"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计</w:t>
            </w:r>
          </w:p>
        </w:tc>
        <w:tc>
          <w:tcPr>
            <w:tcW w:w="304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未经复议直接起诉</w:t>
            </w:r>
          </w:p>
        </w:tc>
        <w:tc>
          <w:tcPr>
            <w:tcW w:w="3103"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2"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p>
        </w:tc>
        <w:tc>
          <w:tcPr>
            <w:tcW w:w="6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p>
        </w:tc>
        <w:tc>
          <w:tcPr>
            <w:tcW w:w="679"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05" w:leftChars="-50" w:right="-126" w:rightChars="-6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结果维持</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86" w:leftChars="-41" w:right="-88" w:rightChars="-42"/>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结果纠正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26" w:leftChars="-60" w:right="-136" w:rightChars="-65"/>
              <w:jc w:val="both"/>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26" w:leftChars="-60" w:right="-136" w:rightChars="-65"/>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结果</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64" w:leftChars="-78" w:right="-153" w:rightChars="-73"/>
              <w:jc w:val="both"/>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尚未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64" w:leftChars="-78" w:right="-153" w:rightChars="-73"/>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审结</w:t>
            </w:r>
          </w:p>
        </w:tc>
        <w:tc>
          <w:tcPr>
            <w:tcW w:w="62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rPr>
              <w:t>总计</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99" w:leftChars="-47" w:right="-78" w:rightChars="-37"/>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结果维持</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36" w:leftChars="-65" w:right="-124" w:rightChars="-59"/>
              <w:jc w:val="both"/>
              <w:textAlignment w:val="auto"/>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36" w:leftChars="-65" w:right="-124" w:rightChars="-59"/>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纠正</w:t>
            </w:r>
          </w:p>
        </w:tc>
        <w:tc>
          <w:tcPr>
            <w:tcW w:w="619"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73" w:leftChars="-83" w:right="-134" w:rightChars="-64" w:hanging="1"/>
              <w:jc w:val="both"/>
              <w:textAlignment w:val="auto"/>
              <w:rPr>
                <w:rFonts w:hint="default" w:ascii="Times New Roman" w:hAnsi="Times New Roman" w:eastAsia="黑体" w:cs="Times New Roman"/>
                <w:color w:val="000000"/>
                <w:kern w:val="0"/>
                <w:sz w:val="24"/>
                <w:szCs w:val="24"/>
              </w:rPr>
            </w:pPr>
            <w:r>
              <w:rPr>
                <w:rFonts w:hint="default" w:ascii="Times New Roman" w:hAnsi="Times New Roman" w:eastAsia="黑体" w:cs="Times New Roman"/>
                <w:color w:val="000000"/>
                <w:kern w:val="0"/>
                <w:sz w:val="24"/>
                <w:szCs w:val="24"/>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73" w:leftChars="-83" w:right="-134" w:rightChars="-64" w:hanging="1"/>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rPr>
              <w:t>结果</w:t>
            </w:r>
          </w:p>
        </w:tc>
        <w:tc>
          <w:tcPr>
            <w:tcW w:w="62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7" w:leftChars="-33" w:right="-105" w:rightChars="-50" w:hanging="2" w:hangingChars="1"/>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kern w:val="0"/>
                <w:sz w:val="24"/>
                <w:szCs w:val="24"/>
              </w:rPr>
              <w:t>尚未审结</w:t>
            </w:r>
          </w:p>
        </w:tc>
        <w:tc>
          <w:tcPr>
            <w:tcW w:w="62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黑体" w:cs="Times New Roman"/>
                <w:sz w:val="24"/>
                <w:szCs w:val="24"/>
              </w:rPr>
            </w:pPr>
            <w:r>
              <w:rPr>
                <w:rFonts w:hint="default" w:ascii="Times New Roman" w:hAnsi="Times New Roman" w:eastAsia="黑体" w:cs="Times New Roman"/>
                <w:color w:val="000000"/>
                <w:kern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4" w:hRule="atLeast"/>
          <w:jc w:val="center"/>
        </w:trPr>
        <w:tc>
          <w:tcPr>
            <w:tcW w:w="61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r>
              <w:rPr>
                <w:rFonts w:hint="eastAsia" w:cs="Times New Roman"/>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kern w:val="0"/>
                <w:sz w:val="24"/>
                <w:szCs w:val="24"/>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eastAsia" w:cs="Times New Roman"/>
                <w:kern w:val="0"/>
                <w:sz w:val="24"/>
                <w:szCs w:val="24"/>
                <w:lang w:val="en-US" w:eastAsia="zh-CN"/>
              </w:rPr>
              <w:t>0</w:t>
            </w:r>
          </w:p>
        </w:tc>
        <w:tc>
          <w:tcPr>
            <w:tcW w:w="56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eastAsia"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kern w:val="0"/>
                <w:sz w:val="24"/>
                <w:szCs w:val="24"/>
                <w:lang w:val="en-US" w:eastAsia="zh-CN"/>
              </w:rPr>
              <w:t>0</w:t>
            </w:r>
          </w:p>
        </w:tc>
        <w:tc>
          <w:tcPr>
            <w:tcW w:w="62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r>
              <w:rPr>
                <w:rFonts w:hint="eastAsia" w:cs="Times New Roman"/>
                <w:color w:val="000000"/>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1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00000"/>
                <w:kern w:val="0"/>
                <w:sz w:val="24"/>
                <w:szCs w:val="24"/>
                <w:lang w:val="en-US" w:eastAsia="zh-CN"/>
              </w:rPr>
              <w:t>0</w:t>
            </w:r>
          </w:p>
        </w:tc>
        <w:tc>
          <w:tcPr>
            <w:tcW w:w="6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kern w:val="0"/>
                <w:sz w:val="24"/>
                <w:szCs w:val="24"/>
                <w:lang w:val="en-US" w:eastAsia="zh-CN"/>
              </w:rPr>
              <w:t>0</w:t>
            </w:r>
          </w:p>
        </w:tc>
        <w:tc>
          <w:tcPr>
            <w:tcW w:w="62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pPr>
        <w:widowControl/>
        <w:shd w:val="clear" w:color="auto" w:fill="FFFFFF"/>
        <w:jc w:val="both"/>
        <w:rPr>
          <w:rFonts w:ascii="微软雅黑" w:hAnsi="微软雅黑" w:eastAsia="微软雅黑" w:cs="宋体"/>
          <w:color w:val="3D3D3D"/>
          <w:kern w:val="0"/>
          <w:sz w:val="23"/>
          <w:szCs w:val="23"/>
        </w:rPr>
      </w:pPr>
    </w:p>
    <w:p>
      <w:pPr>
        <w:widowControl/>
        <w:shd w:val="clear" w:color="auto" w:fill="FFFFFF"/>
        <w:ind w:firstLine="420"/>
        <w:jc w:val="both"/>
        <w:rPr>
          <w:rFonts w:ascii="微软雅黑" w:hAnsi="微软雅黑" w:eastAsia="微软雅黑" w:cs="宋体"/>
          <w:color w:val="3D3D3D"/>
          <w:kern w:val="0"/>
          <w:sz w:val="23"/>
          <w:szCs w:val="23"/>
        </w:rPr>
      </w:pPr>
      <w:r>
        <w:rPr>
          <w:rFonts w:hint="eastAsia" w:ascii="黑体" w:hAnsi="黑体" w:eastAsia="黑体" w:cs="宋体"/>
          <w:color w:val="333333"/>
          <w:kern w:val="0"/>
          <w:sz w:val="32"/>
          <w:szCs w:val="32"/>
        </w:rPr>
        <w:t>五、存在的主要问题及改进情况</w:t>
      </w:r>
    </w:p>
    <w:p>
      <w:pPr>
        <w:widowControl/>
        <w:shd w:val="clear" w:color="auto" w:fill="FFFFFF"/>
        <w:ind w:firstLine="321" w:firstLineChars="100"/>
        <w:jc w:val="both"/>
        <w:rPr>
          <w:rFonts w:hint="eastAsia" w:ascii="Times New Roman" w:hAnsi="Times New Roman" w:eastAsia="仿宋_GB2312" w:cs="Times New Roman"/>
          <w:b/>
          <w:bCs/>
          <w:color w:val="3D3D3D"/>
          <w:kern w:val="0"/>
          <w:sz w:val="32"/>
          <w:szCs w:val="22"/>
          <w:lang w:val="en-US" w:eastAsia="zh-CN" w:bidi="ar-SA"/>
        </w:rPr>
      </w:pPr>
      <w:r>
        <w:rPr>
          <w:rFonts w:hint="eastAsia" w:ascii="Times New Roman" w:hAnsi="Times New Roman" w:eastAsia="仿宋_GB2312" w:cs="Times New Roman"/>
          <w:b/>
          <w:bCs/>
          <w:color w:val="3D3D3D"/>
          <w:kern w:val="0"/>
          <w:sz w:val="32"/>
          <w:szCs w:val="22"/>
          <w:lang w:val="en-US" w:eastAsia="zh-CN" w:bidi="ar-SA"/>
        </w:rPr>
        <w:t>（一）工作中存在的主要问题和困难</w:t>
      </w:r>
    </w:p>
    <w:p>
      <w:pPr>
        <w:widowControl/>
        <w:shd w:val="clear" w:color="auto" w:fill="FFFFFF"/>
        <w:jc w:val="both"/>
        <w:rPr>
          <w:rFonts w:hint="eastAsia" w:ascii="Times New Roman" w:hAnsi="Times New Roman" w:eastAsia="仿宋_GB2312" w:cs="Times New Roman"/>
          <w:b/>
          <w:bCs/>
          <w:color w:val="3D3D3D"/>
          <w:kern w:val="0"/>
          <w:sz w:val="32"/>
          <w:szCs w:val="22"/>
          <w:lang w:val="en-US" w:eastAsia="zh-CN" w:bidi="ar-SA"/>
        </w:rPr>
      </w:pPr>
      <w:r>
        <w:rPr>
          <w:rFonts w:hint="eastAsia" w:ascii="Times New Roman" w:hAnsi="Times New Roman" w:eastAsia="仿宋_GB2312" w:cs="Times New Roman"/>
          <w:b/>
          <w:bCs/>
          <w:color w:val="3D3D3D"/>
          <w:kern w:val="0"/>
          <w:sz w:val="32"/>
          <w:szCs w:val="22"/>
          <w:lang w:val="en-US" w:eastAsia="zh-CN" w:bidi="ar-SA"/>
        </w:rPr>
        <w:t xml:space="preserve">    </w:t>
      </w:r>
      <w:r>
        <w:rPr>
          <w:rFonts w:hint="eastAsia" w:ascii="仿宋_GB2312" w:hAnsi="仿宋_GB2312" w:eastAsia="仿宋_GB2312" w:cs="仿宋_GB2312"/>
          <w:kern w:val="2"/>
          <w:sz w:val="32"/>
          <w:szCs w:val="32"/>
          <w:lang w:val="en-US" w:eastAsia="zh-CN" w:bidi="ar-SA"/>
        </w:rPr>
        <w:t>一是信息更新不够及时、信息公开的范围相对狭窄；二是从事信息公开的不是专职人员，专业水平不够高；三是信息发布不均衡，部分栏目发布信息较多，部门文件及办公会议等其他栏目发布信息较少。</w:t>
      </w:r>
    </w:p>
    <w:p>
      <w:pPr>
        <w:widowControl/>
        <w:shd w:val="clear" w:color="auto" w:fill="FFFFFF"/>
        <w:jc w:val="both"/>
        <w:rPr>
          <w:rFonts w:hint="eastAsia" w:ascii="Times New Roman" w:hAnsi="Times New Roman" w:eastAsia="仿宋_GB2312" w:cs="Times New Roman"/>
          <w:b/>
          <w:bCs/>
          <w:color w:val="3D3D3D"/>
          <w:kern w:val="0"/>
          <w:sz w:val="32"/>
          <w:szCs w:val="22"/>
          <w:lang w:val="en-US" w:eastAsia="zh-CN" w:bidi="ar-SA"/>
        </w:rPr>
      </w:pPr>
      <w:r>
        <w:rPr>
          <w:rFonts w:hint="eastAsia" w:ascii="Times New Roman" w:hAnsi="Times New Roman" w:eastAsia="仿宋_GB2312" w:cs="Times New Roman"/>
          <w:b/>
          <w:bCs/>
          <w:color w:val="3D3D3D"/>
          <w:kern w:val="0"/>
          <w:sz w:val="32"/>
          <w:szCs w:val="22"/>
          <w:lang w:val="en-US" w:eastAsia="zh-CN" w:bidi="ar-SA"/>
        </w:rPr>
        <w:t>  （二）具体解决办法和改进措施</w:t>
      </w:r>
    </w:p>
    <w:p>
      <w:pPr>
        <w:widowControl/>
        <w:shd w:val="clear" w:color="auto" w:fill="FFFFFF"/>
        <w:jc w:val="both"/>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
          <w:bCs/>
          <w:color w:val="3D3D3D"/>
          <w:kern w:val="0"/>
          <w:sz w:val="32"/>
          <w:szCs w:val="22"/>
          <w:lang w:val="en-US" w:eastAsia="zh-CN" w:bidi="ar-SA"/>
        </w:rPr>
        <w:t xml:space="preserve">    </w:t>
      </w:r>
      <w:r>
        <w:rPr>
          <w:rFonts w:hint="eastAsia" w:ascii="仿宋_GB2312" w:hAnsi="仿宋_GB2312" w:eastAsia="仿宋_GB2312" w:cs="仿宋_GB2312"/>
          <w:kern w:val="2"/>
          <w:sz w:val="32"/>
          <w:szCs w:val="32"/>
          <w:lang w:val="en-US" w:eastAsia="zh-CN" w:bidi="ar-SA"/>
        </w:rPr>
        <w:t>一是高度重视信息宣传工作，进一步细化政务公开要求，每月要求各中心、科室积极供稿，把信息宣传当做一项重要考核指标，加大对信息的分类发布，及时更新相关信息。二是加强政务公开方面的学习培训，提升政务公开工作水平。三是规范政务公开报送机制，保证政务公开的准确性和实效性。</w:t>
      </w:r>
    </w:p>
    <w:p>
      <w:pPr>
        <w:widowControl/>
        <w:shd w:val="clear" w:color="auto" w:fill="FFFFFF"/>
        <w:ind w:firstLine="640" w:firstLineChars="200"/>
        <w:jc w:val="both"/>
        <w:rPr>
          <w:rFonts w:ascii="微软雅黑" w:hAnsi="微软雅黑" w:eastAsia="微软雅黑" w:cs="宋体"/>
          <w:color w:val="3D3D3D"/>
          <w:kern w:val="0"/>
          <w:sz w:val="23"/>
          <w:szCs w:val="23"/>
        </w:rPr>
      </w:pPr>
      <w:r>
        <w:rPr>
          <w:rFonts w:hint="eastAsia" w:ascii="黑体" w:hAnsi="黑体" w:eastAsia="黑体" w:cs="宋体"/>
          <w:color w:val="333333"/>
          <w:kern w:val="0"/>
          <w:sz w:val="32"/>
          <w:szCs w:val="32"/>
        </w:rPr>
        <w:t>六、其他需要报告的事项</w:t>
      </w:r>
    </w:p>
    <w:p>
      <w:pPr>
        <w:pStyle w:val="2"/>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1.收费情况。</w:t>
      </w:r>
    </w:p>
    <w:p>
      <w:pPr>
        <w:pStyle w:val="2"/>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w:t>
      </w:r>
      <w:r>
        <w:rPr>
          <w:rFonts w:hint="eastAsia" w:ascii="仿宋_GB2312" w:hAnsi="仿宋_GB2312" w:eastAsia="仿宋_GB2312" w:cs="仿宋_GB2312"/>
          <w:kern w:val="2"/>
          <w:sz w:val="32"/>
          <w:szCs w:val="32"/>
          <w:lang w:val="en-US" w:eastAsia="zh-CN" w:bidi="ar-SA"/>
        </w:rPr>
        <w:t>政府</w:t>
      </w:r>
      <w:r>
        <w:rPr>
          <w:rFonts w:ascii="仿宋_GB2312" w:eastAsia="仿宋_GB2312"/>
          <w:sz w:val="32"/>
          <w:szCs w:val="32"/>
        </w:rPr>
        <w:t>信息</w:t>
      </w:r>
      <w:r>
        <w:rPr>
          <w:rFonts w:hint="eastAsia" w:ascii="仿宋_GB2312" w:eastAsia="仿宋_GB2312"/>
          <w:sz w:val="32"/>
          <w:szCs w:val="32"/>
          <w:lang w:eastAsia="zh-CN"/>
        </w:rPr>
        <w:t>公开信息</w:t>
      </w:r>
      <w:r>
        <w:rPr>
          <w:rFonts w:ascii="仿宋_GB2312" w:eastAsia="仿宋_GB2312"/>
          <w:sz w:val="32"/>
          <w:szCs w:val="32"/>
        </w:rPr>
        <w:t>处理费</w:t>
      </w:r>
      <w:r>
        <w:rPr>
          <w:rFonts w:hint="default" w:ascii="仿宋_GB2312" w:hAnsi="仿宋_GB2312" w:eastAsia="仿宋_GB2312" w:cs="仿宋_GB2312"/>
          <w:kern w:val="2"/>
          <w:sz w:val="32"/>
          <w:szCs w:val="32"/>
          <w:lang w:val="en-US" w:eastAsia="zh-CN" w:bidi="ar-SA"/>
        </w:rPr>
        <w:t>。</w:t>
      </w:r>
    </w:p>
    <w:p>
      <w:pPr>
        <w:pStyle w:val="6"/>
        <w:jc w:val="both"/>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2.落实上级工作要点情况。</w:t>
      </w:r>
    </w:p>
    <w:p>
      <w:pPr>
        <w:ind w:firstLine="640" w:firstLineChars="200"/>
        <w:jc w:val="both"/>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2021年，</w:t>
      </w:r>
      <w:r>
        <w:rPr>
          <w:rFonts w:hint="eastAsia" w:ascii="仿宋_GB2312" w:hAnsi="仿宋_GB2312" w:eastAsia="仿宋_GB2312" w:cs="仿宋_GB2312"/>
          <w:color w:val="000000"/>
          <w:kern w:val="2"/>
          <w:sz w:val="32"/>
          <w:szCs w:val="32"/>
          <w:lang w:val="en-US" w:eastAsia="zh-CN" w:bidi="ar-SA"/>
        </w:rPr>
        <w:t>沂源县人民政府</w:t>
      </w:r>
      <w:r>
        <w:rPr>
          <w:rFonts w:hint="default" w:ascii="仿宋_GB2312" w:hAnsi="仿宋_GB2312" w:eastAsia="仿宋_GB2312" w:cs="仿宋_GB2312"/>
          <w:color w:val="000000"/>
          <w:kern w:val="2"/>
          <w:sz w:val="32"/>
          <w:szCs w:val="32"/>
          <w:lang w:val="en-US" w:eastAsia="zh-CN" w:bidi="ar-SA"/>
        </w:rPr>
        <w:t>按照《2021年</w:t>
      </w:r>
      <w:r>
        <w:rPr>
          <w:rFonts w:hint="eastAsia" w:ascii="仿宋_GB2312" w:hAnsi="仿宋_GB2312" w:eastAsia="仿宋_GB2312" w:cs="仿宋_GB2312"/>
          <w:color w:val="000000"/>
          <w:kern w:val="2"/>
          <w:sz w:val="32"/>
          <w:szCs w:val="32"/>
          <w:lang w:val="en-US" w:eastAsia="zh-CN" w:bidi="ar-SA"/>
        </w:rPr>
        <w:t>沂源县</w:t>
      </w:r>
      <w:r>
        <w:rPr>
          <w:rFonts w:hint="default" w:ascii="仿宋_GB2312" w:hAnsi="仿宋_GB2312" w:eastAsia="仿宋_GB2312" w:cs="仿宋_GB2312"/>
          <w:color w:val="000000"/>
          <w:kern w:val="2"/>
          <w:sz w:val="32"/>
          <w:szCs w:val="32"/>
          <w:lang w:val="en-US" w:eastAsia="zh-CN" w:bidi="ar-SA"/>
        </w:rPr>
        <w:t>政务公开工作要点》（源政办字〔2021〕21号）相关要求,及时调整信息公开目录，进一步健全制度机制，把业务工作同政务公开工作同部署、同推进、同落实，进一步完善工作机制，有效推进上级政务公开工作要点的落实。</w:t>
      </w:r>
    </w:p>
    <w:p>
      <w:pPr>
        <w:pStyle w:val="6"/>
        <w:jc w:val="both"/>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3.人大代表建议和政协提案办理结果公开情况。</w:t>
      </w:r>
    </w:p>
    <w:p>
      <w:pPr>
        <w:pStyle w:val="5"/>
        <w:shd w:val="clear" w:color="auto" w:fill="FFFFFF"/>
        <w:spacing w:before="0" w:beforeAutospacing="0" w:after="0" w:afterAutospacing="0" w:line="495" w:lineRule="atLeast"/>
        <w:jc w:val="both"/>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坚持人大建议、政协提案办理法定公开制度，对建议提案的办理结果做到及时公开。2021年，县农业农村局收到人大建议11件，政协提案11件。</w:t>
      </w:r>
    </w:p>
    <w:p>
      <w:pPr>
        <w:pStyle w:val="2"/>
        <w:numPr>
          <w:ilvl w:val="0"/>
          <w:numId w:val="2"/>
        </w:numPr>
        <w:jc w:val="both"/>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政务公开工作创新情况</w:t>
      </w:r>
    </w:p>
    <w:p>
      <w:pPr>
        <w:pStyle w:val="2"/>
        <w:numPr>
          <w:ilvl w:val="0"/>
          <w:numId w:val="0"/>
        </w:numPr>
        <w:ind w:firstLine="640" w:firstLineChars="200"/>
        <w:jc w:val="both"/>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2021年沂源县农业农村局不断开拓创新，进一步完善政务公开工作推进机制，印发《沂源县农业农村局政务公开工作方案》，进一步优化流程，</w:t>
      </w:r>
      <w:r>
        <w:rPr>
          <w:rFonts w:hint="default" w:ascii="仿宋_GB2312" w:hAnsi="仿宋_GB2312" w:eastAsia="仿宋_GB2312" w:cs="仿宋_GB2312"/>
          <w:b w:val="0"/>
          <w:bCs w:val="0"/>
          <w:color w:val="000000"/>
          <w:kern w:val="2"/>
          <w:sz w:val="32"/>
          <w:szCs w:val="32"/>
          <w:lang w:val="en-US" w:eastAsia="zh-CN" w:bidi="ar-SA"/>
        </w:rPr>
        <w:t>提高政策到达率和知晓度。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D43C8"/>
    <w:multiLevelType w:val="singleLevel"/>
    <w:tmpl w:val="33BD43C8"/>
    <w:lvl w:ilvl="0" w:tentative="0">
      <w:start w:val="4"/>
      <w:numFmt w:val="decimal"/>
      <w:lvlText w:val="%1."/>
      <w:lvlJc w:val="left"/>
      <w:pPr>
        <w:tabs>
          <w:tab w:val="left" w:pos="312"/>
        </w:tabs>
      </w:pPr>
    </w:lvl>
  </w:abstractNum>
  <w:abstractNum w:abstractNumId="1">
    <w:nsid w:val="4D3C25E8"/>
    <w:multiLevelType w:val="singleLevel"/>
    <w:tmpl w:val="4D3C2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F05603"/>
    <w:rsid w:val="00950D8D"/>
    <w:rsid w:val="00D251D2"/>
    <w:rsid w:val="00F05603"/>
    <w:rsid w:val="00F311A8"/>
    <w:rsid w:val="024E0193"/>
    <w:rsid w:val="035A40A6"/>
    <w:rsid w:val="0B0F5FE4"/>
    <w:rsid w:val="194F4209"/>
    <w:rsid w:val="1E22357F"/>
    <w:rsid w:val="1F375DD9"/>
    <w:rsid w:val="26715A04"/>
    <w:rsid w:val="42E2612A"/>
    <w:rsid w:val="50B876C2"/>
    <w:rsid w:val="5D323912"/>
    <w:rsid w:val="60040DC0"/>
    <w:rsid w:val="68F30703"/>
    <w:rsid w:val="6C9A4C70"/>
    <w:rsid w:val="727E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0"/>
    <w:semiHidden/>
    <w:unhideWhenUsed/>
    <w:qFormat/>
    <w:uiPriority w:val="99"/>
    <w:rPr>
      <w:sz w:val="18"/>
      <w:szCs w:val="18"/>
    </w:rPr>
  </w:style>
  <w:style w:type="paragraph" w:styleId="4">
    <w:name w:val="Subtitle"/>
    <w:basedOn w:val="1"/>
    <w:next w:val="1"/>
    <w:link w:val="11"/>
    <w:qFormat/>
    <w:uiPriority w:val="11"/>
    <w:pPr>
      <w:keepNext w:val="0"/>
      <w:keepLines w:val="0"/>
      <w:widowControl w:val="0"/>
      <w:suppressLineNumbers w:val="0"/>
      <w:spacing w:before="240" w:beforeAutospacing="0" w:after="60" w:afterAutospacing="0" w:line="312" w:lineRule="auto"/>
      <w:ind w:left="0" w:right="0"/>
      <w:jc w:val="center"/>
      <w:outlineLvl w:val="1"/>
    </w:pPr>
    <w:rPr>
      <w:rFonts w:hint="default" w:ascii="Cambria" w:hAnsi="Cambria" w:eastAsia="宋体" w:cs="Times New Roman"/>
      <w:b/>
      <w:bCs/>
      <w:kern w:val="28"/>
      <w:sz w:val="32"/>
      <w:szCs w:val="32"/>
      <w:lang w:val="en-US" w:eastAsia="zh-CN" w:bidi="ar"/>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0"/>
    <w:pPr>
      <w:ind w:firstLine="200" w:firstLineChars="200"/>
      <w:outlineLvl w:val="0"/>
    </w:pPr>
    <w:rPr>
      <w:rFonts w:ascii="Calibri Light" w:hAnsi="Calibri Light" w:eastAsia="黑体" w:cs="Times New Roman"/>
      <w:b/>
      <w:bCs/>
      <w:sz w:val="32"/>
      <w:szCs w:val="32"/>
    </w:rPr>
  </w:style>
  <w:style w:type="character" w:styleId="9">
    <w:name w:val="Strong"/>
    <w:basedOn w:val="8"/>
    <w:qFormat/>
    <w:uiPriority w:val="22"/>
    <w:rPr>
      <w:b/>
      <w:bCs/>
    </w:rPr>
  </w:style>
  <w:style w:type="character" w:customStyle="1" w:styleId="10">
    <w:name w:val="批注框文本 Char"/>
    <w:basedOn w:val="8"/>
    <w:link w:val="3"/>
    <w:semiHidden/>
    <w:qFormat/>
    <w:uiPriority w:val="99"/>
    <w:rPr>
      <w:sz w:val="18"/>
      <w:szCs w:val="18"/>
    </w:rPr>
  </w:style>
  <w:style w:type="character" w:customStyle="1" w:styleId="11">
    <w:name w:val="副标题 Char"/>
    <w:basedOn w:val="8"/>
    <w:link w:val="4"/>
    <w:uiPriority w:val="0"/>
    <w:rPr>
      <w:rFonts w:hint="default" w:ascii="Cambria" w:hAnsi="Cambria" w:eastAsia="宋体" w:cs="Times New Roman"/>
      <w:b/>
      <w:bCs/>
      <w:kern w:val="28"/>
      <w:sz w:val="32"/>
      <w:szCs w:val="32"/>
    </w:rPr>
  </w:style>
  <w:style w:type="paragraph" w:customStyle="1" w:styleId="12">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chart" Target="charts/chart2.xml"/><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主动公开信息数量</a:t>
            </a:r>
          </a:p>
        </c:rich>
      </c:tx>
      <c:layout>
        <c:manualLayout>
          <c:xMode val="edge"/>
          <c:yMode val="edge"/>
          <c:x val="0.363"/>
          <c:y val="0.0175"/>
        </c:manualLayout>
      </c:layout>
      <c:overlay val="0"/>
      <c:spPr>
        <a:noFill/>
        <a:ln>
          <a:noFill/>
        </a:ln>
        <a:effectLst/>
      </c:spPr>
    </c:title>
    <c:autoTitleDeleted val="0"/>
    <c:plotArea>
      <c:layout>
        <c:manualLayout>
          <c:layoutTarget val="inner"/>
          <c:xMode val="edge"/>
          <c:yMode val="edge"/>
          <c:x val="0.300459674049311"/>
          <c:y val="0.25974025974026"/>
          <c:w val="0.408552723220504"/>
          <c:h val="0.692561983471074"/>
        </c:manualLayout>
      </c:layout>
      <c:pieChart>
        <c:varyColors val="1"/>
        <c:ser>
          <c:idx val="0"/>
          <c:order val="0"/>
          <c:tx>
            <c:strRef>
              <c:f>Sheet1!$B$1</c:f>
              <c:strCache>
                <c:ptCount val="1"/>
                <c:pt idx="0">
                  <c:v>政府网站公开</c:v>
                </c:pt>
              </c:strCache>
            </c:strRef>
          </c:tx>
          <c:spPr>
            <a:solidFill>
              <a:srgbClr val="859949"/>
            </a:solidFill>
            <a:ln w="31750">
              <a:solidFill>
                <a:schemeClr val="bg1">
                  <a:alpha val="42000"/>
                </a:schemeClr>
              </a:solidFill>
            </a:ln>
          </c:spPr>
          <c:explosion val="0"/>
          <c:dPt>
            <c:idx val="0"/>
            <c:bubble3D val="0"/>
            <c:spPr>
              <a:solidFill>
                <a:srgbClr val="365B7C"/>
              </a:solidFill>
              <a:ln w="31750">
                <a:solidFill>
                  <a:schemeClr val="bg1">
                    <a:alpha val="42000"/>
                  </a:schemeClr>
                </a:solidFill>
              </a:ln>
              <a:effectLst/>
            </c:spPr>
          </c:dPt>
          <c:dPt>
            <c:idx val="1"/>
            <c:bubble3D val="0"/>
            <c:spPr>
              <a:solidFill>
                <a:srgbClr val="966480"/>
              </a:solidFill>
              <a:ln w="31750">
                <a:solidFill>
                  <a:schemeClr val="bg1">
                    <a:alpha val="42000"/>
                  </a:schemeClr>
                </a:solidFill>
              </a:ln>
              <a:effectLst/>
            </c:spPr>
          </c:dPt>
          <c:dPt>
            <c:idx val="2"/>
            <c:bubble3D val="0"/>
            <c:spPr>
              <a:solidFill>
                <a:srgbClr val="D06F83"/>
              </a:solidFill>
              <a:ln w="31750">
                <a:solidFill>
                  <a:schemeClr val="bg1">
                    <a:alpha val="42000"/>
                  </a:schemeClr>
                </a:solidFill>
              </a:ln>
              <a:effectLst/>
            </c:spPr>
          </c:dPt>
          <c:dPt>
            <c:idx val="3"/>
            <c:bubble3D val="0"/>
            <c:spPr>
              <a:solidFill>
                <a:srgbClr val="DD5F71"/>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2">
                  <c:v>政府网站公开</c:v>
                </c:pt>
              </c:strCache>
            </c:strRef>
          </c:cat>
          <c:val>
            <c:numRef>
              <c:f>Sheet1!$B$2:$B$5</c:f>
              <c:numCache>
                <c:formatCode>General</c:formatCode>
                <c:ptCount val="4"/>
                <c:pt idx="2">
                  <c:v>3.5</c:v>
                </c:pt>
              </c:numCache>
            </c:numRef>
          </c:val>
        </c:ser>
        <c:ser>
          <c:idx val="1"/>
          <c:order val="1"/>
          <c:tx>
            <c:strRef>
              <c:f>Sheet1!$C$1</c:f>
              <c:strCache>
                <c:ptCount val="1"/>
                <c:pt idx="0">
                  <c:v>政府网站公开</c:v>
                </c:pt>
              </c:strCache>
            </c:strRef>
          </c:tx>
          <c:spPr>
            <a:solidFill>
              <a:srgbClr val="859949"/>
            </a:solidFill>
            <a:ln w="31750">
              <a:solidFill>
                <a:schemeClr val="bg1">
                  <a:alpha val="42000"/>
                </a:schemeClr>
              </a:solidFill>
            </a:ln>
          </c:spPr>
          <c:explosion val="0"/>
          <c:dPt>
            <c:idx val="0"/>
            <c:bubble3D val="0"/>
            <c:spPr>
              <a:solidFill>
                <a:srgbClr val="365B7C"/>
              </a:solidFill>
              <a:ln w="31750">
                <a:solidFill>
                  <a:schemeClr val="bg1">
                    <a:alpha val="42000"/>
                  </a:schemeClr>
                </a:solidFill>
              </a:ln>
              <a:effectLst/>
            </c:spPr>
          </c:dPt>
          <c:dPt>
            <c:idx val="1"/>
            <c:bubble3D val="0"/>
            <c:spPr>
              <a:solidFill>
                <a:srgbClr val="966480"/>
              </a:solidFill>
              <a:ln w="31750">
                <a:solidFill>
                  <a:schemeClr val="bg1">
                    <a:alpha val="42000"/>
                  </a:schemeClr>
                </a:solidFill>
              </a:ln>
              <a:effectLst/>
            </c:spPr>
          </c:dPt>
          <c:dPt>
            <c:idx val="2"/>
            <c:bubble3D val="0"/>
            <c:spPr>
              <a:solidFill>
                <a:srgbClr val="D06F83"/>
              </a:solidFill>
              <a:ln w="31750">
                <a:solidFill>
                  <a:schemeClr val="bg1">
                    <a:alpha val="42000"/>
                  </a:schemeClr>
                </a:solidFill>
              </a:ln>
              <a:effectLst/>
            </c:spPr>
          </c:dPt>
          <c:dPt>
            <c:idx val="3"/>
            <c:bubble3D val="0"/>
            <c:spPr>
              <a:solidFill>
                <a:srgbClr val="DD5F71"/>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2">
                  <c:v>政府网站公开</c:v>
                </c:pt>
              </c:strCache>
            </c:strRef>
          </c:cat>
          <c:val>
            <c:numRef>
              <c:f>Sheet1!$C$2:$C$5</c:f>
              <c:numCache>
                <c:formatCode>General</c:formatCode>
                <c:ptCount val="4"/>
                <c:pt idx="2">
                  <c:v>1.8</c:v>
                </c:pt>
              </c:numCache>
            </c:numRef>
          </c:val>
        </c:ser>
        <c:ser>
          <c:idx val="2"/>
          <c:order val="2"/>
          <c:tx>
            <c:strRef>
              <c:f>Sheet1!$D$1</c:f>
              <c:strCache>
                <c:ptCount val="1"/>
                <c:pt idx="0">
                  <c:v>政府网站公开</c:v>
                </c:pt>
              </c:strCache>
            </c:strRef>
          </c:tx>
          <c:spPr>
            <a:solidFill>
              <a:srgbClr val="859949"/>
            </a:solidFill>
            <a:ln w="31750">
              <a:solidFill>
                <a:schemeClr val="bg1">
                  <a:alpha val="42000"/>
                </a:schemeClr>
              </a:solidFill>
            </a:ln>
          </c:spPr>
          <c:explosion val="0"/>
          <c:dPt>
            <c:idx val="0"/>
            <c:bubble3D val="0"/>
            <c:spPr>
              <a:solidFill>
                <a:srgbClr val="365B7C"/>
              </a:solidFill>
              <a:ln w="31750">
                <a:solidFill>
                  <a:schemeClr val="bg1">
                    <a:alpha val="42000"/>
                  </a:schemeClr>
                </a:solidFill>
              </a:ln>
              <a:effectLst/>
            </c:spPr>
          </c:dPt>
          <c:dPt>
            <c:idx val="1"/>
            <c:bubble3D val="0"/>
            <c:spPr>
              <a:solidFill>
                <a:srgbClr val="966480"/>
              </a:solidFill>
              <a:ln w="31750">
                <a:solidFill>
                  <a:schemeClr val="bg1">
                    <a:alpha val="42000"/>
                  </a:schemeClr>
                </a:solidFill>
              </a:ln>
              <a:effectLst/>
            </c:spPr>
          </c:dPt>
          <c:dPt>
            <c:idx val="2"/>
            <c:bubble3D val="0"/>
            <c:spPr>
              <a:solidFill>
                <a:srgbClr val="D06F83"/>
              </a:solidFill>
              <a:ln w="31750">
                <a:solidFill>
                  <a:schemeClr val="bg1">
                    <a:alpha val="42000"/>
                  </a:schemeClr>
                </a:solidFill>
              </a:ln>
              <a:effectLst/>
            </c:spPr>
          </c:dPt>
          <c:dPt>
            <c:idx val="3"/>
            <c:bubble3D val="0"/>
            <c:spPr>
              <a:solidFill>
                <a:srgbClr val="DD5F71"/>
              </a:solidFill>
              <a:ln w="31750">
                <a:solidFill>
                  <a:schemeClr val="bg1">
                    <a:alpha val="42000"/>
                  </a:schemeClr>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2">
                  <c:v>政府网站公开</c:v>
                </c:pt>
              </c:strCache>
            </c:strRef>
          </c:cat>
          <c:val>
            <c:numRef>
              <c:f>Sheet1!$D$2:$D$5</c:f>
              <c:numCache>
                <c:formatCode>General</c:formatCode>
                <c:ptCount val="4"/>
                <c:pt idx="2">
                  <c:v>3</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t"/>
      <c:legendEntry>
        <c:idx val="0"/>
        <c:delete val="1"/>
      </c:legendEntry>
      <c:legendEntry>
        <c:idx val="1"/>
        <c:delete val="1"/>
      </c:legendEntry>
      <c:legendEntry>
        <c:idx val="3"/>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'[新建 XLSX 工作表.xlsx]Sheet1'!$B$2</c:f>
              <c:strCache>
                <c:ptCount val="1"/>
                <c:pt idx="0">
                  <c:v>依申请办理数量</c:v>
                </c:pt>
              </c:strCache>
            </c:strRef>
          </c:tx>
          <c:spPr>
            <a:solidFill>
              <a:schemeClr val="accent1"/>
            </a:solidFill>
            <a:ln>
              <a:noFill/>
            </a:ln>
            <a:effectLst/>
          </c:spPr>
          <c:invertIfNegative val="0"/>
          <c:dLbls>
            <c:delete val="1"/>
          </c:dLbls>
          <c:cat>
            <c:strRef>
              <c:f>'[新建 XLSX 工作表.xlsx]Sheet1'!$A$3:$A$5</c:f>
              <c:strCache>
                <c:ptCount val="3"/>
                <c:pt idx="0">
                  <c:v>2019年</c:v>
                </c:pt>
                <c:pt idx="1">
                  <c:v>2020年</c:v>
                </c:pt>
                <c:pt idx="2">
                  <c:v>2021年</c:v>
                </c:pt>
              </c:strCache>
            </c:strRef>
          </c:cat>
          <c:val>
            <c:numRef>
              <c:f>'[新建 XLSX 工作表.xlsx]Sheet1'!$B$3:$B$5</c:f>
              <c:numCache>
                <c:formatCode>General</c:formatCode>
                <c:ptCount val="3"/>
                <c:pt idx="0">
                  <c:v>0</c:v>
                </c:pt>
                <c:pt idx="1">
                  <c:v>0</c:v>
                </c:pt>
                <c:pt idx="2">
                  <c:v>5</c:v>
                </c:pt>
              </c:numCache>
            </c:numRef>
          </c:val>
        </c:ser>
        <c:dLbls>
          <c:showLegendKey val="0"/>
          <c:showVal val="0"/>
          <c:showCatName val="0"/>
          <c:showSerName val="0"/>
          <c:showPercent val="0"/>
          <c:showBubbleSize val="0"/>
        </c:dLbls>
        <c:gapWidth val="219"/>
        <c:overlap val="-27"/>
        <c:axId val="984126250"/>
        <c:axId val="419011942"/>
      </c:barChart>
      <c:catAx>
        <c:axId val="9841262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9011942"/>
        <c:crosses val="autoZero"/>
        <c:auto val="1"/>
        <c:lblAlgn val="ctr"/>
        <c:lblOffset val="100"/>
        <c:noMultiLvlLbl val="0"/>
      </c:catAx>
      <c:valAx>
        <c:axId val="4190119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12625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394</Words>
  <Characters>2250</Characters>
  <Lines>18</Lines>
  <Paragraphs>5</Paragraphs>
  <TotalTime>6</TotalTime>
  <ScaleCrop>false</ScaleCrop>
  <LinksUpToDate>false</LinksUpToDate>
  <CharactersWithSpaces>2639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2020-01-20T02:35:00Z</dcterms:created>
  <dc:creator>dreamsummit</dc:creator>
  <cp:lastModifiedBy>长空王</cp:lastModifiedBy>
  <dcterms:modified xsi:type="dcterms:W3CDTF">2022-01-28T06:28:49Z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3EE82C70F00E46429DB82E098AE31C40</vt:lpwstr>
  </property>
</Properties>
</file>