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FD602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020" w:beforeAutospacing="0" w:after="390" w:afterAutospacing="0"/>
        <w:ind w:left="0" w:right="0" w:firstLine="0"/>
        <w:jc w:val="center"/>
        <w:rPr>
          <w:rFonts w:ascii="微软雅黑" w:hAnsi="微软雅黑" w:eastAsia="微软雅黑" w:cs="微软雅黑"/>
          <w:b/>
          <w:bCs/>
          <w:i w:val="0"/>
          <w:iCs w:val="0"/>
          <w:caps w:val="0"/>
          <w:color w:val="333333"/>
          <w:spacing w:val="0"/>
          <w:sz w:val="42"/>
          <w:szCs w:val="42"/>
        </w:rPr>
      </w:pPr>
      <w:r>
        <w:rPr>
          <w:rFonts w:hint="eastAsia" w:ascii="微软雅黑" w:hAnsi="微软雅黑" w:eastAsia="微软雅黑" w:cs="微软雅黑"/>
          <w:b/>
          <w:bCs/>
          <w:i w:val="0"/>
          <w:iCs w:val="0"/>
          <w:caps w:val="0"/>
          <w:color w:val="333333"/>
          <w:spacing w:val="0"/>
          <w:sz w:val="42"/>
          <w:szCs w:val="42"/>
          <w:bdr w:val="none" w:color="auto" w:sz="0" w:space="0"/>
        </w:rPr>
        <w:t>沂源县南麻街</w:t>
      </w:r>
      <w:bookmarkStart w:id="0" w:name="_GoBack"/>
      <w:bookmarkEnd w:id="0"/>
      <w:r>
        <w:rPr>
          <w:rFonts w:hint="eastAsia" w:ascii="微软雅黑" w:hAnsi="微软雅黑" w:eastAsia="微软雅黑" w:cs="微软雅黑"/>
          <w:b/>
          <w:bCs/>
          <w:i w:val="0"/>
          <w:iCs w:val="0"/>
          <w:caps w:val="0"/>
          <w:color w:val="333333"/>
          <w:spacing w:val="0"/>
          <w:sz w:val="42"/>
          <w:szCs w:val="42"/>
          <w:bdr w:val="none" w:color="auto" w:sz="0" w:space="0"/>
        </w:rPr>
        <w:t>道办事处2024年政府信息公开工作年度报告</w:t>
      </w:r>
    </w:p>
    <w:p w14:paraId="42D35F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ascii="微软雅黑" w:hAnsi="微软雅黑" w:eastAsia="微软雅黑" w:cs="微软雅黑"/>
          <w:i w:val="0"/>
          <w:iCs w:val="0"/>
          <w:caps w:val="0"/>
          <w:color w:val="000000"/>
          <w:spacing w:val="0"/>
          <w:sz w:val="24"/>
          <w:szCs w:val="24"/>
        </w:rPr>
      </w:pPr>
      <w:r>
        <w:rPr>
          <w:rFonts w:ascii="微软雅黑" w:hAnsi="微软雅黑" w:eastAsia="微软雅黑" w:cs="微软雅黑"/>
          <w:i w:val="0"/>
          <w:iCs w:val="0"/>
          <w:caps w:val="0"/>
          <w:color w:val="000000"/>
          <w:spacing w:val="0"/>
          <w:sz w:val="24"/>
          <w:szCs w:val="24"/>
          <w:bdr w:val="none" w:color="auto" w:sz="0" w:space="0"/>
        </w:rPr>
        <w:t>本报告依据《中华人民共和国政府信息公开条例》（以下简称</w:t>
      </w:r>
      <w:r>
        <w:rPr>
          <w:rFonts w:hint="eastAsia" w:ascii="微软雅黑" w:hAnsi="微软雅黑" w:eastAsia="微软雅黑" w:cs="微软雅黑"/>
          <w:i w:val="0"/>
          <w:iCs w:val="0"/>
          <w:caps w:val="0"/>
          <w:color w:val="000000"/>
          <w:spacing w:val="0"/>
          <w:sz w:val="24"/>
          <w:szCs w:val="24"/>
          <w:bdr w:val="none" w:color="auto" w:sz="0" w:space="0"/>
        </w:rPr>
        <w:t>《条例》）及省市有关政府信息公开年报编制的要求，结合我街道政府信息公开工作实际，现向社会公开南麻街道2024年政府信息公开年度报告。报告全文由“总体情况”“主动公开政府信息情况”“收到和处理政府信息公开申请情况”“政府信息公开行政复议、行政诉讼情况”“存在的主要问题及改进情况”“其他需要报告的事项”六个部分组成。本报告中所列数据的统计时限为2024年1月1日起至2024年12月31日止，如对报告内容有疑问，请与沂源县南麻街道办事处联系（地址：沂源县振兴西路西首；邮编：256100；电话：0533—3242728；邮箱：yyxnmjd@shandong.zb.cn）。</w:t>
      </w:r>
    </w:p>
    <w:p w14:paraId="53050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一、总体情况</w:t>
      </w:r>
    </w:p>
    <w:p w14:paraId="5612C4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2024年，南麻街道政府信息公开工作坚持以习近平新时代中国特色社会主义思想为指导，全面贯彻落实党的二十大精神，深入践行依法治国理念，完善我街道的政府信息公开工作机制，增强群众公开体验与获得感，努力保障人民群众的知情权、参与权、表达权和监督权，为服务和推进街道经济社会发展，促进法治政府、创新政府、廉洁政府和服务型政府建设提供了坚强有力保障。全面扎实推进政府信息公开工作。现将我街道2024年政府信息公开工作报告如下：</w:t>
      </w:r>
    </w:p>
    <w:p w14:paraId="765732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（一）主动公开政府信息情况 </w:t>
      </w:r>
    </w:p>
    <w:p w14:paraId="7641653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2024年1月1日至2024年12月31日，我街道共主动公开政策法规类、政府会议类、重点民生类、乡村振兴类等13大类共计45条政府信息。</w:t>
      </w:r>
      <w:r>
        <w:rPr>
          <w:rFonts w:hint="eastAsia" w:ascii="微软雅黑" w:hAnsi="微软雅黑" w:eastAsia="微软雅黑" w:cs="微软雅黑"/>
          <w:i w:val="0"/>
          <w:iCs w:val="0"/>
          <w:caps w:val="0"/>
          <w:color w:val="000000"/>
          <w:spacing w:val="0"/>
          <w:sz w:val="24"/>
          <w:szCs w:val="24"/>
          <w:bdr w:val="none" w:color="auto" w:sz="0" w:space="0"/>
        </w:rPr>
        <w:drawing>
          <wp:inline distT="0" distB="0" distL="114300" distR="114300">
            <wp:extent cx="5591175" cy="30956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91175" cy="3095625"/>
                    </a:xfrm>
                    <a:prstGeom prst="rect">
                      <a:avLst/>
                    </a:prstGeom>
                    <a:noFill/>
                    <a:ln w="9525">
                      <a:noFill/>
                    </a:ln>
                  </pic:spPr>
                </pic:pic>
              </a:graphicData>
            </a:graphic>
          </wp:inline>
        </w:drawing>
      </w:r>
    </w:p>
    <w:p w14:paraId="79F152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8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（二）依法申请公开办理情况</w:t>
      </w:r>
    </w:p>
    <w:p w14:paraId="148E17E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8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为方便群众获取信息，我街道按照信息公开工作要求，依据公众申请公开政府有关工作信息。自2024年1月1日起至2024年12月31日止，南麻街道共接到各种形式的依申请公开政府信息的申请1件，比去年减少1件，已在法定期限内及时履行受理、告知、答复等相应法定程序，做到应公开、尽公开。</w:t>
      </w:r>
      <w:r>
        <w:rPr>
          <w:rFonts w:hint="eastAsia" w:ascii="微软雅黑" w:hAnsi="微软雅黑" w:eastAsia="微软雅黑" w:cs="微软雅黑"/>
          <w:i w:val="0"/>
          <w:iCs w:val="0"/>
          <w:caps w:val="0"/>
          <w:color w:val="000000"/>
          <w:spacing w:val="0"/>
          <w:sz w:val="24"/>
          <w:szCs w:val="24"/>
          <w:bdr w:val="none" w:color="auto" w:sz="0" w:space="0"/>
        </w:rPr>
        <w:drawing>
          <wp:inline distT="0" distB="0" distL="114300" distR="114300">
            <wp:extent cx="5486400" cy="30099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86400" cy="3009900"/>
                    </a:xfrm>
                    <a:prstGeom prst="rect">
                      <a:avLst/>
                    </a:prstGeom>
                    <a:noFill/>
                    <a:ln w="9525">
                      <a:noFill/>
                    </a:ln>
                  </pic:spPr>
                </pic:pic>
              </a:graphicData>
            </a:graphic>
          </wp:inline>
        </w:drawing>
      </w:r>
    </w:p>
    <w:p w14:paraId="7183E9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（三）政府信息管理情况</w:t>
      </w:r>
    </w:p>
    <w:p w14:paraId="43BA89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一是妥善处理公开信息，合理界定信息公开与否的范围，做到积极稳妥，注重时效。二是在推行政府信息公开工作过程中，进一步明确了政务信息公开的范围、内容、方式，做到职责明确、措施到位。</w:t>
      </w:r>
    </w:p>
    <w:p w14:paraId="4BC38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（四）政府信息公开平台、机构建设和人员情况</w:t>
      </w:r>
    </w:p>
    <w:p w14:paraId="00D0BB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一是拓展信息公开载体。首先狠抓信息公开工作，落实专人及时更新公开信息；其次加大信息公开阵地建设工作，规范村、社区“三务”公开栏、公示公告区设置。</w:t>
      </w:r>
    </w:p>
    <w:p w14:paraId="156500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二是扩大公开范围。包括社区近期工作思路、落实惠民政策的最新动态等工作。</w:t>
      </w:r>
    </w:p>
    <w:p w14:paraId="75426D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三是建成专人管理、专人审核、领导审批的常态化工作机制，确保政府信息公开的一致性、同步性。确定2名政务公开专职工作人员，具体负责政府网站维护、信息发布等工作，为贯彻落实政府信息公开工作提供了强有力的组织保障。</w:t>
      </w:r>
    </w:p>
    <w:p w14:paraId="5294C5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（五）监督保障情况</w:t>
      </w:r>
    </w:p>
    <w:p w14:paraId="5B88424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全面贯彻落实《中华人民共和国政府信息公开条例》，切实履行法定职责，指导协调推进辖区政务公开工作，提升政府工作透明度。建立长效的政府信息公开机制，进一步强化工作人员的职能素质，明确政务公开工作分管负责人，具体1名人员专门负责日常公开工作；明确机构和人员负责政府信息公开工作，切实加强政府信息公开审查，严格审查程序和审查标准，统筹政府信息公开与安全保密，将政务公开工作纳入绩效考核，规范开展考核、评议；积极参加县政府组织的政府信息公开工作会议和业务培训，提升工作人员对政府信息公开工作的认识水平和工作能力。从深入监督检查入手，努力提高行政工作运行和行政权力运用的透明度，从便民、利民入手，拓展政府信息公开的范围。以建设“服务型”政府为目标，积极推进了政府信息公开工作的深入开展。</w:t>
      </w:r>
    </w:p>
    <w:p w14:paraId="08165A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二、主动公开政府信息情况</w:t>
      </w:r>
    </w:p>
    <w:tbl>
      <w:tblPr>
        <w:tblW w:w="82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2509"/>
        <w:gridCol w:w="1842"/>
        <w:gridCol w:w="1020"/>
        <w:gridCol w:w="868"/>
        <w:gridCol w:w="1995"/>
      </w:tblGrid>
      <w:tr w14:paraId="71917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25" w:hRule="atLeast"/>
        </w:trPr>
        <w:tc>
          <w:tcPr>
            <w:tcW w:w="8234" w:type="dxa"/>
            <w:gridSpan w:val="5"/>
            <w:tcBorders>
              <w:top w:val="single" w:color="000000" w:sz="8" w:space="0"/>
              <w:left w:val="single" w:color="000000" w:sz="8" w:space="0"/>
              <w:bottom w:val="single" w:color="000000" w:sz="8" w:space="0"/>
              <w:right w:val="single" w:color="000000" w:sz="8" w:space="0"/>
            </w:tcBorders>
            <w:shd w:val="clear" w:color="auto" w:fill="BDD6EE"/>
            <w:vAlign w:val="center"/>
          </w:tcPr>
          <w:p w14:paraId="52ED25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ascii="仿宋_GB2312" w:hAnsi="Times New Roman" w:eastAsia="仿宋_GB2312" w:cs="仿宋_GB2312"/>
                <w:i w:val="0"/>
                <w:iCs w:val="0"/>
                <w:caps w:val="0"/>
                <w:color w:val="000000"/>
                <w:spacing w:val="0"/>
                <w:sz w:val="21"/>
                <w:szCs w:val="21"/>
                <w:bdr w:val="none" w:color="auto" w:sz="0" w:space="0"/>
              </w:rPr>
              <w:t>第二十条第（一）项</w:t>
            </w:r>
          </w:p>
        </w:tc>
      </w:tr>
      <w:tr w14:paraId="0B7B4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4B8576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信息内容</w:t>
            </w:r>
          </w:p>
        </w:tc>
        <w:tc>
          <w:tcPr>
            <w:tcW w:w="1842" w:type="dxa"/>
            <w:tcBorders>
              <w:top w:val="single" w:color="000000" w:sz="8" w:space="0"/>
              <w:left w:val="nil"/>
              <w:bottom w:val="single" w:color="000000" w:sz="8" w:space="0"/>
              <w:right w:val="single" w:color="000000" w:sz="8" w:space="0"/>
            </w:tcBorders>
            <w:shd w:val="clear" w:color="auto" w:fill="FFFFFF"/>
            <w:vAlign w:val="center"/>
          </w:tcPr>
          <w:p w14:paraId="65BB3B6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本年制发件数</w:t>
            </w:r>
          </w:p>
        </w:tc>
        <w:tc>
          <w:tcPr>
            <w:tcW w:w="1888" w:type="dxa"/>
            <w:gridSpan w:val="2"/>
            <w:tcBorders>
              <w:top w:val="single" w:color="000000" w:sz="8" w:space="0"/>
              <w:left w:val="nil"/>
              <w:bottom w:val="single" w:color="000000" w:sz="8" w:space="0"/>
              <w:right w:val="single" w:color="000000" w:sz="8" w:space="0"/>
            </w:tcBorders>
            <w:shd w:val="clear" w:color="auto" w:fill="FFFFFF"/>
            <w:vAlign w:val="center"/>
          </w:tcPr>
          <w:p w14:paraId="6BEBD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本年废止件数</w:t>
            </w:r>
          </w:p>
        </w:tc>
        <w:tc>
          <w:tcPr>
            <w:tcW w:w="1995" w:type="dxa"/>
            <w:tcBorders>
              <w:top w:val="single" w:color="000000" w:sz="8" w:space="0"/>
              <w:left w:val="nil"/>
              <w:bottom w:val="single" w:color="000000" w:sz="8" w:space="0"/>
              <w:right w:val="single" w:color="000000" w:sz="8" w:space="0"/>
            </w:tcBorders>
            <w:shd w:val="clear" w:color="auto" w:fill="FFFFFF"/>
            <w:vAlign w:val="center"/>
          </w:tcPr>
          <w:p w14:paraId="52DB3F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现行有效件数</w:t>
            </w:r>
          </w:p>
        </w:tc>
      </w:tr>
      <w:tr w14:paraId="4F5EE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1017DF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规章</w:t>
            </w:r>
          </w:p>
        </w:tc>
        <w:tc>
          <w:tcPr>
            <w:tcW w:w="1842" w:type="dxa"/>
            <w:tcBorders>
              <w:top w:val="nil"/>
              <w:left w:val="nil"/>
              <w:bottom w:val="single" w:color="000000" w:sz="8" w:space="0"/>
              <w:right w:val="single" w:color="000000" w:sz="8" w:space="0"/>
            </w:tcBorders>
            <w:shd w:val="clear" w:color="auto" w:fill="FFFFFF"/>
            <w:vAlign w:val="center"/>
          </w:tcPr>
          <w:p w14:paraId="04CD161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c>
          <w:tcPr>
            <w:tcW w:w="1888" w:type="dxa"/>
            <w:gridSpan w:val="2"/>
            <w:tcBorders>
              <w:top w:val="nil"/>
              <w:left w:val="nil"/>
              <w:bottom w:val="single" w:color="000000" w:sz="8" w:space="0"/>
              <w:right w:val="single" w:color="000000" w:sz="8" w:space="0"/>
            </w:tcBorders>
            <w:shd w:val="clear" w:color="auto" w:fill="FFFFFF"/>
            <w:vAlign w:val="center"/>
          </w:tcPr>
          <w:p w14:paraId="345E88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c>
          <w:tcPr>
            <w:tcW w:w="1995" w:type="dxa"/>
            <w:tcBorders>
              <w:top w:val="nil"/>
              <w:left w:val="nil"/>
              <w:bottom w:val="single" w:color="000000" w:sz="8" w:space="0"/>
              <w:right w:val="single" w:color="000000" w:sz="8" w:space="0"/>
            </w:tcBorders>
            <w:shd w:val="clear" w:color="auto" w:fill="FFFFFF"/>
            <w:vAlign w:val="center"/>
          </w:tcPr>
          <w:p w14:paraId="2619E7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r>
      <w:tr w14:paraId="635E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208CC9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行政规范性文件</w:t>
            </w:r>
          </w:p>
        </w:tc>
        <w:tc>
          <w:tcPr>
            <w:tcW w:w="1842" w:type="dxa"/>
            <w:tcBorders>
              <w:top w:val="nil"/>
              <w:left w:val="nil"/>
              <w:bottom w:val="single" w:color="000000" w:sz="8" w:space="0"/>
              <w:right w:val="single" w:color="000000" w:sz="8" w:space="0"/>
            </w:tcBorders>
            <w:shd w:val="clear" w:color="auto" w:fill="FFFFFF"/>
            <w:vAlign w:val="center"/>
          </w:tcPr>
          <w:p w14:paraId="70F4A9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仿宋_GB2312" w:cs="Times New Roman"/>
                <w:i w:val="0"/>
                <w:iCs w:val="0"/>
                <w:caps w:val="0"/>
                <w:color w:val="000000"/>
                <w:spacing w:val="0"/>
                <w:sz w:val="21"/>
                <w:szCs w:val="21"/>
                <w:bdr w:val="none" w:color="auto" w:sz="0" w:space="0"/>
              </w:rPr>
              <w:t>0</w:t>
            </w:r>
          </w:p>
        </w:tc>
        <w:tc>
          <w:tcPr>
            <w:tcW w:w="1888" w:type="dxa"/>
            <w:gridSpan w:val="2"/>
            <w:tcBorders>
              <w:top w:val="nil"/>
              <w:left w:val="nil"/>
              <w:bottom w:val="single" w:color="000000" w:sz="8" w:space="0"/>
              <w:right w:val="single" w:color="000000" w:sz="8" w:space="0"/>
            </w:tcBorders>
            <w:shd w:val="clear" w:color="auto" w:fill="FFFFFF"/>
            <w:vAlign w:val="center"/>
          </w:tcPr>
          <w:p w14:paraId="204B942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仿宋_GB2312" w:cs="Times New Roman"/>
                <w:i w:val="0"/>
                <w:iCs w:val="0"/>
                <w:caps w:val="0"/>
                <w:color w:val="000000"/>
                <w:spacing w:val="0"/>
                <w:sz w:val="21"/>
                <w:szCs w:val="21"/>
                <w:bdr w:val="none" w:color="auto" w:sz="0" w:space="0"/>
              </w:rPr>
              <w:t>0</w:t>
            </w:r>
          </w:p>
        </w:tc>
        <w:tc>
          <w:tcPr>
            <w:tcW w:w="1995" w:type="dxa"/>
            <w:tcBorders>
              <w:top w:val="nil"/>
              <w:left w:val="nil"/>
              <w:bottom w:val="single" w:color="000000" w:sz="8" w:space="0"/>
              <w:right w:val="single" w:color="000000" w:sz="8" w:space="0"/>
            </w:tcBorders>
            <w:shd w:val="clear" w:color="auto" w:fill="FFFFFF"/>
            <w:vAlign w:val="center"/>
          </w:tcPr>
          <w:p w14:paraId="3BAAC6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仿宋_GB2312" w:cs="Times New Roman"/>
                <w:i w:val="0"/>
                <w:iCs w:val="0"/>
                <w:caps w:val="0"/>
                <w:color w:val="000000"/>
                <w:spacing w:val="0"/>
                <w:sz w:val="21"/>
                <w:szCs w:val="21"/>
                <w:bdr w:val="none" w:color="auto" w:sz="0" w:space="0"/>
              </w:rPr>
              <w:t>0</w:t>
            </w:r>
          </w:p>
        </w:tc>
      </w:tr>
      <w:tr w14:paraId="36679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8234" w:type="dxa"/>
            <w:gridSpan w:val="5"/>
            <w:tcBorders>
              <w:top w:val="nil"/>
              <w:left w:val="single" w:color="000000" w:sz="8" w:space="0"/>
              <w:bottom w:val="single" w:color="000000" w:sz="8" w:space="0"/>
              <w:right w:val="single" w:color="000000" w:sz="8" w:space="0"/>
            </w:tcBorders>
            <w:shd w:val="clear" w:color="auto" w:fill="BDD6EE"/>
            <w:vAlign w:val="center"/>
          </w:tcPr>
          <w:p w14:paraId="603FC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第二十条第（五）项</w:t>
            </w:r>
          </w:p>
        </w:tc>
      </w:tr>
      <w:tr w14:paraId="13640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4A17E0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14:paraId="42418D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本年处理决定数量</w:t>
            </w:r>
          </w:p>
        </w:tc>
      </w:tr>
      <w:tr w14:paraId="0C39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53C13B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行政许可</w:t>
            </w:r>
          </w:p>
        </w:tc>
        <w:tc>
          <w:tcPr>
            <w:tcW w:w="5725" w:type="dxa"/>
            <w:gridSpan w:val="4"/>
            <w:tcBorders>
              <w:top w:val="nil"/>
              <w:left w:val="nil"/>
              <w:bottom w:val="single" w:color="000000" w:sz="8" w:space="0"/>
              <w:right w:val="single" w:color="000000" w:sz="8" w:space="0"/>
            </w:tcBorders>
            <w:shd w:val="clear" w:color="auto" w:fill="FFFFFF"/>
            <w:vAlign w:val="center"/>
          </w:tcPr>
          <w:p w14:paraId="355101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r>
      <w:tr w14:paraId="17FC6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8234" w:type="dxa"/>
            <w:gridSpan w:val="5"/>
            <w:tcBorders>
              <w:top w:val="nil"/>
              <w:left w:val="single" w:color="000000" w:sz="8" w:space="0"/>
              <w:bottom w:val="single" w:color="000000" w:sz="8" w:space="0"/>
              <w:right w:val="single" w:color="000000" w:sz="8" w:space="0"/>
            </w:tcBorders>
            <w:shd w:val="clear" w:color="auto" w:fill="BDD6EE"/>
            <w:vAlign w:val="center"/>
          </w:tcPr>
          <w:p w14:paraId="3F5A76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第二十条第（六）项</w:t>
            </w:r>
          </w:p>
        </w:tc>
      </w:tr>
      <w:tr w14:paraId="57252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6B0046B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14:paraId="3D7B71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本年处理决定数量</w:t>
            </w:r>
          </w:p>
        </w:tc>
      </w:tr>
      <w:tr w14:paraId="202B1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5E8518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行政处罚</w:t>
            </w:r>
          </w:p>
        </w:tc>
        <w:tc>
          <w:tcPr>
            <w:tcW w:w="5725" w:type="dxa"/>
            <w:gridSpan w:val="4"/>
            <w:tcBorders>
              <w:top w:val="nil"/>
              <w:left w:val="nil"/>
              <w:bottom w:val="single" w:color="000000" w:sz="8" w:space="0"/>
              <w:right w:val="single" w:color="000000" w:sz="8" w:space="0"/>
            </w:tcBorders>
            <w:shd w:val="clear" w:color="auto" w:fill="FFFFFF"/>
            <w:vAlign w:val="center"/>
          </w:tcPr>
          <w:p w14:paraId="040070B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r>
      <w:tr w14:paraId="540F6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0AB024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行政强制</w:t>
            </w:r>
          </w:p>
        </w:tc>
        <w:tc>
          <w:tcPr>
            <w:tcW w:w="5725" w:type="dxa"/>
            <w:gridSpan w:val="4"/>
            <w:tcBorders>
              <w:top w:val="nil"/>
              <w:left w:val="nil"/>
              <w:bottom w:val="single" w:color="000000" w:sz="8" w:space="0"/>
              <w:right w:val="single" w:color="000000" w:sz="8" w:space="0"/>
            </w:tcBorders>
            <w:shd w:val="clear" w:color="auto" w:fill="FFFFFF"/>
            <w:vAlign w:val="center"/>
          </w:tcPr>
          <w:p w14:paraId="29C14B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r>
      <w:tr w14:paraId="096B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8234" w:type="dxa"/>
            <w:gridSpan w:val="5"/>
            <w:tcBorders>
              <w:top w:val="nil"/>
              <w:left w:val="single" w:color="000000" w:sz="8" w:space="0"/>
              <w:bottom w:val="single" w:color="000000" w:sz="8" w:space="0"/>
              <w:right w:val="single" w:color="000000" w:sz="8" w:space="0"/>
            </w:tcBorders>
            <w:shd w:val="clear" w:color="auto" w:fill="BDD6EE"/>
            <w:vAlign w:val="center"/>
          </w:tcPr>
          <w:p w14:paraId="192E0F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第二十条第（八）项</w:t>
            </w:r>
          </w:p>
        </w:tc>
      </w:tr>
      <w:tr w14:paraId="6B416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2509" w:type="dxa"/>
            <w:tcBorders>
              <w:top w:val="nil"/>
              <w:left w:val="single" w:color="000000" w:sz="8" w:space="0"/>
              <w:bottom w:val="single" w:color="000000" w:sz="8" w:space="0"/>
              <w:right w:val="single" w:color="000000" w:sz="8" w:space="0"/>
            </w:tcBorders>
            <w:shd w:val="clear" w:color="auto" w:fill="FFFFFF"/>
            <w:vAlign w:val="center"/>
          </w:tcPr>
          <w:p w14:paraId="11289E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信息内容</w:t>
            </w:r>
          </w:p>
        </w:tc>
        <w:tc>
          <w:tcPr>
            <w:tcW w:w="5725" w:type="dxa"/>
            <w:gridSpan w:val="4"/>
            <w:tcBorders>
              <w:top w:val="single" w:color="000000" w:sz="8" w:space="0"/>
              <w:left w:val="nil"/>
              <w:bottom w:val="single" w:color="000000" w:sz="8" w:space="0"/>
              <w:right w:val="single" w:color="000000" w:sz="8" w:space="0"/>
            </w:tcBorders>
            <w:shd w:val="clear" w:color="auto" w:fill="FFFFFF"/>
            <w:vAlign w:val="center"/>
          </w:tcPr>
          <w:p w14:paraId="481CBA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本年收费金额（单位：万元）</w:t>
            </w:r>
          </w:p>
        </w:tc>
      </w:tr>
      <w:tr w14:paraId="6C0B8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000000" w:sz="8" w:space="0"/>
              <w:bottom w:val="single" w:color="auto" w:sz="8" w:space="0"/>
              <w:right w:val="single" w:color="000000" w:sz="8" w:space="0"/>
            </w:tcBorders>
            <w:shd w:val="clear" w:color="auto" w:fill="FFFFFF"/>
            <w:vAlign w:val="center"/>
          </w:tcPr>
          <w:p w14:paraId="6E1AB1B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行政事业性收费</w:t>
            </w:r>
          </w:p>
        </w:tc>
        <w:tc>
          <w:tcPr>
            <w:tcW w:w="5725" w:type="dxa"/>
            <w:gridSpan w:val="4"/>
            <w:tcBorders>
              <w:top w:val="nil"/>
              <w:left w:val="nil"/>
              <w:bottom w:val="single" w:color="auto" w:sz="8" w:space="0"/>
              <w:right w:val="single" w:color="000000" w:sz="8" w:space="0"/>
            </w:tcBorders>
            <w:shd w:val="clear" w:color="auto" w:fill="FFFFFF"/>
            <w:vAlign w:val="center"/>
          </w:tcPr>
          <w:p w14:paraId="7D8005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微软雅黑" w:cs="Times New Roman"/>
                <w:i w:val="0"/>
                <w:iCs w:val="0"/>
                <w:caps w:val="0"/>
                <w:color w:val="000000"/>
                <w:spacing w:val="0"/>
                <w:sz w:val="21"/>
                <w:szCs w:val="21"/>
                <w:bdr w:val="none" w:color="auto" w:sz="0" w:space="0"/>
              </w:rPr>
              <w:t>0</w:t>
            </w:r>
          </w:p>
        </w:tc>
      </w:tr>
      <w:tr w14:paraId="2CA4D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8234" w:type="dxa"/>
            <w:gridSpan w:val="5"/>
            <w:tcBorders>
              <w:top w:val="nil"/>
              <w:left w:val="single" w:color="auto" w:sz="8" w:space="0"/>
              <w:bottom w:val="single" w:color="auto" w:sz="8" w:space="0"/>
              <w:right w:val="single" w:color="auto" w:sz="8" w:space="0"/>
            </w:tcBorders>
            <w:shd w:val="clear" w:color="auto" w:fill="BDD6EE"/>
            <w:vAlign w:val="center"/>
          </w:tcPr>
          <w:p w14:paraId="79964AC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Times New Roman" w:eastAsia="仿宋_GB2312" w:cs="仿宋_GB2312"/>
                <w:i w:val="0"/>
                <w:iCs w:val="0"/>
                <w:caps w:val="0"/>
                <w:color w:val="000000"/>
                <w:spacing w:val="0"/>
                <w:sz w:val="21"/>
                <w:szCs w:val="21"/>
                <w:bdr w:val="none" w:color="auto" w:sz="0" w:space="0"/>
              </w:rPr>
              <w:t>第二十条第（</w:t>
            </w:r>
            <w:r>
              <w:rPr>
                <w:rFonts w:hint="eastAsia" w:ascii="仿宋_GB2312" w:hAnsi="微软雅黑" w:eastAsia="仿宋_GB2312" w:cs="仿宋_GB2312"/>
                <w:i w:val="0"/>
                <w:iCs w:val="0"/>
                <w:caps w:val="0"/>
                <w:color w:val="000000"/>
                <w:spacing w:val="0"/>
                <w:sz w:val="21"/>
                <w:szCs w:val="21"/>
                <w:bdr w:val="none" w:color="auto" w:sz="0" w:space="0"/>
              </w:rPr>
              <w:t>九</w:t>
            </w:r>
            <w:r>
              <w:rPr>
                <w:rFonts w:hint="eastAsia" w:ascii="仿宋_GB2312" w:hAnsi="Times New Roman" w:eastAsia="仿宋_GB2312" w:cs="仿宋_GB2312"/>
                <w:i w:val="0"/>
                <w:iCs w:val="0"/>
                <w:caps w:val="0"/>
                <w:color w:val="000000"/>
                <w:spacing w:val="0"/>
                <w:sz w:val="21"/>
                <w:szCs w:val="21"/>
                <w:bdr w:val="none" w:color="auto" w:sz="0" w:space="0"/>
              </w:rPr>
              <w:t>）项</w:t>
            </w:r>
          </w:p>
        </w:tc>
      </w:tr>
      <w:tr w14:paraId="5072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auto" w:sz="8" w:space="0"/>
              <w:bottom w:val="single" w:color="auto" w:sz="8" w:space="0"/>
              <w:right w:val="single" w:color="auto" w:sz="8" w:space="0"/>
            </w:tcBorders>
            <w:shd w:val="clear" w:color="auto" w:fill="FFFFFF"/>
            <w:vAlign w:val="center"/>
          </w:tcPr>
          <w:p w14:paraId="6961D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信息内容</w:t>
            </w:r>
          </w:p>
        </w:tc>
        <w:tc>
          <w:tcPr>
            <w:tcW w:w="2862" w:type="dxa"/>
            <w:gridSpan w:val="2"/>
            <w:tcBorders>
              <w:top w:val="single" w:color="auto" w:sz="8" w:space="0"/>
              <w:left w:val="nil"/>
              <w:bottom w:val="single" w:color="auto" w:sz="8" w:space="0"/>
              <w:right w:val="single" w:color="auto" w:sz="8" w:space="0"/>
            </w:tcBorders>
            <w:shd w:val="clear" w:color="auto" w:fill="FFFFFF"/>
            <w:vAlign w:val="center"/>
          </w:tcPr>
          <w:p w14:paraId="47565A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采购项目数量</w:t>
            </w:r>
          </w:p>
        </w:tc>
        <w:tc>
          <w:tcPr>
            <w:tcW w:w="2863" w:type="dxa"/>
            <w:gridSpan w:val="2"/>
            <w:tcBorders>
              <w:top w:val="single" w:color="auto" w:sz="8" w:space="0"/>
              <w:left w:val="nil"/>
              <w:bottom w:val="single" w:color="auto" w:sz="8" w:space="0"/>
              <w:right w:val="single" w:color="auto" w:sz="8" w:space="0"/>
            </w:tcBorders>
            <w:shd w:val="clear" w:color="auto" w:fill="FFFFFF"/>
            <w:vAlign w:val="center"/>
          </w:tcPr>
          <w:p w14:paraId="5A92348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采购总金额</w:t>
            </w:r>
          </w:p>
        </w:tc>
      </w:tr>
      <w:tr w14:paraId="68C3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2509" w:type="dxa"/>
            <w:tcBorders>
              <w:top w:val="nil"/>
              <w:left w:val="single" w:color="auto" w:sz="8" w:space="0"/>
              <w:bottom w:val="single" w:color="auto" w:sz="8" w:space="0"/>
              <w:right w:val="single" w:color="auto" w:sz="8" w:space="0"/>
            </w:tcBorders>
            <w:shd w:val="clear" w:color="auto" w:fill="FFFFFF"/>
            <w:vAlign w:val="center"/>
          </w:tcPr>
          <w:p w14:paraId="41CA83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政府集中采购</w:t>
            </w:r>
          </w:p>
        </w:tc>
        <w:tc>
          <w:tcPr>
            <w:tcW w:w="2862" w:type="dxa"/>
            <w:gridSpan w:val="2"/>
            <w:tcBorders>
              <w:top w:val="nil"/>
              <w:left w:val="nil"/>
              <w:bottom w:val="single" w:color="auto" w:sz="8" w:space="0"/>
              <w:right w:val="single" w:color="auto" w:sz="8" w:space="0"/>
            </w:tcBorders>
            <w:shd w:val="clear" w:color="auto" w:fill="FFFFFF"/>
            <w:vAlign w:val="center"/>
          </w:tcPr>
          <w:p w14:paraId="18D7C9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仿宋_GB2312" w:cs="Times New Roman"/>
                <w:i w:val="0"/>
                <w:iCs w:val="0"/>
                <w:caps w:val="0"/>
                <w:color w:val="000000"/>
                <w:spacing w:val="0"/>
                <w:sz w:val="21"/>
                <w:szCs w:val="21"/>
                <w:bdr w:val="none" w:color="auto" w:sz="0" w:space="0"/>
              </w:rPr>
              <w:t>0</w:t>
            </w:r>
          </w:p>
        </w:tc>
        <w:tc>
          <w:tcPr>
            <w:tcW w:w="2863" w:type="dxa"/>
            <w:gridSpan w:val="2"/>
            <w:tcBorders>
              <w:top w:val="nil"/>
              <w:left w:val="nil"/>
              <w:bottom w:val="single" w:color="auto" w:sz="8" w:space="0"/>
              <w:right w:val="single" w:color="auto" w:sz="8" w:space="0"/>
            </w:tcBorders>
            <w:shd w:val="clear" w:color="auto" w:fill="FFFFFF"/>
            <w:vAlign w:val="center"/>
          </w:tcPr>
          <w:p w14:paraId="238887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default" w:ascii="Times New Roman" w:hAnsi="Times New Roman" w:eastAsia="仿宋_GB2312" w:cs="Times New Roman"/>
                <w:i w:val="0"/>
                <w:iCs w:val="0"/>
                <w:caps w:val="0"/>
                <w:color w:val="000000"/>
                <w:spacing w:val="0"/>
                <w:sz w:val="21"/>
                <w:szCs w:val="21"/>
                <w:bdr w:val="none" w:color="auto" w:sz="0" w:space="0"/>
              </w:rPr>
              <w:t>0</w:t>
            </w:r>
          </w:p>
        </w:tc>
      </w:tr>
    </w:tbl>
    <w:p w14:paraId="612966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2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三、收到和处理政府信息公开申请情况</w:t>
      </w:r>
    </w:p>
    <w:tbl>
      <w:tblPr>
        <w:tblW w:w="11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66"/>
        <w:gridCol w:w="1418"/>
        <w:gridCol w:w="1418"/>
        <w:gridCol w:w="951"/>
        <w:gridCol w:w="1068"/>
        <w:gridCol w:w="1068"/>
        <w:gridCol w:w="1301"/>
        <w:gridCol w:w="1301"/>
        <w:gridCol w:w="833"/>
        <w:gridCol w:w="834"/>
      </w:tblGrid>
      <w:tr w14:paraId="43C60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73" w:hRule="atLeast"/>
          <w:jc w:val="center"/>
        </w:trPr>
        <w:tc>
          <w:tcPr>
            <w:tcW w:w="6" w:type="dxa"/>
            <w:gridSpan w:val="3"/>
            <w:vMerge w:val="restar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06E82F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（本列数据的勾稽关系为：第一项加第二项之和，等于第三项加第四项之和）</w:t>
            </w:r>
          </w:p>
        </w:tc>
        <w:tc>
          <w:tcPr>
            <w:tcW w:w="6" w:type="dxa"/>
            <w:gridSpan w:val="7"/>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7E1674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申请人情况</w:t>
            </w:r>
          </w:p>
        </w:tc>
      </w:tr>
      <w:tr w14:paraId="2D31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8" w:hRule="atLeast"/>
          <w:jc w:val="center"/>
        </w:trPr>
        <w:tc>
          <w:tcPr>
            <w:tcW w:w="6" w:type="dxa"/>
            <w:gridSpan w:val="3"/>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3793B678">
            <w:pPr>
              <w:rPr>
                <w:rFonts w:hint="eastAsia" w:ascii="宋体"/>
                <w:sz w:val="24"/>
                <w:szCs w:val="24"/>
              </w:rPr>
            </w:pPr>
          </w:p>
        </w:tc>
        <w:tc>
          <w:tcPr>
            <w:tcW w:w="6" w:type="dxa"/>
            <w:vMerge w:val="restart"/>
            <w:tcBorders>
              <w:top w:val="nil"/>
              <w:left w:val="nil"/>
              <w:bottom w:val="single" w:color="auto" w:sz="8" w:space="0"/>
              <w:right w:val="single" w:color="auto" w:sz="8" w:space="0"/>
            </w:tcBorders>
            <w:shd w:val="clear" w:color="auto" w:fill="FFFFFF"/>
            <w:tcMar>
              <w:left w:w="108" w:type="dxa"/>
              <w:right w:w="108" w:type="dxa"/>
            </w:tcMar>
            <w:vAlign w:val="center"/>
          </w:tcPr>
          <w:p w14:paraId="0E13AF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自然人</w:t>
            </w:r>
          </w:p>
        </w:tc>
        <w:tc>
          <w:tcPr>
            <w:tcW w:w="6" w:type="dxa"/>
            <w:gridSpan w:val="5"/>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1A81AF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法人或其他组织</w:t>
            </w:r>
          </w:p>
        </w:tc>
        <w:tc>
          <w:tcPr>
            <w:tcW w:w="6" w:type="dxa"/>
            <w:vMerge w:val="restart"/>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534FB0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总计</w:t>
            </w:r>
          </w:p>
        </w:tc>
      </w:tr>
      <w:tr w14:paraId="2B223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74" w:hRule="atLeast"/>
          <w:jc w:val="center"/>
        </w:trPr>
        <w:tc>
          <w:tcPr>
            <w:tcW w:w="6" w:type="dxa"/>
            <w:gridSpan w:val="3"/>
            <w:vMerge w:val="continue"/>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4BCE7956">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52705A10">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0A4728E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商业企业</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3731C7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科研机构</w:t>
            </w:r>
          </w:p>
        </w:tc>
        <w:tc>
          <w:tcPr>
            <w:tcW w:w="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0579D2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社会公益组织</w:t>
            </w:r>
          </w:p>
        </w:tc>
        <w:tc>
          <w:tcPr>
            <w:tcW w:w="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79D097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法律服务机构</w:t>
            </w:r>
          </w:p>
        </w:tc>
        <w:tc>
          <w:tcPr>
            <w:tcW w:w="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3A0511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其他</w:t>
            </w:r>
          </w:p>
        </w:tc>
        <w:tc>
          <w:tcPr>
            <w:tcW w:w="6" w:type="dxa"/>
            <w:vMerge w:val="continue"/>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4EC85881">
            <w:pPr>
              <w:rPr>
                <w:rFonts w:hint="eastAsia" w:ascii="宋体"/>
                <w:sz w:val="24"/>
                <w:szCs w:val="24"/>
              </w:rPr>
            </w:pPr>
          </w:p>
        </w:tc>
      </w:tr>
      <w:tr w14:paraId="761D7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4" w:hRule="atLeast"/>
          <w:jc w:val="center"/>
        </w:trPr>
        <w:tc>
          <w:tcPr>
            <w:tcW w:w="6" w:type="dxa"/>
            <w:gridSpan w:val="3"/>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36B234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一、本年新收政府信息公开申请数量</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1FCBC7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436F54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327CF5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7E9DB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180DE0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06E73A2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7D839E0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r>
      <w:tr w14:paraId="40875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jc w:val="center"/>
        </w:trPr>
        <w:tc>
          <w:tcPr>
            <w:tcW w:w="6" w:type="dxa"/>
            <w:gridSpan w:val="3"/>
            <w:tcBorders>
              <w:top w:val="nil"/>
              <w:left w:val="single" w:color="auto" w:sz="8" w:space="0"/>
              <w:bottom w:val="single" w:color="auto" w:sz="8" w:space="0"/>
              <w:right w:val="single" w:color="auto" w:sz="8" w:space="0"/>
            </w:tcBorders>
            <w:shd w:val="clear" w:color="auto" w:fill="FFFFFF"/>
            <w:tcMar>
              <w:left w:w="108" w:type="dxa"/>
              <w:right w:w="108" w:type="dxa"/>
            </w:tcMar>
            <w:vAlign w:val="top"/>
          </w:tcPr>
          <w:p w14:paraId="34ED1F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二、上年结转政府信息公开申请数量</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34CF4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1EF4A5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F3092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AD984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FD0D2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39FE23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21E23A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D756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6" w:type="dxa"/>
            <w:vMerge w:val="restart"/>
            <w:tcBorders>
              <w:top w:val="nil"/>
              <w:left w:val="single" w:color="auto" w:sz="8" w:space="0"/>
              <w:bottom w:val="nil"/>
              <w:right w:val="single" w:color="auto" w:sz="8" w:space="0"/>
            </w:tcBorders>
            <w:shd w:val="clear" w:color="auto" w:fill="FFFFFF"/>
            <w:tcMar>
              <w:left w:w="108" w:type="dxa"/>
              <w:right w:w="108" w:type="dxa"/>
            </w:tcMar>
            <w:vAlign w:val="center"/>
          </w:tcPr>
          <w:p w14:paraId="0DD7B0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三、本年度办理结果</w:t>
            </w:r>
          </w:p>
        </w:tc>
        <w:tc>
          <w:tcPr>
            <w:tcW w:w="6" w:type="dxa"/>
            <w:gridSpan w:val="2"/>
            <w:tcBorders>
              <w:top w:val="nil"/>
              <w:left w:val="nil"/>
              <w:bottom w:val="single" w:color="auto" w:sz="8" w:space="0"/>
              <w:right w:val="single" w:color="auto" w:sz="8" w:space="0"/>
            </w:tcBorders>
            <w:shd w:val="clear" w:color="auto" w:fill="FFFFFF"/>
            <w:tcMar>
              <w:left w:w="108" w:type="dxa"/>
              <w:right w:w="108" w:type="dxa"/>
            </w:tcMar>
            <w:vAlign w:val="top"/>
          </w:tcPr>
          <w:p w14:paraId="548C3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（一）予以公开</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765261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79E1BE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10C2DEC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68F76B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29CD0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100D64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47EC4C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r>
      <w:tr w14:paraId="3D550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4"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50BE6AAB">
            <w:pPr>
              <w:rPr>
                <w:rFonts w:hint="eastAsia" w:ascii="宋体"/>
                <w:sz w:val="24"/>
                <w:szCs w:val="24"/>
              </w:rPr>
            </w:pPr>
          </w:p>
        </w:tc>
        <w:tc>
          <w:tcPr>
            <w:tcW w:w="6" w:type="dxa"/>
            <w:gridSpan w:val="2"/>
            <w:tcBorders>
              <w:top w:val="nil"/>
              <w:left w:val="nil"/>
              <w:bottom w:val="single" w:color="auto" w:sz="8" w:space="0"/>
              <w:right w:val="single" w:color="auto" w:sz="8" w:space="0"/>
            </w:tcBorders>
            <w:shd w:val="clear" w:color="auto" w:fill="FFFFFF"/>
            <w:tcMar>
              <w:left w:w="108" w:type="dxa"/>
              <w:right w:w="108" w:type="dxa"/>
            </w:tcMar>
            <w:vAlign w:val="top"/>
          </w:tcPr>
          <w:p w14:paraId="44E7B04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（二）部分公开（区分处理的，只计这一情形，不计其他情形）</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49F98E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2F04C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C4E17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3C1A2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12D51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630B53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A6A7D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2777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6"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C1BBD51">
            <w:pPr>
              <w:rPr>
                <w:rFonts w:hint="eastAsia" w:ascii="宋体"/>
                <w:sz w:val="24"/>
                <w:szCs w:val="24"/>
              </w:rPr>
            </w:pPr>
          </w:p>
        </w:tc>
        <w:tc>
          <w:tcPr>
            <w:tcW w:w="6" w:type="dxa"/>
            <w:vMerge w:val="restart"/>
            <w:tcBorders>
              <w:top w:val="nil"/>
              <w:left w:val="nil"/>
              <w:bottom w:val="single" w:color="auto" w:sz="8" w:space="0"/>
              <w:right w:val="single" w:color="auto" w:sz="8" w:space="0"/>
            </w:tcBorders>
            <w:shd w:val="clear" w:color="auto" w:fill="FFFFFF"/>
            <w:tcMar>
              <w:left w:w="108" w:type="dxa"/>
              <w:right w:w="108" w:type="dxa"/>
            </w:tcMar>
            <w:vAlign w:val="center"/>
          </w:tcPr>
          <w:p w14:paraId="15B11A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（三）不予公开</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5F9A0B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1．属于国家秘密</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7F27D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BD8947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4774AD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13E19B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B95E4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1255A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0F2013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8649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20A11E3C">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505F0653">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10AD1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2．其他法律行政法规禁止公开</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0A175A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629B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9560B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E02AFB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19C1E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3B3945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3FEA7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75C4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3"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579361CB">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7BC4B709">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01A643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3．危及“三安全一稳定”</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5D68718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C3BF36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D72E0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666E4A9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DB5E6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5C84FA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631AA5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27BA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2D5C2575">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48D6484B">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646780A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4．保护第三方合法权益</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6E64DA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56706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8BA21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C9033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95F0D1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09167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4467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7636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FD216F5">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34E7EAE2">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3A7E43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5．属于三类内部事务信息</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7F9B2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A64FC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434B53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29A17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A79DD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637497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6EECE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D9DF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75F4F5C8">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260C276F">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3C64AEB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6．属于四类过程性信息</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0089B3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724A7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86190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1C2F2B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EB82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3CD81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703F42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7C57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379C1098">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3C54D538">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278D4C5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7．属于行政执法案卷</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741923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E5EC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29286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1B1008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08444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3DE09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58C216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7454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5"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7D4243BD">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0377A0C5">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60931E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8．属于行政查询事项</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11D272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43BFC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C3EE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486046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9A06D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351AD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16818B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229C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38286895">
            <w:pPr>
              <w:rPr>
                <w:rFonts w:hint="eastAsia" w:ascii="宋体"/>
                <w:sz w:val="24"/>
                <w:szCs w:val="24"/>
              </w:rPr>
            </w:pPr>
          </w:p>
        </w:tc>
        <w:tc>
          <w:tcPr>
            <w:tcW w:w="6" w:type="dxa"/>
            <w:vMerge w:val="restart"/>
            <w:tcBorders>
              <w:top w:val="nil"/>
              <w:left w:val="nil"/>
              <w:bottom w:val="single" w:color="auto" w:sz="8" w:space="0"/>
              <w:right w:val="single" w:color="auto" w:sz="8" w:space="0"/>
            </w:tcBorders>
            <w:shd w:val="clear" w:color="auto" w:fill="FFFFFF"/>
            <w:tcMar>
              <w:left w:w="108" w:type="dxa"/>
              <w:right w:w="108" w:type="dxa"/>
            </w:tcMar>
            <w:vAlign w:val="center"/>
          </w:tcPr>
          <w:p w14:paraId="496FCE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（四）无法提供</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7DF633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1．本单位不掌握相关政府信息</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55743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4BF89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1B39E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F5C53F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FF910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2AE514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5AC293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4EFA0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5B80D641">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319CE311">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4BAF2FD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2．没有现成信息需要另行制作</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127B55A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C9681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725504C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54556E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104D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3CFC71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57EB7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4743C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2"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06115922">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3A40FBE5">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39DEB8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3．补正后申请内容仍不明确</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4CEF35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40B435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1E8ED8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1E968D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582767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514A86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19C64D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43B60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0E888E5B">
            <w:pPr>
              <w:rPr>
                <w:rFonts w:hint="eastAsia" w:ascii="宋体"/>
                <w:sz w:val="24"/>
                <w:szCs w:val="24"/>
              </w:rPr>
            </w:pPr>
          </w:p>
        </w:tc>
        <w:tc>
          <w:tcPr>
            <w:tcW w:w="6" w:type="dxa"/>
            <w:vMerge w:val="restart"/>
            <w:tcBorders>
              <w:top w:val="nil"/>
              <w:left w:val="nil"/>
              <w:bottom w:val="single" w:color="auto" w:sz="8" w:space="0"/>
              <w:right w:val="single" w:color="auto" w:sz="8" w:space="0"/>
            </w:tcBorders>
            <w:shd w:val="clear" w:color="auto" w:fill="FFFFFF"/>
            <w:tcMar>
              <w:left w:w="108" w:type="dxa"/>
              <w:right w:w="108" w:type="dxa"/>
            </w:tcMar>
            <w:vAlign w:val="center"/>
          </w:tcPr>
          <w:p w14:paraId="6C0D9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（五）不予处理</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124D27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1．信访举报投诉类申请</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764F886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BD1B1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3F918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1E4883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50DFFEB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0EC2B67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66FC84F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14F07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2"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63238D0">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280E245A">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08EC123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2．重复申请</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655636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365ED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E21D45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91D88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AFA06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179FCB3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12329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7180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3A6F99E">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5FC983DA">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41948A0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3．要求提供公开出版物</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264701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113FDE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0F517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5023B6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AEA8E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0C6A4A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6081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E2B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358F65AB">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5F30AA81">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5A8EF9A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4．无正当理由大量反复申请</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64AD50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06AD3D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A6FF4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28BEF8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0AC04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26091D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0EA641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115B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4"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0BE55BEC">
            <w:pPr>
              <w:rPr>
                <w:rFonts w:hint="eastAsia" w:ascii="宋体"/>
                <w:sz w:val="24"/>
                <w:szCs w:val="24"/>
              </w:rPr>
            </w:pPr>
          </w:p>
        </w:tc>
        <w:tc>
          <w:tcPr>
            <w:tcW w:w="6" w:type="dxa"/>
            <w:vMerge w:val="continue"/>
            <w:tcBorders>
              <w:top w:val="nil"/>
              <w:left w:val="nil"/>
              <w:bottom w:val="single" w:color="auto" w:sz="8" w:space="0"/>
              <w:right w:val="single" w:color="auto" w:sz="8" w:space="0"/>
            </w:tcBorders>
            <w:shd w:val="clear" w:color="auto" w:fill="FFFFFF"/>
            <w:tcMar>
              <w:left w:w="108" w:type="dxa"/>
              <w:right w:w="108" w:type="dxa"/>
            </w:tcMar>
            <w:vAlign w:val="center"/>
          </w:tcPr>
          <w:p w14:paraId="468C0C31">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tcMar>
              <w:left w:w="108" w:type="dxa"/>
              <w:right w:w="108" w:type="dxa"/>
            </w:tcMar>
            <w:vAlign w:val="top"/>
          </w:tcPr>
          <w:p w14:paraId="4D97EEF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10" w:right="0" w:hanging="211"/>
              <w:jc w:val="both"/>
              <w:rPr>
                <w:sz w:val="24"/>
                <w:szCs w:val="24"/>
              </w:rPr>
            </w:pPr>
            <w:r>
              <w:rPr>
                <w:rFonts w:hint="eastAsia" w:ascii="仿宋_GB2312" w:eastAsia="仿宋_GB2312" w:cs="仿宋_GB2312"/>
                <w:color w:val="000000"/>
                <w:sz w:val="21"/>
                <w:szCs w:val="21"/>
                <w:bdr w:val="none" w:color="auto" w:sz="0" w:space="0"/>
              </w:rPr>
              <w:t>5．要求行政机关确认或重新出具已获取信息</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60DA41C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3EFC7DC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2E03D82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7B2BEC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DD9754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08DABE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25AF584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34C4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4"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509416AA">
            <w:pPr>
              <w:rPr>
                <w:rFonts w:hint="eastAsia" w:ascii="宋体"/>
                <w:sz w:val="24"/>
                <w:szCs w:val="24"/>
              </w:rPr>
            </w:pPr>
          </w:p>
        </w:tc>
        <w:tc>
          <w:tcPr>
            <w:tcW w:w="6" w:type="dxa"/>
            <w:vMerge w:val="restart"/>
            <w:tcBorders>
              <w:top w:val="nil"/>
              <w:left w:val="nil"/>
              <w:bottom w:val="nil"/>
              <w:right w:val="single" w:color="auto" w:sz="8" w:space="0"/>
            </w:tcBorders>
            <w:shd w:val="clear" w:color="auto" w:fill="FFFFFF"/>
            <w:vAlign w:val="center"/>
          </w:tcPr>
          <w:p w14:paraId="5DECAA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（六）其他处理</w:t>
            </w:r>
          </w:p>
        </w:tc>
        <w:tc>
          <w:tcPr>
            <w:tcW w:w="6" w:type="dxa"/>
            <w:tcBorders>
              <w:top w:val="nil"/>
              <w:left w:val="nil"/>
              <w:bottom w:val="single" w:color="auto" w:sz="8" w:space="0"/>
              <w:right w:val="single" w:color="auto" w:sz="8" w:space="0"/>
            </w:tcBorders>
            <w:shd w:val="clear" w:color="auto" w:fill="FFFFFF"/>
            <w:tcMar>
              <w:left w:w="108" w:type="dxa"/>
              <w:right w:w="108" w:type="dxa"/>
            </w:tcMar>
            <w:vAlign w:val="center"/>
          </w:tcPr>
          <w:p w14:paraId="4B82EE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10" w:right="0" w:hanging="211"/>
              <w:jc w:val="both"/>
              <w:rPr>
                <w:sz w:val="24"/>
                <w:szCs w:val="24"/>
              </w:rPr>
            </w:pPr>
            <w:r>
              <w:rPr>
                <w:rFonts w:hint="eastAsia" w:ascii="仿宋_GB2312" w:eastAsia="仿宋_GB2312" w:cs="仿宋_GB2312"/>
                <w:color w:val="000000"/>
                <w:sz w:val="21"/>
                <w:szCs w:val="21"/>
                <w:bdr w:val="none" w:color="auto" w:sz="0" w:space="0"/>
              </w:rPr>
              <w:t>1.申请人无正当理由逾期不补正，行政机关不再处理其信息公开申请</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65A052A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50E847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28E32C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49D7C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22E9B34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158ED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8D5EC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2CF9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0"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BF72B0E">
            <w:pPr>
              <w:rPr>
                <w:rFonts w:hint="eastAsia" w:ascii="宋体"/>
                <w:sz w:val="24"/>
                <w:szCs w:val="24"/>
              </w:rPr>
            </w:pPr>
          </w:p>
        </w:tc>
        <w:tc>
          <w:tcPr>
            <w:tcW w:w="6" w:type="dxa"/>
            <w:vMerge w:val="continue"/>
            <w:tcBorders>
              <w:top w:val="nil"/>
              <w:left w:val="nil"/>
              <w:bottom w:val="nil"/>
              <w:right w:val="single" w:color="auto" w:sz="8" w:space="0"/>
            </w:tcBorders>
            <w:shd w:val="clear" w:color="auto" w:fill="FFFFFF"/>
            <w:vAlign w:val="center"/>
          </w:tcPr>
          <w:p w14:paraId="5F363C58">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vAlign w:val="center"/>
          </w:tcPr>
          <w:p w14:paraId="3D677E2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10" w:right="0" w:hanging="211"/>
              <w:jc w:val="both"/>
              <w:rPr>
                <w:sz w:val="24"/>
                <w:szCs w:val="24"/>
              </w:rPr>
            </w:pPr>
            <w:r>
              <w:rPr>
                <w:rFonts w:hint="eastAsia" w:ascii="仿宋_GB2312" w:eastAsia="仿宋_GB2312" w:cs="仿宋_GB2312"/>
                <w:color w:val="000000"/>
                <w:sz w:val="21"/>
                <w:szCs w:val="21"/>
                <w:bdr w:val="none" w:color="auto" w:sz="0" w:space="0"/>
              </w:rPr>
              <w:t>2.申请人逾期未按收费通知要求缴纳费用、行政机关不再处理其政府信息公开申请</w:t>
            </w:r>
          </w:p>
        </w:tc>
        <w:tc>
          <w:tcPr>
            <w:tcW w:w="567" w:type="dxa"/>
            <w:tcBorders>
              <w:top w:val="nil"/>
              <w:left w:val="nil"/>
              <w:bottom w:val="nil"/>
              <w:right w:val="single" w:color="auto" w:sz="8" w:space="0"/>
            </w:tcBorders>
            <w:shd w:val="clear" w:color="auto" w:fill="FFFFFF"/>
            <w:tcMar>
              <w:left w:w="108" w:type="dxa"/>
              <w:right w:w="108" w:type="dxa"/>
            </w:tcMar>
            <w:vAlign w:val="center"/>
          </w:tcPr>
          <w:p w14:paraId="7DB1A8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nil"/>
              <w:right w:val="single" w:color="auto" w:sz="8" w:space="0"/>
            </w:tcBorders>
            <w:shd w:val="clear" w:color="auto" w:fill="FFFFFF"/>
            <w:tcMar>
              <w:left w:w="108" w:type="dxa"/>
              <w:right w:w="108" w:type="dxa"/>
            </w:tcMar>
            <w:vAlign w:val="center"/>
          </w:tcPr>
          <w:p w14:paraId="7F9117F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nil"/>
              <w:right w:val="single" w:color="auto" w:sz="8" w:space="0"/>
            </w:tcBorders>
            <w:shd w:val="clear" w:color="auto" w:fill="FFFFFF"/>
            <w:tcMar>
              <w:left w:w="108" w:type="dxa"/>
              <w:right w:w="108" w:type="dxa"/>
            </w:tcMar>
            <w:vAlign w:val="center"/>
          </w:tcPr>
          <w:p w14:paraId="4A461F5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nil"/>
              <w:right w:val="single" w:color="auto" w:sz="8" w:space="0"/>
            </w:tcBorders>
            <w:shd w:val="clear" w:color="auto" w:fill="FFFFFF"/>
            <w:tcMar>
              <w:left w:w="108" w:type="dxa"/>
              <w:right w:w="108" w:type="dxa"/>
            </w:tcMar>
            <w:vAlign w:val="center"/>
          </w:tcPr>
          <w:p w14:paraId="480307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nil"/>
              <w:right w:val="single" w:color="auto" w:sz="8" w:space="0"/>
            </w:tcBorders>
            <w:shd w:val="clear" w:color="auto" w:fill="FFFFFF"/>
            <w:tcMar>
              <w:left w:w="108" w:type="dxa"/>
              <w:right w:w="108" w:type="dxa"/>
            </w:tcMar>
            <w:vAlign w:val="center"/>
          </w:tcPr>
          <w:p w14:paraId="1FCE547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nil"/>
              <w:right w:val="single" w:color="auto" w:sz="8" w:space="0"/>
            </w:tcBorders>
            <w:shd w:val="clear" w:color="auto" w:fill="FFFFFF"/>
            <w:tcMar>
              <w:left w:w="108" w:type="dxa"/>
              <w:right w:w="108" w:type="dxa"/>
            </w:tcMar>
            <w:vAlign w:val="center"/>
          </w:tcPr>
          <w:p w14:paraId="15740D2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nil"/>
              <w:right w:val="single" w:color="auto" w:sz="8" w:space="0"/>
            </w:tcBorders>
            <w:shd w:val="clear" w:color="auto" w:fill="FFFFFF"/>
            <w:tcMar>
              <w:left w:w="108" w:type="dxa"/>
              <w:right w:w="108" w:type="dxa"/>
            </w:tcMar>
            <w:vAlign w:val="center"/>
          </w:tcPr>
          <w:p w14:paraId="57EF085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1BC80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59AD7068">
            <w:pPr>
              <w:rPr>
                <w:rFonts w:hint="eastAsia" w:ascii="宋体"/>
                <w:sz w:val="24"/>
                <w:szCs w:val="24"/>
              </w:rPr>
            </w:pPr>
          </w:p>
        </w:tc>
        <w:tc>
          <w:tcPr>
            <w:tcW w:w="6" w:type="dxa"/>
            <w:vMerge w:val="continue"/>
            <w:tcBorders>
              <w:top w:val="nil"/>
              <w:left w:val="nil"/>
              <w:bottom w:val="nil"/>
              <w:right w:val="single" w:color="auto" w:sz="8" w:space="0"/>
            </w:tcBorders>
            <w:shd w:val="clear" w:color="auto" w:fill="FFFFFF"/>
            <w:vAlign w:val="center"/>
          </w:tcPr>
          <w:p w14:paraId="5DE3EF1C">
            <w:pPr>
              <w:rPr>
                <w:rFonts w:hint="eastAsia" w:ascii="宋体"/>
                <w:sz w:val="24"/>
                <w:szCs w:val="24"/>
              </w:rPr>
            </w:pPr>
          </w:p>
        </w:tc>
        <w:tc>
          <w:tcPr>
            <w:tcW w:w="6" w:type="dxa"/>
            <w:tcBorders>
              <w:top w:val="nil"/>
              <w:left w:val="nil"/>
              <w:bottom w:val="single" w:color="auto" w:sz="8" w:space="0"/>
              <w:right w:val="single" w:color="auto" w:sz="8" w:space="0"/>
            </w:tcBorders>
            <w:shd w:val="clear" w:color="auto" w:fill="FFFFFF"/>
            <w:vAlign w:val="center"/>
          </w:tcPr>
          <w:p w14:paraId="3AF9D8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210" w:right="0" w:hanging="211"/>
              <w:jc w:val="both"/>
              <w:rPr>
                <w:sz w:val="24"/>
                <w:szCs w:val="24"/>
              </w:rPr>
            </w:pPr>
            <w:r>
              <w:rPr>
                <w:rFonts w:hint="eastAsia" w:ascii="仿宋_GB2312" w:eastAsia="仿宋_GB2312" w:cs="仿宋_GB2312"/>
                <w:color w:val="000000"/>
                <w:sz w:val="21"/>
                <w:szCs w:val="21"/>
                <w:bdr w:val="none" w:color="auto" w:sz="0" w:space="0"/>
              </w:rPr>
              <w:t>3.其他</w:t>
            </w:r>
          </w:p>
        </w:tc>
        <w:tc>
          <w:tcPr>
            <w:tcW w:w="567" w:type="dxa"/>
            <w:tcBorders>
              <w:top w:val="single" w:color="auto" w:sz="8" w:space="0"/>
              <w:left w:val="nil"/>
              <w:bottom w:val="nil"/>
              <w:right w:val="single" w:color="auto" w:sz="8" w:space="0"/>
            </w:tcBorders>
            <w:shd w:val="clear" w:color="auto" w:fill="FFFFFF"/>
            <w:tcMar>
              <w:left w:w="108" w:type="dxa"/>
              <w:right w:w="108" w:type="dxa"/>
            </w:tcMar>
            <w:vAlign w:val="center"/>
          </w:tcPr>
          <w:p w14:paraId="473406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single" w:color="auto" w:sz="8" w:space="0"/>
              <w:left w:val="nil"/>
              <w:bottom w:val="nil"/>
              <w:right w:val="single" w:color="auto" w:sz="8" w:space="0"/>
            </w:tcBorders>
            <w:shd w:val="clear" w:color="auto" w:fill="FFFFFF"/>
            <w:tcMar>
              <w:left w:w="108" w:type="dxa"/>
              <w:right w:w="108" w:type="dxa"/>
            </w:tcMar>
            <w:vAlign w:val="center"/>
          </w:tcPr>
          <w:p w14:paraId="04E5E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single" w:color="auto" w:sz="8" w:space="0"/>
              <w:left w:val="nil"/>
              <w:bottom w:val="nil"/>
              <w:right w:val="single" w:color="auto" w:sz="8" w:space="0"/>
            </w:tcBorders>
            <w:shd w:val="clear" w:color="auto" w:fill="FFFFFF"/>
            <w:tcMar>
              <w:left w:w="108" w:type="dxa"/>
              <w:right w:w="108" w:type="dxa"/>
            </w:tcMar>
            <w:vAlign w:val="center"/>
          </w:tcPr>
          <w:p w14:paraId="0D781F8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single" w:color="auto" w:sz="8" w:space="0"/>
              <w:left w:val="nil"/>
              <w:bottom w:val="nil"/>
              <w:right w:val="single" w:color="auto" w:sz="8" w:space="0"/>
            </w:tcBorders>
            <w:shd w:val="clear" w:color="auto" w:fill="FFFFFF"/>
            <w:tcMar>
              <w:left w:w="108" w:type="dxa"/>
              <w:right w:w="108" w:type="dxa"/>
            </w:tcMar>
            <w:vAlign w:val="center"/>
          </w:tcPr>
          <w:p w14:paraId="3419625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single" w:color="auto" w:sz="8" w:space="0"/>
              <w:left w:val="nil"/>
              <w:bottom w:val="nil"/>
              <w:right w:val="single" w:color="auto" w:sz="8" w:space="0"/>
            </w:tcBorders>
            <w:shd w:val="clear" w:color="auto" w:fill="FFFFFF"/>
            <w:tcMar>
              <w:left w:w="108" w:type="dxa"/>
              <w:right w:w="108" w:type="dxa"/>
            </w:tcMar>
            <w:vAlign w:val="center"/>
          </w:tcPr>
          <w:p w14:paraId="6E871E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nil"/>
              <w:right w:val="single" w:color="auto" w:sz="8" w:space="0"/>
            </w:tcBorders>
            <w:shd w:val="clear" w:color="auto" w:fill="FFFFFF"/>
            <w:tcMar>
              <w:left w:w="108" w:type="dxa"/>
              <w:right w:w="108" w:type="dxa"/>
            </w:tcMar>
            <w:vAlign w:val="center"/>
          </w:tcPr>
          <w:p w14:paraId="2AD2F75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nil"/>
              <w:right w:val="single" w:color="auto" w:sz="8" w:space="0"/>
            </w:tcBorders>
            <w:shd w:val="clear" w:color="auto" w:fill="FFFFFF"/>
            <w:tcMar>
              <w:left w:w="108" w:type="dxa"/>
              <w:right w:w="108" w:type="dxa"/>
            </w:tcMar>
            <w:vAlign w:val="center"/>
          </w:tcPr>
          <w:p w14:paraId="29F7BD9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r w14:paraId="0FB1F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9" w:hRule="atLeast"/>
          <w:jc w:val="center"/>
        </w:trPr>
        <w:tc>
          <w:tcPr>
            <w:tcW w:w="6" w:type="dxa"/>
            <w:vMerge w:val="continue"/>
            <w:tcBorders>
              <w:top w:val="nil"/>
              <w:left w:val="single" w:color="auto" w:sz="8" w:space="0"/>
              <w:bottom w:val="nil"/>
              <w:right w:val="single" w:color="auto" w:sz="8" w:space="0"/>
            </w:tcBorders>
            <w:shd w:val="clear" w:color="auto" w:fill="FFFFFF"/>
            <w:tcMar>
              <w:left w:w="108" w:type="dxa"/>
              <w:right w:w="108" w:type="dxa"/>
            </w:tcMar>
            <w:vAlign w:val="center"/>
          </w:tcPr>
          <w:p w14:paraId="4F1FC345">
            <w:pPr>
              <w:rPr>
                <w:rFonts w:hint="eastAsia" w:ascii="宋体"/>
                <w:sz w:val="24"/>
                <w:szCs w:val="24"/>
              </w:rPr>
            </w:pPr>
          </w:p>
        </w:tc>
        <w:tc>
          <w:tcPr>
            <w:tcW w:w="6"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6190EC0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（七）总计</w:t>
            </w:r>
          </w:p>
        </w:tc>
        <w:tc>
          <w:tcPr>
            <w:tcW w:w="56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4E48655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c>
          <w:tcPr>
            <w:tcW w:w="63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2A23A1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3B46BA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26A6F2A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6772B4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79B0CD6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single" w:color="auto" w:sz="8" w:space="0"/>
              <w:left w:val="nil"/>
              <w:bottom w:val="single" w:color="auto" w:sz="8" w:space="0"/>
              <w:right w:val="single" w:color="auto" w:sz="8" w:space="0"/>
            </w:tcBorders>
            <w:shd w:val="clear" w:color="auto" w:fill="FFFFFF"/>
            <w:tcMar>
              <w:left w:w="108" w:type="dxa"/>
              <w:right w:w="108" w:type="dxa"/>
            </w:tcMar>
            <w:vAlign w:val="top"/>
          </w:tcPr>
          <w:p w14:paraId="4440F5B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1</w:t>
            </w:r>
          </w:p>
        </w:tc>
      </w:tr>
      <w:tr w14:paraId="4668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2" w:hRule="atLeast"/>
          <w:jc w:val="center"/>
        </w:trPr>
        <w:tc>
          <w:tcPr>
            <w:tcW w:w="6" w:type="dxa"/>
            <w:gridSpan w:val="3"/>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E35AC1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四、结转下年度继续办理</w:t>
            </w:r>
          </w:p>
        </w:tc>
        <w:tc>
          <w:tcPr>
            <w:tcW w:w="567" w:type="dxa"/>
            <w:tcBorders>
              <w:top w:val="nil"/>
              <w:left w:val="nil"/>
              <w:bottom w:val="single" w:color="auto" w:sz="8" w:space="0"/>
              <w:right w:val="single" w:color="auto" w:sz="8" w:space="0"/>
            </w:tcBorders>
            <w:shd w:val="clear" w:color="auto" w:fill="FFFFFF"/>
            <w:tcMar>
              <w:left w:w="108" w:type="dxa"/>
              <w:right w:w="108" w:type="dxa"/>
            </w:tcMar>
            <w:vAlign w:val="center"/>
          </w:tcPr>
          <w:p w14:paraId="044FA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6388910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637" w:type="dxa"/>
            <w:tcBorders>
              <w:top w:val="nil"/>
              <w:left w:val="nil"/>
              <w:bottom w:val="single" w:color="auto" w:sz="8" w:space="0"/>
              <w:right w:val="single" w:color="auto" w:sz="8" w:space="0"/>
            </w:tcBorders>
            <w:shd w:val="clear" w:color="auto" w:fill="FFFFFF"/>
            <w:tcMar>
              <w:left w:w="108" w:type="dxa"/>
              <w:right w:w="108" w:type="dxa"/>
            </w:tcMar>
            <w:vAlign w:val="center"/>
          </w:tcPr>
          <w:p w14:paraId="2DF93C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59CFA61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776" w:type="dxa"/>
            <w:tcBorders>
              <w:top w:val="nil"/>
              <w:left w:val="nil"/>
              <w:bottom w:val="single" w:color="auto" w:sz="8" w:space="0"/>
              <w:right w:val="single" w:color="auto" w:sz="8" w:space="0"/>
            </w:tcBorders>
            <w:shd w:val="clear" w:color="auto" w:fill="FFFFFF"/>
            <w:tcMar>
              <w:left w:w="108" w:type="dxa"/>
              <w:right w:w="108" w:type="dxa"/>
            </w:tcMar>
            <w:vAlign w:val="center"/>
          </w:tcPr>
          <w:p w14:paraId="3912EB8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7330AC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c>
          <w:tcPr>
            <w:tcW w:w="497" w:type="dxa"/>
            <w:tcBorders>
              <w:top w:val="nil"/>
              <w:left w:val="nil"/>
              <w:bottom w:val="single" w:color="auto" w:sz="8" w:space="0"/>
              <w:right w:val="single" w:color="auto" w:sz="8" w:space="0"/>
            </w:tcBorders>
            <w:shd w:val="clear" w:color="auto" w:fill="FFFFFF"/>
            <w:tcMar>
              <w:left w:w="108" w:type="dxa"/>
              <w:right w:w="108" w:type="dxa"/>
            </w:tcMar>
            <w:vAlign w:val="center"/>
          </w:tcPr>
          <w:p w14:paraId="4FD24AE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eastAsia="仿宋_GB2312" w:cs="仿宋_GB2312"/>
                <w:color w:val="000000"/>
                <w:sz w:val="21"/>
                <w:szCs w:val="21"/>
                <w:bdr w:val="none" w:color="auto" w:sz="0" w:space="0"/>
              </w:rPr>
              <w:t>0</w:t>
            </w:r>
          </w:p>
        </w:tc>
      </w:tr>
    </w:tbl>
    <w:p w14:paraId="049EE1D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2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四、因政府信息公开申请提起行政复议、行政诉讼的情况</w:t>
      </w:r>
    </w:p>
    <w:p w14:paraId="37DD0F0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2024年，我街道严格按照《条例》的规定公开政府信息，没有因政府信息公开申请提起行政复议、行政诉讼的情况发生。</w:t>
      </w:r>
    </w:p>
    <w:tbl>
      <w:tblPr>
        <w:tblW w:w="90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00"/>
        <w:gridCol w:w="600"/>
        <w:gridCol w:w="600"/>
        <w:gridCol w:w="600"/>
        <w:gridCol w:w="675"/>
        <w:gridCol w:w="555"/>
        <w:gridCol w:w="600"/>
        <w:gridCol w:w="600"/>
        <w:gridCol w:w="600"/>
        <w:gridCol w:w="615"/>
        <w:gridCol w:w="600"/>
        <w:gridCol w:w="600"/>
        <w:gridCol w:w="600"/>
        <w:gridCol w:w="600"/>
        <w:gridCol w:w="630"/>
      </w:tblGrid>
      <w:tr w14:paraId="251B9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95" w:hRule="atLeast"/>
        </w:trPr>
        <w:tc>
          <w:tcPr>
            <w:tcW w:w="3075" w:type="dxa"/>
            <w:gridSpan w:val="5"/>
            <w:tcBorders>
              <w:top w:val="single" w:color="auto" w:sz="8" w:space="0"/>
              <w:left w:val="single" w:color="auto" w:sz="8" w:space="0"/>
              <w:bottom w:val="single" w:color="auto" w:sz="8" w:space="0"/>
              <w:right w:val="single" w:color="auto" w:sz="8" w:space="0"/>
            </w:tcBorders>
            <w:shd w:val="clear"/>
            <w:tcMar>
              <w:left w:w="105" w:type="dxa"/>
              <w:right w:w="105" w:type="dxa"/>
            </w:tcMar>
            <w:vAlign w:val="center"/>
          </w:tcPr>
          <w:p w14:paraId="20D7BA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行政复议</w:t>
            </w:r>
          </w:p>
        </w:tc>
        <w:tc>
          <w:tcPr>
            <w:tcW w:w="6000" w:type="dxa"/>
            <w:gridSpan w:val="10"/>
            <w:tcBorders>
              <w:top w:val="single" w:color="auto" w:sz="8" w:space="0"/>
              <w:left w:val="nil"/>
              <w:bottom w:val="single" w:color="auto" w:sz="8" w:space="0"/>
              <w:right w:val="single" w:color="auto" w:sz="8" w:space="0"/>
            </w:tcBorders>
            <w:shd w:val="clear"/>
            <w:tcMar>
              <w:left w:w="105" w:type="dxa"/>
              <w:right w:w="105" w:type="dxa"/>
            </w:tcMar>
            <w:vAlign w:val="center"/>
          </w:tcPr>
          <w:p w14:paraId="35B1A30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行政诉讼</w:t>
            </w:r>
          </w:p>
        </w:tc>
      </w:tr>
      <w:tr w14:paraId="021E2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600" w:type="dxa"/>
            <w:vMerge w:val="restart"/>
            <w:tcBorders>
              <w:top w:val="nil"/>
              <w:left w:val="single" w:color="auto" w:sz="8" w:space="0"/>
              <w:bottom w:val="single" w:color="auto" w:sz="8" w:space="0"/>
              <w:right w:val="single" w:color="auto" w:sz="8" w:space="0"/>
            </w:tcBorders>
            <w:shd w:val="clear"/>
            <w:tcMar>
              <w:left w:w="105" w:type="dxa"/>
              <w:right w:w="105" w:type="dxa"/>
            </w:tcMar>
            <w:vAlign w:val="center"/>
          </w:tcPr>
          <w:p w14:paraId="27493E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w:t>
            </w:r>
          </w:p>
          <w:p w14:paraId="2224F90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维持</w:t>
            </w:r>
          </w:p>
        </w:tc>
        <w:tc>
          <w:tcPr>
            <w:tcW w:w="600" w:type="dxa"/>
            <w:vMerge w:val="restart"/>
            <w:tcBorders>
              <w:top w:val="nil"/>
              <w:left w:val="nil"/>
              <w:bottom w:val="single" w:color="auto" w:sz="8" w:space="0"/>
              <w:right w:val="single" w:color="auto" w:sz="8" w:space="0"/>
            </w:tcBorders>
            <w:shd w:val="clear"/>
            <w:tcMar>
              <w:left w:w="105" w:type="dxa"/>
              <w:right w:w="105" w:type="dxa"/>
            </w:tcMar>
            <w:vAlign w:val="center"/>
          </w:tcPr>
          <w:p w14:paraId="206AFF2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结果纠正</w:t>
            </w:r>
          </w:p>
        </w:tc>
        <w:tc>
          <w:tcPr>
            <w:tcW w:w="600" w:type="dxa"/>
            <w:vMerge w:val="restart"/>
            <w:tcBorders>
              <w:top w:val="single" w:color="auto" w:sz="8" w:space="0"/>
              <w:left w:val="nil"/>
              <w:bottom w:val="single" w:color="auto" w:sz="8" w:space="0"/>
              <w:right w:val="single" w:color="auto" w:sz="8" w:space="0"/>
            </w:tcBorders>
            <w:shd w:val="clear"/>
            <w:tcMar>
              <w:left w:w="105" w:type="dxa"/>
              <w:right w:w="105" w:type="dxa"/>
            </w:tcMar>
            <w:vAlign w:val="center"/>
          </w:tcPr>
          <w:p w14:paraId="2772B9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其他结果</w:t>
            </w:r>
          </w:p>
        </w:tc>
        <w:tc>
          <w:tcPr>
            <w:tcW w:w="600" w:type="dxa"/>
            <w:vMerge w:val="restart"/>
            <w:tcBorders>
              <w:top w:val="single" w:color="auto" w:sz="8" w:space="0"/>
              <w:left w:val="nil"/>
              <w:bottom w:val="single" w:color="auto" w:sz="8" w:space="0"/>
              <w:right w:val="single" w:color="auto" w:sz="8" w:space="0"/>
            </w:tcBorders>
            <w:shd w:val="clear"/>
            <w:tcMar>
              <w:left w:w="105" w:type="dxa"/>
              <w:right w:w="105" w:type="dxa"/>
            </w:tcMar>
            <w:vAlign w:val="center"/>
          </w:tcPr>
          <w:p w14:paraId="045B4B2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尚未</w:t>
            </w:r>
          </w:p>
          <w:p w14:paraId="229047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审结</w:t>
            </w:r>
          </w:p>
        </w:tc>
        <w:tc>
          <w:tcPr>
            <w:tcW w:w="660" w:type="dxa"/>
            <w:vMerge w:val="restart"/>
            <w:tcBorders>
              <w:top w:val="single" w:color="auto" w:sz="8" w:space="0"/>
              <w:left w:val="nil"/>
              <w:bottom w:val="single" w:color="auto" w:sz="8" w:space="0"/>
              <w:right w:val="single" w:color="auto" w:sz="8" w:space="0"/>
            </w:tcBorders>
            <w:shd w:val="clear"/>
            <w:tcMar>
              <w:left w:w="105" w:type="dxa"/>
              <w:right w:w="105" w:type="dxa"/>
            </w:tcMar>
            <w:vAlign w:val="center"/>
          </w:tcPr>
          <w:p w14:paraId="1507038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总</w:t>
            </w:r>
          </w:p>
          <w:p w14:paraId="63D489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计</w:t>
            </w:r>
          </w:p>
        </w:tc>
        <w:tc>
          <w:tcPr>
            <w:tcW w:w="2970" w:type="dxa"/>
            <w:gridSpan w:val="5"/>
            <w:tcBorders>
              <w:top w:val="single" w:color="auto" w:sz="8" w:space="0"/>
              <w:left w:val="nil"/>
              <w:bottom w:val="single" w:color="auto" w:sz="8" w:space="0"/>
              <w:right w:val="single" w:color="auto" w:sz="8" w:space="0"/>
            </w:tcBorders>
            <w:shd w:val="clear"/>
            <w:tcMar>
              <w:left w:w="105" w:type="dxa"/>
              <w:right w:w="105" w:type="dxa"/>
            </w:tcMar>
            <w:vAlign w:val="center"/>
          </w:tcPr>
          <w:p w14:paraId="50C281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未经复议直接起诉</w:t>
            </w:r>
          </w:p>
        </w:tc>
        <w:tc>
          <w:tcPr>
            <w:tcW w:w="3030" w:type="dxa"/>
            <w:gridSpan w:val="5"/>
            <w:tcBorders>
              <w:top w:val="single" w:color="auto" w:sz="8" w:space="0"/>
              <w:left w:val="nil"/>
              <w:bottom w:val="single" w:color="auto" w:sz="8" w:space="0"/>
              <w:right w:val="single" w:color="auto" w:sz="8" w:space="0"/>
            </w:tcBorders>
            <w:shd w:val="clear"/>
            <w:tcMar>
              <w:left w:w="105" w:type="dxa"/>
              <w:right w:w="105" w:type="dxa"/>
            </w:tcMar>
            <w:vAlign w:val="center"/>
          </w:tcPr>
          <w:p w14:paraId="73C23B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复议后起诉</w:t>
            </w:r>
          </w:p>
        </w:tc>
      </w:tr>
      <w:tr w14:paraId="245BF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600" w:type="dxa"/>
            <w:vMerge w:val="continue"/>
            <w:tcBorders>
              <w:top w:val="nil"/>
              <w:left w:val="single" w:color="auto" w:sz="8" w:space="0"/>
              <w:bottom w:val="single" w:color="auto" w:sz="8" w:space="0"/>
              <w:right w:val="single" w:color="auto" w:sz="8" w:space="0"/>
            </w:tcBorders>
            <w:shd w:val="clear"/>
            <w:tcMar>
              <w:left w:w="105" w:type="dxa"/>
              <w:right w:w="105" w:type="dxa"/>
            </w:tcMar>
            <w:vAlign w:val="center"/>
          </w:tcPr>
          <w:p w14:paraId="6C1F90E3">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nil"/>
              <w:left w:val="nil"/>
              <w:bottom w:val="single" w:color="auto" w:sz="8" w:space="0"/>
              <w:right w:val="single" w:color="auto" w:sz="8" w:space="0"/>
            </w:tcBorders>
            <w:shd w:val="clear"/>
            <w:tcMar>
              <w:left w:w="105" w:type="dxa"/>
              <w:right w:w="105" w:type="dxa"/>
            </w:tcMar>
            <w:vAlign w:val="center"/>
          </w:tcPr>
          <w:p w14:paraId="3C10E9CC">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single" w:color="auto" w:sz="8" w:space="0"/>
              <w:left w:val="nil"/>
              <w:bottom w:val="single" w:color="auto" w:sz="8" w:space="0"/>
              <w:right w:val="single" w:color="auto" w:sz="8" w:space="0"/>
            </w:tcBorders>
            <w:shd w:val="clear"/>
            <w:tcMar>
              <w:left w:w="105" w:type="dxa"/>
              <w:right w:w="105" w:type="dxa"/>
            </w:tcMar>
            <w:vAlign w:val="center"/>
          </w:tcPr>
          <w:p w14:paraId="547A942D">
            <w:pPr>
              <w:rPr>
                <w:rFonts w:hint="eastAsia" w:ascii="微软雅黑" w:hAnsi="微软雅黑" w:eastAsia="微软雅黑" w:cs="微软雅黑"/>
                <w:i w:val="0"/>
                <w:iCs w:val="0"/>
                <w:caps w:val="0"/>
                <w:color w:val="000000"/>
                <w:spacing w:val="0"/>
                <w:sz w:val="27"/>
                <w:szCs w:val="27"/>
              </w:rPr>
            </w:pPr>
          </w:p>
        </w:tc>
        <w:tc>
          <w:tcPr>
            <w:tcW w:w="600" w:type="dxa"/>
            <w:vMerge w:val="continue"/>
            <w:tcBorders>
              <w:top w:val="single" w:color="auto" w:sz="8" w:space="0"/>
              <w:left w:val="nil"/>
              <w:bottom w:val="single" w:color="auto" w:sz="8" w:space="0"/>
              <w:right w:val="single" w:color="auto" w:sz="8" w:space="0"/>
            </w:tcBorders>
            <w:shd w:val="clear"/>
            <w:tcMar>
              <w:left w:w="105" w:type="dxa"/>
              <w:right w:w="105" w:type="dxa"/>
            </w:tcMar>
            <w:vAlign w:val="center"/>
          </w:tcPr>
          <w:p w14:paraId="5737F4B1">
            <w:pPr>
              <w:rPr>
                <w:rFonts w:hint="eastAsia" w:ascii="微软雅黑" w:hAnsi="微软雅黑" w:eastAsia="微软雅黑" w:cs="微软雅黑"/>
                <w:i w:val="0"/>
                <w:iCs w:val="0"/>
                <w:caps w:val="0"/>
                <w:color w:val="000000"/>
                <w:spacing w:val="0"/>
                <w:sz w:val="27"/>
                <w:szCs w:val="27"/>
              </w:rPr>
            </w:pPr>
          </w:p>
        </w:tc>
        <w:tc>
          <w:tcPr>
            <w:tcW w:w="660" w:type="dxa"/>
            <w:vMerge w:val="continue"/>
            <w:tcBorders>
              <w:top w:val="single" w:color="auto" w:sz="8" w:space="0"/>
              <w:left w:val="nil"/>
              <w:bottom w:val="single" w:color="auto" w:sz="8" w:space="0"/>
              <w:right w:val="single" w:color="auto" w:sz="8" w:space="0"/>
            </w:tcBorders>
            <w:shd w:val="clear"/>
            <w:tcMar>
              <w:left w:w="105" w:type="dxa"/>
              <w:right w:w="105" w:type="dxa"/>
            </w:tcMar>
            <w:vAlign w:val="center"/>
          </w:tcPr>
          <w:p w14:paraId="5571DCA3">
            <w:pPr>
              <w:rPr>
                <w:rFonts w:hint="eastAsia" w:ascii="微软雅黑" w:hAnsi="微软雅黑" w:eastAsia="微软雅黑" w:cs="微软雅黑"/>
                <w:i w:val="0"/>
                <w:iCs w:val="0"/>
                <w:caps w:val="0"/>
                <w:color w:val="000000"/>
                <w:spacing w:val="0"/>
                <w:sz w:val="27"/>
                <w:szCs w:val="27"/>
              </w:rPr>
            </w:pPr>
          </w:p>
        </w:tc>
        <w:tc>
          <w:tcPr>
            <w:tcW w:w="555" w:type="dxa"/>
            <w:tcBorders>
              <w:top w:val="nil"/>
              <w:left w:val="nil"/>
              <w:bottom w:val="single" w:color="auto" w:sz="8" w:space="0"/>
              <w:right w:val="single" w:color="auto" w:sz="8" w:space="0"/>
            </w:tcBorders>
            <w:shd w:val="clear"/>
            <w:tcMar>
              <w:left w:w="105" w:type="dxa"/>
              <w:right w:w="105" w:type="dxa"/>
            </w:tcMar>
            <w:vAlign w:val="center"/>
          </w:tcPr>
          <w:p w14:paraId="3D56A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结果维持</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547897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结果纠正</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5EA7BC8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其他</w:t>
            </w:r>
          </w:p>
          <w:p w14:paraId="1D7DE9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3866AD1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尚未</w:t>
            </w:r>
          </w:p>
          <w:p w14:paraId="49C49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审结</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76B871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总计</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08E86AE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结果维持</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6A6E19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w:t>
            </w:r>
          </w:p>
          <w:p w14:paraId="38D2D17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纠正</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4E1C90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其他</w:t>
            </w:r>
          </w:p>
          <w:p w14:paraId="7D47B3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结果</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443299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尚未审结</w:t>
            </w:r>
          </w:p>
        </w:tc>
        <w:tc>
          <w:tcPr>
            <w:tcW w:w="600" w:type="dxa"/>
            <w:tcBorders>
              <w:top w:val="single" w:color="auto" w:sz="8" w:space="0"/>
              <w:left w:val="nil"/>
              <w:bottom w:val="single" w:color="auto" w:sz="8" w:space="0"/>
              <w:right w:val="single" w:color="auto" w:sz="8" w:space="0"/>
            </w:tcBorders>
            <w:shd w:val="clear"/>
            <w:tcMar>
              <w:left w:w="105" w:type="dxa"/>
              <w:right w:w="105" w:type="dxa"/>
            </w:tcMar>
            <w:vAlign w:val="center"/>
          </w:tcPr>
          <w:p w14:paraId="5010A8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19"/>
                <w:szCs w:val="19"/>
                <w:bdr w:val="none" w:color="auto" w:sz="0" w:space="0"/>
              </w:rPr>
              <w:t>总计</w:t>
            </w:r>
          </w:p>
        </w:tc>
      </w:tr>
      <w:tr w14:paraId="48CBA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600" w:type="dxa"/>
            <w:tcBorders>
              <w:top w:val="nil"/>
              <w:left w:val="single" w:color="auto" w:sz="8" w:space="0"/>
              <w:bottom w:val="single" w:color="auto" w:sz="8" w:space="0"/>
              <w:right w:val="single" w:color="auto" w:sz="8" w:space="0"/>
            </w:tcBorders>
            <w:shd w:val="clear"/>
            <w:tcMar>
              <w:left w:w="105" w:type="dxa"/>
              <w:right w:w="105" w:type="dxa"/>
            </w:tcMar>
            <w:vAlign w:val="center"/>
          </w:tcPr>
          <w:p w14:paraId="43E4647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6CC76B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321B0D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59AE55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60" w:type="dxa"/>
            <w:tcBorders>
              <w:top w:val="nil"/>
              <w:left w:val="nil"/>
              <w:bottom w:val="single" w:color="auto" w:sz="8" w:space="0"/>
              <w:right w:val="single" w:color="auto" w:sz="8" w:space="0"/>
            </w:tcBorders>
            <w:shd w:val="clear"/>
            <w:tcMar>
              <w:left w:w="105" w:type="dxa"/>
              <w:right w:w="105" w:type="dxa"/>
            </w:tcMar>
            <w:vAlign w:val="center"/>
          </w:tcPr>
          <w:p w14:paraId="47F2AE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0</w:t>
            </w:r>
          </w:p>
        </w:tc>
        <w:tc>
          <w:tcPr>
            <w:tcW w:w="555" w:type="dxa"/>
            <w:tcBorders>
              <w:top w:val="nil"/>
              <w:left w:val="nil"/>
              <w:bottom w:val="single" w:color="auto" w:sz="8" w:space="0"/>
              <w:right w:val="single" w:color="auto" w:sz="8" w:space="0"/>
            </w:tcBorders>
            <w:shd w:val="clear"/>
            <w:tcMar>
              <w:left w:w="105" w:type="dxa"/>
              <w:right w:w="105" w:type="dxa"/>
            </w:tcMar>
            <w:vAlign w:val="center"/>
          </w:tcPr>
          <w:p w14:paraId="546284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328A6D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7A3FB2C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330C8A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微软雅黑" w:hAnsi="微软雅黑" w:eastAsia="微软雅黑" w:cs="微软雅黑"/>
                <w:i w:val="0"/>
                <w:iCs w:val="0"/>
                <w:caps w:val="0"/>
                <w:color w:val="000000"/>
                <w:spacing w:val="0"/>
                <w:sz w:val="21"/>
                <w:szCs w:val="21"/>
                <w:bdr w:val="none" w:color="auto" w:sz="0" w:space="0"/>
              </w:rPr>
              <w:t> </w:t>
            </w:r>
            <w:r>
              <w:rPr>
                <w:rFonts w:hint="eastAsia" w:ascii="仿宋_GB2312" w:hAnsi="微软雅黑" w:eastAsia="仿宋_GB2312" w:cs="仿宋_GB2312"/>
                <w:i w:val="0"/>
                <w:iCs w:val="0"/>
                <w:caps w:val="0"/>
                <w:color w:val="000000"/>
                <w:spacing w:val="0"/>
                <w:sz w:val="21"/>
                <w:szCs w:val="21"/>
                <w:bdr w:val="none" w:color="auto" w:sz="0" w:space="0"/>
              </w:rPr>
              <w:t>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089A103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0 </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3EDCEF8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3474BE3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735F863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212DCEB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 0</w:t>
            </w:r>
          </w:p>
        </w:tc>
        <w:tc>
          <w:tcPr>
            <w:tcW w:w="600" w:type="dxa"/>
            <w:tcBorders>
              <w:top w:val="nil"/>
              <w:left w:val="nil"/>
              <w:bottom w:val="single" w:color="auto" w:sz="8" w:space="0"/>
              <w:right w:val="single" w:color="auto" w:sz="8" w:space="0"/>
            </w:tcBorders>
            <w:shd w:val="clear"/>
            <w:tcMar>
              <w:left w:w="105" w:type="dxa"/>
              <w:right w:w="105" w:type="dxa"/>
            </w:tcMar>
            <w:vAlign w:val="center"/>
          </w:tcPr>
          <w:p w14:paraId="62B7F60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4"/>
                <w:szCs w:val="24"/>
              </w:rPr>
            </w:pPr>
            <w:r>
              <w:rPr>
                <w:rFonts w:hint="eastAsia" w:ascii="仿宋_GB2312" w:hAnsi="微软雅黑" w:eastAsia="仿宋_GB2312" w:cs="仿宋_GB2312"/>
                <w:i w:val="0"/>
                <w:iCs w:val="0"/>
                <w:caps w:val="0"/>
                <w:color w:val="000000"/>
                <w:spacing w:val="0"/>
                <w:sz w:val="21"/>
                <w:szCs w:val="21"/>
                <w:bdr w:val="none" w:color="auto" w:sz="0" w:space="0"/>
              </w:rPr>
              <w:t>0</w:t>
            </w:r>
          </w:p>
        </w:tc>
      </w:tr>
    </w:tbl>
    <w:p w14:paraId="1DA36F1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0"/>
        <w:jc w:val="both"/>
        <w:rPr>
          <w:rFonts w:hint="eastAsia" w:ascii="微软雅黑" w:hAnsi="微软雅黑" w:eastAsia="微软雅黑" w:cs="微软雅黑"/>
          <w:i w:val="0"/>
          <w:iCs w:val="0"/>
          <w:caps w:val="0"/>
          <w:color w:val="000000"/>
          <w:spacing w:val="0"/>
          <w:sz w:val="24"/>
          <w:szCs w:val="24"/>
        </w:rPr>
      </w:pPr>
      <w:r>
        <w:rPr>
          <w:rFonts w:ascii="Calibri" w:hAnsi="Calibri" w:eastAsia="微软雅黑" w:cs="Calibri"/>
          <w:i w:val="0"/>
          <w:iCs w:val="0"/>
          <w:caps w:val="0"/>
          <w:color w:val="000000"/>
          <w:spacing w:val="0"/>
          <w:sz w:val="21"/>
          <w:szCs w:val="21"/>
          <w:bdr w:val="none" w:color="auto" w:sz="0" w:space="0"/>
        </w:rPr>
        <w:t> </w:t>
      </w:r>
    </w:p>
    <w:p w14:paraId="3D8607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2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五、政府信息公开工作存在的主要问题及改进情况</w:t>
      </w:r>
    </w:p>
    <w:p w14:paraId="3FCC795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（一）工作中存在的主要问题和困难</w:t>
      </w:r>
    </w:p>
    <w:p w14:paraId="59C76F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1.当前政府信息公开的及时性有待提升。部分政府部门在信息生成后，未能在第一时间进行公开，导致公众无法及时获取最新信息。这种滞后性使得政府信息的时效性大打折扣，影响了公众对政府工作的了解和监督。</w:t>
      </w:r>
    </w:p>
    <w:p w14:paraId="53D1569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在网络运维管理方面还存在一些问题。信息发布审核机制不够完善，审核力度需要进一步加强。部分信息在发布前未经过严格的审核把关，导致一些不准确或不完整的信息被公开，影响了政府信息的权威性和可靠性。</w:t>
      </w:r>
    </w:p>
    <w:p w14:paraId="1A082F5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（二）具体的解决办法和改进措施</w:t>
      </w:r>
    </w:p>
    <w:p w14:paraId="5F4248C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1.深入推进信息报送机制的完善，将主动公开信息作为日常工作的重要组成部分，建立常态化的信息公开流程。加强监督和指导，确保各科室能够及时将重要工作内容转化为可公开的信息，并按时公开，以保障公众的知情权和参与权。</w:t>
      </w:r>
    </w:p>
    <w:p w14:paraId="099442E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严格遵循“谁编辑、谁负责”“谁审核、谁负责”的原则，明确政府网站信息内容管理的责任主体，全面落实网络意识形态工作责任制和网络安全责任制。严格执行三级审核制度，确保信息发布前经过充分的审核把关。同时，加强人员配备，选拔和培养专业能力强、责任心高的工作人员，不断提升信息编审、网站运维及整体管理水平，为政府网站的稳定运行和信息公开质量提供有力保障。</w:t>
      </w:r>
    </w:p>
    <w:p w14:paraId="622DAF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20"/>
        <w:jc w:val="both"/>
        <w:rPr>
          <w:rFonts w:hint="eastAsia" w:ascii="微软雅黑" w:hAnsi="微软雅黑" w:eastAsia="微软雅黑" w:cs="微软雅黑"/>
          <w:i w:val="0"/>
          <w:iCs w:val="0"/>
          <w:caps w:val="0"/>
          <w:color w:val="000000"/>
          <w:spacing w:val="0"/>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六、其他需要报告的事项</w:t>
      </w:r>
    </w:p>
    <w:p w14:paraId="7B17FE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（一）依据《政府信息公开信息处理费管理办法》收取信息处理费的情况</w:t>
      </w:r>
    </w:p>
    <w:p w14:paraId="63A12F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无</w:t>
      </w:r>
    </w:p>
    <w:p w14:paraId="46FD36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（二）本街道人大代表建议和政协提案办理结果公开情况</w:t>
      </w:r>
    </w:p>
    <w:p w14:paraId="0385EFF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2024年，南麻街道承办县人大建议1条，街道已经回复办理，办理答复依申请公开。</w:t>
      </w:r>
    </w:p>
    <w:p w14:paraId="2AD74CE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2024年，南麻街道未承办县政协提案。</w:t>
      </w:r>
    </w:p>
    <w:p w14:paraId="76F75FA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（三）本街道年度政务公开工作创新情况</w:t>
      </w:r>
    </w:p>
    <w:p w14:paraId="7613F2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1.坚持一个核心，擦亮政务公开“党建红”。街道坚持以高质量党建引领高质量发展为核心，切实发挥街道党工委抓总作用，不断完善“街道—社区—网格—楼院”一贯到底的组织架构，通过建立网格党支部、网格党员模范，有效发挥党组织的核心引领和组织协调作用，凝聚党组织的向心力。拧成齐抓共治的一股绳，以“党建红”引领政务公开工作实现新提升。全面推行“党建+”系列活动，将政务公开工作融进党建工作中，依托便民服务站、红色党支部、“红色物业”服务站等阵地，大力推广“网格党支部+政务公开”项目，由网格党支部书记牵头，组织网格长、网格员等力量，深入社区、延伸触角，真正使政务公开服务出现在每个社区居民的身边。</w:t>
      </w:r>
    </w:p>
    <w:p w14:paraId="1EC7EC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2.完善两项制度，筑牢政务公开“压舱石”。一是建立长效工作机制。建立健全信息公开工作长效机制，将政务公开工作作为长期的动态工作落到实处。形成由街道主要领导亲自抓、分管领导具体抓、各科室和社区各负其责、分头落实的工作机制。规范了政务公开发布流程，明确各科室、社区信息发布责任，负责信息发布人员做好信息发布登记，做好平台监测。选好、配强政务公开工作人员，完善业务培训机制，确保各项工作落实到位，全面提升政务公开工作能力水平，真正做到以实效、实用、实操为工作导向。二是完善审查工作机制。严格落实政府网站及公众号信息发布“三审三校”制度，坚持“先审查、后公开”，严把政治关、文字关，进一步明确信息内容的准确性、时效性，健全强化公开信息的保密性，对收集汇总的信息资料的来源和内容进行严格审查把关，保证信息来源可靠，杜绝编造虚假的文字数据等。加强实时监测管理，采取人防、物防、技防并举的方式，全面加强信息敏感关键字词、严重表述错误等问题的自查整改工作。</w:t>
      </w:r>
    </w:p>
    <w:p w14:paraId="433EE90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3.建立三个平台，拓宽政务公开“快车道”。一是用好线上公开平台。充分发挥政府信息公开门户网站，发挥线上平台公开宣传力量，扩大公开范围。二是拓宽线下公开平台。在街道便民服务大厅窗口位置设立有政务公开查阅点，在辖区所有小区及人流密集区域广泛设置公示栏，通过政务公开栏和公示牌对外公开广泛，扩展线下公开。三是优化内部公开平台。通过召开会议、内部通报、下发文件、信息流转等形式公开，确保了街道政务公开工作的实际成效。线上与线下、内部与外部同步推进，以主动公开促服务优化，推动基层政务公开内容覆盖权力运行全流程、政务服务全过程，使基层政务公开成果惠及广大人民群众。</w:t>
      </w:r>
    </w:p>
    <w:p w14:paraId="23787BB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（四）本街道落实上级年度政务公开工作要点工作</w:t>
      </w:r>
    </w:p>
    <w:p w14:paraId="26A020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640"/>
        <w:jc w:val="both"/>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rPr>
        <w:t>南麻街道积极落实上级对于政务公开工作的各项部署，积极开展政务公开工作。根据《2024年淄博市政务公开工作方案》《2024年沂源县政务公开工作方案》的重点任务，结合工作实际制定街道年度政务公开工作方案，并配套建立工作台账，实施跟进督查，确保落实到位。</w:t>
      </w:r>
    </w:p>
    <w:p w14:paraId="43F80C08"/>
    <w:sectPr>
      <w:pgSz w:w="11906" w:h="16838"/>
      <w:pgMar w:top="1701" w:right="1474" w:bottom="158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3ZjAyMDg1OGQ5ODY4NmE5NjlkNzRmYmM5NjEwYTgifQ=="/>
  </w:docVars>
  <w:rsids>
    <w:rsidRoot w:val="24C612E8"/>
    <w:rsid w:val="02FF5E45"/>
    <w:rsid w:val="034A6182"/>
    <w:rsid w:val="0A54261E"/>
    <w:rsid w:val="0A9D72B9"/>
    <w:rsid w:val="14A9094B"/>
    <w:rsid w:val="1DD22FF3"/>
    <w:rsid w:val="220A2D0A"/>
    <w:rsid w:val="23A332B9"/>
    <w:rsid w:val="24C612E8"/>
    <w:rsid w:val="261F158A"/>
    <w:rsid w:val="26B22834"/>
    <w:rsid w:val="27333B42"/>
    <w:rsid w:val="282910EA"/>
    <w:rsid w:val="2D09793F"/>
    <w:rsid w:val="2D593910"/>
    <w:rsid w:val="2D5B1D46"/>
    <w:rsid w:val="32447DC0"/>
    <w:rsid w:val="34015BE8"/>
    <w:rsid w:val="3BB61CA0"/>
    <w:rsid w:val="426042E3"/>
    <w:rsid w:val="43293229"/>
    <w:rsid w:val="44386B20"/>
    <w:rsid w:val="45801271"/>
    <w:rsid w:val="47275F43"/>
    <w:rsid w:val="49B97DED"/>
    <w:rsid w:val="4AAA6517"/>
    <w:rsid w:val="4BE67386"/>
    <w:rsid w:val="4DBE5CAD"/>
    <w:rsid w:val="4F7A3D76"/>
    <w:rsid w:val="5125035B"/>
    <w:rsid w:val="514821D1"/>
    <w:rsid w:val="51750D79"/>
    <w:rsid w:val="565B7715"/>
    <w:rsid w:val="567419BC"/>
    <w:rsid w:val="5B957713"/>
    <w:rsid w:val="5CC536CC"/>
    <w:rsid w:val="63185A08"/>
    <w:rsid w:val="63C811DC"/>
    <w:rsid w:val="65456971"/>
    <w:rsid w:val="6A851E0B"/>
    <w:rsid w:val="6AF2378E"/>
    <w:rsid w:val="6B7B1AB7"/>
    <w:rsid w:val="6E7471B3"/>
    <w:rsid w:val="72572D47"/>
    <w:rsid w:val="74D21C00"/>
    <w:rsid w:val="78013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2876</Words>
  <Characters>3012</Characters>
  <Lines>0</Lines>
  <Paragraphs>0</Paragraphs>
  <TotalTime>9</TotalTime>
  <ScaleCrop>false</ScaleCrop>
  <LinksUpToDate>false</LinksUpToDate>
  <CharactersWithSpaces>3132</CharactersWithSpaces>
  <Application>WPS Office_12.1.0.18334_F1E327BC-269C-435d-A152-05C5408002CA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2025-01-08T02:14:00Z</dcterms:created>
  <dc:creator>Administrator</dc:creator>
  <cp:lastModifiedBy>Darren</cp:lastModifiedBy>
  <cp:lastPrinted>2025-01-16T01:14:00Z</cp:lastPrinted>
  <dcterms:modified xsi:type="dcterms:W3CDTF">2025-02-20T03:31:28Z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2052-12.1.0.18334</vt:lpwstr>
  </property>
  <property fmtid="{D5CDD505-2E9C-101B-9397-08002B2CF9AE}" pid="3" name="ICV">
    <vt:lpwstr>99BD7DE6A3904DE8A165EE692E315E74</vt:lpwstr>
  </property>
</Properties>
</file>