
<file path=[Content_Types].xml><?xml version="1.0" encoding="utf-8"?>
<Types xmlns="http://schemas.openxmlformats.org/package/2006/content-types">
  <Default Extension="xlsx" ContentType="application/vnd.openxmlformats-officedocument.spreadsheetml.sheet"/>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sz w:val="44"/>
          <w:szCs w:val="44"/>
        </w:rPr>
      </w:pPr>
      <w:r>
        <w:rPr>
          <w:rFonts w:ascii="方正小标宋简体" w:hAnsi="方正小标宋简体" w:eastAsia="方正小标宋简体" w:cs="方正小标宋简体"/>
          <w:sz w:val="44"/>
          <w:szCs w:val="44"/>
        </w:rPr>
        <w:t>沂源县</w:t>
      </w:r>
      <w:r>
        <w:rPr>
          <w:rFonts w:hint="eastAsia" w:ascii="方正小标宋简体" w:hAnsi="方正小标宋简体" w:eastAsia="方正小标宋简体" w:cs="方正小标宋简体"/>
          <w:sz w:val="44"/>
          <w:szCs w:val="44"/>
        </w:rPr>
        <w:t>南鲁山镇人民政府202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sz w:val="44"/>
          <w:szCs w:val="44"/>
        </w:rPr>
      </w:pPr>
      <w:r>
        <w:rPr>
          <w:rFonts w:hint="eastAsia" w:ascii="方正小标宋简体" w:hAnsi="方正小标宋简体" w:eastAsia="方正小标宋简体" w:cs="方正小标宋简体"/>
          <w:sz w:val="44"/>
          <w:szCs w:val="44"/>
        </w:rPr>
        <w:t>公开工作年度报告</w:t>
      </w:r>
    </w:p>
    <w:p>
      <w:pPr>
        <w:ind w:firstLine="640" w:firstLineChars="200"/>
        <w:jc w:val="left"/>
        <w:rPr>
          <w:rFonts w:ascii="仿宋_GB2312" w:eastAsia="仿宋_GB2312" w:cs="仿宋_GB2312"/>
          <w:sz w:val="32"/>
          <w:szCs w:val="32"/>
        </w:rPr>
      </w:pPr>
    </w:p>
    <w:p>
      <w:pPr>
        <w:ind w:firstLine="640" w:firstLineChars="200"/>
        <w:jc w:val="left"/>
        <w:rPr>
          <w:rFonts w:hint="eastAsia" w:ascii="仿宋_GB2312" w:eastAsia="仿宋_GB2312" w:cs="仿宋_GB2312"/>
          <w:sz w:val="32"/>
          <w:szCs w:val="32"/>
          <w:lang w:val="en-US" w:eastAsia="zh-CN"/>
        </w:rPr>
      </w:pPr>
      <w:r>
        <w:rPr>
          <w:rFonts w:ascii="仿宋_GB2312" w:eastAsia="仿宋_GB2312" w:cs="仿宋_GB2312"/>
          <w:sz w:val="32"/>
          <w:szCs w:val="32"/>
        </w:rPr>
        <w:t>按照</w:t>
      </w:r>
      <w:r>
        <w:rPr>
          <w:rFonts w:hint="eastAsia" w:ascii="仿宋_GB2312" w:eastAsia="仿宋_GB2312" w:cs="仿宋_GB2312"/>
          <w:sz w:val="32"/>
          <w:szCs w:val="32"/>
        </w:rPr>
        <w:t>《中华人民共和国政府信息公开条例》（以下简称《条例》）、《国务院办公厅政府信息与政务公开办公室关于政府信息公开工作年度报告有关事项的通知》，结合南鲁山镇政务公开工作实际情况，现向社会公开南鲁山镇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政府信息公开工作年度报告。本报告全文由总体情况，主动公开政府信息情况，收到和处理政府信息公开申请情况，政府信息公开行政复议、行政诉讼情况，政府信息公开工作存在的主要问题及改进情况，其他需要报告的事项六个部分组成。报告中所列数据统计期限自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年1月1日始，至202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年12月31日止。</w:t>
      </w:r>
      <w:r>
        <w:rPr>
          <w:rFonts w:hint="eastAsia" w:ascii="仿宋_GB2312" w:eastAsia="仿宋_GB2312" w:cs="仿宋_GB2312"/>
          <w:sz w:val="32"/>
          <w:szCs w:val="32"/>
          <w:lang w:val="en-US" w:eastAsia="zh-CN"/>
        </w:rPr>
        <w:t>公民、法人及其他组织对本报告有任何疑问的，请与南鲁山镇人民政府办公室联系。</w:t>
      </w:r>
    </w:p>
    <w:p>
      <w:pPr>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电话：0533</w:t>
      </w:r>
      <w:r>
        <w:rPr>
          <w:rFonts w:hint="eastAsia" w:ascii="仿宋_GB2312" w:hAnsi="仿宋_GB2312" w:eastAsia="仿宋_GB2312" w:cs="仿宋_GB2312"/>
          <w:sz w:val="32"/>
          <w:szCs w:val="32"/>
        </w:rPr>
        <w:t>-</w:t>
      </w:r>
      <w:r>
        <w:rPr>
          <w:rFonts w:hint="eastAsia" w:ascii="仿宋_GB2312" w:eastAsia="仿宋_GB2312" w:cs="仿宋_GB2312"/>
          <w:sz w:val="32"/>
          <w:szCs w:val="32"/>
          <w:lang w:val="en-US" w:eastAsia="zh-CN"/>
        </w:rPr>
        <w:t>3680101</w:t>
      </w:r>
    </w:p>
    <w:p>
      <w:pPr>
        <w:ind w:firstLine="640" w:firstLineChars="200"/>
        <w:jc w:val="left"/>
        <w:rPr>
          <w:sz w:val="32"/>
          <w:szCs w:val="32"/>
        </w:rPr>
      </w:pPr>
      <w:r>
        <w:rPr>
          <w:rFonts w:hint="eastAsia" w:ascii="仿宋_GB2312" w:eastAsia="仿宋_GB2312" w:cs="仿宋_GB2312"/>
          <w:sz w:val="32"/>
          <w:szCs w:val="32"/>
          <w:lang w:val="en-US" w:eastAsia="zh-CN"/>
        </w:rPr>
        <w:t>邮箱：</w:t>
      </w:r>
      <w:r>
        <w:rPr>
          <w:rFonts w:hint="default" w:ascii="Times New Roman" w:hAnsi="Times New Roman" w:cs="Times New Roman"/>
          <w:sz w:val="32"/>
          <w:szCs w:val="32"/>
        </w:rPr>
        <w:t>yyxnlszdzb@zb.shandong.com</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ascii="黑体" w:hAnsi="宋体" w:eastAsia="黑体" w:cs="黑体"/>
          <w:sz w:val="32"/>
          <w:szCs w:val="32"/>
        </w:rPr>
        <w:t>一、总体情况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shd w:val="clear" w:fill="FFFFFF"/>
        </w:rPr>
      </w:pPr>
      <w:r>
        <w:rPr>
          <w:rFonts w:hint="eastAsia" w:ascii="仿宋_GB2312" w:eastAsia="仿宋_GB2312" w:cs="仿宋_GB2312"/>
          <w:sz w:val="32"/>
          <w:szCs w:val="32"/>
          <w:shd w:val="clear" w:fill="FFFFFF"/>
          <w:lang w:val="en-US" w:eastAsia="zh-CN"/>
        </w:rPr>
        <w:t>南鲁山镇</w:t>
      </w:r>
      <w:r>
        <w:rPr>
          <w:rFonts w:hint="eastAsia" w:ascii="仿宋_GB2312" w:eastAsia="仿宋_GB2312" w:cs="仿宋_GB2312"/>
          <w:sz w:val="32"/>
          <w:szCs w:val="32"/>
          <w:shd w:val="clear" w:fill="FFFFFF"/>
        </w:rPr>
        <w:t>人民政府认真贯彻落实《政府信息公开条例》(简称《条例》)和国家、省</w:t>
      </w:r>
      <w:r>
        <w:rPr>
          <w:rFonts w:hint="eastAsia" w:ascii="仿宋_GB2312" w:eastAsia="仿宋_GB2312" w:cs="仿宋_GB2312"/>
          <w:sz w:val="32"/>
          <w:szCs w:val="32"/>
          <w:shd w:val="clear" w:fill="FFFFFF"/>
          <w:lang w:eastAsia="zh-CN"/>
        </w:rPr>
        <w:t>、</w:t>
      </w:r>
      <w:r>
        <w:rPr>
          <w:rFonts w:hint="eastAsia" w:ascii="仿宋_GB2312" w:eastAsia="仿宋_GB2312" w:cs="仿宋_GB2312"/>
          <w:sz w:val="32"/>
          <w:szCs w:val="32"/>
          <w:shd w:val="clear" w:fill="FFFFFF"/>
          <w:lang w:val="en-US" w:eastAsia="zh-CN"/>
        </w:rPr>
        <w:t>市、县</w:t>
      </w:r>
      <w:r>
        <w:rPr>
          <w:rFonts w:hint="eastAsia" w:ascii="仿宋_GB2312" w:eastAsia="仿宋_GB2312" w:cs="仿宋_GB2312"/>
          <w:sz w:val="32"/>
          <w:szCs w:val="32"/>
          <w:shd w:val="clear" w:fill="FFFFFF"/>
        </w:rPr>
        <w:t>关于全面推进政务公开工作的决策部署，不断深化政务公开，以公开促落实、促规范、促服务。</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ascii="楷体_GB2312" w:eastAsia="楷体_GB2312" w:cs="楷体_GB2312"/>
          <w:sz w:val="32"/>
          <w:szCs w:val="32"/>
        </w:rPr>
        <w:t>（一）主动公开</w:t>
      </w:r>
      <w:r>
        <w:rPr>
          <w:rFonts w:hint="eastAsia" w:ascii="楷体_GB2312" w:eastAsia="楷体_GB2312" w:cs="楷体_GB2312"/>
          <w:sz w:val="32"/>
          <w:szCs w:val="32"/>
        </w:rPr>
        <w:t>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eastAsia="仿宋_GB2312" w:cs="仿宋_GB2312"/>
          <w:sz w:val="32"/>
          <w:szCs w:val="32"/>
          <w:shd w:val="clear" w:fill="FFFFFF"/>
          <w:lang w:eastAsia="zh-CN"/>
        </w:rPr>
      </w:pPr>
      <w:r>
        <w:rPr>
          <w:rFonts w:hint="eastAsia" w:ascii="仿宋_GB2312" w:eastAsia="仿宋_GB2312" w:cs="仿宋_GB2312"/>
          <w:sz w:val="32"/>
          <w:szCs w:val="32"/>
          <w:shd w:val="clear" w:fill="FFFFFF"/>
          <w:lang w:val="en-US" w:eastAsia="zh-CN"/>
        </w:rPr>
        <w:t>1、2</w:t>
      </w:r>
      <w:r>
        <w:rPr>
          <w:rFonts w:hint="eastAsia" w:ascii="仿宋_GB2312" w:eastAsia="仿宋_GB2312" w:cs="仿宋_GB2312"/>
          <w:sz w:val="32"/>
          <w:szCs w:val="32"/>
          <w:shd w:val="clear" w:fill="FFFFFF"/>
        </w:rPr>
        <w:t>02</w:t>
      </w:r>
      <w:r>
        <w:rPr>
          <w:rFonts w:hint="eastAsia" w:ascii="仿宋_GB2312" w:eastAsia="仿宋_GB2312" w:cs="仿宋_GB2312"/>
          <w:sz w:val="32"/>
          <w:szCs w:val="32"/>
          <w:shd w:val="clear" w:fill="FFFFFF"/>
          <w:lang w:val="en-US" w:eastAsia="zh-CN"/>
        </w:rPr>
        <w:t>3</w:t>
      </w:r>
      <w:r>
        <w:rPr>
          <w:rFonts w:hint="eastAsia" w:ascii="仿宋_GB2312" w:eastAsia="仿宋_GB2312" w:cs="仿宋_GB2312"/>
          <w:sz w:val="32"/>
          <w:szCs w:val="32"/>
          <w:shd w:val="clear" w:fill="FFFFFF"/>
        </w:rPr>
        <w:t>年1月1日至202</w:t>
      </w:r>
      <w:r>
        <w:rPr>
          <w:rFonts w:hint="eastAsia" w:ascii="仿宋_GB2312" w:eastAsia="仿宋_GB2312" w:cs="仿宋_GB2312"/>
          <w:sz w:val="32"/>
          <w:szCs w:val="32"/>
          <w:shd w:val="clear" w:fill="FFFFFF"/>
          <w:lang w:val="en-US" w:eastAsia="zh-CN"/>
        </w:rPr>
        <w:t>3</w:t>
      </w:r>
      <w:r>
        <w:rPr>
          <w:rFonts w:hint="eastAsia" w:ascii="仿宋_GB2312" w:eastAsia="仿宋_GB2312" w:cs="仿宋_GB2312"/>
          <w:sz w:val="32"/>
          <w:szCs w:val="32"/>
          <w:shd w:val="clear" w:fill="FFFFFF"/>
        </w:rPr>
        <w:t>年12月31日，南鲁山镇人民政府加大工作力度，完善工作机制，及时编制、公布、更新《政府信息公开目录》和《政府信息公开指南》。据统计，</w:t>
      </w:r>
      <w:r>
        <w:rPr>
          <w:rFonts w:hint="default" w:ascii="仿宋_GB2312" w:eastAsia="仿宋_GB2312" w:cs="仿宋_GB2312"/>
          <w:sz w:val="32"/>
          <w:szCs w:val="32"/>
          <w:shd w:val="clear" w:fill="FFFFFF"/>
        </w:rPr>
        <w:t>202</w:t>
      </w:r>
      <w:r>
        <w:rPr>
          <w:rFonts w:hint="eastAsia" w:ascii="仿宋_GB2312" w:eastAsia="仿宋_GB2312" w:cs="仿宋_GB2312"/>
          <w:sz w:val="32"/>
          <w:szCs w:val="32"/>
          <w:shd w:val="clear" w:fill="FFFFFF"/>
          <w:lang w:val="en-US" w:eastAsia="zh-CN"/>
        </w:rPr>
        <w:t>3</w:t>
      </w:r>
      <w:r>
        <w:rPr>
          <w:rFonts w:hint="eastAsia" w:ascii="仿宋_GB2312" w:eastAsia="仿宋_GB2312" w:cs="仿宋_GB2312"/>
          <w:sz w:val="32"/>
          <w:szCs w:val="32"/>
          <w:shd w:val="clear" w:fill="FFFFFF"/>
        </w:rPr>
        <w:t>年，通过沂源县政府网站南鲁山镇人民政府信息公开站点公开政府信息</w:t>
      </w:r>
      <w:r>
        <w:rPr>
          <w:rFonts w:hint="eastAsia" w:ascii="仿宋_GB2312" w:eastAsia="仿宋_GB2312" w:cs="仿宋_GB2312"/>
          <w:sz w:val="32"/>
          <w:szCs w:val="32"/>
          <w:shd w:val="clear" w:fill="FFFFFF"/>
          <w:lang w:val="en-US" w:eastAsia="zh-CN"/>
        </w:rPr>
        <w:t>34</w:t>
      </w:r>
      <w:r>
        <w:rPr>
          <w:rFonts w:hint="eastAsia" w:ascii="仿宋_GB2312" w:eastAsia="仿宋_GB2312" w:cs="仿宋_GB2312"/>
          <w:sz w:val="32"/>
          <w:szCs w:val="32"/>
          <w:shd w:val="clear" w:fill="FFFFFF"/>
        </w:rPr>
        <w:t>条，稳步推进202</w:t>
      </w:r>
      <w:r>
        <w:rPr>
          <w:rFonts w:hint="eastAsia" w:ascii="仿宋_GB2312" w:eastAsia="仿宋_GB2312" w:cs="仿宋_GB2312"/>
          <w:sz w:val="32"/>
          <w:szCs w:val="32"/>
          <w:shd w:val="clear" w:fill="FFFFFF"/>
          <w:lang w:val="en-US" w:eastAsia="zh-CN"/>
        </w:rPr>
        <w:t>3</w:t>
      </w:r>
      <w:r>
        <w:rPr>
          <w:rFonts w:hint="eastAsia" w:ascii="仿宋_GB2312" w:eastAsia="仿宋_GB2312" w:cs="仿宋_GB2312"/>
          <w:sz w:val="32"/>
          <w:szCs w:val="32"/>
          <w:shd w:val="clear" w:fill="FFFFFF"/>
        </w:rPr>
        <w:t>年政府信息公开工作。</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cs="仿宋_GB2312"/>
          <w:sz w:val="32"/>
          <w:szCs w:val="32"/>
          <w:shd w:val="clear" w:fill="FFFFFF"/>
          <w:lang w:val="en-US" w:eastAsia="zh-CN"/>
        </w:rPr>
      </w:pPr>
      <w:r>
        <w:rPr>
          <w:rFonts w:hint="eastAsia" w:ascii="仿宋_GB2312" w:eastAsia="仿宋_GB2312" w:cs="仿宋_GB2312"/>
          <w:sz w:val="32"/>
          <w:szCs w:val="32"/>
          <w:shd w:val="clear" w:fill="FFFFFF"/>
          <w:lang w:val="en-US" w:eastAsia="zh-CN"/>
        </w:rPr>
        <w:t>新媒体信息发布工作取得较大进步，微信公众号“魅力南鲁山”共发布各类信息260余篇，图文并茂的阅读形式吸引群众阅读，宣传效果较好，各类文章累计阅读8.7万余次</w:t>
      </w:r>
      <w:r>
        <w:rPr>
          <w:rFonts w:hint="eastAsia" w:ascii="仿宋_GB2312" w:eastAsia="仿宋_GB2312" w:cs="仿宋_GB2312"/>
          <w:sz w:val="32"/>
          <w:szCs w:val="32"/>
          <w:shd w:val="clear" w:fill="FFFFFF"/>
          <w:lang w:val="en-US" w:eastAsia="zh-CN"/>
        </w:rPr>
        <w:drawing>
          <wp:anchor distT="0" distB="0" distL="114300" distR="114300" simplePos="0" relativeHeight="251660288" behindDoc="1" locked="0" layoutInCell="1" allowOverlap="1">
            <wp:simplePos x="0" y="0"/>
            <wp:positionH relativeFrom="column">
              <wp:posOffset>4213860</wp:posOffset>
            </wp:positionH>
            <wp:positionV relativeFrom="paragraph">
              <wp:posOffset>2864485</wp:posOffset>
            </wp:positionV>
            <wp:extent cx="1323975" cy="2947670"/>
            <wp:effectExtent l="0" t="0" r="9525" b="5080"/>
            <wp:wrapTight wrapText="bothSides">
              <wp:wrapPolygon>
                <wp:start x="0" y="0"/>
                <wp:lineTo x="0" y="21498"/>
                <wp:lineTo x="21445" y="21498"/>
                <wp:lineTo x="21445" y="0"/>
                <wp:lineTo x="0" y="0"/>
              </wp:wrapPolygon>
            </wp:wrapTight>
            <wp:docPr id="1" name="图片 1" descr="36281cb3814a39fa9c1b93bafb117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281cb3814a39fa9c1b93bafb117dc"/>
                    <pic:cNvPicPr>
                      <a:picLocks noChangeAspect="1"/>
                    </pic:cNvPicPr>
                  </pic:nvPicPr>
                  <pic:blipFill>
                    <a:blip r:embed="rId4"/>
                    <a:stretch>
                      <a:fillRect/>
                    </a:stretch>
                  </pic:blipFill>
                  <pic:spPr>
                    <a:xfrm>
                      <a:off x="0" y="0"/>
                      <a:ext cx="1323975" cy="2947670"/>
                    </a:xfrm>
                    <a:prstGeom prst="rect">
                      <a:avLst/>
                    </a:prstGeom>
                  </pic:spPr>
                </pic:pic>
              </a:graphicData>
            </a:graphic>
          </wp:anchor>
        </w:drawing>
      </w:r>
      <w:r>
        <w:rPr>
          <w:rFonts w:hint="eastAsia" w:ascii="仿宋_GB2312" w:eastAsia="仿宋_GB2312" w:cs="仿宋_GB2312"/>
          <w:sz w:val="32"/>
          <w:szCs w:val="32"/>
          <w:shd w:val="clear" w:fill="FFFFFF"/>
          <w:lang w:val="en-US" w:eastAsia="zh-CN"/>
        </w:rPr>
        <w:drawing>
          <wp:anchor distT="0" distB="0" distL="114300" distR="114300" simplePos="0" relativeHeight="251659264" behindDoc="0" locked="0" layoutInCell="1" allowOverlap="1">
            <wp:simplePos x="0" y="0"/>
            <wp:positionH relativeFrom="column">
              <wp:posOffset>318770</wp:posOffset>
            </wp:positionH>
            <wp:positionV relativeFrom="page">
              <wp:posOffset>3183890</wp:posOffset>
            </wp:positionV>
            <wp:extent cx="3756660" cy="2533650"/>
            <wp:effectExtent l="4445" t="4445" r="1079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eastAsia="仿宋_GB2312" w:cs="仿宋_GB2312"/>
          <w:sz w:val="32"/>
          <w:szCs w:val="32"/>
          <w:shd w:val="clear" w:fill="FFFFFF"/>
          <w:lang w:val="en-US"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cs="仿宋_GB2312"/>
          <w:sz w:val="32"/>
          <w:szCs w:val="32"/>
          <w:shd w:val="clear" w:fill="FFFFFF"/>
          <w:lang w:val="en-US" w:eastAsia="zh-CN"/>
        </w:rPr>
      </w:pPr>
      <w:r>
        <w:rPr>
          <w:rFonts w:hint="eastAsia" w:ascii="仿宋_GB2312" w:eastAsia="仿宋_GB2312" w:cs="仿宋_GB2312"/>
          <w:sz w:val="32"/>
          <w:szCs w:val="32"/>
          <w:shd w:val="clear" w:fill="FFFFFF"/>
          <w:lang w:val="en-US" w:eastAsia="zh-CN"/>
        </w:rPr>
        <w:t>3、2023年，沂源县南鲁山镇人民政府制定发布规范性文件0件，清理规范性文件数0件，现行有效的规范性文件0件。</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楷体_GB2312" w:eastAsia="楷体_GB2312" w:cs="楷体_GB2312"/>
          <w:sz w:val="32"/>
          <w:szCs w:val="32"/>
        </w:rPr>
        <w:t>（二）依申请公开情况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default" w:ascii="Times New Roman" w:hAnsi="Times New Roman" w:eastAsia="仿宋_GB2312" w:cs="Times New Roman"/>
          <w:color w:val="auto"/>
          <w:sz w:val="32"/>
          <w:szCs w:val="32"/>
          <w:u w:val="none"/>
          <w:lang w:val="en-US"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年，南鲁山镇收到信息公开申请</w:t>
      </w:r>
      <w:r>
        <w:rPr>
          <w:rFonts w:hint="eastAsia" w:ascii="仿宋_GB2312" w:eastAsia="仿宋_GB2312" w:cs="仿宋_GB2312"/>
          <w:sz w:val="32"/>
          <w:szCs w:val="32"/>
          <w:lang w:val="en-US" w:eastAsia="zh-CN"/>
        </w:rPr>
        <w:t>2次</w:t>
      </w:r>
      <w:r>
        <w:rPr>
          <w:rFonts w:hint="eastAsia" w:ascii="仿宋_GB2312" w:eastAsia="仿宋_GB2312" w:cs="仿宋_GB2312"/>
          <w:sz w:val="32"/>
          <w:szCs w:val="32"/>
        </w:rPr>
        <w:t>，均在规定时限内进行答复，申请内容主要集中在</w:t>
      </w:r>
      <w:r>
        <w:rPr>
          <w:rFonts w:hint="eastAsia" w:ascii="仿宋_GB2312" w:eastAsia="仿宋_GB2312" w:cs="仿宋_GB2312"/>
          <w:sz w:val="32"/>
          <w:szCs w:val="32"/>
          <w:lang w:val="en-US" w:eastAsia="zh-CN"/>
        </w:rPr>
        <w:t>征地公告</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资金使用</w:t>
      </w:r>
      <w:r>
        <w:rPr>
          <w:rFonts w:hint="eastAsia" w:ascii="仿宋_GB2312" w:eastAsia="仿宋_GB2312" w:cs="仿宋_GB2312"/>
          <w:sz w:val="32"/>
          <w:szCs w:val="32"/>
        </w:rPr>
        <w:t>等领域</w:t>
      </w:r>
      <w:r>
        <w:rPr>
          <w:rFonts w:hint="eastAsia" w:ascii="Times New Roman" w:hAnsi="Times New Roman" w:eastAsia="仿宋_GB2312" w:cs="Times New Roman"/>
          <w:color w:val="auto"/>
          <w:sz w:val="32"/>
          <w:szCs w:val="32"/>
          <w:u w:val="none"/>
          <w:lang w:val="en-US" w:eastAsia="zh-CN"/>
        </w:rPr>
        <w:t>。</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楷体_GB2312" w:eastAsia="楷体_GB2312" w:cs="楷体_GB2312"/>
          <w:sz w:val="32"/>
          <w:szCs w:val="32"/>
        </w:rPr>
        <w:t>（三）政府信息管理情况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pPr>
      <w:r>
        <w:rPr>
          <w:rFonts w:hint="eastAsia" w:ascii="仿宋_GB2312" w:eastAsia="仿宋_GB2312" w:cs="仿宋_GB2312"/>
          <w:sz w:val="32"/>
          <w:szCs w:val="32"/>
        </w:rPr>
        <w:t>按照国务院办公厅《政府网站发展指引的通知》和《推进政务新媒体健康有序发展的意见》要求，严格落实政府信息发布审核制度，明确审核主体、审核流程，严把政治关、法律关、政策关、保密关、文字关，强化发布流程，严格执行三级审核制度，先审后发、授权发布，三级联动，确保内容准确、表述规范</w:t>
      </w:r>
      <w:r>
        <w:rPr>
          <w:rFonts w:hint="eastAsia" w:ascii="仿宋_GB2312" w:eastAsia="仿宋_GB2312" w:cs="仿宋_GB2312"/>
          <w:caps w:val="0"/>
          <w:color w:val="000000"/>
          <w:spacing w:val="0"/>
          <w:sz w:val="32"/>
          <w:szCs w:val="32"/>
          <w:shd w:val="clear" w:fill="FFFFFF"/>
        </w:rPr>
        <w:t>。</w:t>
      </w:r>
    </w:p>
    <w:p>
      <w:pPr>
        <w:pStyle w:val="3"/>
        <w:keepNext w:val="0"/>
        <w:keepLines w:val="0"/>
        <w:pageBreakBefore w:val="0"/>
        <w:widowControl/>
        <w:numPr>
          <w:ilvl w:val="0"/>
          <w:numId w:val="2"/>
        </w:numPr>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楷体_GB2312" w:eastAsia="楷体_GB2312" w:cs="楷体_GB2312"/>
          <w:sz w:val="32"/>
          <w:szCs w:val="32"/>
          <w:lang w:val="en-US" w:eastAsia="zh-CN"/>
        </w:rPr>
      </w:pPr>
      <w:r>
        <w:rPr>
          <w:rFonts w:hint="eastAsia" w:ascii="楷体_GB2312" w:eastAsia="楷体_GB2312" w:cs="楷体_GB2312"/>
          <w:sz w:val="32"/>
          <w:szCs w:val="32"/>
        </w:rPr>
        <w:t>政府信息公开平台</w:t>
      </w:r>
      <w:r>
        <w:rPr>
          <w:rFonts w:hint="eastAsia" w:ascii="楷体_GB2312" w:eastAsia="楷体_GB2312" w:cs="楷体_GB2312"/>
          <w:sz w:val="32"/>
          <w:szCs w:val="32"/>
          <w:lang w:val="en-US" w:eastAsia="zh-CN"/>
        </w:rPr>
        <w:t>建设情况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1.推进政府信息公开工作标准化、规范化。</w:t>
      </w:r>
      <w:r>
        <w:rPr>
          <w:rFonts w:hint="default" w:ascii="Times New Roman" w:hAnsi="Times New Roman" w:eastAsia="仿宋_GB2312" w:cs="Times New Roman"/>
          <w:sz w:val="32"/>
          <w:szCs w:val="32"/>
          <w:lang w:val="en-US" w:eastAsia="zh-CN"/>
        </w:rPr>
        <w:t>我镇根据《山东省人民政府办公厅关于印发2023年山东省政务公开工作要点的通知》（鲁政办发〔2023〕8号)《淄博市人民政府办公室关于印发2023年淄博市政务公开工作方案的通知》（淄政办字〔2023〕38号）等有关文件精神，组织召开政府信息公开工作会议，进一步明确各职能岗位目标，压实政务信息公开工作各方责任。</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2.加强学习培训，提升业务能力。举办政务公开业务培训会，邀请相关专家对政务承办工作人员进行培训授课，强化政务公开队伍建设，提升政务公开业务能力和水平。</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rPr>
          <w:rFonts w:hint="default" w:ascii="楷体_GB2312" w:eastAsia="楷体_GB2312" w:cs="楷体_GB2312"/>
          <w:sz w:val="32"/>
          <w:szCs w:val="32"/>
          <w:lang w:val="en-US" w:eastAsia="zh-CN"/>
        </w:rPr>
      </w:pPr>
      <w:r>
        <w:rPr>
          <w:rFonts w:hint="eastAsia" w:ascii="仿宋_GB2312" w:eastAsia="仿宋_GB2312" w:cs="仿宋_GB2312"/>
          <w:sz w:val="32"/>
          <w:szCs w:val="32"/>
          <w:lang w:val="en-US" w:eastAsia="zh-CN"/>
        </w:rPr>
        <w:t>3.突出公开重点。坚持把群众最关心、社会最关注的“权、钱、人、事”等事项作为政府信息公开的重点，加大推行政府信息公开的力度。</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楷体_GB2312" w:eastAsia="楷体_GB2312" w:cs="楷体_GB2312"/>
          <w:sz w:val="32"/>
          <w:szCs w:val="32"/>
        </w:rPr>
      </w:pPr>
      <w:r>
        <w:rPr>
          <w:rFonts w:hint="eastAsia" w:ascii="楷体_GB2312" w:eastAsia="楷体_GB2312" w:cs="楷体_GB2312"/>
          <w:sz w:val="32"/>
          <w:szCs w:val="32"/>
        </w:rPr>
        <w:t>（五）监督保障情况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1.强化组织领导。建立领导机制和工作机制，成立政务公开工作领导小组，由领导小组统筹公开问题整改、新媒体督办、任务分解通知等事项。</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2.强化工作考核。根据年度工作任务，对重点专项工作等给予考核权重倾斜，日常考核结果直接纳入年度政务公开工作考核。</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3.强化社会评议机制。规范政府信息公开工作，保障公民、法人和其他组织依法获取政府信息，提高政府工作透明度。</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4.强化责任追究。常态化开展政务公开工作机构工作人员的培训，提升负责人的业务能力和素质，做到职责明确，追责快准。</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textAlignment w:val="auto"/>
        <w:rPr>
          <w:rFonts w:hint="eastAsia" w:ascii="黑体" w:hAnsi="宋体" w:eastAsia="黑体" w:cs="黑体"/>
          <w:sz w:val="32"/>
          <w:szCs w:val="32"/>
        </w:rPr>
      </w:pPr>
      <w:r>
        <w:rPr>
          <w:rFonts w:hint="eastAsia" w:ascii="黑体" w:hAnsi="宋体" w:eastAsia="黑体" w:cs="黑体"/>
          <w:sz w:val="32"/>
          <w:szCs w:val="32"/>
        </w:rPr>
        <w:t>二、主动公开政府信息情况</w:t>
      </w:r>
    </w:p>
    <w:tbl>
      <w:tblPr>
        <w:tblStyle w:val="4"/>
        <w:tblW w:w="9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803"/>
        <w:gridCol w:w="2058"/>
        <w:gridCol w:w="2110"/>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92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ascii="黑体" w:hAnsi="宋体" w:eastAsia="黑体" w:cs="黑体"/>
                <w:b/>
                <w:i w:val="0"/>
                <w:caps w:val="0"/>
                <w:color w:val="000000"/>
                <w:spacing w:val="0"/>
                <w:sz w:val="21"/>
                <w:szCs w:val="21"/>
              </w:rPr>
              <w:t>第二十条</w:t>
            </w:r>
            <w:r>
              <w:rPr>
                <w:rStyle w:val="7"/>
                <w:rFonts w:hint="eastAsia" w:ascii="黑体" w:hAnsi="宋体" w:eastAsia="黑体" w:cs="黑体"/>
                <w:b/>
                <w:i w:val="0"/>
                <w:caps w:val="0"/>
                <w:color w:val="000000"/>
                <w:spacing w:val="0"/>
                <w:sz w:val="21"/>
                <w:szCs w:val="21"/>
              </w:rPr>
              <w:t>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信息内容</w:t>
            </w:r>
          </w:p>
        </w:tc>
        <w:tc>
          <w:tcPr>
            <w:tcW w:w="2058"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本年制发件数</w:t>
            </w:r>
          </w:p>
        </w:tc>
        <w:tc>
          <w:tcPr>
            <w:tcW w:w="2110"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本年废止件数</w:t>
            </w:r>
          </w:p>
        </w:tc>
        <w:tc>
          <w:tcPr>
            <w:tcW w:w="2229"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规章</w:t>
            </w:r>
          </w:p>
        </w:tc>
        <w:tc>
          <w:tcPr>
            <w:tcW w:w="2058"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c>
          <w:tcPr>
            <w:tcW w:w="2110"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c>
          <w:tcPr>
            <w:tcW w:w="2229"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行政规范性文件</w:t>
            </w:r>
          </w:p>
        </w:tc>
        <w:tc>
          <w:tcPr>
            <w:tcW w:w="2058"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Style w:val="7"/>
                <w:rFonts w:hint="eastAsia" w:ascii="宋体" w:hAnsi="宋体" w:eastAsia="宋体" w:cs="宋体"/>
                <w:b/>
                <w:i w:val="0"/>
                <w:caps w:val="0"/>
                <w:color w:val="000000"/>
                <w:spacing w:val="0"/>
                <w:sz w:val="21"/>
                <w:szCs w:val="21"/>
                <w:lang w:val="en-US" w:eastAsia="zh-CN"/>
              </w:rPr>
              <w:t>0</w:t>
            </w:r>
          </w:p>
        </w:tc>
        <w:tc>
          <w:tcPr>
            <w:tcW w:w="2110"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Style w:val="7"/>
                <w:rFonts w:hint="eastAsia" w:ascii="宋体" w:hAnsi="宋体" w:eastAsia="宋体" w:cs="宋体"/>
                <w:b/>
                <w:i w:val="0"/>
                <w:caps w:val="0"/>
                <w:color w:val="000000"/>
                <w:spacing w:val="0"/>
                <w:sz w:val="21"/>
                <w:szCs w:val="21"/>
                <w:lang w:val="en-US" w:eastAsia="zh-CN"/>
              </w:rPr>
              <w:t>0</w:t>
            </w:r>
          </w:p>
        </w:tc>
        <w:tc>
          <w:tcPr>
            <w:tcW w:w="2229"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Style w:val="7"/>
                <w:rFonts w:hint="eastAsia" w:ascii="宋体" w:hAnsi="宋体" w:eastAsia="宋体" w:cs="宋体"/>
                <w:b/>
                <w:i w:val="0"/>
                <w:caps w:val="0"/>
                <w:color w:val="000000"/>
                <w:spacing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b/>
                <w:i w:val="0"/>
                <w:caps w:val="0"/>
                <w:color w:val="000000"/>
                <w:spacing w:val="0"/>
                <w:sz w:val="21"/>
                <w:szCs w:val="21"/>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行政许可</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b/>
                <w:i w:val="0"/>
                <w:caps w:val="0"/>
                <w:color w:val="000000"/>
                <w:spacing w:val="0"/>
                <w:sz w:val="21"/>
                <w:szCs w:val="21"/>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行政处罚</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行政强制</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b/>
                <w:i w:val="0"/>
                <w:caps w:val="0"/>
                <w:color w:val="000000"/>
                <w:spacing w:val="0"/>
                <w:sz w:val="21"/>
                <w:szCs w:val="21"/>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3"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行政事业性收费</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bl>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15"/>
        <w:jc w:val="both"/>
        <w:textAlignment w:val="auto"/>
        <w:rPr>
          <w:rFonts w:hint="eastAsia" w:ascii="黑体" w:hAnsi="宋体" w:eastAsia="黑体" w:cs="黑体"/>
          <w:color w:val="333333"/>
          <w:sz w:val="32"/>
          <w:szCs w:val="32"/>
          <w:shd w:val="clear" w:fill="FFFFFF"/>
        </w:rPr>
      </w:pPr>
    </w:p>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15"/>
        <w:jc w:val="both"/>
        <w:textAlignment w:val="auto"/>
      </w:pPr>
      <w:r>
        <w:rPr>
          <w:rFonts w:hint="eastAsia" w:ascii="黑体" w:hAnsi="宋体" w:eastAsia="黑体" w:cs="黑体"/>
          <w:color w:val="333333"/>
          <w:sz w:val="32"/>
          <w:szCs w:val="32"/>
          <w:shd w:val="clear" w:fill="FFFFFF"/>
        </w:rPr>
        <w:t>三、收到和处理政府信息公开申请情况</w:t>
      </w:r>
    </w:p>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0" w:right="0" w:firstLine="645"/>
        <w:jc w:val="left"/>
        <w:textAlignment w:val="auto"/>
      </w:pPr>
      <w:r>
        <w:rPr>
          <w:rFonts w:hint="eastAsia" w:ascii="仿宋_GB2312" w:eastAsia="仿宋_GB2312" w:cs="仿宋_GB2312"/>
          <w:caps w:val="0"/>
          <w:color w:val="3D3D3D"/>
          <w:spacing w:val="0"/>
          <w:sz w:val="32"/>
          <w:szCs w:val="32"/>
          <w:shd w:val="clear" w:fill="FFFFFF"/>
        </w:rPr>
        <w:t>自</w:t>
      </w:r>
      <w:r>
        <w:rPr>
          <w:rFonts w:hint="eastAsia" w:ascii="仿宋_GB2312" w:eastAsia="仿宋_GB2312" w:cs="仿宋_GB2312"/>
          <w:caps w:val="0"/>
          <w:spacing w:val="0"/>
          <w:sz w:val="32"/>
          <w:szCs w:val="32"/>
          <w:shd w:val="clear" w:fill="FFFFFF"/>
        </w:rPr>
        <w:t>202</w:t>
      </w:r>
      <w:r>
        <w:rPr>
          <w:rFonts w:hint="eastAsia" w:ascii="仿宋_GB2312" w:eastAsia="仿宋_GB2312" w:cs="仿宋_GB2312"/>
          <w:caps w:val="0"/>
          <w:spacing w:val="0"/>
          <w:sz w:val="32"/>
          <w:szCs w:val="32"/>
          <w:shd w:val="clear" w:fill="FFFFFF"/>
          <w:lang w:val="en-US" w:eastAsia="zh-CN"/>
        </w:rPr>
        <w:t>3</w:t>
      </w:r>
      <w:r>
        <w:rPr>
          <w:rFonts w:hint="eastAsia" w:ascii="仿宋_GB2312" w:eastAsia="仿宋_GB2312" w:cs="仿宋_GB2312"/>
          <w:caps w:val="0"/>
          <w:spacing w:val="0"/>
          <w:sz w:val="32"/>
          <w:szCs w:val="32"/>
          <w:shd w:val="clear" w:fill="FFFFFF"/>
        </w:rPr>
        <w:t>年1月1日起至202</w:t>
      </w:r>
      <w:r>
        <w:rPr>
          <w:rFonts w:hint="eastAsia" w:ascii="仿宋_GB2312" w:eastAsia="仿宋_GB2312" w:cs="仿宋_GB2312"/>
          <w:caps w:val="0"/>
          <w:spacing w:val="0"/>
          <w:sz w:val="32"/>
          <w:szCs w:val="32"/>
          <w:shd w:val="clear" w:fill="FFFFFF"/>
          <w:lang w:val="en-US" w:eastAsia="zh-CN"/>
        </w:rPr>
        <w:t>3</w:t>
      </w:r>
      <w:r>
        <w:rPr>
          <w:rFonts w:hint="eastAsia" w:ascii="仿宋_GB2312" w:eastAsia="仿宋_GB2312" w:cs="仿宋_GB2312"/>
          <w:caps w:val="0"/>
          <w:spacing w:val="0"/>
          <w:sz w:val="32"/>
          <w:szCs w:val="32"/>
          <w:shd w:val="clear" w:fill="FFFFFF"/>
        </w:rPr>
        <w:t>年12月31日止，</w:t>
      </w:r>
      <w:r>
        <w:rPr>
          <w:rFonts w:hint="eastAsia" w:ascii="仿宋_GB2312" w:eastAsia="仿宋_GB2312" w:cs="仿宋_GB2312"/>
          <w:caps w:val="0"/>
          <w:color w:val="3D3D3D"/>
          <w:spacing w:val="0"/>
          <w:sz w:val="32"/>
          <w:szCs w:val="32"/>
          <w:shd w:val="clear" w:fill="FFFFFF"/>
        </w:rPr>
        <w:t>我镇</w:t>
      </w:r>
      <w:r>
        <w:rPr>
          <w:rFonts w:hint="eastAsia" w:ascii="仿宋_GB2312" w:eastAsia="仿宋_GB2312" w:cs="仿宋_GB2312"/>
          <w:caps w:val="0"/>
          <w:color w:val="3D3D3D"/>
          <w:spacing w:val="0"/>
          <w:sz w:val="32"/>
          <w:szCs w:val="32"/>
          <w:shd w:val="clear" w:fill="FFFFFF"/>
          <w:lang w:val="en-US" w:eastAsia="zh-CN"/>
        </w:rPr>
        <w:t>收到依申请公开件2件</w:t>
      </w:r>
      <w:r>
        <w:rPr>
          <w:rFonts w:hint="eastAsia" w:ascii="仿宋_GB2312" w:eastAsia="仿宋_GB2312" w:cs="仿宋_GB2312"/>
          <w:caps w:val="0"/>
          <w:color w:val="3D3D3D"/>
          <w:spacing w:val="0"/>
          <w:sz w:val="32"/>
          <w:szCs w:val="32"/>
          <w:shd w:val="clear" w:fill="FFFFFF"/>
        </w:rPr>
        <w:t>。</w:t>
      </w:r>
    </w:p>
    <w:tbl>
      <w:tblPr>
        <w:tblStyle w:val="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pPr>
              <w:numPr>
                <w:ilvl w:val="0"/>
                <w:numId w:val="0"/>
              </w:numPr>
              <w:ind w:leftChars="0"/>
              <w:jc w:val="center"/>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pPr>
              <w:jc w:val="center"/>
              <w:rPr>
                <w:sz w:val="18"/>
                <w:szCs w:val="18"/>
              </w:rPr>
            </w:pPr>
          </w:p>
        </w:tc>
        <w:tc>
          <w:tcPr>
            <w:tcW w:w="825"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pPr>
              <w:jc w:val="center"/>
              <w:rPr>
                <w:sz w:val="18"/>
                <w:szCs w:val="18"/>
              </w:rPr>
            </w:pPr>
          </w:p>
        </w:tc>
        <w:tc>
          <w:tcPr>
            <w:tcW w:w="825" w:type="dxa"/>
            <w:vMerge w:val="continue"/>
            <w:vAlign w:val="center"/>
          </w:tcPr>
          <w:p>
            <w:pPr>
              <w:jc w:val="center"/>
              <w:rPr>
                <w:sz w:val="18"/>
                <w:szCs w:val="18"/>
              </w:rPr>
            </w:pPr>
          </w:p>
        </w:tc>
        <w:tc>
          <w:tcPr>
            <w:tcW w:w="705"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pPr>
              <w:jc w:val="both"/>
              <w:rPr>
                <w:rFonts w:hint="default" w:eastAsiaTheme="minorEastAsia"/>
                <w:sz w:val="18"/>
                <w:szCs w:val="18"/>
                <w:highlight w:val="none"/>
                <w:lang w:val="en-US" w:eastAsia="zh-CN"/>
              </w:rPr>
            </w:pPr>
            <w:r>
              <w:rPr>
                <w:rFonts w:hint="eastAsia"/>
                <w:sz w:val="18"/>
                <w:szCs w:val="18"/>
                <w:highlight w:val="none"/>
                <w:lang w:val="en-US" w:eastAsia="zh-CN"/>
              </w:rPr>
              <w:t>一、本年新收政府信息公开申请数量</w:t>
            </w:r>
          </w:p>
        </w:tc>
        <w:tc>
          <w:tcPr>
            <w:tcW w:w="825" w:type="dxa"/>
            <w:vAlign w:val="center"/>
          </w:tcPr>
          <w:p>
            <w:pPr>
              <w:jc w:val="center"/>
              <w:rPr>
                <w:rFonts w:hint="default" w:eastAsiaTheme="minorEastAsia"/>
                <w:sz w:val="18"/>
                <w:szCs w:val="18"/>
                <w:highlight w:val="none"/>
                <w:lang w:val="en-US" w:eastAsia="zh-CN"/>
              </w:rPr>
            </w:pPr>
            <w:r>
              <w:rPr>
                <w:rFonts w:hint="eastAsia"/>
                <w:sz w:val="18"/>
                <w:szCs w:val="18"/>
                <w:highlight w:val="none"/>
                <w:lang w:val="en-US" w:eastAsia="zh-CN"/>
              </w:rPr>
              <w:t>2</w:t>
            </w:r>
          </w:p>
        </w:tc>
        <w:tc>
          <w:tcPr>
            <w:tcW w:w="705"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680"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11"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644"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49"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77" w:type="dxa"/>
            <w:vAlign w:val="center"/>
          </w:tcPr>
          <w:p>
            <w:pPr>
              <w:jc w:val="center"/>
              <w:rPr>
                <w:rFonts w:hint="default" w:asciiTheme="minorEastAsia" w:hAnsiTheme="minorEastAsia" w:eastAsia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pPr>
              <w:jc w:val="both"/>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pPr>
              <w:jc w:val="center"/>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jc w:val="both"/>
              <w:rPr>
                <w:rFonts w:hint="default"/>
                <w:sz w:val="18"/>
                <w:szCs w:val="18"/>
                <w:lang w:val="en-US" w:eastAsia="zh-CN"/>
              </w:rPr>
            </w:pPr>
            <w:r>
              <w:rPr>
                <w:rFonts w:hint="eastAsia"/>
                <w:sz w:val="18"/>
                <w:szCs w:val="18"/>
                <w:lang w:val="en-US" w:eastAsia="zh-CN"/>
              </w:rPr>
              <w:t>（一）予以公开</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pPr>
              <w:jc w:val="center"/>
              <w:rPr>
                <w:sz w:val="18"/>
                <w:szCs w:val="18"/>
              </w:rPr>
            </w:pPr>
          </w:p>
        </w:tc>
        <w:tc>
          <w:tcPr>
            <w:tcW w:w="4005" w:type="dxa"/>
            <w:gridSpan w:val="2"/>
            <w:vAlign w:val="top"/>
          </w:tcPr>
          <w:p>
            <w:pPr>
              <w:jc w:val="both"/>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（三）不予公开</w:t>
            </w:r>
          </w:p>
        </w:tc>
        <w:tc>
          <w:tcPr>
            <w:tcW w:w="2580" w:type="dxa"/>
            <w:vAlign w:val="center"/>
          </w:tcPr>
          <w:p>
            <w:pPr>
              <w:jc w:val="left"/>
              <w:rPr>
                <w:rFonts w:hint="default"/>
                <w:sz w:val="18"/>
                <w:szCs w:val="18"/>
                <w:lang w:val="en-US" w:eastAsia="zh-CN"/>
              </w:rPr>
            </w:pPr>
            <w:r>
              <w:rPr>
                <w:rFonts w:hint="eastAsia"/>
                <w:sz w:val="18"/>
                <w:szCs w:val="18"/>
                <w:lang w:val="en-US" w:eastAsia="zh-CN"/>
              </w:rPr>
              <w:t>1.属于国家机密</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sz w:val="18"/>
                <w:szCs w:val="18"/>
              </w:rPr>
            </w:pPr>
          </w:p>
        </w:tc>
        <w:tc>
          <w:tcPr>
            <w:tcW w:w="1425" w:type="dxa"/>
            <w:vMerge w:val="continue"/>
            <w:vAlign w:val="center"/>
          </w:tcPr>
          <w:p>
            <w:pPr>
              <w:jc w:val="center"/>
              <w:rPr>
                <w:sz w:val="18"/>
                <w:szCs w:val="18"/>
              </w:rPr>
            </w:pPr>
          </w:p>
        </w:tc>
        <w:tc>
          <w:tcPr>
            <w:tcW w:w="2580" w:type="dxa"/>
            <w:vAlign w:val="center"/>
          </w:tcPr>
          <w:p>
            <w:pPr>
              <w:jc w:val="left"/>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2</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（四）无法提供</w:t>
            </w:r>
          </w:p>
        </w:tc>
        <w:tc>
          <w:tcPr>
            <w:tcW w:w="2580" w:type="dxa"/>
            <w:vAlign w:val="center"/>
          </w:tcPr>
          <w:p>
            <w:pPr>
              <w:jc w:val="left"/>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（五）不予处理</w:t>
            </w:r>
          </w:p>
        </w:tc>
        <w:tc>
          <w:tcPr>
            <w:tcW w:w="2580" w:type="dxa"/>
            <w:vAlign w:val="center"/>
          </w:tcPr>
          <w:p>
            <w:pPr>
              <w:jc w:val="left"/>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2.重复申请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（六）其他处理</w:t>
            </w:r>
          </w:p>
        </w:tc>
        <w:tc>
          <w:tcPr>
            <w:tcW w:w="2580" w:type="dxa"/>
            <w:vAlign w:val="center"/>
          </w:tcPr>
          <w:p>
            <w:pPr>
              <w:jc w:val="left"/>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3.其他</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pPr>
              <w:jc w:val="center"/>
              <w:rPr>
                <w:rFonts w:hint="eastAsia"/>
                <w:sz w:val="18"/>
                <w:szCs w:val="18"/>
                <w:lang w:val="en-US" w:eastAsia="zh-CN"/>
              </w:rPr>
            </w:pPr>
          </w:p>
        </w:tc>
        <w:tc>
          <w:tcPr>
            <w:tcW w:w="4005" w:type="dxa"/>
            <w:gridSpan w:val="2"/>
            <w:vAlign w:val="center"/>
          </w:tcPr>
          <w:p>
            <w:pPr>
              <w:jc w:val="left"/>
              <w:rPr>
                <w:rFonts w:hint="default"/>
                <w:sz w:val="18"/>
                <w:szCs w:val="18"/>
                <w:lang w:val="en-US" w:eastAsia="zh-CN"/>
              </w:rPr>
            </w:pPr>
            <w:r>
              <w:rPr>
                <w:rFonts w:hint="eastAsia"/>
                <w:sz w:val="18"/>
                <w:szCs w:val="18"/>
                <w:lang w:val="en-US" w:eastAsia="zh-CN"/>
              </w:rPr>
              <w:t>（七）总计</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2</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default"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pPr>
              <w:jc w:val="left"/>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bl>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45"/>
        <w:jc w:val="both"/>
        <w:textAlignment w:val="auto"/>
      </w:pPr>
      <w:r>
        <w:rPr>
          <w:rFonts w:hint="eastAsia" w:ascii="黑体" w:hAnsi="宋体" w:eastAsia="黑体" w:cs="黑体"/>
          <w:color w:val="333333"/>
          <w:sz w:val="32"/>
          <w:szCs w:val="32"/>
          <w:shd w:val="clear" w:fill="FFFFFF"/>
        </w:rPr>
        <w:t>四、政府信息公开行政复议、行政诉讼情况</w:t>
      </w:r>
    </w:p>
    <w:tbl>
      <w:tblPr>
        <w:tblStyle w:val="4"/>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2" w:hRule="atLeast"/>
          <w:jc w:val="center"/>
        </w:trPr>
        <w:tc>
          <w:tcPr>
            <w:tcW w:w="283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行政复议</w:t>
            </w:r>
          </w:p>
        </w:tc>
        <w:tc>
          <w:tcPr>
            <w:tcW w:w="568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3" w:hRule="atLeast"/>
          <w:jc w:val="center"/>
        </w:trPr>
        <w:tc>
          <w:tcPr>
            <w:tcW w:w="59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3"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c>
          <w:tcPr>
            <w:tcW w:w="283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未经复议直接起诉</w:t>
            </w:r>
          </w:p>
        </w:tc>
        <w:tc>
          <w:tcPr>
            <w:tcW w:w="2844"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9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463"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5" w:hRule="atLeast"/>
          <w:jc w:val="center"/>
        </w:trPr>
        <w:tc>
          <w:tcPr>
            <w:tcW w:w="5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0</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0</w:t>
            </w:r>
          </w:p>
        </w:tc>
      </w:tr>
    </w:tbl>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45"/>
        <w:jc w:val="both"/>
        <w:textAlignment w:val="auto"/>
      </w:pPr>
      <w:r>
        <w:rPr>
          <w:rFonts w:hint="eastAsia" w:ascii="黑体" w:hAnsi="宋体" w:eastAsia="黑体" w:cs="黑体"/>
          <w:color w:val="333333"/>
          <w:sz w:val="32"/>
          <w:szCs w:val="32"/>
          <w:shd w:val="clear" w:fill="FFFFFF"/>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（一）主要问题</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一是主动公开的内容还不够丰富，多局限于上级要求公开的内容。</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二是信息公开的内容和渠道还需进一步拓展、完善。</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三是政策解读解读方式不够新颖，解读内容还不够通俗易懂。</w:t>
      </w:r>
    </w:p>
    <w:p>
      <w:pPr>
        <w:numPr>
          <w:ilvl w:val="0"/>
          <w:numId w:val="0"/>
        </w:numPr>
        <w:ind w:firstLine="640"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（二）改进措施</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一是进一步配强工作力量，积极落实上级政务公开工作要求，紧密结合工作重点，进一步深化主动公开范围，提高公开质量，丰富公开内容。</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二是理顺政策解读机制、拓宽解读渠道。按照“谁起草、谁解读”原则，严格要求各站所在报审文件时，同步报送解读材料，确保政解读材料重点突出、内容规范。</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三是加大公开力度。进一步拓展政务信息公开渠道，创新公开形式，加强与社会公众的互动，广泛征集、听取公众的意见和建议，进一步提升公开质量。。</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pPr>
      <w:r>
        <w:rPr>
          <w:rFonts w:hint="eastAsia" w:ascii="黑体" w:hAnsi="宋体" w:eastAsia="黑体" w:cs="黑体"/>
          <w:sz w:val="32"/>
          <w:szCs w:val="32"/>
        </w:rPr>
        <w:t>六、其他需要报告的事项</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（一）信息处理费收取情况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（二）落实上级年度政务公开工作要点情况</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南鲁山镇积极落实县委、县政府对于政务公开工作的各项部署，积极开展政务公开工作。全面贯彻落实《山东省人民政府办公厅关于印发2023年山东省政务公开工作要点的通知》（鲁政办发〔2023〕8号)《淄博市人民政府办公室关于印发2023年淄博市政务公开工作方案的通知》（淄政办字〔2023〕38号）部署的工作任务和要求，根据《2023年沂源县政务公开工作方案》的重点任务，结合工作实际制定街道年度政务公开工作方案，并配套建立工作台账，实施跟进督查，确保政务公开相关环节有规可依、有章可循。</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（三）本行政机关人大代表建议和政协提案办理结果公开情况</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人大代表建议和政协提案办理结果已在沂源县南鲁山镇人民政府网站公开发布。</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（四）本行政机关年度政务公开工作创新情况</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仿宋" w:hAnsi="仿宋" w:eastAsia="仿宋" w:cs="仿宋"/>
          <w:sz w:val="32"/>
          <w:szCs w:val="32"/>
          <w:lang w:val="en-US" w:eastAsia="zh-CN"/>
        </w:rPr>
        <w:t>为更好的保障人民群众的知情权、参与权和监督权，多渠道搭建起与群众之间的互动桥梁，利用线上微信公众号、抖音号平台，让涉及医疗、就业、住房、养老、教育等惠及民生好政策“飞入寻常百姓家”。通过定期政府开放日的方式，将政务公开延伸到城乡工作的“最后一公里”。在不断推进政府信息公开工作的同时，倾听民意民声，听取群众意见建议，实现与人民群众之间的良性互动，不断提升政府信息公开工作的“质感”和“温度”。</w:t>
      </w:r>
      <w:r>
        <w:rPr>
          <w:rFonts w:hint="eastAsia" w:ascii="楷体_GB2312" w:hAnsi="楷体_GB2312" w:eastAsia="楷体_GB2312" w:cs="楷体_GB2312"/>
          <w:sz w:val="32"/>
          <w:szCs w:val="32"/>
          <w:lang w:val="en-US" w:eastAsia="zh-CN"/>
        </w:rPr>
        <w:t>（五）本行政机关政府信息公开工作年度报告数据统计需要说明的事项</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
        <w:keepNext w:val="0"/>
        <w:keepLines w:val="0"/>
        <w:pageBreakBefore w:val="0"/>
        <w:widowControl/>
        <w:numPr>
          <w:ilvl w:val="0"/>
          <w:numId w:val="3"/>
        </w:numPr>
        <w:suppressLineNumbers w:val="0"/>
        <w:kinsoku/>
        <w:wordWrap/>
        <w:overflowPunct/>
        <w:topLinePunct w:val="0"/>
        <w:autoSpaceDE w:val="0"/>
        <w:autoSpaceDN/>
        <w:bidi w:val="0"/>
        <w:adjustRightInd/>
        <w:snapToGrid/>
        <w:spacing w:beforeAutospacing="0" w:afterAutospacing="0" w:line="560" w:lineRule="exact"/>
        <w:ind w:left="-10" w:leftChars="0"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本行政机关认为需要报告的其他事项</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
        <w:keepNext w:val="0"/>
        <w:keepLines w:val="0"/>
        <w:pageBreakBefore w:val="0"/>
        <w:widowControl/>
        <w:numPr>
          <w:ilvl w:val="0"/>
          <w:numId w:val="3"/>
        </w:numPr>
        <w:suppressLineNumbers w:val="0"/>
        <w:kinsoku/>
        <w:wordWrap/>
        <w:overflowPunct/>
        <w:topLinePunct w:val="0"/>
        <w:autoSpaceDE w:val="0"/>
        <w:autoSpaceDN/>
        <w:bidi w:val="0"/>
        <w:adjustRightInd/>
        <w:snapToGrid/>
        <w:spacing w:beforeAutospacing="0" w:afterAutospacing="0" w:line="560" w:lineRule="exact"/>
        <w:ind w:left="-10" w:leftChars="0"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其他有关文件专门要求通过政府信息公开工作年度报告予以报告的事项</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eastAsia="仿宋_GB2312"/>
          <w:lang w:val="en-US" w:eastAsia="zh-CN"/>
        </w:rPr>
      </w:pPr>
      <w:r>
        <w:rPr>
          <w:rFonts w:hint="eastAsia" w:ascii="仿宋" w:hAnsi="仿宋" w:eastAsia="仿宋" w:cs="仿宋"/>
          <w:sz w:val="32"/>
          <w:szCs w:val="32"/>
        </w:rPr>
        <w:t>                                           </w:t>
      </w:r>
      <w:r>
        <w:rPr>
          <w:rFonts w:hint="eastAsia" w:ascii="仿宋_GB2312" w:eastAsia="仿宋_GB2312" w:cs="仿宋_GB2312"/>
          <w:sz w:val="32"/>
          <w:szCs w:val="32"/>
        </w:rPr>
        <w:t>沂源县南鲁山</w:t>
      </w:r>
      <w:r>
        <w:rPr>
          <w:rFonts w:hint="eastAsia" w:ascii="仿宋_GB2312" w:eastAsia="仿宋_GB2312" w:cs="仿宋_GB2312"/>
          <w:sz w:val="32"/>
          <w:szCs w:val="32"/>
          <w:lang w:val="en-US" w:eastAsia="zh-CN"/>
        </w:rPr>
        <w:t>镇</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仿宋_GB2312" w:eastAsia="仿宋_GB2312" w:cs="仿宋_GB2312"/>
          <w:sz w:val="32"/>
          <w:szCs w:val="32"/>
        </w:rPr>
        <w:t>                                            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年1月</w:t>
      </w:r>
      <w:r>
        <w:rPr>
          <w:rFonts w:hint="eastAsia" w:ascii="仿宋_GB2312" w:eastAsia="仿宋_GB2312" w:cs="仿宋_GB2312"/>
          <w:sz w:val="32"/>
          <w:szCs w:val="32"/>
          <w:lang w:val="en-US" w:eastAsia="zh-CN"/>
        </w:rPr>
        <w:t>24</w:t>
      </w:r>
      <w:bookmarkStart w:id="0" w:name="_GoBack"/>
      <w:bookmarkEnd w:id="0"/>
      <w:r>
        <w:rPr>
          <w:rFonts w:hint="eastAsia" w:ascii="仿宋_GB2312" w:eastAsia="仿宋_GB2312" w:cs="仿宋_GB2312"/>
          <w:sz w:val="32"/>
          <w:szCs w:val="32"/>
        </w:rPr>
        <w:t>日</w:t>
      </w:r>
    </w:p>
    <w:p/>
    <w:sectPr>
      <w:pgSz w:w="11906" w:h="16838"/>
      <w:pgMar w:top="1984"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E9E00"/>
    <w:multiLevelType w:val="singleLevel"/>
    <w:tmpl w:val="BEBE9E00"/>
    <w:lvl w:ilvl="0" w:tentative="0">
      <w:start w:val="2"/>
      <w:numFmt w:val="decimal"/>
      <w:suff w:val="nothing"/>
      <w:lvlText w:val="%1、"/>
      <w:lvlJc w:val="left"/>
    </w:lvl>
  </w:abstractNum>
  <w:abstractNum w:abstractNumId="1">
    <w:nsid w:val="E185CD4E"/>
    <w:multiLevelType w:val="singleLevel"/>
    <w:tmpl w:val="E185CD4E"/>
    <w:lvl w:ilvl="0" w:tentative="0">
      <w:start w:val="4"/>
      <w:numFmt w:val="chineseCounting"/>
      <w:suff w:val="nothing"/>
      <w:lvlText w:val="（%1）"/>
      <w:lvlJc w:val="left"/>
      <w:rPr>
        <w:rFonts w:hint="eastAsia"/>
      </w:rPr>
    </w:lvl>
  </w:abstractNum>
  <w:abstractNum w:abstractNumId="2">
    <w:nsid w:val="46F02644"/>
    <w:multiLevelType w:val="singleLevel"/>
    <w:tmpl w:val="46F02644"/>
    <w:lvl w:ilvl="0" w:tentative="0">
      <w:start w:val="6"/>
      <w:numFmt w:val="chineseCounting"/>
      <w:suff w:val="nothing"/>
      <w:lvlText w:val="（%1）"/>
      <w:lvlJc w:val="left"/>
      <w:pPr>
        <w:ind w:left="-1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WQzYjgwYjA1ODhjMGUxNTg3NjBiYWNhOGJlYzEifQ=="/>
  </w:docVars>
  <w:rsids>
    <w:rsidRoot w:val="249A7A16"/>
    <w:rsid w:val="249A7A16"/>
    <w:rsid w:val="256404DE"/>
    <w:rsid w:val="337F2AEB"/>
    <w:rsid w:val="3F6C7DE3"/>
    <w:rsid w:val="5A054C78"/>
    <w:rsid w:val="60F16387"/>
    <w:rsid w:val="75C71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2022年政府信息公开工作</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机构职能</c:v>
                </c:pt>
                <c:pt idx="1">
                  <c:v>政策法规</c:v>
                </c:pt>
                <c:pt idx="2">
                  <c:v>政府会议</c:v>
                </c:pt>
                <c:pt idx="3">
                  <c:v>其他</c:v>
                </c:pt>
              </c:strCache>
            </c:strRef>
          </c:cat>
          <c:val>
            <c:numRef>
              <c:f>Sheet1!$B$2:$B$5</c:f>
              <c:numCache>
                <c:formatCode>General</c:formatCode>
                <c:ptCount val="4"/>
                <c:pt idx="0">
                  <c:v>1</c:v>
                </c:pt>
                <c:pt idx="1">
                  <c:v>3</c:v>
                </c:pt>
                <c:pt idx="2">
                  <c:v>14</c:v>
                </c:pt>
                <c:pt idx="3">
                  <c:v>16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2024-01-22T01:23:00Z</dcterms:created>
  <dc:creator>祺姒</dc:creator>
  <cp:lastModifiedBy>祺姒</cp:lastModifiedBy>
  <dcterms:modified xsi:type="dcterms:W3CDTF">2024-01-24T03:09:25Z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A04DB07FD14E4CD18FE3FC6871E67476_13</vt:lpwstr>
  </property>
</Properties>
</file>