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40E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20" w:beforeAutospacing="0" w:after="390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</w:rPr>
        <w:t>沂源县民政局2024年政府信息公开工作年度报告</w:t>
      </w:r>
    </w:p>
    <w:p w14:paraId="55C6849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本年度报告中所列数据的统计期限从2024年1月1日至12月31日止。如对本年度报告有任何疑问，请与沂源县民政局办公室联系（地址：沂源县胜利路16号，民政局二楼办公室；邮编：256100；电话：0533-3241093；传真：3241569；电子邮箱：mzj2008@zb.shandong.cn ）。</w:t>
      </w:r>
    </w:p>
    <w:p w14:paraId="1CCED7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一、总体情况</w:t>
      </w:r>
    </w:p>
    <w:p w14:paraId="72DFF9C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2024年，县民政局认真贯彻落实国家、省、市、县有关政务公开的有关要求，结合我局工作实际，面向社会公众，深化政务公开，优化政务服务，不断完善民政领域政府信息公开工作，不断提升政务公开工作水平。</w:t>
      </w:r>
    </w:p>
    <w:p w14:paraId="6C7CAA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（一）主动公开内容</w:t>
      </w:r>
    </w:p>
    <w:p w14:paraId="702E47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2024年累计主动公开政府信息135条，重点领域信息公开45条，“双随机、一公开”类38条、重点领域检查42条，其他类10条。</w:t>
      </w:r>
    </w:p>
    <w:p w14:paraId="547A60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（二）依申请公开情况</w:t>
      </w:r>
    </w:p>
    <w:p w14:paraId="5D7915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 自2024年1月1日起至2024年12月31日止，我局未接到依申请公开政府信息的申请，数量与去年持平。</w:t>
      </w:r>
    </w:p>
    <w:p w14:paraId="498AC8C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（三）政府信息管理情况</w:t>
      </w:r>
    </w:p>
    <w:p w14:paraId="19AA7BD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 加强政务公开组织领导。2024年，我局调整充实了政务公开工作领导小组，并召开领导小组专题会议。严格按照信息公开工作相关制度，把政务公开工作列入重要议事日程，与行政工作、党风廉政建设工作一起部署、一起检查、一起考核。坚持政务公开会议制度，定期研究政务公开工作，及时总结经验，发现问题，及时整改，建立健全政务公开长效机制。</w:t>
      </w:r>
    </w:p>
    <w:p w14:paraId="7ECF69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（四）政府信息公开平台</w:t>
      </w:r>
    </w:p>
    <w:p w14:paraId="7DB5DD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 一是通过县政府网站机构设置栏目公开领导干部基本信息。二是对社会救助、社会事务、婚姻登记、慈善社工、基层政权等重大工作事项和涉及群众切身利益的重大问题，通过集体决策后，以微信公众号等多渠道、广范围的形式加以公开，使群众真正拥有知情权、评议权和监督权。　</w:t>
      </w:r>
    </w:p>
    <w:p w14:paraId="12FEF0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（五）监督保障情况</w:t>
      </w:r>
    </w:p>
    <w:p w14:paraId="7F2C65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严格遵循“依法公开、真实公正、注重实效、有利监督”四个原则，做到规范程序、主动公开、保证时效，定期对网站公开内容进行检查，确保政府信息公开透明、高效。对局科室工作人员开展政务公开专项培训，提升政务公开工作水平。</w:t>
      </w:r>
    </w:p>
    <w:p w14:paraId="00BFC7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二、主动公开政府信息情况</w:t>
      </w:r>
    </w:p>
    <w:tbl>
      <w:tblPr>
        <w:tblW w:w="0" w:type="dxa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676"/>
        <w:gridCol w:w="676"/>
        <w:gridCol w:w="676"/>
      </w:tblGrid>
      <w:tr w14:paraId="175CD9B6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3344C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第二十条  第（一）项</w:t>
            </w:r>
          </w:p>
        </w:tc>
      </w:tr>
      <w:tr w14:paraId="014F58CC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CDA0C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DD67E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本年制发件数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212CD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本年废止件数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22E74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现行有效件数</w:t>
            </w:r>
          </w:p>
        </w:tc>
      </w:tr>
      <w:tr w14:paraId="2A74EE5C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181E7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规章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7C402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DB487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89034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24FE2506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62D8F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行政规范性文件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1BE09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CAD1A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D2E13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62EC059D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456F9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第二十条  第（五）项</w:t>
            </w:r>
          </w:p>
        </w:tc>
      </w:tr>
      <w:tr w14:paraId="497C43FF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5A81F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71267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本年处理决定数量</w:t>
            </w:r>
          </w:p>
        </w:tc>
      </w:tr>
      <w:tr w14:paraId="687E67B8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DD9D3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765A2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3D7482DE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07A39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第二十条  第（六）项</w:t>
            </w:r>
          </w:p>
        </w:tc>
      </w:tr>
      <w:tr w14:paraId="63D4BE7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3A2A9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D7908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本年处理决定数量</w:t>
            </w:r>
          </w:p>
        </w:tc>
      </w:tr>
      <w:tr w14:paraId="5AA56CA9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172E9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行政处罚</w:t>
            </w:r>
          </w:p>
        </w:tc>
        <w:tc>
          <w:tcPr>
            <w:tcW w:w="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451FE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522BBC5C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6924F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行政强制</w:t>
            </w:r>
          </w:p>
        </w:tc>
        <w:tc>
          <w:tcPr>
            <w:tcW w:w="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AAC7D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157BBEC1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734DB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第二十条  第（八）项</w:t>
            </w:r>
          </w:p>
        </w:tc>
      </w:tr>
      <w:tr w14:paraId="505FF5B5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0D415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62642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本年收费金额（单位：万元）</w:t>
            </w:r>
          </w:p>
        </w:tc>
      </w:tr>
      <w:tr w14:paraId="39D847FC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38388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行政事业性收费</w:t>
            </w:r>
          </w:p>
        </w:tc>
        <w:tc>
          <w:tcPr>
            <w:tcW w:w="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63A50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</w:tr>
    </w:tbl>
    <w:p w14:paraId="58751D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 w14:paraId="18B3CE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三、收到和处理政府信息公开申请情况</w:t>
      </w:r>
    </w:p>
    <w:p w14:paraId="5264DA1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tbl>
      <w:tblPr>
        <w:tblW w:w="16215" w:type="dxa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10"/>
        <w:gridCol w:w="3230"/>
        <w:gridCol w:w="4088"/>
        <w:gridCol w:w="720"/>
        <w:gridCol w:w="720"/>
        <w:gridCol w:w="720"/>
        <w:gridCol w:w="720"/>
        <w:gridCol w:w="720"/>
        <w:gridCol w:w="779"/>
        <w:gridCol w:w="808"/>
      </w:tblGrid>
      <w:tr w14:paraId="15352E9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40" w:type="dxa"/>
            <w:gridSpan w:val="3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B41D5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20FC63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（本列数据的勾稽关系为：第一项加第二项之和，等于第三项加第四项之和）</w:t>
            </w:r>
          </w:p>
          <w:p w14:paraId="636835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130" w:type="dxa"/>
            <w:gridSpan w:val="7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7DB81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申请人情况</w:t>
            </w:r>
          </w:p>
        </w:tc>
      </w:tr>
      <w:tr w14:paraId="65823E0E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40" w:type="dxa"/>
            <w:gridSpan w:val="3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2B35DB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A653D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自然人</w:t>
            </w:r>
          </w:p>
        </w:tc>
        <w:tc>
          <w:tcPr>
            <w:tcW w:w="3660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BA22A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法人或其他组织</w:t>
            </w:r>
          </w:p>
        </w:tc>
        <w:tc>
          <w:tcPr>
            <w:tcW w:w="720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14EA9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总计</w:t>
            </w:r>
          </w:p>
        </w:tc>
      </w:tr>
      <w:tr w14:paraId="53BCD14F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1040" w:type="dxa"/>
            <w:gridSpan w:val="3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CBBB30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77E005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DBB89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商业企业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5A69B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科研机构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DECBE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社会公益组织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56EC9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法律服务机构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E64BC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其他</w:t>
            </w:r>
          </w:p>
        </w:tc>
        <w:tc>
          <w:tcPr>
            <w:tcW w:w="72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E949E3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5A3F6751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040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544A4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14861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89F36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14BFF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D9324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265CC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557E2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B2103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26C20BC0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40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EF0C2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20CDA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FB90A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9F7E5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F4A06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8336B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24014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BC937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34E56EB8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12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C1851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三、本年度办理结果</w:t>
            </w:r>
          </w:p>
          <w:p w14:paraId="03A724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313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68EC2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（一）予以公开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FE411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117AA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A3F3B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4FB14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1499D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AF780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5DAC3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5134AE7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1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339649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13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A9FC5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（二）部分公开（区分处理的，只计这一情形，不计其他情形）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8E3A8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7C1C8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532AD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10416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486D0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30E83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04C6F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16E7F98E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1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11F1BB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30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BC56F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（三）不予公开</w:t>
            </w:r>
          </w:p>
        </w:tc>
        <w:tc>
          <w:tcPr>
            <w:tcW w:w="40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60A8A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1.属于国家秘密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6489B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B273E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F9740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1CA65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523BF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C2E45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7B65F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0</w:t>
            </w:r>
          </w:p>
        </w:tc>
      </w:tr>
      <w:tr w14:paraId="7B78FD4C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1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7672B2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3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04EF01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0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84B89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2.其他法律行政法规禁止公开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113CB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777A1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62812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F6A53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65124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64408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5545A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0</w:t>
            </w:r>
          </w:p>
        </w:tc>
      </w:tr>
      <w:tr w14:paraId="267CCCD4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1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90B0F5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3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4D5321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0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DA08F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3.危及“三安全一稳定”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015DA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64894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3CA47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7D95A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2F102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ABFA9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D45D3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0</w:t>
            </w:r>
          </w:p>
        </w:tc>
      </w:tr>
      <w:tr w14:paraId="7D49D369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1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74D907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3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5C7A8A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0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A0D57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4.保护第三方合法权益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BFBF4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B35F5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43ACC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2A2F3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85EDD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59885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D0A3C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0 </w:t>
            </w:r>
          </w:p>
        </w:tc>
      </w:tr>
      <w:tr w14:paraId="45F0957D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1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6A7D35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3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51B2C6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0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938F3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5.属于三类内部事务信息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022AE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0 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E15BF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0E147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24398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6ED71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D7B60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AE877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0</w:t>
            </w:r>
          </w:p>
        </w:tc>
      </w:tr>
      <w:tr w14:paraId="682ED426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1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B58EB9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3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E58DEE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0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0DFC5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6.属于四类过程性信息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30592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55C20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D0298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47805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89F29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D3A18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6005D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2DE0F38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1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49176C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3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2EF9FB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0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D555D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7.属于行政执法案卷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FEB21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2E9CA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DF66C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55533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E14A1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D8A5D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7B37C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63D1882E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1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42DD43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3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6E5E47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0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024A8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8.属于行政查询事项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80C03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D4154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69146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3D1BE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8BFAC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CC070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A20DF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344F30CA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1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3B1441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30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ED7E9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（四）无法提供</w:t>
            </w:r>
          </w:p>
        </w:tc>
        <w:tc>
          <w:tcPr>
            <w:tcW w:w="40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31F6A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1.本机关不掌握相关政府信息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58545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9E826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2D336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4394E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55C1A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4C382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DEAD4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1A6D75E6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1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415579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3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84B945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0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57B56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2.没有现成信息需要另行制作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18420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B0CB1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B51F5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B321A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9E9B8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3FCB1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C9733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2BD041D4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1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01C2FC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3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1AF7F1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0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A58D4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3.补正后申请内容仍不明确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14FA4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90268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71A02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FAA5F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04BDC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24CC6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CBE8C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47BEF586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1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9356FF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30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8EA28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（五）不予处理</w:t>
            </w:r>
          </w:p>
        </w:tc>
        <w:tc>
          <w:tcPr>
            <w:tcW w:w="40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9A36F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1.信访举报投诉类申请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F5113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49B69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B1E4A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69408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7C3AF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926BC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E2DD7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351662B3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1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E17901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3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574FE4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0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77E39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2.重复申请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17109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48ECA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518D0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892D1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DC92D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72A45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FA0CD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7CBC3993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1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DD796B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3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83236A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0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3F1D6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3.要求提供公开出版物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1A255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15FBE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55086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7937F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6B36C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3F03E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37CC8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5543D18A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1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1C98B6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3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E2FE39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0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FC918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D8A26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854C6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AA89F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1AE4D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45FBD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13975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79F9F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08139177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1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8D570A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3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D7F6E0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0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24591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4.无正当理由大量反复申请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5F9F9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51CB6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19D4C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F7D71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BE0B9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FDAEB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3F88F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1F8971E4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1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5E581B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3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C8A868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0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2E7F0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5.要求行政机关确认或重新出具已获取信息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5922F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2BAE0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24D15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3E6BF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082C4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368A4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409AE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0CC6BC2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371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301888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4419A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（六）其他处理</w:t>
            </w:r>
          </w:p>
        </w:tc>
        <w:tc>
          <w:tcPr>
            <w:tcW w:w="40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88A8E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1.申请人无正当理由逾期不补正、行政机关不再处理其政府信息公开申请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62A4D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2D7B1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7ECB9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563ED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B97BA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4054A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0A462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3739ED72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371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38E817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94FC0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0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E9066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2.申请人逾期未按收费通知要求缴纳费用、行政机关不再处理其政府信息公开申请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0453E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DA559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BE274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6760C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424BE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F9C0F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A40C4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4712D740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1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217E29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2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1197F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0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30154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3.其他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981DC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11176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CED42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0D089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7FA15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A6B11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7FE1E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0CA1D7F9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71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8B88FB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13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C7BAA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（七）总计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653FD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51E27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0208A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83F51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6FB56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7A564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5E52D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2CA35607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1" w:hRule="atLeast"/>
        </w:trPr>
        <w:tc>
          <w:tcPr>
            <w:tcW w:w="11040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tbl>
            <w:tblPr>
              <w:tblW w:w="0" w:type="dxa"/>
              <w:tblInd w:w="1" w:type="dxa"/>
              <w:tblBorders>
                <w:top w:val="single" w:color="CCCCCC" w:sz="6" w:space="0"/>
                <w:left w:val="single" w:color="CCCCCC" w:sz="6" w:space="0"/>
                <w:bottom w:val="single" w:color="CCCCCC" w:sz="6" w:space="0"/>
                <w:right w:val="single" w:color="CCCCCC" w:sz="6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6"/>
              <w:gridCol w:w="676"/>
              <w:gridCol w:w="676"/>
              <w:gridCol w:w="676"/>
              <w:gridCol w:w="676"/>
              <w:gridCol w:w="676"/>
              <w:gridCol w:w="676"/>
              <w:gridCol w:w="676"/>
              <w:gridCol w:w="676"/>
              <w:gridCol w:w="676"/>
              <w:gridCol w:w="676"/>
              <w:gridCol w:w="676"/>
              <w:gridCol w:w="676"/>
              <w:gridCol w:w="676"/>
              <w:gridCol w:w="676"/>
            </w:tblGrid>
            <w:tr w14:paraId="28FE016B">
              <w:tblPrEx>
                <w:tblBorders>
                  <w:top w:val="single" w:color="CCCCCC" w:sz="6" w:space="0"/>
                  <w:left w:val="single" w:color="CCCCCC" w:sz="6" w:space="0"/>
                  <w:bottom w:val="single" w:color="CCCCCC" w:sz="6" w:space="0"/>
                  <w:right w:val="single" w:color="CCCCCC" w:sz="6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" w:type="dxa"/>
                  <w:gridSpan w:val="5"/>
                  <w:tcBorders>
                    <w:top w:val="single" w:color="CCCCCC" w:sz="6" w:space="0"/>
                    <w:left w:val="single" w:color="CCCCCC" w:sz="6" w:space="0"/>
                    <w:bottom w:val="single" w:color="CCCCCC" w:sz="6" w:space="0"/>
                    <w:right w:val="single" w:color="CCCCCC" w:sz="6" w:space="0"/>
                  </w:tcBorders>
                  <w:shd w:val="clear"/>
                  <w:vAlign w:val="center"/>
                </w:tcPr>
                <w:p w14:paraId="1231E33F"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4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bdr w:val="none" w:color="auto" w:sz="0" w:space="0"/>
                    </w:rPr>
                    <w:t>行政复议</w:t>
                  </w:r>
                </w:p>
              </w:tc>
              <w:tc>
                <w:tcPr>
                  <w:tcW w:w="6" w:type="dxa"/>
                  <w:gridSpan w:val="10"/>
                  <w:tcBorders>
                    <w:top w:val="single" w:color="CCCCCC" w:sz="6" w:space="0"/>
                    <w:left w:val="single" w:color="CCCCCC" w:sz="6" w:space="0"/>
                    <w:bottom w:val="single" w:color="CCCCCC" w:sz="6" w:space="0"/>
                    <w:right w:val="single" w:color="CCCCCC" w:sz="6" w:space="0"/>
                  </w:tcBorders>
                  <w:shd w:val="clear"/>
                  <w:vAlign w:val="center"/>
                </w:tcPr>
                <w:p w14:paraId="7F3B99B8"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4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bdr w:val="none" w:color="auto" w:sz="0" w:space="0"/>
                    </w:rPr>
                    <w:t>行政诉讼</w:t>
                  </w:r>
                </w:p>
              </w:tc>
            </w:tr>
            <w:tr w14:paraId="3126C0DA">
              <w:tblPrEx>
                <w:tblBorders>
                  <w:top w:val="single" w:color="CCCCCC" w:sz="6" w:space="0"/>
                  <w:left w:val="single" w:color="CCCCCC" w:sz="6" w:space="0"/>
                  <w:bottom w:val="single" w:color="CCCCCC" w:sz="6" w:space="0"/>
                  <w:right w:val="single" w:color="CCCCCC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" w:type="dxa"/>
                  <w:vMerge w:val="restart"/>
                  <w:tcBorders>
                    <w:top w:val="single" w:color="CCCCCC" w:sz="6" w:space="0"/>
                    <w:left w:val="single" w:color="CCCCCC" w:sz="6" w:space="0"/>
                    <w:bottom w:val="single" w:color="CCCCCC" w:sz="6" w:space="0"/>
                    <w:right w:val="single" w:color="CCCCCC" w:sz="6" w:space="0"/>
                  </w:tcBorders>
                  <w:shd w:val="clear"/>
                  <w:vAlign w:val="center"/>
                </w:tcPr>
                <w:p w14:paraId="4A461410"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4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bdr w:val="none" w:color="auto" w:sz="0" w:space="0"/>
                    </w:rPr>
                    <w:t>结果维持</w:t>
                  </w:r>
                </w:p>
              </w:tc>
              <w:tc>
                <w:tcPr>
                  <w:tcW w:w="6" w:type="dxa"/>
                  <w:vMerge w:val="restart"/>
                  <w:tcBorders>
                    <w:top w:val="single" w:color="CCCCCC" w:sz="6" w:space="0"/>
                    <w:left w:val="single" w:color="CCCCCC" w:sz="6" w:space="0"/>
                    <w:bottom w:val="single" w:color="CCCCCC" w:sz="6" w:space="0"/>
                    <w:right w:val="single" w:color="CCCCCC" w:sz="6" w:space="0"/>
                  </w:tcBorders>
                  <w:shd w:val="clear"/>
                  <w:vAlign w:val="center"/>
                </w:tcPr>
                <w:p w14:paraId="79AECA7A"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4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bdr w:val="none" w:color="auto" w:sz="0" w:space="0"/>
                    </w:rPr>
                    <w:t>结果纠正</w:t>
                  </w:r>
                </w:p>
              </w:tc>
              <w:tc>
                <w:tcPr>
                  <w:tcW w:w="6" w:type="dxa"/>
                  <w:vMerge w:val="restart"/>
                  <w:tcBorders>
                    <w:top w:val="single" w:color="CCCCCC" w:sz="6" w:space="0"/>
                    <w:left w:val="single" w:color="CCCCCC" w:sz="6" w:space="0"/>
                    <w:bottom w:val="single" w:color="CCCCCC" w:sz="6" w:space="0"/>
                    <w:right w:val="single" w:color="CCCCCC" w:sz="6" w:space="0"/>
                  </w:tcBorders>
                  <w:shd w:val="clear"/>
                  <w:vAlign w:val="center"/>
                </w:tcPr>
                <w:p w14:paraId="3BAA2FB3"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4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bdr w:val="none" w:color="auto" w:sz="0" w:space="0"/>
                    </w:rPr>
                    <w:t>其他结果</w:t>
                  </w:r>
                </w:p>
              </w:tc>
              <w:tc>
                <w:tcPr>
                  <w:tcW w:w="6" w:type="dxa"/>
                  <w:vMerge w:val="restart"/>
                  <w:tcBorders>
                    <w:top w:val="single" w:color="CCCCCC" w:sz="6" w:space="0"/>
                    <w:left w:val="single" w:color="CCCCCC" w:sz="6" w:space="0"/>
                    <w:bottom w:val="single" w:color="CCCCCC" w:sz="6" w:space="0"/>
                    <w:right w:val="single" w:color="CCCCCC" w:sz="6" w:space="0"/>
                  </w:tcBorders>
                  <w:shd w:val="clear"/>
                  <w:vAlign w:val="center"/>
                </w:tcPr>
                <w:p w14:paraId="0D32B5FA"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4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bdr w:val="none" w:color="auto" w:sz="0" w:space="0"/>
                    </w:rPr>
                    <w:t>尚未审结</w:t>
                  </w:r>
                </w:p>
              </w:tc>
              <w:tc>
                <w:tcPr>
                  <w:tcW w:w="6" w:type="dxa"/>
                  <w:vMerge w:val="restart"/>
                  <w:tcBorders>
                    <w:top w:val="single" w:color="CCCCCC" w:sz="6" w:space="0"/>
                    <w:left w:val="single" w:color="CCCCCC" w:sz="6" w:space="0"/>
                    <w:bottom w:val="single" w:color="CCCCCC" w:sz="6" w:space="0"/>
                    <w:right w:val="single" w:color="CCCCCC" w:sz="6" w:space="0"/>
                  </w:tcBorders>
                  <w:shd w:val="clear"/>
                  <w:vAlign w:val="center"/>
                </w:tcPr>
                <w:p w14:paraId="0000D449"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4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bdr w:val="none" w:color="auto" w:sz="0" w:space="0"/>
                    </w:rPr>
                    <w:t>总计</w:t>
                  </w:r>
                </w:p>
              </w:tc>
              <w:tc>
                <w:tcPr>
                  <w:tcW w:w="6" w:type="dxa"/>
                  <w:gridSpan w:val="5"/>
                  <w:tcBorders>
                    <w:top w:val="single" w:color="CCCCCC" w:sz="6" w:space="0"/>
                    <w:left w:val="single" w:color="CCCCCC" w:sz="6" w:space="0"/>
                    <w:bottom w:val="single" w:color="CCCCCC" w:sz="6" w:space="0"/>
                    <w:right w:val="single" w:color="CCCCCC" w:sz="6" w:space="0"/>
                  </w:tcBorders>
                  <w:shd w:val="clear"/>
                  <w:vAlign w:val="center"/>
                </w:tcPr>
                <w:p w14:paraId="006FF19D"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4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bdr w:val="none" w:color="auto" w:sz="0" w:space="0"/>
                    </w:rPr>
                    <w:t>未经复议直接起诉</w:t>
                  </w:r>
                </w:p>
              </w:tc>
              <w:tc>
                <w:tcPr>
                  <w:tcW w:w="6" w:type="dxa"/>
                  <w:gridSpan w:val="5"/>
                  <w:tcBorders>
                    <w:top w:val="single" w:color="CCCCCC" w:sz="6" w:space="0"/>
                    <w:left w:val="single" w:color="CCCCCC" w:sz="6" w:space="0"/>
                    <w:bottom w:val="single" w:color="CCCCCC" w:sz="6" w:space="0"/>
                    <w:right w:val="single" w:color="CCCCCC" w:sz="6" w:space="0"/>
                  </w:tcBorders>
                  <w:shd w:val="clear"/>
                  <w:vAlign w:val="center"/>
                </w:tcPr>
                <w:p w14:paraId="2FB32AA7"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4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bdr w:val="none" w:color="auto" w:sz="0" w:space="0"/>
                    </w:rPr>
                    <w:t>复议后起诉</w:t>
                  </w:r>
                </w:p>
              </w:tc>
            </w:tr>
            <w:tr w14:paraId="63A93FBC">
              <w:tblPrEx>
                <w:tblBorders>
                  <w:top w:val="single" w:color="CCCCCC" w:sz="6" w:space="0"/>
                  <w:left w:val="single" w:color="CCCCCC" w:sz="6" w:space="0"/>
                  <w:bottom w:val="single" w:color="CCCCCC" w:sz="6" w:space="0"/>
                  <w:right w:val="single" w:color="CCCCCC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" w:type="dxa"/>
                  <w:vMerge w:val="continue"/>
                  <w:tcBorders>
                    <w:top w:val="single" w:color="CCCCCC" w:sz="6" w:space="0"/>
                    <w:left w:val="single" w:color="CCCCCC" w:sz="6" w:space="0"/>
                    <w:bottom w:val="single" w:color="CCCCCC" w:sz="6" w:space="0"/>
                    <w:right w:val="single" w:color="CCCCCC" w:sz="6" w:space="0"/>
                  </w:tcBorders>
                  <w:shd w:val="clear"/>
                  <w:vAlign w:val="center"/>
                </w:tcPr>
                <w:p w14:paraId="1E041130"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" w:type="dxa"/>
                  <w:vMerge w:val="continue"/>
                  <w:tcBorders>
                    <w:top w:val="single" w:color="CCCCCC" w:sz="6" w:space="0"/>
                    <w:left w:val="single" w:color="CCCCCC" w:sz="6" w:space="0"/>
                    <w:bottom w:val="single" w:color="CCCCCC" w:sz="6" w:space="0"/>
                    <w:right w:val="single" w:color="CCCCCC" w:sz="6" w:space="0"/>
                  </w:tcBorders>
                  <w:shd w:val="clear"/>
                  <w:vAlign w:val="center"/>
                </w:tcPr>
                <w:p w14:paraId="2730B1B9"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" w:type="dxa"/>
                  <w:vMerge w:val="continue"/>
                  <w:tcBorders>
                    <w:top w:val="single" w:color="CCCCCC" w:sz="6" w:space="0"/>
                    <w:left w:val="single" w:color="CCCCCC" w:sz="6" w:space="0"/>
                    <w:bottom w:val="single" w:color="CCCCCC" w:sz="6" w:space="0"/>
                    <w:right w:val="single" w:color="CCCCCC" w:sz="6" w:space="0"/>
                  </w:tcBorders>
                  <w:shd w:val="clear"/>
                  <w:vAlign w:val="center"/>
                </w:tcPr>
                <w:p w14:paraId="546EBB47"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" w:type="dxa"/>
                  <w:vMerge w:val="continue"/>
                  <w:tcBorders>
                    <w:top w:val="single" w:color="CCCCCC" w:sz="6" w:space="0"/>
                    <w:left w:val="single" w:color="CCCCCC" w:sz="6" w:space="0"/>
                    <w:bottom w:val="single" w:color="CCCCCC" w:sz="6" w:space="0"/>
                    <w:right w:val="single" w:color="CCCCCC" w:sz="6" w:space="0"/>
                  </w:tcBorders>
                  <w:shd w:val="clear"/>
                  <w:vAlign w:val="center"/>
                </w:tcPr>
                <w:p w14:paraId="5C6AB027"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" w:type="dxa"/>
                  <w:vMerge w:val="continue"/>
                  <w:tcBorders>
                    <w:top w:val="single" w:color="CCCCCC" w:sz="6" w:space="0"/>
                    <w:left w:val="single" w:color="CCCCCC" w:sz="6" w:space="0"/>
                    <w:bottom w:val="single" w:color="CCCCCC" w:sz="6" w:space="0"/>
                    <w:right w:val="single" w:color="CCCCCC" w:sz="6" w:space="0"/>
                  </w:tcBorders>
                  <w:shd w:val="clear"/>
                  <w:vAlign w:val="center"/>
                </w:tcPr>
                <w:p w14:paraId="2B868ABD"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" w:type="dxa"/>
                  <w:tcBorders>
                    <w:top w:val="single" w:color="CCCCCC" w:sz="6" w:space="0"/>
                    <w:left w:val="single" w:color="CCCCCC" w:sz="6" w:space="0"/>
                    <w:bottom w:val="single" w:color="CCCCCC" w:sz="6" w:space="0"/>
                    <w:right w:val="single" w:color="CCCCCC" w:sz="6" w:space="0"/>
                  </w:tcBorders>
                  <w:shd w:val="clear"/>
                  <w:vAlign w:val="center"/>
                </w:tcPr>
                <w:p w14:paraId="067A3020"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4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bdr w:val="none" w:color="auto" w:sz="0" w:space="0"/>
                    </w:rPr>
                    <w:t>结果维持</w:t>
                  </w:r>
                </w:p>
              </w:tc>
              <w:tc>
                <w:tcPr>
                  <w:tcW w:w="6" w:type="dxa"/>
                  <w:tcBorders>
                    <w:top w:val="single" w:color="CCCCCC" w:sz="6" w:space="0"/>
                    <w:left w:val="single" w:color="CCCCCC" w:sz="6" w:space="0"/>
                    <w:bottom w:val="single" w:color="CCCCCC" w:sz="6" w:space="0"/>
                    <w:right w:val="single" w:color="CCCCCC" w:sz="6" w:space="0"/>
                  </w:tcBorders>
                  <w:shd w:val="clear"/>
                  <w:vAlign w:val="center"/>
                </w:tcPr>
                <w:p w14:paraId="41239B07"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4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bdr w:val="none" w:color="auto" w:sz="0" w:space="0"/>
                    </w:rPr>
                    <w:t>结果纠正</w:t>
                  </w:r>
                </w:p>
              </w:tc>
              <w:tc>
                <w:tcPr>
                  <w:tcW w:w="6" w:type="dxa"/>
                  <w:tcBorders>
                    <w:top w:val="single" w:color="CCCCCC" w:sz="6" w:space="0"/>
                    <w:left w:val="single" w:color="CCCCCC" w:sz="6" w:space="0"/>
                    <w:bottom w:val="single" w:color="CCCCCC" w:sz="6" w:space="0"/>
                    <w:right w:val="single" w:color="CCCCCC" w:sz="6" w:space="0"/>
                  </w:tcBorders>
                  <w:shd w:val="clear"/>
                  <w:vAlign w:val="center"/>
                </w:tcPr>
                <w:p w14:paraId="7107793A"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4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bdr w:val="none" w:color="auto" w:sz="0" w:space="0"/>
                    </w:rPr>
                    <w:t>其他</w:t>
                  </w:r>
                </w:p>
                <w:p w14:paraId="4E9F085C"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4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bdr w:val="none" w:color="auto" w:sz="0" w:space="0"/>
                    </w:rPr>
                    <w:t>结果</w:t>
                  </w:r>
                </w:p>
              </w:tc>
              <w:tc>
                <w:tcPr>
                  <w:tcW w:w="6" w:type="dxa"/>
                  <w:tcBorders>
                    <w:top w:val="single" w:color="CCCCCC" w:sz="6" w:space="0"/>
                    <w:left w:val="single" w:color="CCCCCC" w:sz="6" w:space="0"/>
                    <w:bottom w:val="single" w:color="CCCCCC" w:sz="6" w:space="0"/>
                    <w:right w:val="single" w:color="CCCCCC" w:sz="6" w:space="0"/>
                  </w:tcBorders>
                  <w:shd w:val="clear"/>
                  <w:vAlign w:val="center"/>
                </w:tcPr>
                <w:p w14:paraId="145D1CA7"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4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bdr w:val="none" w:color="auto" w:sz="0" w:space="0"/>
                    </w:rPr>
                    <w:t>尚未审结</w:t>
                  </w:r>
                </w:p>
              </w:tc>
              <w:tc>
                <w:tcPr>
                  <w:tcW w:w="6" w:type="dxa"/>
                  <w:tcBorders>
                    <w:top w:val="single" w:color="CCCCCC" w:sz="6" w:space="0"/>
                    <w:left w:val="single" w:color="CCCCCC" w:sz="6" w:space="0"/>
                    <w:bottom w:val="single" w:color="CCCCCC" w:sz="6" w:space="0"/>
                    <w:right w:val="single" w:color="CCCCCC" w:sz="6" w:space="0"/>
                  </w:tcBorders>
                  <w:shd w:val="clear"/>
                  <w:vAlign w:val="center"/>
                </w:tcPr>
                <w:p w14:paraId="7A6A0741"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4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bdr w:val="none" w:color="auto" w:sz="0" w:space="0"/>
                    </w:rPr>
                    <w:t>总计</w:t>
                  </w:r>
                </w:p>
              </w:tc>
              <w:tc>
                <w:tcPr>
                  <w:tcW w:w="6" w:type="dxa"/>
                  <w:tcBorders>
                    <w:top w:val="single" w:color="CCCCCC" w:sz="6" w:space="0"/>
                    <w:left w:val="single" w:color="CCCCCC" w:sz="6" w:space="0"/>
                    <w:bottom w:val="single" w:color="CCCCCC" w:sz="6" w:space="0"/>
                    <w:right w:val="single" w:color="CCCCCC" w:sz="6" w:space="0"/>
                  </w:tcBorders>
                  <w:shd w:val="clear"/>
                  <w:vAlign w:val="center"/>
                </w:tcPr>
                <w:p w14:paraId="003F6056"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4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bdr w:val="none" w:color="auto" w:sz="0" w:space="0"/>
                    </w:rPr>
                    <w:t>结果维持</w:t>
                  </w:r>
                </w:p>
              </w:tc>
              <w:tc>
                <w:tcPr>
                  <w:tcW w:w="6" w:type="dxa"/>
                  <w:tcBorders>
                    <w:top w:val="single" w:color="CCCCCC" w:sz="6" w:space="0"/>
                    <w:left w:val="single" w:color="CCCCCC" w:sz="6" w:space="0"/>
                    <w:bottom w:val="single" w:color="CCCCCC" w:sz="6" w:space="0"/>
                    <w:right w:val="single" w:color="CCCCCC" w:sz="6" w:space="0"/>
                  </w:tcBorders>
                  <w:shd w:val="clear"/>
                  <w:vAlign w:val="center"/>
                </w:tcPr>
                <w:p w14:paraId="29A1A985"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4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bdr w:val="none" w:color="auto" w:sz="0" w:space="0"/>
                    </w:rPr>
                    <w:t>结果纠正</w:t>
                  </w:r>
                </w:p>
              </w:tc>
              <w:tc>
                <w:tcPr>
                  <w:tcW w:w="6" w:type="dxa"/>
                  <w:tcBorders>
                    <w:top w:val="single" w:color="CCCCCC" w:sz="6" w:space="0"/>
                    <w:left w:val="single" w:color="CCCCCC" w:sz="6" w:space="0"/>
                    <w:bottom w:val="single" w:color="CCCCCC" w:sz="6" w:space="0"/>
                    <w:right w:val="single" w:color="CCCCCC" w:sz="6" w:space="0"/>
                  </w:tcBorders>
                  <w:shd w:val="clear"/>
                  <w:vAlign w:val="center"/>
                </w:tcPr>
                <w:p w14:paraId="20285967"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4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bdr w:val="none" w:color="auto" w:sz="0" w:space="0"/>
                    </w:rPr>
                    <w:t>其他结果</w:t>
                  </w:r>
                </w:p>
              </w:tc>
              <w:tc>
                <w:tcPr>
                  <w:tcW w:w="6" w:type="dxa"/>
                  <w:tcBorders>
                    <w:top w:val="single" w:color="CCCCCC" w:sz="6" w:space="0"/>
                    <w:left w:val="single" w:color="CCCCCC" w:sz="6" w:space="0"/>
                    <w:bottom w:val="single" w:color="CCCCCC" w:sz="6" w:space="0"/>
                    <w:right w:val="single" w:color="CCCCCC" w:sz="6" w:space="0"/>
                  </w:tcBorders>
                  <w:shd w:val="clear"/>
                  <w:vAlign w:val="center"/>
                </w:tcPr>
                <w:p w14:paraId="04C89A5A"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4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bdr w:val="none" w:color="auto" w:sz="0" w:space="0"/>
                    </w:rPr>
                    <w:t>尚未审结</w:t>
                  </w:r>
                </w:p>
              </w:tc>
              <w:tc>
                <w:tcPr>
                  <w:tcW w:w="6" w:type="dxa"/>
                  <w:tcBorders>
                    <w:top w:val="single" w:color="CCCCCC" w:sz="6" w:space="0"/>
                    <w:left w:val="single" w:color="CCCCCC" w:sz="6" w:space="0"/>
                    <w:bottom w:val="single" w:color="CCCCCC" w:sz="6" w:space="0"/>
                    <w:right w:val="single" w:color="CCCCCC" w:sz="6" w:space="0"/>
                  </w:tcBorders>
                  <w:shd w:val="clear"/>
                  <w:vAlign w:val="center"/>
                </w:tcPr>
                <w:p w14:paraId="724DB69D"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42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bdr w:val="none" w:color="auto" w:sz="0" w:space="0"/>
                    </w:rPr>
                    <w:t>总计</w:t>
                  </w:r>
                </w:p>
              </w:tc>
            </w:tr>
            <w:tr w14:paraId="4AFEF4BD">
              <w:tblPrEx>
                <w:tblBorders>
                  <w:top w:val="single" w:color="CCCCCC" w:sz="6" w:space="0"/>
                  <w:left w:val="single" w:color="CCCCCC" w:sz="6" w:space="0"/>
                  <w:bottom w:val="single" w:color="CCCCCC" w:sz="6" w:space="0"/>
                  <w:right w:val="single" w:color="CCCCCC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" w:type="dxa"/>
                  <w:tcBorders>
                    <w:top w:val="single" w:color="CCCCCC" w:sz="6" w:space="0"/>
                    <w:left w:val="single" w:color="CCCCCC" w:sz="6" w:space="0"/>
                    <w:bottom w:val="single" w:color="CCCCCC" w:sz="6" w:space="0"/>
                    <w:right w:val="single" w:color="CCCCCC" w:sz="6" w:space="0"/>
                  </w:tcBorders>
                  <w:shd w:val="clear"/>
                  <w:vAlign w:val="center"/>
                </w:tcPr>
                <w:p w14:paraId="5F137044"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4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bdr w:val="none" w:color="auto" w:sz="0" w:space="0"/>
                    </w:rPr>
                    <w:t>0</w:t>
                  </w:r>
                </w:p>
              </w:tc>
              <w:tc>
                <w:tcPr>
                  <w:tcW w:w="6" w:type="dxa"/>
                  <w:tcBorders>
                    <w:top w:val="single" w:color="CCCCCC" w:sz="6" w:space="0"/>
                    <w:left w:val="single" w:color="CCCCCC" w:sz="6" w:space="0"/>
                    <w:bottom w:val="single" w:color="CCCCCC" w:sz="6" w:space="0"/>
                    <w:right w:val="single" w:color="CCCCCC" w:sz="6" w:space="0"/>
                  </w:tcBorders>
                  <w:shd w:val="clear"/>
                  <w:vAlign w:val="center"/>
                </w:tcPr>
                <w:p w14:paraId="41C3D563"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4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bdr w:val="none" w:color="auto" w:sz="0" w:space="0"/>
                    </w:rPr>
                    <w:t>0</w:t>
                  </w:r>
                </w:p>
              </w:tc>
              <w:tc>
                <w:tcPr>
                  <w:tcW w:w="6" w:type="dxa"/>
                  <w:tcBorders>
                    <w:top w:val="single" w:color="CCCCCC" w:sz="6" w:space="0"/>
                    <w:left w:val="single" w:color="CCCCCC" w:sz="6" w:space="0"/>
                    <w:bottom w:val="single" w:color="CCCCCC" w:sz="6" w:space="0"/>
                    <w:right w:val="single" w:color="CCCCCC" w:sz="6" w:space="0"/>
                  </w:tcBorders>
                  <w:shd w:val="clear"/>
                  <w:vAlign w:val="center"/>
                </w:tcPr>
                <w:p w14:paraId="7B16E474"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4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bdr w:val="none" w:color="auto" w:sz="0" w:space="0"/>
                    </w:rPr>
                    <w:t>0</w:t>
                  </w:r>
                </w:p>
              </w:tc>
              <w:tc>
                <w:tcPr>
                  <w:tcW w:w="6" w:type="dxa"/>
                  <w:tcBorders>
                    <w:top w:val="single" w:color="CCCCCC" w:sz="6" w:space="0"/>
                    <w:left w:val="single" w:color="CCCCCC" w:sz="6" w:space="0"/>
                    <w:bottom w:val="single" w:color="CCCCCC" w:sz="6" w:space="0"/>
                    <w:right w:val="single" w:color="CCCCCC" w:sz="6" w:space="0"/>
                  </w:tcBorders>
                  <w:shd w:val="clear"/>
                  <w:vAlign w:val="center"/>
                </w:tcPr>
                <w:p w14:paraId="76491C55"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4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bdr w:val="none" w:color="auto" w:sz="0" w:space="0"/>
                    </w:rPr>
                    <w:t>0</w:t>
                  </w:r>
                </w:p>
              </w:tc>
              <w:tc>
                <w:tcPr>
                  <w:tcW w:w="6" w:type="dxa"/>
                  <w:tcBorders>
                    <w:top w:val="single" w:color="CCCCCC" w:sz="6" w:space="0"/>
                    <w:left w:val="single" w:color="CCCCCC" w:sz="6" w:space="0"/>
                    <w:bottom w:val="single" w:color="CCCCCC" w:sz="6" w:space="0"/>
                    <w:right w:val="single" w:color="CCCCCC" w:sz="6" w:space="0"/>
                  </w:tcBorders>
                  <w:shd w:val="clear"/>
                  <w:vAlign w:val="center"/>
                </w:tcPr>
                <w:p w14:paraId="1ED39A9D"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4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bdr w:val="none" w:color="auto" w:sz="0" w:space="0"/>
                    </w:rPr>
                    <w:t>0</w:t>
                  </w:r>
                </w:p>
              </w:tc>
              <w:tc>
                <w:tcPr>
                  <w:tcW w:w="6" w:type="dxa"/>
                  <w:tcBorders>
                    <w:top w:val="single" w:color="CCCCCC" w:sz="6" w:space="0"/>
                    <w:left w:val="single" w:color="CCCCCC" w:sz="6" w:space="0"/>
                    <w:bottom w:val="single" w:color="CCCCCC" w:sz="6" w:space="0"/>
                    <w:right w:val="single" w:color="CCCCCC" w:sz="6" w:space="0"/>
                  </w:tcBorders>
                  <w:shd w:val="clear"/>
                  <w:vAlign w:val="center"/>
                </w:tcPr>
                <w:p w14:paraId="38B08C93"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4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bdr w:val="none" w:color="auto" w:sz="0" w:space="0"/>
                    </w:rPr>
                    <w:t>0</w:t>
                  </w:r>
                </w:p>
              </w:tc>
              <w:tc>
                <w:tcPr>
                  <w:tcW w:w="6" w:type="dxa"/>
                  <w:tcBorders>
                    <w:top w:val="single" w:color="CCCCCC" w:sz="6" w:space="0"/>
                    <w:left w:val="single" w:color="CCCCCC" w:sz="6" w:space="0"/>
                    <w:bottom w:val="single" w:color="CCCCCC" w:sz="6" w:space="0"/>
                    <w:right w:val="single" w:color="CCCCCC" w:sz="6" w:space="0"/>
                  </w:tcBorders>
                  <w:shd w:val="clear"/>
                  <w:vAlign w:val="center"/>
                </w:tcPr>
                <w:p w14:paraId="648EE52C"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4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bdr w:val="none" w:color="auto" w:sz="0" w:space="0"/>
                    </w:rPr>
                    <w:t>0</w:t>
                  </w:r>
                </w:p>
              </w:tc>
              <w:tc>
                <w:tcPr>
                  <w:tcW w:w="6" w:type="dxa"/>
                  <w:tcBorders>
                    <w:top w:val="single" w:color="CCCCCC" w:sz="6" w:space="0"/>
                    <w:left w:val="single" w:color="CCCCCC" w:sz="6" w:space="0"/>
                    <w:bottom w:val="single" w:color="CCCCCC" w:sz="6" w:space="0"/>
                    <w:right w:val="single" w:color="CCCCCC" w:sz="6" w:space="0"/>
                  </w:tcBorders>
                  <w:shd w:val="clear"/>
                  <w:vAlign w:val="center"/>
                </w:tcPr>
                <w:p w14:paraId="64616473"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4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bdr w:val="none" w:color="auto" w:sz="0" w:space="0"/>
                    </w:rPr>
                    <w:t>0</w:t>
                  </w:r>
                </w:p>
              </w:tc>
              <w:tc>
                <w:tcPr>
                  <w:tcW w:w="6" w:type="dxa"/>
                  <w:tcBorders>
                    <w:top w:val="single" w:color="CCCCCC" w:sz="6" w:space="0"/>
                    <w:left w:val="single" w:color="CCCCCC" w:sz="6" w:space="0"/>
                    <w:bottom w:val="single" w:color="CCCCCC" w:sz="6" w:space="0"/>
                    <w:right w:val="single" w:color="CCCCCC" w:sz="6" w:space="0"/>
                  </w:tcBorders>
                  <w:shd w:val="clear"/>
                  <w:vAlign w:val="center"/>
                </w:tcPr>
                <w:p w14:paraId="5ABBC814"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4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bdr w:val="none" w:color="auto" w:sz="0" w:space="0"/>
                    </w:rPr>
                    <w:t>0</w:t>
                  </w:r>
                </w:p>
              </w:tc>
              <w:tc>
                <w:tcPr>
                  <w:tcW w:w="6" w:type="dxa"/>
                  <w:tcBorders>
                    <w:top w:val="single" w:color="CCCCCC" w:sz="6" w:space="0"/>
                    <w:left w:val="single" w:color="CCCCCC" w:sz="6" w:space="0"/>
                    <w:bottom w:val="single" w:color="CCCCCC" w:sz="6" w:space="0"/>
                    <w:right w:val="single" w:color="CCCCCC" w:sz="6" w:space="0"/>
                  </w:tcBorders>
                  <w:shd w:val="clear"/>
                  <w:vAlign w:val="center"/>
                </w:tcPr>
                <w:p w14:paraId="1C21A0C0"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4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bdr w:val="none" w:color="auto" w:sz="0" w:space="0"/>
                    </w:rPr>
                    <w:t>0</w:t>
                  </w:r>
                </w:p>
              </w:tc>
              <w:tc>
                <w:tcPr>
                  <w:tcW w:w="6" w:type="dxa"/>
                  <w:tcBorders>
                    <w:top w:val="single" w:color="CCCCCC" w:sz="6" w:space="0"/>
                    <w:left w:val="single" w:color="CCCCCC" w:sz="6" w:space="0"/>
                    <w:bottom w:val="single" w:color="CCCCCC" w:sz="6" w:space="0"/>
                    <w:right w:val="single" w:color="CCCCCC" w:sz="6" w:space="0"/>
                  </w:tcBorders>
                  <w:shd w:val="clear"/>
                  <w:vAlign w:val="center"/>
                </w:tcPr>
                <w:p w14:paraId="1F3CF9BE"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4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bdr w:val="none" w:color="auto" w:sz="0" w:space="0"/>
                    </w:rPr>
                    <w:t>0</w:t>
                  </w:r>
                </w:p>
              </w:tc>
              <w:tc>
                <w:tcPr>
                  <w:tcW w:w="6" w:type="dxa"/>
                  <w:tcBorders>
                    <w:top w:val="single" w:color="CCCCCC" w:sz="6" w:space="0"/>
                    <w:left w:val="single" w:color="CCCCCC" w:sz="6" w:space="0"/>
                    <w:bottom w:val="single" w:color="CCCCCC" w:sz="6" w:space="0"/>
                    <w:right w:val="single" w:color="CCCCCC" w:sz="6" w:space="0"/>
                  </w:tcBorders>
                  <w:shd w:val="clear"/>
                  <w:vAlign w:val="center"/>
                </w:tcPr>
                <w:p w14:paraId="75180C5A"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4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bdr w:val="none" w:color="auto" w:sz="0" w:space="0"/>
                    </w:rPr>
                    <w:t>0</w:t>
                  </w:r>
                </w:p>
              </w:tc>
              <w:tc>
                <w:tcPr>
                  <w:tcW w:w="6" w:type="dxa"/>
                  <w:tcBorders>
                    <w:top w:val="single" w:color="CCCCCC" w:sz="6" w:space="0"/>
                    <w:left w:val="single" w:color="CCCCCC" w:sz="6" w:space="0"/>
                    <w:bottom w:val="single" w:color="CCCCCC" w:sz="6" w:space="0"/>
                    <w:right w:val="single" w:color="CCCCCC" w:sz="6" w:space="0"/>
                  </w:tcBorders>
                  <w:shd w:val="clear"/>
                  <w:vAlign w:val="center"/>
                </w:tcPr>
                <w:p w14:paraId="123DE589"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4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bdr w:val="none" w:color="auto" w:sz="0" w:space="0"/>
                    </w:rPr>
                    <w:t>0</w:t>
                  </w:r>
                </w:p>
              </w:tc>
              <w:tc>
                <w:tcPr>
                  <w:tcW w:w="6" w:type="dxa"/>
                  <w:tcBorders>
                    <w:top w:val="single" w:color="CCCCCC" w:sz="6" w:space="0"/>
                    <w:left w:val="single" w:color="CCCCCC" w:sz="6" w:space="0"/>
                    <w:bottom w:val="single" w:color="CCCCCC" w:sz="6" w:space="0"/>
                    <w:right w:val="single" w:color="CCCCCC" w:sz="6" w:space="0"/>
                  </w:tcBorders>
                  <w:shd w:val="clear"/>
                  <w:vAlign w:val="center"/>
                </w:tcPr>
                <w:p w14:paraId="1742F1CF"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4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bdr w:val="none" w:color="auto" w:sz="0" w:space="0"/>
                    </w:rPr>
                    <w:t>0</w:t>
                  </w:r>
                </w:p>
              </w:tc>
              <w:tc>
                <w:tcPr>
                  <w:tcW w:w="6" w:type="dxa"/>
                  <w:tcBorders>
                    <w:top w:val="single" w:color="CCCCCC" w:sz="6" w:space="0"/>
                    <w:left w:val="single" w:color="CCCCCC" w:sz="6" w:space="0"/>
                    <w:bottom w:val="single" w:color="CCCCCC" w:sz="6" w:space="0"/>
                    <w:right w:val="single" w:color="CCCCCC" w:sz="6" w:space="0"/>
                  </w:tcBorders>
                  <w:shd w:val="clear"/>
                  <w:vAlign w:val="center"/>
                </w:tcPr>
                <w:p w14:paraId="54AFBE7D"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4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bdr w:val="none" w:color="auto" w:sz="0" w:space="0"/>
                    </w:rPr>
                    <w:t>0</w:t>
                  </w:r>
                </w:p>
              </w:tc>
            </w:tr>
          </w:tbl>
          <w:p w14:paraId="399729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四、结转下年度继续办理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41C14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ED851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94D6F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0017F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B79DB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9C963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32C82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 w14:paraId="40A5F6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四、因政府信息公开申请提起行政复议、行政诉讼的情况</w:t>
      </w:r>
    </w:p>
    <w:p w14:paraId="51CAA5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tbl>
      <w:tblPr>
        <w:tblW w:w="0" w:type="dxa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1"/>
        <w:gridCol w:w="591"/>
        <w:gridCol w:w="591"/>
      </w:tblGrid>
      <w:tr w14:paraId="391D2435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0840D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行政复议</w:t>
            </w:r>
          </w:p>
        </w:tc>
        <w:tc>
          <w:tcPr>
            <w:tcW w:w="6" w:type="dxa"/>
            <w:gridSpan w:val="10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5EFCA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行政诉讼</w:t>
            </w:r>
          </w:p>
        </w:tc>
      </w:tr>
      <w:tr w14:paraId="6437367C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1340B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结果维持</w:t>
            </w:r>
          </w:p>
        </w:tc>
        <w:tc>
          <w:tcPr>
            <w:tcW w:w="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F6B2E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结果纠正</w:t>
            </w:r>
          </w:p>
        </w:tc>
        <w:tc>
          <w:tcPr>
            <w:tcW w:w="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C39C1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其他结果</w:t>
            </w:r>
          </w:p>
        </w:tc>
        <w:tc>
          <w:tcPr>
            <w:tcW w:w="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EBC52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尚未审结</w:t>
            </w:r>
          </w:p>
        </w:tc>
        <w:tc>
          <w:tcPr>
            <w:tcW w:w="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4C71C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总计</w:t>
            </w:r>
          </w:p>
        </w:tc>
        <w:tc>
          <w:tcPr>
            <w:tcW w:w="6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EE22F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未经复议直接起诉</w:t>
            </w:r>
          </w:p>
        </w:tc>
        <w:tc>
          <w:tcPr>
            <w:tcW w:w="6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0599B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复议后起诉</w:t>
            </w:r>
          </w:p>
        </w:tc>
      </w:tr>
      <w:tr w14:paraId="39AA7B5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E1C0F3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E9AD54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87A460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63556D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28C9F5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C05FD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结果维持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4D3D2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结果纠正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A96DE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其他结果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AD9EE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尚未审结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30F9A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总计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79903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结果维持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7CAE3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结果纠正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68FC0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其他结果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0C17D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尚未审结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F49F0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总计</w:t>
            </w:r>
          </w:p>
        </w:tc>
      </w:tr>
      <w:tr w14:paraId="7B6E6F46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E106B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27BC3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3D194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F311A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596DC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52505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06ABF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96CE8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05F7C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B18D0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7DD75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3D1C6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0F222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6B457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73C00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 w14:paraId="656122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五、政府信息公开工作存在的主要问题及改进情况 </w:t>
      </w:r>
    </w:p>
    <w:p w14:paraId="16FA2A4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2024年，沂源县民政局高度重视政务公开工作，取得了一定成效，但也存在一些问题。</w:t>
      </w:r>
    </w:p>
    <w:p w14:paraId="6927AF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（一）工作中存在的主要问题和困难</w:t>
      </w:r>
    </w:p>
    <w:p w14:paraId="07A59F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一是个别栏目信息发布更新不够及时，维护还不够到位。</w:t>
      </w:r>
    </w:p>
    <w:p w14:paraId="57DC75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二是政策解读的形式不够丰富，政策解读的效果不佳。</w:t>
      </w:r>
    </w:p>
    <w:p w14:paraId="7379AD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（二）具体解决办法和改进措施</w:t>
      </w:r>
    </w:p>
    <w:p w14:paraId="1BD967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一是健全信息报送机制，安排专人负责，确保全面、准确、及时、有效公开本机关相关政府信息。</w:t>
      </w:r>
    </w:p>
    <w:p w14:paraId="3398D5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二是以现场面对面等更加直观的方式开展政策解读活动，推进政策落地落实。</w:t>
      </w:r>
    </w:p>
    <w:p w14:paraId="1AAE32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六、其他需要报告的事项</w:t>
      </w:r>
    </w:p>
    <w:p w14:paraId="2EFF83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（一）依申请公开信息处理费收费情况</w:t>
      </w:r>
    </w:p>
    <w:p w14:paraId="504BE6C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根据《国务院办公厅关于印发〈政府信息公开信息处理费管理办法〉的通知》（国办函〔2020〕109号），规定本年度未收取任何政府信息公开信息处理费。</w:t>
      </w:r>
    </w:p>
    <w:p w14:paraId="08081B5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（二）建议提案办理总体情况</w:t>
      </w:r>
    </w:p>
    <w:p w14:paraId="50E5C2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2024年民政局共承办人大代表建议和政协委员提案9件。</w:t>
      </w:r>
    </w:p>
    <w:p w14:paraId="64EEDB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（三）创新实践情况</w:t>
      </w:r>
    </w:p>
    <w:p w14:paraId="08704A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制作动漫动画对低保等政策进行解读，更容易被群众理解知晓。</w:t>
      </w:r>
    </w:p>
    <w:p w14:paraId="7C2660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（四）落实上级方案情况</w:t>
      </w:r>
    </w:p>
    <w:p w14:paraId="7B37DD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民政局严格落实《2024年沂源县政务公开工作方案》《沂源县政府信息主动公开基本目录（2024版）》按时上交任务清单，并严格按照上级要求予以落实，本年度落实情况良好。</w:t>
      </w:r>
    </w:p>
    <w:p w14:paraId="2316E0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（五）民政局无需要报告的其他事项。</w:t>
      </w:r>
    </w:p>
    <w:p w14:paraId="309275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 w14:paraId="409A50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                                                     沂源县民政局</w:t>
      </w:r>
    </w:p>
    <w:p w14:paraId="5105E5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                                        2025年1月26日</w:t>
      </w:r>
    </w:p>
    <w:p w14:paraId="484CFB6F">
      <w:bookmarkStart w:id="0" w:name="_GoBack"/>
      <w:bookmarkEnd w:id="0"/>
    </w:p>
    <w:sectPr>
      <w:pgSz w:w="11906" w:h="16838"/>
      <w:pgMar w:top="1701" w:right="1474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24C612E8"/>
    <w:rsid w:val="034A6182"/>
    <w:rsid w:val="1DD22FF3"/>
    <w:rsid w:val="220A2D0A"/>
    <w:rsid w:val="24C612E8"/>
    <w:rsid w:val="2D09793F"/>
    <w:rsid w:val="32447DC0"/>
    <w:rsid w:val="3BB61CA0"/>
    <w:rsid w:val="43293229"/>
    <w:rsid w:val="45801271"/>
    <w:rsid w:val="47275F43"/>
    <w:rsid w:val="49B97DED"/>
    <w:rsid w:val="5125035B"/>
    <w:rsid w:val="514821D1"/>
    <w:rsid w:val="565B7715"/>
    <w:rsid w:val="567419BC"/>
    <w:rsid w:val="5B957713"/>
    <w:rsid w:val="5CC536CC"/>
    <w:rsid w:val="65456971"/>
    <w:rsid w:val="6AF2378E"/>
    <w:rsid w:val="72572D47"/>
    <w:rsid w:val="74D2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2729</Words>
  <Characters>2832</Characters>
  <Lines>0</Lines>
  <Paragraphs>0</Paragraphs>
  <TotalTime>22</TotalTime>
  <ScaleCrop>false</ScaleCrop>
  <LinksUpToDate>false</LinksUpToDate>
  <CharactersWithSpaces>2840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2025-01-08T02:14:00Z</dcterms:created>
  <dc:creator>Administrator</dc:creator>
  <cp:lastModifiedBy>Darren</cp:lastModifiedBy>
  <cp:lastPrinted>2025-01-16T01:14:00Z</cp:lastPrinted>
  <dcterms:modified xsi:type="dcterms:W3CDTF">2025-02-19T08:48:19Z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99BD7DE6A3904DE8A165EE692E315E74</vt:lpwstr>
  </property>
</Properties>
</file>