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u w:val="none"/>
          <w:lang w:eastAsia="zh-CN"/>
        </w:rPr>
        <w:t>政务公开培训情况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450" w:lineRule="atLeast"/>
        <w:ind w:right="0" w:firstLine="640" w:firstLineChars="200"/>
        <w:jc w:val="left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  <w:t>自开展政务公开工作培训以来，高度重视，加强人员培训和业务培训，组织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lang w:eastAsia="zh-CN"/>
        </w:rPr>
        <w:t>参加全县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  <w:t>政务公开工作会议，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lang w:eastAsia="zh-CN"/>
        </w:rPr>
        <w:t>详细学习政务公开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  <w:t>内容和要求，职能和义务，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lang w:eastAsia="zh-CN"/>
        </w:rPr>
        <w:t>考核要求等，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</w:rPr>
        <w:t>从而提高公开政府信息的法律意识和责任意识。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CB66FD"/>
    <w:rsid w:val="32A4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2020-12-11T06:26:00Z</dcterms:created>
  <dc:creator>Administrator</dc:creator>
  <cp:lastModifiedBy>刘文涛</cp:lastModifiedBy>
  <dcterms:modified xsi:type="dcterms:W3CDTF">2020-12-11T06:30:55Z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