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沂源县粮食事业服务中心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ascii="仿宋" w:hAnsi="仿宋" w:eastAsia="仿宋" w:cs="仿宋"/>
          <w:sz w:val="31"/>
          <w:szCs w:val="31"/>
        </w:rPr>
      </w:pPr>
      <w:r>
        <w:rPr>
          <w:rFonts w:hint="eastAsia" w:ascii="方正小标宋简体" w:hAnsi="方正小标宋简体" w:eastAsia="方正小标宋简体" w:cs="方正小标宋简体"/>
          <w:sz w:val="44"/>
          <w:szCs w:val="44"/>
        </w:rPr>
        <w:t>2019年政府信息公开工作年度报告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30" w:firstLineChars="200"/>
        <w:textAlignment w:val="auto"/>
      </w:pPr>
      <w:r>
        <w:rPr>
          <w:rFonts w:ascii="仿宋" w:hAnsi="仿宋" w:eastAsia="仿宋" w:cs="仿宋"/>
          <w:sz w:val="31"/>
          <w:szCs w:val="31"/>
        </w:rPr>
        <w:t xml:space="preserve"> 2019年，县粮食事业服务中心认真贯彻落实《政府信息公开条例》，按照2019年政府信息公开工作要点要求，积极做好政府信息公开工作。本报告由政府信息公开工作落实情况、主动公开政府信息情况、依申请公开政府信息办理情况、重点领域信息公开情况、政府信息公开的收费及减免情况、存在不足及改进措施等部分。现将2019年政府信息公开工作报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ascii="仿宋" w:hAnsi="仿宋" w:eastAsia="仿宋" w:cs="仿宋"/>
          <w:sz w:val="31"/>
          <w:szCs w:val="31"/>
        </w:rPr>
        <w:t>（一）主动公开内容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（一）机构职能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hint="eastAsia" w:ascii="仿宋" w:hAnsi="仿宋" w:eastAsia="仿宋" w:cs="仿宋"/>
          <w:sz w:val="31"/>
          <w:szCs w:val="31"/>
        </w:rPr>
      </w:pPr>
      <w:r>
        <w:rPr>
          <w:rFonts w:ascii="仿宋" w:hAnsi="仿宋" w:eastAsia="仿宋" w:cs="仿宋"/>
          <w:sz w:val="31"/>
          <w:szCs w:val="31"/>
        </w:rPr>
        <w:t> </w:t>
      </w:r>
      <w:r>
        <w:rPr>
          <w:rFonts w:hint="eastAsia" w:ascii="仿宋" w:hAnsi="仿宋" w:eastAsia="仿宋" w:cs="仿宋"/>
          <w:sz w:val="31"/>
          <w:szCs w:val="31"/>
        </w:rPr>
        <w:t>主要包括：机构设置及主要职能；机构领导及分工；内设机构设置及职能；下属单位设置。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lang w:eastAsia="zh-CN"/>
        </w:rPr>
        <w:t>（二）</w:t>
      </w:r>
      <w:r>
        <w:rPr>
          <w:rFonts w:hint="eastAsia" w:ascii="仿宋" w:hAnsi="仿宋" w:eastAsia="仿宋" w:cs="仿宋"/>
          <w:sz w:val="31"/>
          <w:szCs w:val="31"/>
        </w:rPr>
        <w:t>政策法规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主要包括：与本机关职责相关的地方性法规、规章；以本机关名义发布的或者本机关作为主办部门与其他部门联合发布的规范性文件。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ascii="仿宋" w:hAnsi="仿宋" w:eastAsia="仿宋" w:cs="仿宋"/>
          <w:sz w:val="31"/>
          <w:szCs w:val="31"/>
        </w:rPr>
        <w:t> </w:t>
      </w:r>
      <w:r>
        <w:rPr>
          <w:rFonts w:hint="eastAsia" w:ascii="仿宋" w:hAnsi="仿宋" w:eastAsia="仿宋" w:cs="仿宋"/>
          <w:sz w:val="31"/>
          <w:szCs w:val="31"/>
        </w:rPr>
        <w:t>（三）规划计划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主要包括：规划计划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（四）业务工作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  主要包括：业务工作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 （五）统计数据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ascii="仿宋" w:hAnsi="仿宋" w:eastAsia="仿宋" w:cs="仿宋"/>
          <w:sz w:val="31"/>
          <w:szCs w:val="31"/>
        </w:rPr>
        <w:t>    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（六）其他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ascii="仿宋" w:hAnsi="仿宋" w:eastAsia="仿宋" w:cs="仿宋"/>
          <w:sz w:val="31"/>
          <w:szCs w:val="31"/>
        </w:rPr>
        <w:t> </w:t>
      </w:r>
      <w:r>
        <w:rPr>
          <w:rFonts w:hint="eastAsia" w:ascii="仿宋" w:hAnsi="仿宋" w:eastAsia="仿宋" w:cs="仿宋"/>
          <w:sz w:val="31"/>
          <w:szCs w:val="31"/>
        </w:rPr>
        <w:t> 主要包括：本机关的重要会议、活动的主要情况；以及本机关职责范围内依法应当公开的其他信息。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 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按照县政府统一安排部署，今年着重加强了县政府门户网站信息保障、公开信息保密审核、当前政务公开工作主要任务、重点领域公开事项以及依申请公开的工作力度，对信息公开的目录、组织、流程、审核、方式等内容做出具体规定。学习《政府信息公开条例》以及县政府相关文件，不断提高对推行政府信息公开重要意义的认识，使得全系统干部职工进一步认识新形势下政府信息公开的重要性。</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政府信息公开平台、机构建设和人员情况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60" w:lineRule="exact"/>
        <w:ind w:right="0" w:rightChars="0"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办公室作为政府信息公开的承办机构，加强信息公开工作力度，做好公开信息审查、网络维护、信息报送、实时更新等工作。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 明确推行政府信息公开工作时限制度，按照“合法、全面、准确、及时”的要求公开政府信息，并对发生变化或失效的已公开政府信息及时更新。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（六）建议提案办理结果公开情况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left"/>
        <w:textAlignment w:val="auto"/>
        <w:rPr>
          <w:rFonts w:ascii="仿宋" w:hAnsi="仿宋" w:eastAsia="仿宋" w:cs="仿宋"/>
          <w:sz w:val="31"/>
          <w:szCs w:val="31"/>
        </w:rPr>
      </w:pPr>
      <w:r>
        <w:rPr>
          <w:rFonts w:hint="eastAsia" w:ascii="仿宋" w:hAnsi="仿宋" w:eastAsia="仿宋" w:cs="仿宋"/>
          <w:sz w:val="31"/>
          <w:szCs w:val="31"/>
        </w:rPr>
        <w:t> 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30" w:firstLineChars="200"/>
        <w:textAlignment w:val="auto"/>
      </w:pPr>
      <w:r>
        <w:rPr>
          <w:rFonts w:hint="eastAsia" w:ascii="仿宋" w:hAnsi="仿宋" w:eastAsia="仿宋" w:cs="仿宋"/>
          <w:sz w:val="31"/>
          <w:szCs w:val="31"/>
        </w:rPr>
        <w:t> </w:t>
      </w:r>
      <w:r>
        <w:rPr>
          <w:rFonts w:hint="eastAsia" w:ascii="黑体" w:hAnsi="宋体" w:eastAsia="黑体" w:cs="黑体"/>
          <w:sz w:val="31"/>
          <w:szCs w:val="31"/>
        </w:rPr>
        <w:t>二、主动公开政府信息情况</w:t>
      </w:r>
    </w:p>
    <w:p>
      <w:pPr>
        <w:pStyle w:val="2"/>
        <w:keepNext w:val="0"/>
        <w:keepLines w:val="0"/>
        <w:widowControl/>
        <w:suppressLineNumbers w:val="0"/>
      </w:pPr>
      <w:r>
        <w:rPr>
          <w:rFonts w:hint="eastAsia" w:ascii="仿宋" w:hAnsi="仿宋" w:eastAsia="仿宋" w:cs="仿宋"/>
          <w:sz w:val="31"/>
          <w:szCs w:val="31"/>
        </w:rPr>
        <w:t xml:space="preserve">    </w:t>
      </w:r>
    </w:p>
    <w:tbl>
      <w:tblPr>
        <w:tblW w:w="814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00"/>
        <w:gridCol w:w="1872"/>
        <w:gridCol w:w="1286"/>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8145" w:type="dxa"/>
            <w:gridSpan w:val="4"/>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信息内容</w:t>
            </w:r>
          </w:p>
        </w:tc>
        <w:tc>
          <w:tcPr>
            <w:tcW w:w="18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本年新</w:t>
            </w:r>
            <w:r>
              <w:rPr>
                <w:rFonts w:hint="eastAsia" w:ascii="宋体" w:hAnsi="宋体" w:eastAsia="宋体" w:cs="宋体"/>
                <w:spacing w:val="0"/>
                <w:sz w:val="19"/>
                <w:szCs w:val="19"/>
              </w:rPr>
              <w:br w:type="textWrapping"/>
            </w:r>
            <w:r>
              <w:rPr>
                <w:rFonts w:ascii="Segoe UI" w:hAnsi="Segoe UI" w:eastAsia="Segoe UI" w:cs="Segoe UI"/>
                <w:spacing w:val="0"/>
                <w:sz w:val="19"/>
                <w:szCs w:val="19"/>
              </w:rPr>
              <w:t>制作数量</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本年新</w:t>
            </w:r>
            <w:r>
              <w:rPr>
                <w:rFonts w:hint="eastAsia" w:ascii="宋体" w:hAnsi="宋体" w:eastAsia="宋体" w:cs="宋体"/>
                <w:spacing w:val="0"/>
                <w:sz w:val="19"/>
                <w:szCs w:val="19"/>
              </w:rPr>
              <w:br w:type="textWrapping"/>
            </w:r>
            <w:r>
              <w:rPr>
                <w:rFonts w:hint="default" w:ascii="Segoe UI" w:hAnsi="Segoe UI" w:eastAsia="Segoe UI" w:cs="Segoe UI"/>
                <w:spacing w:val="0"/>
                <w:sz w:val="19"/>
                <w:szCs w:val="19"/>
              </w:rPr>
              <w:t>公开数量</w:t>
            </w:r>
          </w:p>
        </w:tc>
        <w:tc>
          <w:tcPr>
            <w:tcW w:w="18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pacing w:val="0"/>
                <w:sz w:val="19"/>
                <w:szCs w:val="19"/>
                <w:bdr w:val="none" w:color="auto" w:sz="0" w:space="0"/>
              </w:rPr>
              <w:t>规章</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pacing w:val="0"/>
                <w:sz w:val="19"/>
                <w:szCs w:val="19"/>
                <w:bdr w:val="none" w:color="auto" w:sz="0" w:space="0"/>
              </w:rPr>
              <w:t>规范性文件</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145" w:type="dxa"/>
            <w:gridSpan w:val="4"/>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信息内容</w:t>
            </w:r>
          </w:p>
        </w:tc>
        <w:tc>
          <w:tcPr>
            <w:tcW w:w="18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上一年项目数量</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本年增/减</w:t>
            </w:r>
          </w:p>
        </w:tc>
        <w:tc>
          <w:tcPr>
            <w:tcW w:w="18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pacing w:val="0"/>
                <w:sz w:val="19"/>
                <w:szCs w:val="19"/>
                <w:bdr w:val="none" w:color="auto" w:sz="0" w:space="0"/>
              </w:rPr>
              <w:t>行政许可</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pacing w:val="0"/>
                <w:sz w:val="19"/>
                <w:szCs w:val="19"/>
                <w:bdr w:val="none" w:color="auto" w:sz="0" w:space="0"/>
              </w:rPr>
              <w:t>其他对外管理服务事项</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8145" w:type="dxa"/>
            <w:gridSpan w:val="4"/>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信息内容</w:t>
            </w:r>
          </w:p>
        </w:tc>
        <w:tc>
          <w:tcPr>
            <w:tcW w:w="18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上一年项目数量</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本年增/减</w:t>
            </w:r>
          </w:p>
        </w:tc>
        <w:tc>
          <w:tcPr>
            <w:tcW w:w="18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pacing w:val="0"/>
                <w:sz w:val="19"/>
                <w:szCs w:val="19"/>
                <w:bdr w:val="none" w:color="auto" w:sz="0" w:space="0"/>
              </w:rPr>
              <w:t>行政处罚</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pacing w:val="0"/>
                <w:sz w:val="19"/>
                <w:szCs w:val="19"/>
                <w:bdr w:val="none" w:color="auto" w:sz="0" w:space="0"/>
              </w:rPr>
              <w:t>行政强制</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145" w:type="dxa"/>
            <w:gridSpan w:val="4"/>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信息内容</w:t>
            </w:r>
          </w:p>
        </w:tc>
        <w:tc>
          <w:tcPr>
            <w:tcW w:w="18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pacing w:val="0"/>
                <w:sz w:val="19"/>
                <w:szCs w:val="19"/>
                <w:bdr w:val="none" w:color="auto" w:sz="0" w:space="0"/>
              </w:rPr>
              <w:t>上一年项目数量</w:t>
            </w:r>
          </w:p>
        </w:tc>
        <w:tc>
          <w:tcPr>
            <w:tcW w:w="3150" w:type="dxa"/>
            <w:gridSpan w:val="2"/>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pacing w:val="0"/>
                <w:sz w:val="19"/>
                <w:szCs w:val="19"/>
                <w:bdr w:val="none" w:color="auto" w:sz="0" w:space="0"/>
              </w:rPr>
              <w:t>行政事业性收费</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50" w:type="dxa"/>
            <w:gridSpan w:val="2"/>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15" w:type="dxa"/>
        </w:trPr>
        <w:tc>
          <w:tcPr>
            <w:tcW w:w="8145" w:type="dxa"/>
            <w:gridSpan w:val="4"/>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信息内容</w:t>
            </w:r>
          </w:p>
        </w:tc>
        <w:tc>
          <w:tcPr>
            <w:tcW w:w="18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采购项目数量</w:t>
            </w:r>
          </w:p>
        </w:tc>
        <w:tc>
          <w:tcPr>
            <w:tcW w:w="3150" w:type="dxa"/>
            <w:gridSpan w:val="2"/>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31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pacing w:val="0"/>
                <w:sz w:val="19"/>
                <w:szCs w:val="19"/>
                <w:bdr w:val="none" w:color="auto" w:sz="0" w:space="0"/>
              </w:rPr>
              <w:t>政府集中采购</w:t>
            </w:r>
          </w:p>
        </w:tc>
        <w:tc>
          <w:tcPr>
            <w:tcW w:w="18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3150" w:type="dxa"/>
            <w:gridSpan w:val="2"/>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Pr>
      <w:r>
        <w:t> </w:t>
      </w:r>
    </w:p>
    <w:tbl>
      <w:tblPr>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57"/>
        <w:gridCol w:w="879"/>
        <w:gridCol w:w="2001"/>
        <w:gridCol w:w="813"/>
        <w:gridCol w:w="757"/>
        <w:gridCol w:w="757"/>
        <w:gridCol w:w="813"/>
        <w:gridCol w:w="965"/>
        <w:gridCol w:w="716"/>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555" w:type="dxa"/>
            <w:gridSpan w:val="3"/>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（本列数据的勾稽关系为：第一项加第二项之和，等于第三项加第四项之和）</w:t>
            </w:r>
          </w:p>
        </w:tc>
        <w:tc>
          <w:tcPr>
            <w:tcW w:w="5520" w:type="dxa"/>
            <w:gridSpan w:val="7"/>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555" w:type="dxa"/>
            <w:gridSpan w:val="3"/>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1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自然人</w:t>
            </w:r>
          </w:p>
        </w:tc>
        <w:tc>
          <w:tcPr>
            <w:tcW w:w="4005" w:type="dxa"/>
            <w:gridSpan w:val="5"/>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法人或其他组织</w:t>
            </w:r>
          </w:p>
        </w:tc>
        <w:tc>
          <w:tcPr>
            <w:tcW w:w="69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555" w:type="dxa"/>
            <w:gridSpan w:val="3"/>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1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商业企业</w:t>
            </w:r>
          </w:p>
        </w:tc>
        <w:tc>
          <w:tcPr>
            <w:tcW w:w="75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科研机构</w:t>
            </w:r>
          </w:p>
        </w:tc>
        <w:tc>
          <w:tcPr>
            <w:tcW w:w="81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社会公益组织</w:t>
            </w:r>
          </w:p>
        </w:tc>
        <w:tc>
          <w:tcPr>
            <w:tcW w:w="97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法律服务机构</w:t>
            </w:r>
          </w:p>
        </w:tc>
        <w:tc>
          <w:tcPr>
            <w:tcW w:w="70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其他</w:t>
            </w:r>
          </w:p>
        </w:tc>
        <w:tc>
          <w:tcPr>
            <w:tcW w:w="69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555" w:type="dxa"/>
            <w:gridSpan w:val="3"/>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bdr w:val="none" w:color="auto" w:sz="0" w:space="0"/>
              </w:rPr>
              <w:t>一、本年新收政府信息公开申请数量</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555" w:type="dxa"/>
            <w:gridSpan w:val="3"/>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bdr w:val="none" w:color="auto" w:sz="0" w:space="0"/>
              </w:rPr>
              <w:t>二、上年结转政府信息公开申请数量</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三、本年度办理结果</w:t>
            </w:r>
          </w:p>
        </w:tc>
        <w:tc>
          <w:tcPr>
            <w:tcW w:w="2940" w:type="dxa"/>
            <w:gridSpan w:val="2"/>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（一）予以公开</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（二）部分公开（区分处理的，只计这一情形，不计其他情形）</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（三）不予公开</w:t>
            </w: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1.属于国家秘密</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2.其他法律行政法规禁止公开</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3.危及“三安全一稳定”</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4.保护第三方合法权益</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5.属于三类内部事务信息</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6.属于四类过程性信息</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7.属于行政执法案卷</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8.属于行政查询事项</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（四）无法提供</w:t>
            </w: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1.本机关不掌握相关政府信息</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2.没有现成信息需要另行制作</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3.补正后申请内容仍不明确</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（五）不予处理</w:t>
            </w: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1.信访举报投诉类申请</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2.重复申请</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3.要求提供公开出版物</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4.无正当理由大量反复申请</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5.要求行政机关确认或重新出具已获取信息</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（六）其他处理</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楷体" w:hAnsi="楷体" w:eastAsia="楷体" w:cs="楷体"/>
                <w:sz w:val="19"/>
                <w:szCs w:val="19"/>
                <w:bdr w:val="none" w:color="auto" w:sz="0" w:space="0"/>
              </w:rPr>
              <w:t>（七）总计</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555" w:type="dxa"/>
            <w:gridSpan w:val="3"/>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9"/>
                <w:szCs w:val="19"/>
                <w:bdr w:val="none" w:color="auto" w:sz="0" w:space="0"/>
              </w:rPr>
              <w:t>四、结转下年度继续办理</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8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9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Pr>
      <w:r>
        <w:rPr>
          <w:rFonts w:hint="eastAsia" w:ascii="仿宋" w:hAnsi="仿宋" w:eastAsia="仿宋" w:cs="仿宋"/>
          <w:sz w:val="31"/>
          <w:szCs w:val="31"/>
        </w:rPr>
        <w:t>　</w:t>
      </w:r>
      <w:r>
        <w:rPr>
          <w:rFonts w:hint="eastAsia" w:ascii="黑体" w:hAnsi="宋体" w:eastAsia="黑体" w:cs="黑体"/>
          <w:sz w:val="31"/>
          <w:szCs w:val="31"/>
        </w:rPr>
        <w:t>　三、收到和处理政府信息公开申请情况</w:t>
      </w:r>
    </w:p>
    <w:p>
      <w:pPr>
        <w:pStyle w:val="2"/>
        <w:keepNext w:val="0"/>
        <w:keepLines w:val="0"/>
        <w:widowControl/>
        <w:suppressLineNumbers w:val="0"/>
      </w:pPr>
      <w:r>
        <w:rPr>
          <w:rFonts w:hint="eastAsia" w:ascii="仿宋" w:hAnsi="仿宋" w:eastAsia="仿宋" w:cs="仿宋"/>
          <w:sz w:val="31"/>
          <w:szCs w:val="31"/>
        </w:rPr>
        <w:t>    无</w:t>
      </w:r>
    </w:p>
    <w:p>
      <w:pPr>
        <w:pStyle w:val="2"/>
        <w:keepNext w:val="0"/>
        <w:keepLines w:val="0"/>
        <w:widowControl/>
        <w:suppressLineNumbers w:val="0"/>
      </w:pPr>
      <w:r>
        <w:rPr>
          <w:rFonts w:hint="eastAsia" w:ascii="仿宋" w:hAnsi="仿宋" w:eastAsia="仿宋" w:cs="仿宋"/>
          <w:sz w:val="31"/>
          <w:szCs w:val="31"/>
        </w:rPr>
        <w:t xml:space="preserve">    </w:t>
      </w:r>
      <w:r>
        <w:rPr>
          <w:rFonts w:hint="eastAsia" w:ascii="黑体" w:hAnsi="宋体" w:eastAsia="黑体" w:cs="黑体"/>
          <w:sz w:val="31"/>
          <w:szCs w:val="31"/>
        </w:rPr>
        <w:t>四、被申请行政复议、提起行政诉讼情况</w:t>
      </w:r>
    </w:p>
    <w:p>
      <w:pPr>
        <w:pStyle w:val="2"/>
        <w:keepNext w:val="0"/>
        <w:keepLines w:val="0"/>
        <w:widowControl/>
        <w:suppressLineNumbers w:val="0"/>
      </w:pPr>
      <w:r>
        <w:rPr>
          <w:rFonts w:hint="eastAsia" w:ascii="仿宋" w:hAnsi="仿宋" w:eastAsia="仿宋" w:cs="仿宋"/>
          <w:sz w:val="31"/>
          <w:szCs w:val="31"/>
        </w:rPr>
        <w:t xml:space="preserve">    </w:t>
      </w:r>
    </w:p>
    <w:tbl>
      <w:tblPr>
        <w:tblW w:w="90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17"/>
        <w:gridCol w:w="602"/>
        <w:gridCol w:w="602"/>
        <w:gridCol w:w="602"/>
        <w:gridCol w:w="651"/>
        <w:gridCol w:w="566"/>
        <w:gridCol w:w="602"/>
        <w:gridCol w:w="602"/>
        <w:gridCol w:w="602"/>
        <w:gridCol w:w="602"/>
        <w:gridCol w:w="602"/>
        <w:gridCol w:w="602"/>
        <w:gridCol w:w="602"/>
        <w:gridCol w:w="603"/>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075" w:type="dxa"/>
            <w:gridSpan w:val="5"/>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行政复议</w:t>
            </w:r>
          </w:p>
        </w:tc>
        <w:tc>
          <w:tcPr>
            <w:tcW w:w="6000" w:type="dxa"/>
            <w:gridSpan w:val="10"/>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0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结果维持</w:t>
            </w:r>
          </w:p>
        </w:tc>
        <w:tc>
          <w:tcPr>
            <w:tcW w:w="60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结果纠正</w:t>
            </w:r>
          </w:p>
        </w:tc>
        <w:tc>
          <w:tcPr>
            <w:tcW w:w="60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其他结果</w:t>
            </w:r>
          </w:p>
        </w:tc>
        <w:tc>
          <w:tcPr>
            <w:tcW w:w="60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尚未审结</w:t>
            </w:r>
          </w:p>
        </w:tc>
        <w:tc>
          <w:tcPr>
            <w:tcW w:w="66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总计</w:t>
            </w:r>
          </w:p>
        </w:tc>
        <w:tc>
          <w:tcPr>
            <w:tcW w:w="2970" w:type="dxa"/>
            <w:gridSpan w:val="5"/>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未经复议直接起诉</w:t>
            </w:r>
          </w:p>
        </w:tc>
        <w:tc>
          <w:tcPr>
            <w:tcW w:w="3030" w:type="dxa"/>
            <w:gridSpan w:val="5"/>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0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结果维持</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结果纠正</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其他结果</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尚未审结</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总计</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结果维持</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结果纠正</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其他结果</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尚未审结</w:t>
            </w:r>
          </w:p>
        </w:tc>
        <w:tc>
          <w:tcPr>
            <w:tcW w:w="6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5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c>
          <w:tcPr>
            <w:tcW w:w="6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w:t>
            </w:r>
          </w:p>
        </w:tc>
      </w:tr>
    </w:tbl>
    <w:p>
      <w:pPr>
        <w:pStyle w:val="2"/>
        <w:keepNext w:val="0"/>
        <w:keepLines w:val="0"/>
        <w:widowControl/>
        <w:suppressLineNumbers w:val="0"/>
      </w:pPr>
      <w:r>
        <w:t> </w:t>
      </w:r>
    </w:p>
    <w:p>
      <w:pPr>
        <w:pStyle w:val="2"/>
        <w:keepNext w:val="0"/>
        <w:keepLines w:val="0"/>
        <w:widowControl/>
        <w:suppressLineNumbers w:val="0"/>
      </w:pPr>
      <w:r>
        <w:rPr>
          <w:rFonts w:hint="eastAsia" w:ascii="仿宋" w:hAnsi="仿宋" w:eastAsia="仿宋" w:cs="仿宋"/>
          <w:sz w:val="31"/>
          <w:szCs w:val="31"/>
        </w:rPr>
        <w:t xml:space="preserve">    </w:t>
      </w:r>
      <w:r>
        <w:rPr>
          <w:rFonts w:hint="eastAsia" w:ascii="黑体" w:hAnsi="宋体" w:eastAsia="黑体" w:cs="黑体"/>
          <w:sz w:val="31"/>
          <w:szCs w:val="31"/>
        </w:rPr>
        <w:t>五、存在的主要问题及改进情况</w:t>
      </w:r>
    </w:p>
    <w:p>
      <w:pPr>
        <w:pStyle w:val="2"/>
        <w:keepNext w:val="0"/>
        <w:keepLines w:val="0"/>
        <w:widowControl/>
        <w:suppressLineNumbers w:val="0"/>
      </w:pPr>
      <w:r>
        <w:rPr>
          <w:rFonts w:hint="eastAsia" w:ascii="仿宋" w:hAnsi="仿宋" w:eastAsia="仿宋" w:cs="仿宋"/>
          <w:sz w:val="31"/>
          <w:szCs w:val="31"/>
        </w:rPr>
        <w:t>　　政府信息公开工作虽然取得了一定的成绩，但也存在一些问题和不足，主要是信息公开的内容有待进一步完善，信息更新还不够及时。为做好我信息公开工作，在今后的信息公开工作中将进一步统一认识，努力规范工作流程，梳理所掌握的政府信息，及时提供，定期维护，确保政府信息公开工作能按照既定的工作流程有效运作，方便公众查询。同时，我们还将对政府信息公开目录进行补充完善，认真梳理，逐步扩大公开内容，保证公开信息的完整性和准确性。加大宣传力度，进一步强调公民参与意识，同时也对政府信息进行监督。</w:t>
      </w:r>
    </w:p>
    <w:p>
      <w:pPr>
        <w:pStyle w:val="2"/>
        <w:keepNext w:val="0"/>
        <w:keepLines w:val="0"/>
        <w:widowControl/>
        <w:suppressLineNumbers w:val="0"/>
      </w:pPr>
      <w:r>
        <w:rPr>
          <w:rFonts w:hint="eastAsia" w:ascii="仿宋" w:hAnsi="仿宋" w:eastAsia="仿宋" w:cs="仿宋"/>
          <w:sz w:val="31"/>
          <w:szCs w:val="31"/>
        </w:rPr>
        <w:t xml:space="preserve">    </w:t>
      </w:r>
      <w:r>
        <w:rPr>
          <w:rFonts w:hint="eastAsia" w:ascii="黑体" w:hAnsi="宋体" w:eastAsia="黑体" w:cs="黑体"/>
          <w:sz w:val="31"/>
          <w:szCs w:val="31"/>
        </w:rPr>
        <w:t>六、其他需要报告的事项</w:t>
      </w:r>
    </w:p>
    <w:p>
      <w:pPr>
        <w:pStyle w:val="2"/>
        <w:keepNext w:val="0"/>
        <w:keepLines w:val="0"/>
        <w:widowControl/>
        <w:suppressLineNumbers w:val="0"/>
      </w:pPr>
      <w:r>
        <w:rPr>
          <w:rFonts w:hint="eastAsia" w:ascii="仿宋" w:hAnsi="仿宋" w:eastAsia="仿宋" w:cs="仿宋"/>
          <w:sz w:val="31"/>
          <w:szCs w:val="31"/>
        </w:rPr>
        <w:t>    无</w:t>
      </w:r>
    </w:p>
    <w:p>
      <w:pPr>
        <w:pStyle w:val="2"/>
        <w:keepNext w:val="0"/>
        <w:keepLines w:val="0"/>
        <w:widowControl/>
        <w:suppressLineNumbers w:val="0"/>
      </w:pPr>
      <w:r>
        <w:rPr>
          <w:rFonts w:hint="eastAsia" w:ascii="仿宋" w:hAnsi="仿宋" w:eastAsia="仿宋" w:cs="仿宋"/>
          <w:sz w:val="31"/>
          <w:szCs w:val="31"/>
        </w:rPr>
        <w:fldChar w:fldCharType="begin"/>
      </w:r>
      <w:r>
        <w:rPr>
          <w:rFonts w:hint="eastAsia" w:ascii="仿宋" w:hAnsi="仿宋" w:eastAsia="仿宋" w:cs="仿宋"/>
          <w:sz w:val="31"/>
          <w:szCs w:val="31"/>
        </w:rPr>
        <w:instrText xml:space="preserve"> HYPERLINK "/resources/public/20201210/5fd153e33052c38d973ed723.doc" </w:instrText>
      </w:r>
      <w:r>
        <w:rPr>
          <w:rFonts w:hint="eastAsia" w:ascii="仿宋" w:hAnsi="仿宋" w:eastAsia="仿宋" w:cs="仿宋"/>
          <w:sz w:val="31"/>
          <w:szCs w:val="31"/>
        </w:rPr>
        <w:fldChar w:fldCharType="separate"/>
      </w:r>
      <w:r>
        <w:rPr>
          <w:rStyle w:val="5"/>
          <w:rFonts w:hint="eastAsia" w:ascii="仿宋" w:hAnsi="仿宋" w:eastAsia="仿宋" w:cs="仿宋"/>
          <w:sz w:val="31"/>
          <w:szCs w:val="31"/>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Style w:val="5"/>
          <w:rFonts w:hint="eastAsia" w:ascii="仿宋" w:hAnsi="仿宋" w:eastAsia="仿宋" w:cs="仿宋"/>
          <w:sz w:val="31"/>
          <w:szCs w:val="31"/>
        </w:rPr>
        <w:t>沂源县粮食事业服务中心2019年政府信息公开工作年度报告.doc</w:t>
      </w:r>
      <w:r>
        <w:rPr>
          <w:rFonts w:hint="eastAsia" w:ascii="仿宋" w:hAnsi="仿宋" w:eastAsia="仿宋" w:cs="仿宋"/>
          <w:sz w:val="31"/>
          <w:szCs w:val="31"/>
        </w:rPr>
        <w:fldChar w:fldCharType="end"/>
      </w:r>
    </w:p>
    <w:p>
      <w:pPr>
        <w:pStyle w:val="2"/>
        <w:keepNext w:val="0"/>
        <w:keepLines w:val="0"/>
        <w:widowControl/>
        <w:suppressLineNumbers w:val="0"/>
      </w:pPr>
      <w:r>
        <w:rPr>
          <w:rFonts w:hint="eastAsia" w:ascii="仿宋" w:hAnsi="仿宋" w:eastAsia="仿宋" w:cs="仿宋"/>
          <w:sz w:val="31"/>
          <w:szCs w:val="31"/>
        </w:rPr>
        <w:t> </w:t>
      </w:r>
    </w:p>
    <w:p>
      <w:pPr>
        <w:pStyle w:val="2"/>
        <w:keepNext w:val="0"/>
        <w:keepLines w:val="0"/>
        <w:widowControl/>
        <w:suppressLineNumbers w:val="0"/>
        <w:spacing w:line="525" w:lineRule="atLeast"/>
        <w:ind w:left="315" w:leftChars="150" w:firstLine="4970" w:firstLineChars="1578"/>
      </w:pPr>
      <w:r>
        <w:rPr>
          <w:rFonts w:hint="eastAsia" w:ascii="仿宋" w:hAnsi="仿宋" w:eastAsia="仿宋" w:cs="仿宋"/>
          <w:sz w:val="31"/>
          <w:szCs w:val="31"/>
        </w:rPr>
        <w:t xml:space="preserve">                                    </w:t>
      </w:r>
      <w:r>
        <w:rPr>
          <w:rFonts w:hint="eastAsia" w:ascii="仿宋" w:hAnsi="仿宋" w:eastAsia="仿宋" w:cs="仿宋"/>
          <w:sz w:val="31"/>
          <w:szCs w:val="31"/>
          <w:lang w:val="en-US" w:eastAsia="zh-CN"/>
        </w:rPr>
        <w:t xml:space="preserve">        </w:t>
      </w:r>
      <w:bookmarkStart w:id="0" w:name="_GoBack"/>
      <w:bookmarkEnd w:id="0"/>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沂源县粮食事业服务中心</w:t>
      </w:r>
    </w:p>
    <w:p>
      <w:pPr>
        <w:pStyle w:val="2"/>
        <w:keepNext w:val="0"/>
        <w:keepLines w:val="0"/>
        <w:widowControl/>
        <w:suppressLineNumbers w:val="0"/>
        <w:spacing w:line="525" w:lineRule="atLeast"/>
      </w:pPr>
      <w:r>
        <w:rPr>
          <w:rFonts w:hint="eastAsia" w:ascii="仿宋" w:hAnsi="仿宋" w:eastAsia="仿宋" w:cs="仿宋"/>
          <w:sz w:val="31"/>
          <w:szCs w:val="31"/>
        </w:rPr>
        <w:t>                                  2020年1月21日</w:t>
      </w:r>
    </w:p>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88C59"/>
    <w:multiLevelType w:val="singleLevel"/>
    <w:tmpl w:val="64688C5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6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2020-12-11T04:21:23Z</dcterms:created>
  <dc:creator>Administrator</dc:creator>
  <cp:lastModifiedBy>刘文涛</cp:lastModifiedBy>
  <dcterms:modified xsi:type="dcterms:W3CDTF">2020-12-11T04:25:47Z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