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pPr>
      <w:r>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t>沂源县历山街道办事处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pPr>
      <w:r>
        <w:rPr>
          <w:rStyle w:val="7"/>
          <w:rFonts w:hint="default" w:ascii="Times New Roman" w:hAnsi="Times New Roman" w:eastAsia="微软雅黑" w:cs="Times New Roman"/>
          <w:b w:val="0"/>
          <w:bCs w:val="0"/>
          <w:i w:val="0"/>
          <w:iCs w:val="0"/>
          <w:caps w:val="0"/>
          <w:color w:val="auto"/>
          <w:spacing w:val="0"/>
          <w:sz w:val="44"/>
          <w:szCs w:val="44"/>
          <w:shd w:val="clear" w:color="auto" w:fill="FFFFFF"/>
        </w:rPr>
        <w:t>202</w:t>
      </w:r>
      <w:r>
        <w:rPr>
          <w:rStyle w:val="7"/>
          <w:rFonts w:hint="default" w:ascii="Times New Roman" w:hAnsi="Times New Roman" w:eastAsia="微软雅黑" w:cs="Times New Roman"/>
          <w:b w:val="0"/>
          <w:bCs w:val="0"/>
          <w:i w:val="0"/>
          <w:iCs w:val="0"/>
          <w:caps w:val="0"/>
          <w:color w:val="auto"/>
          <w:spacing w:val="0"/>
          <w:sz w:val="44"/>
          <w:szCs w:val="44"/>
          <w:shd w:val="clear" w:color="auto" w:fill="FFFFFF"/>
          <w:lang w:val="en-US" w:eastAsia="zh-CN"/>
        </w:rPr>
        <w:t>3</w:t>
      </w:r>
      <w:r>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本年度报告中所列数据的统计期限自202</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3</w:t>
      </w:r>
      <w:r>
        <w:rPr>
          <w:rStyle w:val="7"/>
          <w:rFonts w:hint="default" w:ascii="Times New Roman" w:hAnsi="Times New Roman" w:eastAsia="仿宋_GB2312" w:cs="Times New Roman"/>
          <w:b w:val="0"/>
          <w:bCs w:val="0"/>
          <w:i w:val="0"/>
          <w:iCs w:val="0"/>
          <w:caps w:val="0"/>
          <w:color w:val="auto"/>
          <w:spacing w:val="0"/>
          <w:sz w:val="32"/>
          <w:szCs w:val="32"/>
          <w:shd w:val="clear" w:fill="FFFFFF"/>
        </w:rPr>
        <w:t>年1月1日起，至202</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3</w:t>
      </w:r>
      <w:r>
        <w:rPr>
          <w:rStyle w:val="7"/>
          <w:rFonts w:hint="default" w:ascii="Times New Roman" w:hAnsi="Times New Roman" w:eastAsia="仿宋_GB2312" w:cs="Times New Roman"/>
          <w:b w:val="0"/>
          <w:bCs w:val="0"/>
          <w:i w:val="0"/>
          <w:iCs w:val="0"/>
          <w:caps w:val="0"/>
          <w:color w:val="auto"/>
          <w:spacing w:val="0"/>
          <w:sz w:val="32"/>
          <w:szCs w:val="32"/>
          <w:shd w:val="clear" w:fill="FFFFFF"/>
        </w:rPr>
        <w:t>年12月31日止。如对报告内容有疑问，请与</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沂源县历山街道办事处</w:t>
      </w:r>
      <w:r>
        <w:rPr>
          <w:rStyle w:val="7"/>
          <w:rFonts w:hint="default" w:ascii="Times New Roman" w:hAnsi="Times New Roman" w:eastAsia="仿宋_GB2312" w:cs="Times New Roman"/>
          <w:b w:val="0"/>
          <w:bCs w:val="0"/>
          <w:i w:val="0"/>
          <w:iCs w:val="0"/>
          <w:caps w:val="0"/>
          <w:color w:val="auto"/>
          <w:spacing w:val="0"/>
          <w:sz w:val="32"/>
          <w:szCs w:val="32"/>
          <w:shd w:val="clear" w:fill="FFFFFF"/>
        </w:rPr>
        <w:t>联系（地址：</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山东省淄博市沂源县南麻老街17号</w:t>
      </w:r>
      <w:r>
        <w:rPr>
          <w:rStyle w:val="7"/>
          <w:rFonts w:hint="default" w:ascii="Times New Roman" w:hAnsi="Times New Roman" w:eastAsia="仿宋_GB2312" w:cs="Times New Roman"/>
          <w:b w:val="0"/>
          <w:bCs w:val="0"/>
          <w:i w:val="0"/>
          <w:iCs w:val="0"/>
          <w:caps w:val="0"/>
          <w:color w:val="auto"/>
          <w:spacing w:val="0"/>
          <w:sz w:val="32"/>
          <w:szCs w:val="32"/>
          <w:shd w:val="clear" w:fill="FFFFFF"/>
        </w:rPr>
        <w:t>；邮编：</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256100</w:t>
      </w:r>
      <w:r>
        <w:rPr>
          <w:rStyle w:val="7"/>
          <w:rFonts w:hint="default" w:ascii="Times New Roman" w:hAnsi="Times New Roman" w:eastAsia="仿宋_GB2312" w:cs="Times New Roman"/>
          <w:b w:val="0"/>
          <w:bCs w:val="0"/>
          <w:i w:val="0"/>
          <w:iCs w:val="0"/>
          <w:caps w:val="0"/>
          <w:color w:val="auto"/>
          <w:spacing w:val="0"/>
          <w:sz w:val="32"/>
          <w:szCs w:val="32"/>
          <w:shd w:val="clear" w:fill="FFFFFF"/>
        </w:rPr>
        <w:t>；电话：</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0533-3241072</w:t>
      </w:r>
      <w:r>
        <w:rPr>
          <w:rStyle w:val="7"/>
          <w:rFonts w:hint="default" w:ascii="Times New Roman" w:hAnsi="Times New Roman" w:eastAsia="仿宋_GB2312" w:cs="Times New Roman"/>
          <w:b w:val="0"/>
          <w:bCs w:val="0"/>
          <w:i w:val="0"/>
          <w:iCs w:val="0"/>
          <w:caps w:val="0"/>
          <w:color w:val="auto"/>
          <w:spacing w:val="0"/>
          <w:sz w:val="32"/>
          <w:szCs w:val="32"/>
          <w:shd w:val="clear" w:fill="FFFFFF"/>
        </w:rPr>
        <w:t>；</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电子</w:t>
      </w:r>
      <w:r>
        <w:rPr>
          <w:rStyle w:val="7"/>
          <w:rFonts w:hint="default" w:ascii="Times New Roman" w:hAnsi="Times New Roman" w:eastAsia="仿宋_GB2312" w:cs="Times New Roman"/>
          <w:b w:val="0"/>
          <w:bCs w:val="0"/>
          <w:i w:val="0"/>
          <w:iCs w:val="0"/>
          <w:caps w:val="0"/>
          <w:color w:val="auto"/>
          <w:spacing w:val="0"/>
          <w:sz w:val="32"/>
          <w:szCs w:val="32"/>
          <w:shd w:val="clear" w:fill="FFFFFF"/>
        </w:rPr>
        <w:t>邮箱：</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yyxlsjd@zb.shandong.cn</w:t>
      </w:r>
      <w:r>
        <w:rPr>
          <w:rStyle w:val="7"/>
          <w:rFonts w:hint="default" w:ascii="Times New Roman" w:hAnsi="Times New Roman" w:eastAsia="仿宋_GB2312" w:cs="Times New Roman"/>
          <w:b w:val="0"/>
          <w:bCs w:val="0"/>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黑体" w:cs="Times New Roman"/>
          <w:b w:val="0"/>
          <w:bCs w:val="0"/>
          <w:i w:val="0"/>
          <w:iCs w:val="0"/>
          <w:caps w:val="0"/>
          <w:color w:val="auto"/>
          <w:spacing w:val="0"/>
          <w:sz w:val="32"/>
          <w:szCs w:val="32"/>
          <w:shd w:val="clear" w:fill="FFFFFF"/>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202</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3</w:t>
      </w:r>
      <w:r>
        <w:rPr>
          <w:rStyle w:val="7"/>
          <w:rFonts w:hint="default" w:ascii="Times New Roman" w:hAnsi="Times New Roman" w:eastAsia="仿宋_GB2312" w:cs="Times New Roman"/>
          <w:b w:val="0"/>
          <w:bCs w:val="0"/>
          <w:i w:val="0"/>
          <w:iCs w:val="0"/>
          <w:caps w:val="0"/>
          <w:color w:val="auto"/>
          <w:spacing w:val="0"/>
          <w:sz w:val="32"/>
          <w:szCs w:val="32"/>
          <w:shd w:val="clear" w:fill="FFFFFF"/>
        </w:rPr>
        <w:t>年，</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严格按照《</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中华人民共和国政府信息公开</w:t>
      </w:r>
      <w:r>
        <w:rPr>
          <w:rStyle w:val="7"/>
          <w:rFonts w:hint="default" w:ascii="Times New Roman" w:hAnsi="Times New Roman" w:eastAsia="仿宋_GB2312" w:cs="Times New Roman"/>
          <w:b w:val="0"/>
          <w:bCs w:val="0"/>
          <w:i w:val="0"/>
          <w:iCs w:val="0"/>
          <w:caps w:val="0"/>
          <w:color w:val="auto"/>
          <w:spacing w:val="0"/>
          <w:sz w:val="32"/>
          <w:szCs w:val="32"/>
          <w:shd w:val="clear" w:fill="FFFFFF"/>
        </w:rPr>
        <w:t>条例》规定，</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加强政府信息管理、强化政府自身建设，</w:t>
      </w:r>
      <w:r>
        <w:rPr>
          <w:rStyle w:val="7"/>
          <w:rFonts w:hint="default" w:ascii="Times New Roman" w:hAnsi="Times New Roman" w:eastAsia="仿宋_GB2312" w:cs="Times New Roman"/>
          <w:b w:val="0"/>
          <w:bCs w:val="0"/>
          <w:i w:val="0"/>
          <w:iCs w:val="0"/>
          <w:caps w:val="0"/>
          <w:color w:val="auto"/>
          <w:spacing w:val="0"/>
          <w:sz w:val="32"/>
          <w:szCs w:val="32"/>
          <w:shd w:val="clear" w:fill="FFFFFF"/>
        </w:rPr>
        <w:t>深入贯彻落实政府信息公开工作，结合本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实际情况和群众需求，及时公布相关信息，保障群众的知情权。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Style w:val="7"/>
          <w:rFonts w:hint="default" w:ascii="Times New Roman" w:hAnsi="Times New Roman" w:eastAsia="楷体_GB2312" w:cs="Times New Roman"/>
          <w:b w:val="0"/>
          <w:bCs w:val="0"/>
          <w:i w:val="0"/>
          <w:iCs w:val="0"/>
          <w:caps w:val="0"/>
          <w:color w:val="auto"/>
          <w:spacing w:val="0"/>
          <w:sz w:val="32"/>
          <w:szCs w:val="32"/>
          <w:shd w:val="clear" w:fill="FFFFFF"/>
        </w:rPr>
      </w:pPr>
      <w:r>
        <w:rPr>
          <w:rStyle w:val="7"/>
          <w:rFonts w:hint="default" w:ascii="Times New Roman" w:hAnsi="Times New Roman" w:eastAsia="楷体_GB2312" w:cs="Times New Roman"/>
          <w:b w:val="0"/>
          <w:bCs w:val="0"/>
          <w:i w:val="0"/>
          <w:iCs w:val="0"/>
          <w:caps w:val="0"/>
          <w:color w:val="auto"/>
          <w:spacing w:val="0"/>
          <w:sz w:val="32"/>
          <w:szCs w:val="32"/>
          <w:shd w:val="clear" w:fill="FFFFFF"/>
        </w:rPr>
        <w:t>（一）主动公开内容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2023年，历山街道办事处</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认真贯彻落实《国务院办公厅政府信息与政务公开办公室关于做好规章集中公开并动态更新工作的通知》等制度性规定</w:t>
      </w:r>
      <w:r>
        <w:rPr>
          <w:rStyle w:val="7"/>
          <w:rFonts w:hint="default" w:ascii="Times New Roman" w:hAnsi="Times New Roman" w:eastAsia="仿宋_GB2312" w:cs="Times New Roman"/>
          <w:b w:val="0"/>
          <w:bCs w:val="0"/>
          <w:i w:val="0"/>
          <w:iCs w:val="0"/>
          <w:caps w:val="0"/>
          <w:color w:val="auto"/>
          <w:spacing w:val="0"/>
          <w:sz w:val="32"/>
          <w:szCs w:val="32"/>
          <w:shd w:val="clear" w:fill="FFFFFF"/>
        </w:rPr>
        <w:t>以及省、市、县关于政务公开的部署情况，积极公开相应内容。累计主动公开政府信息</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38</w:t>
      </w:r>
      <w:r>
        <w:rPr>
          <w:rStyle w:val="7"/>
          <w:rFonts w:hint="default" w:ascii="Times New Roman" w:hAnsi="Times New Roman" w:eastAsia="仿宋_GB2312" w:cs="Times New Roman"/>
          <w:b w:val="0"/>
          <w:bCs w:val="0"/>
          <w:i w:val="0"/>
          <w:iCs w:val="0"/>
          <w:caps w:val="0"/>
          <w:color w:val="auto"/>
          <w:spacing w:val="0"/>
          <w:sz w:val="32"/>
          <w:szCs w:val="32"/>
          <w:shd w:val="clear" w:fill="FFFFFF"/>
        </w:rPr>
        <w:t>条，其中，</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会议1</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6条；政府</w:t>
      </w:r>
      <w:r>
        <w:rPr>
          <w:rStyle w:val="7"/>
          <w:rFonts w:hint="default" w:ascii="Times New Roman" w:hAnsi="Times New Roman" w:eastAsia="仿宋_GB2312" w:cs="Times New Roman"/>
          <w:b w:val="0"/>
          <w:bCs w:val="0"/>
          <w:i w:val="0"/>
          <w:iCs w:val="0"/>
          <w:caps w:val="0"/>
          <w:color w:val="auto"/>
          <w:spacing w:val="0"/>
          <w:sz w:val="32"/>
          <w:szCs w:val="32"/>
          <w:shd w:val="clear" w:fill="FFFFFF"/>
        </w:rPr>
        <w:t>文件</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4条；</w:t>
      </w:r>
      <w:r>
        <w:rPr>
          <w:rStyle w:val="7"/>
          <w:rFonts w:hint="default" w:ascii="Times New Roman" w:hAnsi="Times New Roman" w:eastAsia="仿宋_GB2312" w:cs="Times New Roman"/>
          <w:b w:val="0"/>
          <w:bCs w:val="0"/>
          <w:i w:val="0"/>
          <w:iCs w:val="0"/>
          <w:caps w:val="0"/>
          <w:color w:val="auto"/>
          <w:spacing w:val="0"/>
          <w:sz w:val="32"/>
          <w:szCs w:val="32"/>
          <w:shd w:val="clear" w:fill="FFFFFF"/>
        </w:rPr>
        <w:t>街道政务公开培训2</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政府开放日活动2</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工作计划及完成情况2</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提案办理总体情况1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工作部门职能配置及内设机构1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提案答复1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街道公开指南1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行政指导目录1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街道主动公开基本目录1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领导小组1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分管负责人1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培训计划1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工作方案1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法治</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政府</w:t>
      </w:r>
      <w:r>
        <w:rPr>
          <w:rStyle w:val="7"/>
          <w:rFonts w:hint="default" w:ascii="Times New Roman" w:hAnsi="Times New Roman" w:eastAsia="仿宋_GB2312" w:cs="Times New Roman"/>
          <w:b w:val="0"/>
          <w:bCs w:val="0"/>
          <w:i w:val="0"/>
          <w:iCs w:val="0"/>
          <w:caps w:val="0"/>
          <w:color w:val="auto"/>
          <w:spacing w:val="0"/>
          <w:sz w:val="32"/>
          <w:szCs w:val="32"/>
          <w:shd w:val="clear" w:fill="FFFFFF"/>
        </w:rPr>
        <w:t>建设报告1</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街道公开年报1</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default" w:ascii="Times New Roman" w:hAnsi="Times New Roman" w:eastAsia="微软雅黑" w:cs="Times New Roman"/>
          <w:b w:val="0"/>
          <w:bCs w:val="0"/>
          <w:i w:val="0"/>
          <w:iCs w:val="0"/>
          <w:caps w:val="0"/>
          <w:color w:val="auto"/>
          <w:spacing w:val="0"/>
          <w:sz w:val="24"/>
          <w:szCs w:val="24"/>
        </w:rPr>
      </w:pPr>
      <w:r>
        <w:rPr>
          <w:rFonts w:hint="default" w:ascii="Times New Roman" w:hAnsi="Times New Roman" w:cs="Times New Roman"/>
        </w:rPr>
        <w:drawing>
          <wp:inline distT="0" distB="0" distL="114300" distR="114300">
            <wp:extent cx="5540375" cy="4520565"/>
            <wp:effectExtent l="4445" t="4445" r="17780" b="8890"/>
            <wp:docPr id="5" name="图表 2"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7"/>
          <w:rFonts w:hint="default" w:ascii="Times New Roman" w:hAnsi="Times New Roman" w:eastAsia="楷体_GB2312" w:cs="Times New Roman"/>
          <w:b w:val="0"/>
          <w:bCs w:val="0"/>
          <w:i w:val="0"/>
          <w:iCs w:val="0"/>
          <w:caps w:val="0"/>
          <w:color w:val="auto"/>
          <w:spacing w:val="0"/>
          <w:sz w:val="32"/>
          <w:szCs w:val="32"/>
          <w:shd w:val="clear" w:fill="FFFFFF"/>
        </w:rPr>
      </w:pPr>
      <w:r>
        <w:rPr>
          <w:rStyle w:val="7"/>
          <w:rFonts w:hint="default" w:ascii="Times New Roman" w:hAnsi="Times New Roman" w:eastAsia="楷体_GB2312" w:cs="Times New Roman"/>
          <w:b w:val="0"/>
          <w:bCs w:val="0"/>
          <w:i w:val="0"/>
          <w:iCs w:val="0"/>
          <w:caps w:val="0"/>
          <w:color w:val="auto"/>
          <w:spacing w:val="0"/>
          <w:sz w:val="32"/>
          <w:szCs w:val="32"/>
          <w:shd w:val="clear" w:fill="FFFFFF"/>
        </w:rPr>
        <w:t>（二）依申请公开情况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自</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202</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3</w:t>
      </w:r>
      <w:r>
        <w:rPr>
          <w:rStyle w:val="7"/>
          <w:rFonts w:hint="default" w:ascii="Times New Roman" w:hAnsi="Times New Roman" w:eastAsia="仿宋_GB2312" w:cs="Times New Roman"/>
          <w:b w:val="0"/>
          <w:bCs w:val="0"/>
          <w:i w:val="0"/>
          <w:iCs w:val="0"/>
          <w:caps w:val="0"/>
          <w:color w:val="auto"/>
          <w:spacing w:val="0"/>
          <w:sz w:val="32"/>
          <w:szCs w:val="32"/>
          <w:shd w:val="clear" w:fill="FFFFFF"/>
        </w:rPr>
        <w:t>年1月1日起至</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202</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3</w:t>
      </w:r>
      <w:r>
        <w:rPr>
          <w:rStyle w:val="7"/>
          <w:rFonts w:hint="default" w:ascii="Times New Roman" w:hAnsi="Times New Roman" w:eastAsia="仿宋_GB2312" w:cs="Times New Roman"/>
          <w:b w:val="0"/>
          <w:bCs w:val="0"/>
          <w:i w:val="0"/>
          <w:iCs w:val="0"/>
          <w:caps w:val="0"/>
          <w:color w:val="auto"/>
          <w:spacing w:val="0"/>
          <w:sz w:val="32"/>
          <w:szCs w:val="32"/>
          <w:shd w:val="clear" w:fill="FFFFFF"/>
        </w:rPr>
        <w:t>年12月31日止，</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历山街道共</w:t>
      </w:r>
      <w:r>
        <w:rPr>
          <w:rStyle w:val="7"/>
          <w:rFonts w:hint="default" w:ascii="Times New Roman" w:hAnsi="Times New Roman" w:eastAsia="仿宋_GB2312" w:cs="Times New Roman"/>
          <w:b w:val="0"/>
          <w:bCs w:val="0"/>
          <w:i w:val="0"/>
          <w:iCs w:val="0"/>
          <w:caps w:val="0"/>
          <w:color w:val="auto"/>
          <w:spacing w:val="0"/>
          <w:sz w:val="32"/>
          <w:szCs w:val="32"/>
          <w:shd w:val="clear" w:fill="FFFFFF"/>
        </w:rPr>
        <w:t>接到</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各种</w:t>
      </w:r>
      <w:r>
        <w:rPr>
          <w:rStyle w:val="7"/>
          <w:rFonts w:hint="default" w:ascii="Times New Roman" w:hAnsi="Times New Roman" w:eastAsia="仿宋_GB2312" w:cs="Times New Roman"/>
          <w:b w:val="0"/>
          <w:bCs w:val="0"/>
          <w:i w:val="0"/>
          <w:iCs w:val="0"/>
          <w:caps w:val="0"/>
          <w:color w:val="auto"/>
          <w:spacing w:val="0"/>
          <w:sz w:val="32"/>
          <w:szCs w:val="32"/>
          <w:shd w:val="clear" w:fill="FFFFFF"/>
        </w:rPr>
        <w:t>形式的依申请公开政府信息的申请</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3件，行政复议0件，行政诉讼0件，均在规定时限内进行答复，申请内容主要涉及征地拆迁、</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低保政策、街道内部工作制度等</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领域</w:t>
      </w:r>
      <w:r>
        <w:rPr>
          <w:rStyle w:val="7"/>
          <w:rFonts w:hint="default" w:ascii="Times New Roman" w:hAnsi="Times New Roman" w:eastAsia="仿宋_GB2312" w:cs="Times New Roman"/>
          <w:b w:val="0"/>
          <w:bCs w:val="0"/>
          <w:i w:val="0"/>
          <w:iCs w:val="0"/>
          <w:caps w:val="0"/>
          <w:color w:val="auto"/>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default" w:ascii="Times New Roman" w:hAnsi="Times New Roman" w:eastAsia="微软雅黑" w:cs="Times New Roman"/>
          <w:b w:val="0"/>
          <w:bCs w:val="0"/>
          <w:i w:val="0"/>
          <w:iCs w:val="0"/>
          <w:caps w:val="0"/>
          <w:color w:val="auto"/>
          <w:spacing w:val="0"/>
          <w:sz w:val="24"/>
          <w:szCs w:val="24"/>
        </w:rPr>
      </w:pPr>
      <w:r>
        <w:rPr>
          <w:rFonts w:hint="default" w:ascii="Times New Roman" w:hAnsi="Times New Roman" w:cs="Times New Roman"/>
        </w:rPr>
        <w:drawing>
          <wp:inline distT="0" distB="0" distL="114300" distR="114300">
            <wp:extent cx="5570855" cy="3581400"/>
            <wp:effectExtent l="4445" t="4445" r="635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b w:val="0"/>
          <w:bCs w:val="0"/>
          <w:i w:val="0"/>
          <w:iCs w:val="0"/>
          <w:caps w:val="0"/>
          <w:color w:val="auto"/>
          <w:spacing w:val="0"/>
          <w:sz w:val="24"/>
          <w:szCs w:val="24"/>
        </w:rPr>
      </w:pPr>
      <w:r>
        <w:rPr>
          <w:rStyle w:val="7"/>
          <w:rFonts w:hint="default" w:ascii="Times New Roman" w:hAnsi="Times New Roman" w:eastAsia="楷体_GB2312" w:cs="Times New Roman"/>
          <w:b w:val="0"/>
          <w:bCs w:val="0"/>
          <w:i w:val="0"/>
          <w:iCs w:val="0"/>
          <w:caps w:val="0"/>
          <w:color w:val="auto"/>
          <w:spacing w:val="0"/>
          <w:sz w:val="32"/>
          <w:szCs w:val="32"/>
          <w:shd w:val="clear" w:fill="FFFFFF"/>
        </w:rPr>
        <w:t>（三）政府信息管理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2023年，本街道严格按照《中华人民共和国政府信息公开条例》有关要求，严格遵循政府信息公开基本原则开展信息公开标准化规范化工作。积极做好政务信息日常工作，及时在政务公开网站各个栏目下发布最新信息。切实履行信息公开审查制度，特别是涉及党和国家领导人及其重要论述，务求做到表述规范准确，坚决杜绝严重表述错误，把好政府信息公开的质量关。严格落实政府信息公开审批制度、保密审查制度，确保公开内容真实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7"/>
          <w:rFonts w:hint="default" w:ascii="Times New Roman" w:hAnsi="Times New Roman" w:eastAsia="楷体_GB2312" w:cs="Times New Roman"/>
          <w:b w:val="0"/>
          <w:bCs w:val="0"/>
          <w:i w:val="0"/>
          <w:iCs w:val="0"/>
          <w:caps w:val="0"/>
          <w:color w:val="auto"/>
          <w:spacing w:val="0"/>
          <w:sz w:val="32"/>
          <w:szCs w:val="32"/>
          <w:shd w:val="clear" w:fill="FFFFFF"/>
        </w:rPr>
      </w:pPr>
      <w:r>
        <w:rPr>
          <w:rStyle w:val="7"/>
          <w:rFonts w:hint="default" w:ascii="Times New Roman" w:hAnsi="Times New Roman" w:eastAsia="楷体_GB2312" w:cs="Times New Roman"/>
          <w:b w:val="0"/>
          <w:bCs w:val="0"/>
          <w:i w:val="0"/>
          <w:iCs w:val="0"/>
          <w:caps w:val="0"/>
          <w:color w:val="auto"/>
          <w:spacing w:val="0"/>
          <w:sz w:val="32"/>
          <w:szCs w:val="32"/>
          <w:shd w:val="clear" w:fill="FFFFFF"/>
        </w:rPr>
        <w:t>（四）政府信息公开平台建设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坚持政府网站日常巡检与季度检查相结合的监测机制，紧盯“亚运会”以及国庆节等重要敏感节点，加强值班值守，有力维护了信息公开平台安全。信息公开主要平台有</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沂源县</w:t>
      </w:r>
      <w:r>
        <w:rPr>
          <w:rStyle w:val="7"/>
          <w:rFonts w:hint="default" w:ascii="Times New Roman" w:hAnsi="Times New Roman" w:eastAsia="仿宋_GB2312" w:cs="Times New Roman"/>
          <w:b w:val="0"/>
          <w:bCs w:val="0"/>
          <w:i w:val="0"/>
          <w:iCs w:val="0"/>
          <w:caps w:val="0"/>
          <w:color w:val="auto"/>
          <w:spacing w:val="0"/>
          <w:sz w:val="32"/>
          <w:szCs w:val="32"/>
          <w:shd w:val="clear" w:fill="FFFFFF"/>
        </w:rPr>
        <w:t>人民政府网站-</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历山街道办事处</w:t>
      </w:r>
      <w:r>
        <w:rPr>
          <w:rStyle w:val="7"/>
          <w:rFonts w:hint="default" w:ascii="Times New Roman" w:hAnsi="Times New Roman" w:eastAsia="仿宋_GB2312" w:cs="Times New Roman"/>
          <w:b w:val="0"/>
          <w:bCs w:val="0"/>
          <w:i w:val="0"/>
          <w:iCs w:val="0"/>
          <w:caps w:val="0"/>
          <w:color w:val="auto"/>
          <w:spacing w:val="0"/>
          <w:sz w:val="32"/>
          <w:szCs w:val="32"/>
          <w:shd w:val="clear" w:fill="FFFFFF"/>
        </w:rPr>
        <w:t>、</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今日历山公众号</w:t>
      </w:r>
      <w:r>
        <w:rPr>
          <w:rStyle w:val="7"/>
          <w:rFonts w:hint="default" w:ascii="Times New Roman" w:hAnsi="Times New Roman" w:eastAsia="仿宋_GB2312" w:cs="Times New Roman"/>
          <w:b w:val="0"/>
          <w:bCs w:val="0"/>
          <w:i w:val="0"/>
          <w:iCs w:val="0"/>
          <w:caps w:val="0"/>
          <w:color w:val="auto"/>
          <w:spacing w:val="0"/>
          <w:sz w:val="32"/>
          <w:szCs w:val="32"/>
          <w:shd w:val="clear" w:fill="FFFFFF"/>
        </w:rPr>
        <w:t>。根据《中华人民共和国政府信息公开条例》中对政务公开的内容规定，做好街道信息公开网站的维护，日常信息的监管，提高公开的信息质量。及时整改网站发现的问题，为群众提供高效服务。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jc w:val="center"/>
        <w:textAlignment w:val="auto"/>
        <w:rPr>
          <w:rFonts w:hint="default" w:ascii="Times New Roman" w:hAnsi="Times New Roman" w:eastAsia="仿宋_GB2312" w:cs="Times New Roman"/>
          <w:b w:val="0"/>
          <w:bCs w:val="0"/>
          <w:i w:val="0"/>
          <w:iCs w:val="0"/>
          <w:caps w:val="0"/>
          <w:color w:val="auto"/>
          <w:spacing w:val="0"/>
          <w:sz w:val="24"/>
          <w:szCs w:val="24"/>
          <w:lang w:eastAsia="zh-CN"/>
        </w:rPr>
      </w:pPr>
      <w:r>
        <w:rPr>
          <w:rFonts w:hint="default" w:ascii="Times New Roman" w:hAnsi="Times New Roman" w:eastAsia="仿宋_GB2312" w:cs="Times New Roman"/>
          <w:b w:val="0"/>
          <w:bCs w:val="0"/>
          <w:i w:val="0"/>
          <w:iCs w:val="0"/>
          <w:caps w:val="0"/>
          <w:color w:val="auto"/>
          <w:spacing w:val="0"/>
          <w:sz w:val="24"/>
          <w:szCs w:val="24"/>
          <w:lang w:eastAsia="zh-CN"/>
        </w:rPr>
        <w:drawing>
          <wp:inline distT="0" distB="0" distL="114300" distR="114300">
            <wp:extent cx="2670810" cy="5195570"/>
            <wp:effectExtent l="0" t="0" r="15240" b="5080"/>
            <wp:docPr id="3" name="图片 3" descr="b159d85940df3f004737e7a775846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159d85940df3f004737e7a775846a4"/>
                    <pic:cNvPicPr>
                      <a:picLocks noChangeAspect="1"/>
                    </pic:cNvPicPr>
                  </pic:nvPicPr>
                  <pic:blipFill>
                    <a:blip r:embed="rId6"/>
                    <a:srcRect t="8470"/>
                    <a:stretch>
                      <a:fillRect/>
                    </a:stretch>
                  </pic:blipFill>
                  <pic:spPr>
                    <a:xfrm>
                      <a:off x="0" y="0"/>
                      <a:ext cx="2670810" cy="5195570"/>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楷体_GB2312" w:cs="Times New Roman"/>
          <w:b w:val="0"/>
          <w:bCs w:val="0"/>
          <w:i w:val="0"/>
          <w:iCs w:val="0"/>
          <w:caps w:val="0"/>
          <w:color w:val="auto"/>
          <w:spacing w:val="0"/>
          <w:sz w:val="24"/>
          <w:szCs w:val="24"/>
        </w:rPr>
      </w:pPr>
      <w:r>
        <w:rPr>
          <w:rStyle w:val="7"/>
          <w:rFonts w:hint="default" w:ascii="Times New Roman" w:hAnsi="Times New Roman" w:eastAsia="楷体_GB2312" w:cs="Times New Roman"/>
          <w:b w:val="0"/>
          <w:bCs w:val="0"/>
          <w:i w:val="0"/>
          <w:iCs w:val="0"/>
          <w:caps w:val="0"/>
          <w:color w:val="auto"/>
          <w:spacing w:val="0"/>
          <w:sz w:val="32"/>
          <w:szCs w:val="32"/>
          <w:shd w:val="clear" w:fill="FFFFFF"/>
        </w:rPr>
        <w:t>（五）监督保障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按照全</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县</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政务信息公开工作考核办法，压实责任，明确分工，把推行政务信息公开工作作为落实党风廉政建设责任制、加强民主监督的一项重要工作来抓。定期做好自查整改，形成常态化检查机制。结合街道综合考核工作，加强对政务信息公开工作</w:t>
      </w:r>
      <w:bookmarkStart w:id="0" w:name="_GoBack"/>
      <w:bookmarkEnd w:id="0"/>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的检查和指导，分管领导定期对信息公开工作进行总结、评议。2023年</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历山</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街道未发生政务公开责任追究情况。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Style w:val="7"/>
          <w:rFonts w:hint="default" w:ascii="Times New Roman" w:hAnsi="Times New Roman" w:eastAsia="黑体" w:cs="Times New Roman"/>
          <w:b w:val="0"/>
          <w:bCs w:val="0"/>
          <w:i w:val="0"/>
          <w:iCs w:val="0"/>
          <w:caps w:val="0"/>
          <w:color w:val="auto"/>
          <w:spacing w:val="0"/>
          <w:sz w:val="32"/>
          <w:szCs w:val="32"/>
        </w:rPr>
      </w:pPr>
      <w:r>
        <w:rPr>
          <w:rStyle w:val="7"/>
          <w:rFonts w:hint="eastAsia" w:ascii="Times New Roman" w:hAnsi="Times New Roman" w:eastAsia="黑体" w:cs="Times New Roman"/>
          <w:b w:val="0"/>
          <w:bCs w:val="0"/>
          <w:i w:val="0"/>
          <w:iCs w:val="0"/>
          <w:caps w:val="0"/>
          <w:color w:val="auto"/>
          <w:spacing w:val="0"/>
          <w:sz w:val="32"/>
          <w:szCs w:val="32"/>
          <w:lang w:val="en-US" w:eastAsia="zh-CN"/>
        </w:rPr>
        <w:t>二、</w:t>
      </w:r>
      <w:r>
        <w:rPr>
          <w:rStyle w:val="7"/>
          <w:rFonts w:hint="default" w:ascii="Times New Roman" w:hAnsi="Times New Roman" w:eastAsia="黑体" w:cs="Times New Roman"/>
          <w:b w:val="0"/>
          <w:bCs w:val="0"/>
          <w:i w:val="0"/>
          <w:iCs w:val="0"/>
          <w:caps w:val="0"/>
          <w:color w:val="auto"/>
          <w:spacing w:val="0"/>
          <w:sz w:val="32"/>
          <w:szCs w:val="32"/>
        </w:rPr>
        <w:t>主动公开政府信息情况</w:t>
      </w:r>
    </w:p>
    <w:tbl>
      <w:tblPr>
        <w:tblStyle w:val="5"/>
        <w:tblW w:w="8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1"/>
        <w:gridCol w:w="1968"/>
        <w:gridCol w:w="201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3" w:hRule="atLeast"/>
        </w:trPr>
        <w:tc>
          <w:tcPr>
            <w:tcW w:w="88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21"/>
                <w:szCs w:val="21"/>
              </w:rPr>
              <w:t>第二十条 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信息内容</w:t>
            </w:r>
          </w:p>
        </w:tc>
        <w:tc>
          <w:tcPr>
            <w:tcW w:w="1968" w:type="dxa"/>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本年制发件数</w:t>
            </w:r>
          </w:p>
        </w:tc>
        <w:tc>
          <w:tcPr>
            <w:tcW w:w="2017" w:type="dxa"/>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本年废止件数</w:t>
            </w:r>
          </w:p>
        </w:tc>
        <w:tc>
          <w:tcPr>
            <w:tcW w:w="2134" w:type="dxa"/>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规章</w:t>
            </w:r>
          </w:p>
        </w:tc>
        <w:tc>
          <w:tcPr>
            <w:tcW w:w="1968"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c>
          <w:tcPr>
            <w:tcW w:w="2017"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c>
          <w:tcPr>
            <w:tcW w:w="2134"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行政规范性文件</w:t>
            </w:r>
          </w:p>
        </w:tc>
        <w:tc>
          <w:tcPr>
            <w:tcW w:w="1968"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b w:val="0"/>
                <w:bCs w:val="0"/>
                <w:color w:val="auto"/>
                <w:sz w:val="24"/>
                <w:szCs w:val="24"/>
                <w:lang w:eastAsia="zh-CN"/>
              </w:rPr>
            </w:pPr>
            <w:r>
              <w:rPr>
                <w:rStyle w:val="7"/>
                <w:rFonts w:hint="default" w:ascii="Times New Roman" w:hAnsi="Times New Roman" w:eastAsia="宋体" w:cs="Times New Roman"/>
                <w:b w:val="0"/>
                <w:bCs w:val="0"/>
                <w:i w:val="0"/>
                <w:iCs w:val="0"/>
                <w:caps w:val="0"/>
                <w:color w:val="auto"/>
                <w:spacing w:val="0"/>
                <w:sz w:val="21"/>
                <w:szCs w:val="21"/>
                <w:lang w:val="en-US" w:eastAsia="zh-CN"/>
              </w:rPr>
              <w:t>0</w:t>
            </w:r>
          </w:p>
        </w:tc>
        <w:tc>
          <w:tcPr>
            <w:tcW w:w="2017"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0</w:t>
            </w:r>
          </w:p>
        </w:tc>
        <w:tc>
          <w:tcPr>
            <w:tcW w:w="2134"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8800" w:type="dxa"/>
            <w:gridSpan w:val="4"/>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21"/>
                <w:szCs w:val="21"/>
              </w:rPr>
              <w:t>第二十条 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信息内容</w:t>
            </w:r>
          </w:p>
        </w:tc>
        <w:tc>
          <w:tcPr>
            <w:tcW w:w="6119" w:type="dxa"/>
            <w:gridSpan w:val="3"/>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行政许可</w:t>
            </w:r>
          </w:p>
        </w:tc>
        <w:tc>
          <w:tcPr>
            <w:tcW w:w="6119" w:type="dxa"/>
            <w:gridSpan w:val="3"/>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8800" w:type="dxa"/>
            <w:gridSpan w:val="4"/>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21"/>
                <w:szCs w:val="21"/>
              </w:rPr>
              <w:t>第二十条 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信息内容</w:t>
            </w:r>
          </w:p>
        </w:tc>
        <w:tc>
          <w:tcPr>
            <w:tcW w:w="6119" w:type="dxa"/>
            <w:gridSpan w:val="3"/>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行政处罚</w:t>
            </w:r>
          </w:p>
        </w:tc>
        <w:tc>
          <w:tcPr>
            <w:tcW w:w="6119" w:type="dxa"/>
            <w:gridSpan w:val="3"/>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行政强制</w:t>
            </w:r>
          </w:p>
        </w:tc>
        <w:tc>
          <w:tcPr>
            <w:tcW w:w="6119" w:type="dxa"/>
            <w:gridSpan w:val="3"/>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8800" w:type="dxa"/>
            <w:gridSpan w:val="4"/>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21"/>
                <w:szCs w:val="21"/>
              </w:rPr>
              <w:t>第二十条 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信息内容</w:t>
            </w:r>
          </w:p>
        </w:tc>
        <w:tc>
          <w:tcPr>
            <w:tcW w:w="6119" w:type="dxa"/>
            <w:gridSpan w:val="3"/>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行政事业性收费</w:t>
            </w:r>
          </w:p>
        </w:tc>
        <w:tc>
          <w:tcPr>
            <w:tcW w:w="6119" w:type="dxa"/>
            <w:gridSpan w:val="3"/>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bl>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Style w:val="7"/>
          <w:rFonts w:hint="default" w:ascii="Times New Roman" w:hAnsi="Times New Roman" w:eastAsia="黑体" w:cs="Times New Roman"/>
          <w:b w:val="0"/>
          <w:bCs w:val="0"/>
          <w:i w:val="0"/>
          <w:iCs w:val="0"/>
          <w:caps w:val="0"/>
          <w:color w:val="auto"/>
          <w:spacing w:val="0"/>
          <w:sz w:val="32"/>
          <w:szCs w:val="32"/>
          <w:shd w:val="clear" w:fill="FFFFFF"/>
        </w:rPr>
      </w:pPr>
      <w:r>
        <w:rPr>
          <w:rStyle w:val="7"/>
          <w:rFonts w:hint="default" w:ascii="Times New Roman" w:hAnsi="Times New Roman" w:eastAsia="黑体" w:cs="Times New Roman"/>
          <w:b w:val="0"/>
          <w:bCs w:val="0"/>
          <w:i w:val="0"/>
          <w:iCs w:val="0"/>
          <w:caps w:val="0"/>
          <w:color w:val="auto"/>
          <w:spacing w:val="0"/>
          <w:sz w:val="32"/>
          <w:szCs w:val="32"/>
          <w:shd w:val="clear" w:fill="FFFFFF"/>
        </w:rPr>
        <w:t>收到和处理政府信息公开申请情况</w:t>
      </w:r>
    </w:p>
    <w:tbl>
      <w:tblPr>
        <w:tblStyle w:val="5"/>
        <w:tblW w:w="8760" w:type="dxa"/>
        <w:jc w:val="center"/>
        <w:tblLayout w:type="fixed"/>
        <w:tblCellMar>
          <w:top w:w="0" w:type="dxa"/>
          <w:left w:w="10" w:type="dxa"/>
          <w:bottom w:w="0" w:type="dxa"/>
          <w:right w:w="10" w:type="dxa"/>
        </w:tblCellMar>
      </w:tblPr>
      <w:tblGrid>
        <w:gridCol w:w="520"/>
        <w:gridCol w:w="1420"/>
        <w:gridCol w:w="2722"/>
        <w:gridCol w:w="627"/>
        <w:gridCol w:w="565"/>
        <w:gridCol w:w="564"/>
        <w:gridCol w:w="569"/>
        <w:gridCol w:w="568"/>
        <w:gridCol w:w="568"/>
        <w:gridCol w:w="637"/>
      </w:tblGrid>
      <w:tr>
        <w:tblPrEx>
          <w:tblCellMar>
            <w:top w:w="0" w:type="dxa"/>
            <w:left w:w="10" w:type="dxa"/>
            <w:bottom w:w="0" w:type="dxa"/>
            <w:right w:w="10" w:type="dxa"/>
          </w:tblCellMar>
        </w:tblPrEx>
        <w:trPr>
          <w:trHeight w:val="342" w:hRule="atLeast"/>
          <w:jc w:val="center"/>
        </w:trPr>
        <w:tc>
          <w:tcPr>
            <w:tcW w:w="4662" w:type="dxa"/>
            <w:gridSpan w:val="3"/>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（本列数据的勾稽关系为：第一项加第二项之和，</w:t>
            </w:r>
          </w:p>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等于第三项加第四项之和）</w:t>
            </w:r>
          </w:p>
        </w:tc>
        <w:tc>
          <w:tcPr>
            <w:tcW w:w="4098" w:type="dxa"/>
            <w:gridSpan w:val="7"/>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申请人情况</w:t>
            </w:r>
          </w:p>
        </w:tc>
      </w:tr>
      <w:tr>
        <w:tblPrEx>
          <w:tblCellMar>
            <w:top w:w="0" w:type="dxa"/>
            <w:left w:w="10" w:type="dxa"/>
            <w:bottom w:w="0" w:type="dxa"/>
            <w:right w:w="10" w:type="dxa"/>
          </w:tblCellMar>
        </w:tblPrEx>
        <w:trPr>
          <w:trHeight w:val="342" w:hRule="atLeast"/>
          <w:jc w:val="center"/>
        </w:trPr>
        <w:tc>
          <w:tcPr>
            <w:tcW w:w="4662" w:type="dxa"/>
            <w:gridSpan w:val="3"/>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627" w:type="dxa"/>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right"/>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自然人</w:t>
            </w:r>
          </w:p>
        </w:tc>
        <w:tc>
          <w:tcPr>
            <w:tcW w:w="2834" w:type="dxa"/>
            <w:gridSpan w:val="5"/>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法人或其他组织</w:t>
            </w:r>
          </w:p>
        </w:tc>
        <w:tc>
          <w:tcPr>
            <w:tcW w:w="637" w:type="dxa"/>
            <w:vMerge w:val="restart"/>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right"/>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总计</w:t>
            </w:r>
          </w:p>
        </w:tc>
      </w:tr>
      <w:tr>
        <w:tblPrEx>
          <w:tblCellMar>
            <w:top w:w="0" w:type="dxa"/>
            <w:left w:w="10" w:type="dxa"/>
            <w:bottom w:w="0" w:type="dxa"/>
            <w:right w:w="10" w:type="dxa"/>
          </w:tblCellMar>
        </w:tblPrEx>
        <w:trPr>
          <w:trHeight w:val="921" w:hRule="atLeast"/>
          <w:jc w:val="center"/>
        </w:trPr>
        <w:tc>
          <w:tcPr>
            <w:tcW w:w="4662" w:type="dxa"/>
            <w:gridSpan w:val="3"/>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627"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黑体" w:cs="Times New Roman"/>
              </w:rPr>
            </w:pPr>
          </w:p>
        </w:tc>
        <w:tc>
          <w:tcPr>
            <w:tcW w:w="565"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商业 企业</w:t>
            </w:r>
          </w:p>
        </w:tc>
        <w:tc>
          <w:tcPr>
            <w:tcW w:w="564"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科研 机构</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黑体" w:cs="Times New Roman"/>
                <w:sz w:val="10"/>
                <w:szCs w:val="10"/>
                <w:lang w:eastAsia="zh-CN"/>
              </w:rPr>
            </w:pPr>
            <w:r>
              <w:rPr>
                <w:rFonts w:hint="default" w:ascii="Times New Roman" w:hAnsi="Times New Roman" w:eastAsia="黑体" w:cs="Times New Roman"/>
                <w:sz w:val="20"/>
                <w:szCs w:val="20"/>
                <w:lang w:val="zh-TW" w:eastAsia="zh-CN" w:bidi="zh-TW"/>
              </w:rPr>
              <w:t>社会公益组织</w:t>
            </w:r>
          </w:p>
        </w:tc>
        <w:tc>
          <w:tcPr>
            <w:tcW w:w="568"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法律 服务 机构</w:t>
            </w:r>
          </w:p>
        </w:tc>
        <w:tc>
          <w:tcPr>
            <w:tcW w:w="568"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其他</w:t>
            </w:r>
          </w:p>
        </w:tc>
        <w:tc>
          <w:tcPr>
            <w:tcW w:w="637"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黑体" w:cs="Times New Roman"/>
              </w:rPr>
            </w:pPr>
          </w:p>
        </w:tc>
      </w:tr>
      <w:tr>
        <w:tblPrEx>
          <w:tblCellMar>
            <w:top w:w="0" w:type="dxa"/>
            <w:left w:w="10" w:type="dxa"/>
            <w:bottom w:w="0" w:type="dxa"/>
            <w:right w:w="10" w:type="dxa"/>
          </w:tblCellMar>
        </w:tblPrEx>
        <w:trPr>
          <w:trHeight w:val="342" w:hRule="atLeast"/>
          <w:jc w:val="center"/>
        </w:trPr>
        <w:tc>
          <w:tcPr>
            <w:tcW w:w="4662" w:type="dxa"/>
            <w:gridSpan w:val="3"/>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一、本年新收政府信息公开申请数量</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3</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3</w:t>
            </w:r>
          </w:p>
        </w:tc>
      </w:tr>
      <w:tr>
        <w:tblPrEx>
          <w:tblCellMar>
            <w:top w:w="0" w:type="dxa"/>
            <w:left w:w="10" w:type="dxa"/>
            <w:bottom w:w="0" w:type="dxa"/>
            <w:right w:w="10" w:type="dxa"/>
          </w:tblCellMar>
        </w:tblPrEx>
        <w:trPr>
          <w:trHeight w:val="342" w:hRule="atLeast"/>
          <w:jc w:val="center"/>
        </w:trPr>
        <w:tc>
          <w:tcPr>
            <w:tcW w:w="4662" w:type="dxa"/>
            <w:gridSpan w:val="3"/>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二、上年结转政府信息公开申请数量</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restart"/>
            <w:tcBorders>
              <w:top w:val="single" w:color="auto" w:sz="4" w:space="0"/>
              <w:left w:val="single" w:color="auto" w:sz="4" w:space="0"/>
            </w:tcBorders>
            <w:shd w:val="clear" w:color="auto" w:fill="FFFFFF"/>
            <w:noWrap w:val="0"/>
            <w:textDirection w:val="tbRlV"/>
            <w:vAlign w:val="center"/>
          </w:tcPr>
          <w:p>
            <w:pPr>
              <w:pStyle w:val="9"/>
              <w:keepNext w:val="0"/>
              <w:keepLines w:val="0"/>
              <w:pageBreakBefore w:val="0"/>
              <w:kinsoku/>
              <w:wordWrap/>
              <w:overflowPunct/>
              <w:topLinePunct w:val="0"/>
              <w:autoSpaceDE/>
              <w:autoSpaceDN/>
              <w:bidi w:val="0"/>
              <w:adjustRightInd/>
              <w:snapToGrid/>
              <w:spacing w:before="0" w:line="280" w:lineRule="exact"/>
              <w:textAlignment w:val="auto"/>
              <w:outlineLvl w:val="9"/>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三、本年度办理结果</w:t>
            </w:r>
          </w:p>
        </w:tc>
        <w:tc>
          <w:tcPr>
            <w:tcW w:w="4142" w:type="dxa"/>
            <w:gridSpan w:val="2"/>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（一）予以公开</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1</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1</w:t>
            </w:r>
          </w:p>
        </w:tc>
      </w:tr>
      <w:tr>
        <w:tblPrEx>
          <w:tblCellMar>
            <w:top w:w="0" w:type="dxa"/>
            <w:left w:w="10" w:type="dxa"/>
            <w:bottom w:w="0" w:type="dxa"/>
            <w:right w:w="10" w:type="dxa"/>
          </w:tblCellMar>
        </w:tblPrEx>
        <w:trPr>
          <w:trHeight w:val="617"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1"/>
                <w:szCs w:val="21"/>
              </w:rPr>
            </w:pPr>
          </w:p>
        </w:tc>
        <w:tc>
          <w:tcPr>
            <w:tcW w:w="4142" w:type="dxa"/>
            <w:gridSpan w:val="2"/>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（二）部分公开（区分处理的，只计这一情 形，不计其他情形）</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（三）不予公开</w:t>
            </w: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1.</w:t>
            </w:r>
            <w:r>
              <w:rPr>
                <w:rFonts w:hint="default" w:ascii="Times New Roman" w:hAnsi="Times New Roman" w:eastAsia="仿宋_GB2312" w:cs="Times New Roman"/>
                <w:sz w:val="18"/>
                <w:szCs w:val="18"/>
              </w:rPr>
              <w:t>属于国家秘密</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2.</w:t>
            </w:r>
            <w:r>
              <w:rPr>
                <w:rFonts w:hint="default" w:ascii="Times New Roman" w:hAnsi="Times New Roman" w:eastAsia="仿宋_GB2312" w:cs="Times New Roman"/>
                <w:sz w:val="18"/>
                <w:szCs w:val="18"/>
                <w:lang w:eastAsia="zh-CN"/>
              </w:rPr>
              <w:t>其他法律行政法规</w:t>
            </w:r>
            <w:r>
              <w:rPr>
                <w:rFonts w:hint="default" w:ascii="Times New Roman" w:hAnsi="Times New Roman" w:eastAsia="仿宋_GB2312" w:cs="Times New Roman"/>
                <w:sz w:val="18"/>
                <w:szCs w:val="18"/>
              </w:rPr>
              <w:t>禁止公开</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3.</w:t>
            </w:r>
            <w:r>
              <w:rPr>
                <w:rFonts w:hint="default" w:ascii="Times New Roman" w:hAnsi="Times New Roman" w:eastAsia="仿宋_GB2312" w:cs="Times New Roman"/>
                <w:sz w:val="18"/>
                <w:szCs w:val="18"/>
              </w:rPr>
              <w:t>危及</w:t>
            </w:r>
            <w:r>
              <w:rPr>
                <w:rFonts w:hint="default" w:ascii="Times New Roman" w:hAnsi="Times New Roman" w:eastAsia="仿宋_GB2312" w:cs="Times New Roman"/>
                <w:sz w:val="18"/>
                <w:szCs w:val="18"/>
                <w:lang w:val="zh-CN" w:eastAsia="zh-CN" w:bidi="zh-CN"/>
              </w:rPr>
              <w:t>“三</w:t>
            </w:r>
            <w:r>
              <w:rPr>
                <w:rFonts w:hint="default" w:ascii="Times New Roman" w:hAnsi="Times New Roman" w:eastAsia="仿宋_GB2312" w:cs="Times New Roman"/>
                <w:sz w:val="18"/>
                <w:szCs w:val="18"/>
              </w:rPr>
              <w:t>安全一稳定”</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4.</w:t>
            </w:r>
            <w:r>
              <w:rPr>
                <w:rFonts w:hint="default" w:ascii="Times New Roman" w:hAnsi="Times New Roman" w:eastAsia="仿宋_GB2312" w:cs="Times New Roman"/>
                <w:sz w:val="18"/>
                <w:szCs w:val="18"/>
              </w:rPr>
              <w:t>保护第三方合法权益</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5.</w:t>
            </w:r>
            <w:r>
              <w:rPr>
                <w:rFonts w:hint="default" w:ascii="Times New Roman" w:hAnsi="Times New Roman" w:eastAsia="仿宋_GB2312" w:cs="Times New Roman"/>
                <w:sz w:val="18"/>
                <w:szCs w:val="18"/>
              </w:rPr>
              <w:t>属于三类内部事务信息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6.</w:t>
            </w:r>
            <w:r>
              <w:rPr>
                <w:rFonts w:hint="default" w:ascii="Times New Roman" w:hAnsi="Times New Roman" w:eastAsia="仿宋_GB2312" w:cs="Times New Roman"/>
                <w:sz w:val="18"/>
                <w:szCs w:val="18"/>
              </w:rPr>
              <w:t>属于四类过程性信息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7.</w:t>
            </w:r>
            <w:r>
              <w:rPr>
                <w:rFonts w:hint="default" w:ascii="Times New Roman" w:hAnsi="Times New Roman" w:eastAsia="仿宋_GB2312" w:cs="Times New Roman"/>
                <w:sz w:val="18"/>
                <w:szCs w:val="18"/>
              </w:rPr>
              <w:t>属于行政执法案卷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8.</w:t>
            </w:r>
            <w:r>
              <w:rPr>
                <w:rFonts w:hint="default" w:ascii="Times New Roman" w:hAnsi="Times New Roman" w:eastAsia="仿宋_GB2312" w:cs="Times New Roman"/>
                <w:sz w:val="18"/>
                <w:szCs w:val="18"/>
              </w:rPr>
              <w:t>属于行政查询事项</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（四）无法提供</w:t>
            </w: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1.</w:t>
            </w:r>
            <w:r>
              <w:rPr>
                <w:rFonts w:hint="default" w:ascii="Times New Roman" w:hAnsi="Times New Roman" w:eastAsia="仿宋_GB2312" w:cs="Times New Roman"/>
                <w:sz w:val="18"/>
                <w:szCs w:val="18"/>
              </w:rPr>
              <w:t>本机关不掌握相关政府信息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2</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2</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2.</w:t>
            </w:r>
            <w:r>
              <w:rPr>
                <w:rFonts w:hint="default" w:ascii="Times New Roman" w:hAnsi="Times New Roman" w:eastAsia="仿宋_GB2312" w:cs="Times New Roman"/>
                <w:sz w:val="18"/>
                <w:szCs w:val="18"/>
              </w:rPr>
              <w:t>没有现成信息需要另行制作</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3.</w:t>
            </w:r>
            <w:r>
              <w:rPr>
                <w:rFonts w:hint="default" w:ascii="Times New Roman" w:hAnsi="Times New Roman" w:eastAsia="仿宋_GB2312" w:cs="Times New Roman"/>
                <w:sz w:val="18"/>
                <w:szCs w:val="18"/>
              </w:rPr>
              <w:t>补正后申请内容仍不明确</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（五）不予处理</w:t>
            </w: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1.</w:t>
            </w:r>
            <w:r>
              <w:rPr>
                <w:rFonts w:hint="default" w:ascii="Times New Roman" w:hAnsi="Times New Roman" w:eastAsia="仿宋_GB2312" w:cs="Times New Roman"/>
                <w:sz w:val="18"/>
                <w:szCs w:val="18"/>
              </w:rPr>
              <w:t>信访举报投诉类申请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2.</w:t>
            </w:r>
            <w:r>
              <w:rPr>
                <w:rFonts w:hint="default" w:ascii="Times New Roman" w:hAnsi="Times New Roman" w:eastAsia="仿宋_GB2312" w:cs="Times New Roman"/>
                <w:sz w:val="18"/>
                <w:szCs w:val="18"/>
              </w:rPr>
              <w:t>重复申请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3.</w:t>
            </w:r>
            <w:r>
              <w:rPr>
                <w:rFonts w:hint="default" w:ascii="Times New Roman" w:hAnsi="Times New Roman" w:eastAsia="仿宋_GB2312" w:cs="Times New Roman"/>
                <w:sz w:val="18"/>
                <w:szCs w:val="18"/>
              </w:rPr>
              <w:t>要求提供公开出版物</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4.</w:t>
            </w:r>
            <w:r>
              <w:rPr>
                <w:rFonts w:hint="default" w:ascii="Times New Roman" w:hAnsi="Times New Roman" w:eastAsia="仿宋_GB2312" w:cs="Times New Roman"/>
                <w:sz w:val="18"/>
                <w:szCs w:val="18"/>
              </w:rPr>
              <w:t>无正当理由大量反复申请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617"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5.</w:t>
            </w:r>
            <w:r>
              <w:rPr>
                <w:rFonts w:hint="default" w:ascii="Times New Roman" w:hAnsi="Times New Roman" w:eastAsia="仿宋_GB2312" w:cs="Times New Roman"/>
                <w:sz w:val="18"/>
                <w:szCs w:val="18"/>
              </w:rPr>
              <w:t>要求行政机关确认或重新出具已获取信息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921"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（六）其他处理</w:t>
            </w:r>
          </w:p>
        </w:tc>
        <w:tc>
          <w:tcPr>
            <w:tcW w:w="2722"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sz w:val="18"/>
                <w:szCs w:val="18"/>
                <w:lang w:val="en-US" w:eastAsia="zh-CN" w:bidi="zh-TW"/>
              </w:rPr>
              <w:t>1.申请人无正当理由逾期不补正、行政机关不再处理其政府信息公开申请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921"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18"/>
                <w:szCs w:val="18"/>
              </w:rPr>
            </w:pPr>
          </w:p>
        </w:tc>
        <w:tc>
          <w:tcPr>
            <w:tcW w:w="2722"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sz w:val="18"/>
                <w:szCs w:val="18"/>
                <w:lang w:val="en-US" w:eastAsia="zh-CN" w:bidi="zh-TW"/>
              </w:rPr>
              <w:t>2.申请人逾期未按收费通知要求缴纳费用、行政机关不再处理其政府信息公开申请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20"/>
                <w:szCs w:val="20"/>
              </w:rPr>
            </w:pPr>
          </w:p>
        </w:tc>
        <w:tc>
          <w:tcPr>
            <w:tcW w:w="2722"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18"/>
                <w:szCs w:val="18"/>
                <w:lang w:val="en-US" w:eastAsia="zh-CN" w:bidi="zh-TW"/>
              </w:rPr>
              <w:t>3.其他</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黑体" w:cs="Times New Roman"/>
              </w:rPr>
            </w:pPr>
          </w:p>
        </w:tc>
        <w:tc>
          <w:tcPr>
            <w:tcW w:w="4142" w:type="dxa"/>
            <w:gridSpan w:val="2"/>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（七）总计</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3</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3</w:t>
            </w:r>
          </w:p>
        </w:tc>
      </w:tr>
      <w:tr>
        <w:tblPrEx>
          <w:tblCellMar>
            <w:top w:w="0" w:type="dxa"/>
            <w:left w:w="10" w:type="dxa"/>
            <w:bottom w:w="0" w:type="dxa"/>
            <w:right w:w="10" w:type="dxa"/>
          </w:tblCellMar>
        </w:tblPrEx>
        <w:trPr>
          <w:trHeight w:val="353" w:hRule="atLeast"/>
          <w:jc w:val="center"/>
        </w:trPr>
        <w:tc>
          <w:tcPr>
            <w:tcW w:w="4662" w:type="dxa"/>
            <w:gridSpan w:val="3"/>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四、结转下年度继续办理</w:t>
            </w:r>
          </w:p>
        </w:tc>
        <w:tc>
          <w:tcPr>
            <w:tcW w:w="62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黑体" w:cs="Times New Roman"/>
          <w:b w:val="0"/>
          <w:bCs w:val="0"/>
          <w:i w:val="0"/>
          <w:iCs w:val="0"/>
          <w:caps w:val="0"/>
          <w:color w:val="auto"/>
          <w:spacing w:val="0"/>
          <w:sz w:val="32"/>
          <w:szCs w:val="32"/>
          <w:shd w:val="clear" w:fill="FFFFFF"/>
        </w:rPr>
        <w:t>四、政府信息公开行政复议、行政诉讼情况</w:t>
      </w:r>
    </w:p>
    <w:tbl>
      <w:tblPr>
        <w:tblStyle w:val="5"/>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9"/>
        <w:gridCol w:w="699"/>
        <w:gridCol w:w="672"/>
        <w:gridCol w:w="630"/>
        <w:gridCol w:w="756"/>
        <w:gridCol w:w="755"/>
        <w:gridCol w:w="686"/>
        <w:gridCol w:w="657"/>
        <w:gridCol w:w="644"/>
        <w:gridCol w:w="617"/>
        <w:gridCol w:w="699"/>
        <w:gridCol w:w="645"/>
        <w:gridCol w:w="660"/>
        <w:gridCol w:w="688"/>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jc w:val="center"/>
        </w:trPr>
        <w:tc>
          <w:tcPr>
            <w:tcW w:w="3436"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行政复议</w:t>
            </w:r>
          </w:p>
        </w:tc>
        <w:tc>
          <w:tcPr>
            <w:tcW w:w="6783" w:type="dxa"/>
            <w:gridSpan w:val="10"/>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67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结果维持</w:t>
            </w:r>
          </w:p>
        </w:tc>
        <w:tc>
          <w:tcPr>
            <w:tcW w:w="69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结果纠正</w:t>
            </w:r>
          </w:p>
        </w:tc>
        <w:tc>
          <w:tcPr>
            <w:tcW w:w="672"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其他结果</w:t>
            </w:r>
          </w:p>
        </w:tc>
        <w:tc>
          <w:tcPr>
            <w:tcW w:w="630"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尚未审结</w:t>
            </w:r>
          </w:p>
        </w:tc>
        <w:tc>
          <w:tcPr>
            <w:tcW w:w="756"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总计</w:t>
            </w:r>
          </w:p>
        </w:tc>
        <w:tc>
          <w:tcPr>
            <w:tcW w:w="3359"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未经复议直接起诉</w:t>
            </w:r>
          </w:p>
        </w:tc>
        <w:tc>
          <w:tcPr>
            <w:tcW w:w="3424"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67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69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672"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630"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756"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7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结果维持</w:t>
            </w:r>
          </w:p>
        </w:tc>
        <w:tc>
          <w:tcPr>
            <w:tcW w:w="68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结果纠正</w:t>
            </w:r>
          </w:p>
        </w:tc>
        <w:tc>
          <w:tcPr>
            <w:tcW w:w="65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其他结果</w:t>
            </w:r>
          </w:p>
        </w:tc>
        <w:tc>
          <w:tcPr>
            <w:tcW w:w="64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尚未审结</w:t>
            </w:r>
          </w:p>
        </w:tc>
        <w:tc>
          <w:tcPr>
            <w:tcW w:w="61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总计</w:t>
            </w:r>
          </w:p>
        </w:tc>
        <w:tc>
          <w:tcPr>
            <w:tcW w:w="69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结果维持</w:t>
            </w:r>
          </w:p>
        </w:tc>
        <w:tc>
          <w:tcPr>
            <w:tcW w:w="64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结果纠正</w:t>
            </w:r>
          </w:p>
        </w:tc>
        <w:tc>
          <w:tcPr>
            <w:tcW w:w="6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其他结果</w:t>
            </w:r>
          </w:p>
        </w:tc>
        <w:tc>
          <w:tcPr>
            <w:tcW w:w="68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尚未审结</w:t>
            </w:r>
          </w:p>
        </w:tc>
        <w:tc>
          <w:tcPr>
            <w:tcW w:w="73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jc w:val="center"/>
        </w:trPr>
        <w:tc>
          <w:tcPr>
            <w:tcW w:w="67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b w:val="0"/>
                <w:bCs w:val="0"/>
                <w:color w:val="auto"/>
                <w:sz w:val="24"/>
                <w:szCs w:val="24"/>
                <w:lang w:eastAsia="zh-CN"/>
              </w:rPr>
            </w:pPr>
            <w:r>
              <w:rPr>
                <w:rStyle w:val="7"/>
                <w:rFonts w:hint="eastAsia" w:ascii="Times New Roman" w:hAnsi="Times New Roman" w:eastAsia="仿宋_GB2312" w:cs="Times New Roman"/>
                <w:b w:val="0"/>
                <w:bCs w:val="0"/>
                <w:i w:val="0"/>
                <w:iCs w:val="0"/>
                <w:caps w:val="0"/>
                <w:color w:val="auto"/>
                <w:spacing w:val="0"/>
                <w:sz w:val="18"/>
                <w:szCs w:val="18"/>
                <w:lang w:val="en-US" w:eastAsia="zh-CN"/>
              </w:rPr>
              <w:t>0</w:t>
            </w:r>
          </w:p>
        </w:tc>
        <w:tc>
          <w:tcPr>
            <w:tcW w:w="69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b w:val="0"/>
                <w:bCs w:val="0"/>
                <w:color w:val="auto"/>
                <w:sz w:val="24"/>
                <w:szCs w:val="24"/>
                <w:lang w:val="en-US" w:eastAsia="zh-CN"/>
              </w:rPr>
            </w:pPr>
            <w:r>
              <w:rPr>
                <w:rStyle w:val="7"/>
                <w:rFonts w:hint="eastAsia" w:ascii="Times New Roman" w:hAnsi="Times New Roman" w:eastAsia="仿宋_GB2312" w:cs="Times New Roman"/>
                <w:b w:val="0"/>
                <w:bCs w:val="0"/>
                <w:i w:val="0"/>
                <w:iCs w:val="0"/>
                <w:caps w:val="0"/>
                <w:color w:val="auto"/>
                <w:spacing w:val="0"/>
                <w:sz w:val="18"/>
                <w:szCs w:val="18"/>
                <w:lang w:val="en-US" w:eastAsia="zh-CN"/>
              </w:rPr>
              <w:t>0</w:t>
            </w:r>
          </w:p>
        </w:tc>
        <w:tc>
          <w:tcPr>
            <w:tcW w:w="7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8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4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9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8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7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黑体" w:cs="Times New Roman"/>
          <w:b w:val="0"/>
          <w:bCs w:val="0"/>
          <w:i w:val="0"/>
          <w:iCs w:val="0"/>
          <w:caps w:val="0"/>
          <w:color w:val="auto"/>
          <w:spacing w:val="0"/>
          <w:sz w:val="32"/>
          <w:szCs w:val="32"/>
          <w:shd w:val="clear" w:fill="FFFFFF"/>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textAlignment w:val="auto"/>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pPr>
      <w:r>
        <w:rPr>
          <w:rStyle w:val="7"/>
          <w:rFonts w:hint="default" w:ascii="Times New Roman" w:hAnsi="Times New Roman" w:eastAsia="楷体_GB2312" w:cs="Times New Roman"/>
          <w:b w:val="0"/>
          <w:bCs w:val="0"/>
          <w:i w:val="0"/>
          <w:iCs w:val="0"/>
          <w:caps w:val="0"/>
          <w:color w:val="auto"/>
          <w:spacing w:val="0"/>
          <w:sz w:val="32"/>
          <w:szCs w:val="32"/>
          <w:shd w:val="clear" w:fill="FFFFFF"/>
        </w:rPr>
        <w:t>（一）存在问题：</w:t>
      </w:r>
      <w:r>
        <w:rPr>
          <w:rStyle w:val="7"/>
          <w:rFonts w:hint="default" w:ascii="Times New Roman" w:hAnsi="Times New Roman" w:eastAsia="仿宋_GB2312" w:cs="Times New Roman"/>
          <w:b w:val="0"/>
          <w:bCs w:val="0"/>
          <w:i w:val="0"/>
          <w:iCs w:val="0"/>
          <w:caps w:val="0"/>
          <w:color w:val="auto"/>
          <w:spacing w:val="0"/>
          <w:sz w:val="32"/>
          <w:szCs w:val="32"/>
          <w:shd w:val="clear" w:fill="FFFFFF"/>
        </w:rPr>
        <w:t>一是政府信息公开</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的规范性有欠缺，在公开格式规范性上需要进一步提升</w:t>
      </w:r>
      <w:r>
        <w:rPr>
          <w:rStyle w:val="7"/>
          <w:rFonts w:hint="default" w:ascii="Times New Roman" w:hAnsi="Times New Roman" w:eastAsia="仿宋_GB2312" w:cs="Times New Roman"/>
          <w:b w:val="0"/>
          <w:bCs w:val="0"/>
          <w:i w:val="0"/>
          <w:iCs w:val="0"/>
          <w:caps w:val="0"/>
          <w:color w:val="auto"/>
          <w:spacing w:val="0"/>
          <w:sz w:val="32"/>
          <w:szCs w:val="32"/>
          <w:shd w:val="clear" w:fill="FFFFFF"/>
        </w:rPr>
        <w:t>，工作人员的政府信息公开工作能力还有待提高；</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二</w:t>
      </w:r>
      <w:r>
        <w:rPr>
          <w:rStyle w:val="7"/>
          <w:rFonts w:hint="default" w:ascii="Times New Roman" w:hAnsi="Times New Roman" w:eastAsia="仿宋_GB2312" w:cs="Times New Roman"/>
          <w:b w:val="0"/>
          <w:bCs w:val="0"/>
          <w:i w:val="0"/>
          <w:iCs w:val="0"/>
          <w:caps w:val="0"/>
          <w:color w:val="auto"/>
          <w:spacing w:val="0"/>
          <w:sz w:val="32"/>
          <w:szCs w:val="32"/>
          <w:shd w:val="clear" w:fill="FFFFFF"/>
        </w:rPr>
        <w:t>是思想认识不够深入，一些信息内容质量不高，存在“有就行”的思想误区。</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三</w:t>
      </w:r>
      <w:r>
        <w:rPr>
          <w:rStyle w:val="7"/>
          <w:rFonts w:hint="default" w:ascii="Times New Roman" w:hAnsi="Times New Roman" w:eastAsia="仿宋_GB2312" w:cs="Times New Roman"/>
          <w:b w:val="0"/>
          <w:bCs w:val="0"/>
          <w:i w:val="0"/>
          <w:iCs w:val="0"/>
          <w:caps w:val="0"/>
          <w:color w:val="auto"/>
          <w:spacing w:val="0"/>
          <w:sz w:val="32"/>
          <w:szCs w:val="32"/>
          <w:shd w:val="clear" w:fill="FFFFFF"/>
        </w:rPr>
        <w:t>是个别部门重视程度不够，主动公开的意识不强。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jc w:val="left"/>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pPr>
      <w:r>
        <w:rPr>
          <w:rStyle w:val="7"/>
          <w:rFonts w:hint="default" w:ascii="Times New Roman" w:hAnsi="Times New Roman" w:eastAsia="楷体_GB2312" w:cs="Times New Roman"/>
          <w:b w:val="0"/>
          <w:bCs w:val="0"/>
          <w:i w:val="0"/>
          <w:iCs w:val="0"/>
          <w:caps w:val="0"/>
          <w:color w:val="auto"/>
          <w:spacing w:val="0"/>
          <w:sz w:val="32"/>
          <w:szCs w:val="32"/>
          <w:shd w:val="clear" w:fill="FFFFFF"/>
        </w:rPr>
        <w:t>（二）改进措施：</w:t>
      </w:r>
      <w:r>
        <w:rPr>
          <w:rStyle w:val="7"/>
          <w:rFonts w:hint="default" w:ascii="Times New Roman" w:hAnsi="Times New Roman" w:eastAsia="仿宋_GB2312" w:cs="Times New Roman"/>
          <w:b w:val="0"/>
          <w:bCs w:val="0"/>
          <w:i w:val="0"/>
          <w:iCs w:val="0"/>
          <w:caps w:val="0"/>
          <w:color w:val="auto"/>
          <w:spacing w:val="0"/>
          <w:sz w:val="32"/>
          <w:szCs w:val="32"/>
          <w:shd w:val="clear" w:fill="FFFFFF"/>
        </w:rPr>
        <w:t>一是严格执行部署，抓好贯彻落实。</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将继续贯彻落实上级工作部署，进一步加大政府信息对人民群众生产、生活和经济社会发展的服务作用，积极做好重点领域信息公开，确保公开数量，稳步提高公开质量，打通政府联系群众的“最后一公里”，破解“信息孤岛”。二是加强教育培训，提升工作水平。通过举办业务培训班、线上教学等有效形式，加大对基层政务公开工作人员的培训力度，不断提升业务水平，提高业务人员政务信息报送质量，</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积极</w:t>
      </w:r>
      <w:r>
        <w:rPr>
          <w:rStyle w:val="7"/>
          <w:rFonts w:hint="default" w:ascii="Times New Roman" w:hAnsi="Times New Roman" w:eastAsia="仿宋_GB2312" w:cs="Times New Roman"/>
          <w:b w:val="0"/>
          <w:bCs w:val="0"/>
          <w:i w:val="0"/>
          <w:iCs w:val="0"/>
          <w:caps w:val="0"/>
          <w:color w:val="auto"/>
          <w:spacing w:val="0"/>
          <w:sz w:val="32"/>
          <w:szCs w:val="32"/>
          <w:shd w:val="clear" w:fill="FFFFFF"/>
        </w:rPr>
        <w:t>做好信息收集、整理工作，努力优化有分析、有深度、有建议的高质量信息化、数据化政府信息发布平台，不断加大政务公开宣传力度，在方便服务对象的同时，接受社会各界的监督。三是健全完善机制，规范制度运行。不断健全完善政务公开工作机制，按照新形势、新时代下的工作要求，继续梳理优化公开事项目录、完善公开事项标准、规范公开工作流程，强化自查自纠，及时改进，不断加强电子政务平台运行和办事效能评估，持续健全政务公开标准化、规范化工作机制，为2023年</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政务公开工作全面提升奠定基础。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黑体" w:cs="Times New Roman"/>
          <w:b w:val="0"/>
          <w:bCs w:val="0"/>
          <w:i w:val="0"/>
          <w:iCs w:val="0"/>
          <w:caps w:val="0"/>
          <w:color w:val="auto"/>
          <w:spacing w:val="0"/>
          <w:sz w:val="32"/>
          <w:szCs w:val="32"/>
          <w:shd w:val="clear" w:fill="FFFFFF"/>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（一）依据《政府信息公开信息处理费管理办法》收取信息处理费的情况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2023年度本单位未收取政府信息公开处理费。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（二）本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落实上级年度政务公开工作要点工作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default" w:ascii="Times New Roman" w:hAnsi="Times New Roman" w:eastAsia="仿宋_GB2312" w:cs="Times New Roman"/>
          <w:b w:val="0"/>
          <w:bCs w:val="0"/>
          <w:i w:val="0"/>
          <w:iCs w:val="0"/>
          <w:caps w:val="0"/>
          <w:color w:val="auto"/>
          <w:spacing w:val="0"/>
          <w:sz w:val="24"/>
          <w:szCs w:val="24"/>
          <w:lang w:eastAsia="zh-CN"/>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积极落实县委、县政府对于政务公开工作的各项部署，积极开展政务公开工作</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，将政务公开工作纳入年度专题研究会议，每半年召开一次政务公开工作专题会议。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（三）本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人大代表建议和政协提案办理结果公开情况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202</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3</w:t>
      </w:r>
      <w:r>
        <w:rPr>
          <w:rStyle w:val="7"/>
          <w:rFonts w:hint="default" w:ascii="Times New Roman" w:hAnsi="Times New Roman" w:eastAsia="仿宋_GB2312" w:cs="Times New Roman"/>
          <w:b w:val="0"/>
          <w:bCs w:val="0"/>
          <w:i w:val="0"/>
          <w:iCs w:val="0"/>
          <w:caps w:val="0"/>
          <w:color w:val="auto"/>
          <w:spacing w:val="0"/>
          <w:sz w:val="32"/>
          <w:szCs w:val="32"/>
          <w:shd w:val="clear" w:fill="FFFFFF"/>
        </w:rPr>
        <w:t>年，</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收到县政协十一届二次会议委员第97号提案，目前已经办理回复，历山政发〔2023〕42号历山街道办事处对县政协十一届二次会议委员第97号提案的答复在“建议提案办理”栏目公开。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0"/>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rPr>
      </w:pPr>
      <w:r>
        <w:rPr>
          <w:rFonts w:hint="eastAsia" w:ascii="Times New Roman" w:hAnsi="Times New Roman" w:eastAsia="仿宋_GB2312" w:cs="Times New Roman"/>
          <w:b w:val="0"/>
          <w:bCs w:val="0"/>
          <w:i w:val="0"/>
          <w:iCs w:val="0"/>
          <w:caps w:val="0"/>
          <w:color w:val="auto"/>
          <w:spacing w:val="0"/>
          <w:kern w:val="0"/>
          <w:sz w:val="32"/>
          <w:szCs w:val="32"/>
          <w:shd w:val="clear" w:fill="FFFFFF"/>
          <w:lang w:val="en-US" w:eastAsia="zh-CN" w:bidi="ar"/>
        </w:rPr>
        <w:t>（四）</w:t>
      </w:r>
      <w:r>
        <w:rPr>
          <w:rStyle w:val="7"/>
          <w:rFonts w:hint="default" w:ascii="Times New Roman" w:hAnsi="Times New Roman" w:eastAsia="仿宋_GB2312" w:cs="Times New Roman"/>
          <w:b w:val="0"/>
          <w:bCs w:val="0"/>
          <w:i w:val="0"/>
          <w:iCs w:val="0"/>
          <w:caps w:val="0"/>
          <w:color w:val="auto"/>
          <w:spacing w:val="0"/>
          <w:sz w:val="32"/>
          <w:szCs w:val="32"/>
          <w:shd w:val="clear" w:fill="FFFFFF"/>
        </w:rPr>
        <w:t>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年度政务公开工作创新情况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加大宣传力度、拓宽宣传方式。深入宣传</w:t>
      </w:r>
      <w:r>
        <w:rPr>
          <w:rStyle w:val="7"/>
          <w:rFonts w:hint="default" w:ascii="Times New Roman" w:hAnsi="Times New Roman" w:eastAsia="仿宋_GB2312" w:cs="Times New Roman"/>
          <w:b w:val="0"/>
          <w:bCs w:val="0"/>
          <w:i w:val="0"/>
          <w:iCs w:val="0"/>
          <w:caps w:val="0"/>
          <w:color w:val="auto"/>
          <w:spacing w:val="0"/>
          <w:sz w:val="32"/>
          <w:szCs w:val="32"/>
          <w:shd w:val="clear" w:fill="FFFFFF"/>
        </w:rPr>
        <w:t>《中华人民共和国政府信息公开条例》</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，使公众了解、熟悉、使用</w:t>
      </w:r>
      <w:r>
        <w:rPr>
          <w:rStyle w:val="7"/>
          <w:rFonts w:hint="default" w:ascii="Times New Roman" w:hAnsi="Times New Roman" w:eastAsia="仿宋_GB2312" w:cs="Times New Roman"/>
          <w:b w:val="0"/>
          <w:bCs w:val="0"/>
          <w:i w:val="0"/>
          <w:iCs w:val="0"/>
          <w:caps w:val="0"/>
          <w:color w:val="auto"/>
          <w:spacing w:val="0"/>
          <w:sz w:val="32"/>
          <w:szCs w:val="32"/>
          <w:shd w:val="clear" w:fill="FFFFFF"/>
        </w:rPr>
        <w:t>《中华人民共和国政府信息公开条例》</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，对通过政务公开推动解决群众反映强烈的难点、热点问题典型事例进行宣传，充分发挥政务微博、微信公众号、官方抖音的作用，引导干部群众积极有序参与政务公开。</w:t>
      </w:r>
    </w:p>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b w:val="0"/>
          <w:bCs w:val="0"/>
          <w:color w:val="auto"/>
        </w:rPr>
      </w:pP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72" w:firstLineChars="1804"/>
        <w:jc w:val="both"/>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历山街道办事处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center"/>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 xml:space="preserve">                           2024年1月27日</w:t>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DB44A"/>
    <w:multiLevelType w:val="singleLevel"/>
    <w:tmpl w:val="D05DB44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OGVmZGJlMDU5NTNmZWQ2NjZkMTdiMDlkZjVhZjkifQ=="/>
  </w:docVars>
  <w:rsids>
    <w:rsidRoot w:val="22024268"/>
    <w:rsid w:val="00E007D1"/>
    <w:rsid w:val="0B8A525F"/>
    <w:rsid w:val="0F233BD4"/>
    <w:rsid w:val="19AC18D3"/>
    <w:rsid w:val="1C9F5EC4"/>
    <w:rsid w:val="1D690370"/>
    <w:rsid w:val="22024268"/>
    <w:rsid w:val="262125A4"/>
    <w:rsid w:val="32676619"/>
    <w:rsid w:val="37427402"/>
    <w:rsid w:val="4FEB2406"/>
    <w:rsid w:val="51963597"/>
    <w:rsid w:val="5A027D9D"/>
    <w:rsid w:val="5B056B0A"/>
    <w:rsid w:val="5C0E58D4"/>
    <w:rsid w:val="61AA6CF2"/>
    <w:rsid w:val="67D11C00"/>
    <w:rsid w:val="78503025"/>
    <w:rsid w:val="78D760BF"/>
    <w:rsid w:val="7FBB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annotation text"/>
    <w:basedOn w:val="1"/>
    <w:autoRedefine/>
    <w:qFormat/>
    <w:uiPriority w:val="0"/>
    <w:pPr>
      <w:jc w:val="left"/>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Other|1"/>
    <w:basedOn w:val="1"/>
    <w:autoRedefine/>
    <w:qFormat/>
    <w:uiPriority w:val="0"/>
    <w:pPr>
      <w:spacing w:line="442" w:lineRule="auto"/>
      <w:ind w:firstLine="400"/>
    </w:pPr>
    <w:rPr>
      <w:rFonts w:ascii="宋体" w:hAnsi="宋体" w:eastAsia="宋体" w:cs="宋体"/>
      <w:sz w:val="28"/>
      <w:szCs w:val="28"/>
      <w:lang w:val="zh-TW" w:eastAsia="zh-TW" w:bidi="zh-TW"/>
    </w:rPr>
  </w:style>
  <w:style w:type="paragraph" w:customStyle="1" w:styleId="9">
    <w:name w:val="Other|2"/>
    <w:basedOn w:val="1"/>
    <w:autoRedefine/>
    <w:qFormat/>
    <w:uiPriority w:val="0"/>
    <w:pPr>
      <w:spacing w:before="90"/>
      <w:jc w:val="center"/>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主动公开信息</a:t>
            </a:r>
          </a:p>
        </c:rich>
      </c:tx>
      <c:layout/>
      <c:overlay val="0"/>
      <c:spPr>
        <a:noFill/>
        <a:ln>
          <a:noFill/>
        </a:ln>
        <a:effectLst/>
      </c:spPr>
    </c:title>
    <c:autoTitleDeleted val="0"/>
    <c:plotArea>
      <c:layout/>
      <c:pieChart>
        <c:varyColors val="1"/>
        <c:ser>
          <c:idx val="0"/>
          <c:order val="0"/>
          <c:tx>
            <c:strRef>
              <c:f>'[新建 XLS 工作表.xls]Sheet2'!$B$2</c:f>
              <c:strCache>
                <c:ptCount val="1"/>
                <c:pt idx="0">
                  <c:v>数量</c:v>
                </c:pt>
              </c:strCache>
            </c:strRef>
          </c:tx>
          <c:spPr>
            <a:solidFill>
              <a:schemeClr val="accent1"/>
            </a:solidFill>
            <a:ln w="12700">
              <a:noFill/>
            </a:ln>
            <a:effectLst/>
            <a:sp3d contourW="12700"/>
          </c:spPr>
          <c:explosion val="3"/>
          <c:dPt>
            <c:idx val="0"/>
            <c:bubble3D val="0"/>
            <c:spPr>
              <a:solidFill>
                <a:schemeClr val="accent1"/>
              </a:solidFill>
              <a:ln w="12700">
                <a:noFill/>
              </a:ln>
              <a:effectLst/>
              <a:sp3d contourW="12700"/>
            </c:spPr>
          </c:dPt>
          <c:dPt>
            <c:idx val="1"/>
            <c:bubble3D val="0"/>
            <c:spPr>
              <a:solidFill>
                <a:schemeClr val="accent2"/>
              </a:solidFill>
              <a:ln w="12700">
                <a:noFill/>
              </a:ln>
              <a:effectLst/>
              <a:sp3d contourW="12700"/>
            </c:spPr>
          </c:dPt>
          <c:dPt>
            <c:idx val="2"/>
            <c:bubble3D val="0"/>
            <c:spPr>
              <a:solidFill>
                <a:schemeClr val="accent3"/>
              </a:solidFill>
              <a:ln w="12700">
                <a:noFill/>
              </a:ln>
              <a:effectLst/>
              <a:sp3d contourW="12700"/>
            </c:spPr>
          </c:dPt>
          <c:dPt>
            <c:idx val="3"/>
            <c:bubble3D val="0"/>
            <c:spPr>
              <a:solidFill>
                <a:schemeClr val="accent4"/>
              </a:solidFill>
              <a:ln w="12700">
                <a:noFill/>
              </a:ln>
              <a:effectLst/>
              <a:sp3d contourW="12700"/>
            </c:spPr>
          </c:dPt>
          <c:dPt>
            <c:idx val="4"/>
            <c:bubble3D val="0"/>
            <c:spPr>
              <a:solidFill>
                <a:schemeClr val="accent5"/>
              </a:solidFill>
              <a:ln w="12700">
                <a:noFill/>
              </a:ln>
              <a:effectLst/>
              <a:sp3d contourW="12700"/>
            </c:spPr>
          </c:dPt>
          <c:dPt>
            <c:idx val="5"/>
            <c:bubble3D val="0"/>
            <c:spPr>
              <a:solidFill>
                <a:schemeClr val="accent6"/>
              </a:solidFill>
              <a:ln w="12700">
                <a:noFill/>
              </a:ln>
              <a:effectLst/>
              <a:sp3d contourW="12700"/>
            </c:spPr>
          </c:dPt>
          <c:dPt>
            <c:idx val="6"/>
            <c:bubble3D val="0"/>
            <c:spPr>
              <a:solidFill>
                <a:schemeClr val="accent1"/>
              </a:solidFill>
              <a:ln w="12700">
                <a:noFill/>
              </a:ln>
              <a:effectLst/>
              <a:sp3d contourW="12700"/>
            </c:spPr>
          </c:dPt>
          <c:dPt>
            <c:idx val="7"/>
            <c:bubble3D val="0"/>
            <c:spPr>
              <a:solidFill>
                <a:schemeClr val="accent1"/>
              </a:solidFill>
              <a:ln w="12700">
                <a:noFill/>
              </a:ln>
              <a:effectLst/>
              <a:sp3d contourW="12700"/>
            </c:spPr>
          </c:dPt>
          <c:dPt>
            <c:idx val="8"/>
            <c:bubble3D val="0"/>
            <c:spPr>
              <a:solidFill>
                <a:schemeClr val="accent1"/>
              </a:solidFill>
              <a:ln w="12700">
                <a:noFill/>
              </a:ln>
              <a:effectLst/>
              <a:sp3d contourW="12700"/>
            </c:spPr>
          </c:dPt>
          <c:dPt>
            <c:idx val="9"/>
            <c:bubble3D val="0"/>
            <c:spPr>
              <a:solidFill>
                <a:schemeClr val="accent1"/>
              </a:solidFill>
              <a:ln w="12700">
                <a:noFill/>
              </a:ln>
              <a:effectLst/>
              <a:sp3d contourW="12700"/>
            </c:spPr>
          </c:dPt>
          <c:dPt>
            <c:idx val="10"/>
            <c:bubble3D val="0"/>
            <c:spPr>
              <a:solidFill>
                <a:schemeClr val="accent1"/>
              </a:solidFill>
              <a:ln w="12700">
                <a:noFill/>
              </a:ln>
              <a:effectLst/>
              <a:sp3d contourW="12700"/>
            </c:spPr>
          </c:dPt>
          <c:dPt>
            <c:idx val="11"/>
            <c:bubble3D val="0"/>
            <c:spPr>
              <a:solidFill>
                <a:schemeClr val="accent1"/>
              </a:solidFill>
              <a:ln w="12700">
                <a:noFill/>
              </a:ln>
              <a:effectLst/>
              <a:sp3d contourW="12700"/>
            </c:spPr>
          </c:dPt>
          <c:dPt>
            <c:idx val="12"/>
            <c:bubble3D val="0"/>
            <c:spPr>
              <a:solidFill>
                <a:schemeClr val="accent1"/>
              </a:solidFill>
              <a:ln w="12700">
                <a:noFill/>
              </a:ln>
              <a:effectLst/>
              <a:sp3d contourW="12700"/>
            </c:spPr>
          </c:dPt>
          <c:dPt>
            <c:idx val="13"/>
            <c:bubble3D val="0"/>
            <c:spPr>
              <a:solidFill>
                <a:schemeClr val="accent1"/>
              </a:solidFill>
              <a:ln w="12700">
                <a:noFill/>
              </a:ln>
              <a:effectLst/>
              <a:sp3d contourW="12700"/>
            </c:spPr>
          </c:dPt>
          <c:dPt>
            <c:idx val="14"/>
            <c:bubble3D val="0"/>
            <c:spPr>
              <a:solidFill>
                <a:schemeClr val="accent1"/>
              </a:solidFill>
              <a:ln w="12700">
                <a:noFill/>
              </a:ln>
              <a:effectLst/>
              <a:sp3d contourW="12700"/>
            </c:spPr>
          </c:dPt>
          <c:dPt>
            <c:idx val="15"/>
            <c:bubble3D val="0"/>
            <c:spPr>
              <a:solidFill>
                <a:schemeClr val="accent1"/>
              </a:solidFill>
              <a:ln w="12700">
                <a:noFill/>
              </a:ln>
              <a:effectLst/>
              <a:sp3d contourW="12700"/>
            </c:spPr>
          </c:dPt>
          <c:dPt>
            <c:idx val="16"/>
            <c:bubble3D val="0"/>
            <c:spPr>
              <a:solidFill>
                <a:schemeClr val="accent1"/>
              </a:solidFill>
              <a:ln w="12700">
                <a:noFill/>
              </a:ln>
              <a:effectLst/>
              <a:sp3d contourW="12700"/>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4"/>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5"/>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工作表.xls]Sheet2'!$A$3:$A$19</c:f>
              <c:strCache>
                <c:ptCount val="17"/>
                <c:pt idx="0">
                  <c:v>街道会议</c:v>
                </c:pt>
                <c:pt idx="1">
                  <c:v>政府文件</c:v>
                </c:pt>
                <c:pt idx="2">
                  <c:v>政务公开培训</c:v>
                </c:pt>
                <c:pt idx="3">
                  <c:v>政府开放日活动</c:v>
                </c:pt>
                <c:pt idx="4">
                  <c:v>工作计划及完成情况</c:v>
                </c:pt>
                <c:pt idx="5">
                  <c:v>提案办理总体情况</c:v>
                </c:pt>
                <c:pt idx="6">
                  <c:v>提案答复</c:v>
                </c:pt>
                <c:pt idx="7">
                  <c:v>部门职能及内设机构</c:v>
                </c:pt>
                <c:pt idx="8">
                  <c:v>公开指南</c:v>
                </c:pt>
                <c:pt idx="9">
                  <c:v>行政指导目录</c:v>
                </c:pt>
                <c:pt idx="10">
                  <c:v>主动公开基本目录</c:v>
                </c:pt>
                <c:pt idx="11">
                  <c:v>领导小组</c:v>
                </c:pt>
                <c:pt idx="12">
                  <c:v>分管负责人</c:v>
                </c:pt>
                <c:pt idx="13">
                  <c:v>培训计划</c:v>
                </c:pt>
                <c:pt idx="14">
                  <c:v>工作方案</c:v>
                </c:pt>
                <c:pt idx="15">
                  <c:v>法治政府建设报告</c:v>
                </c:pt>
                <c:pt idx="16">
                  <c:v>政务公开年报</c:v>
                </c:pt>
              </c:strCache>
            </c:strRef>
          </c:cat>
          <c:val>
            <c:numRef>
              <c:f>'[新建 XLS 工作表.xls]Sheet2'!$B$3:$B$19</c:f>
              <c:numCache>
                <c:formatCode>General</c:formatCode>
                <c:ptCount val="17"/>
                <c:pt idx="0">
                  <c:v>16</c:v>
                </c:pt>
                <c:pt idx="1">
                  <c:v>4</c:v>
                </c:pt>
                <c:pt idx="2">
                  <c:v>2</c:v>
                </c:pt>
                <c:pt idx="3">
                  <c:v>2</c:v>
                </c:pt>
                <c:pt idx="4">
                  <c:v>2</c:v>
                </c:pt>
                <c:pt idx="5">
                  <c:v>1</c:v>
                </c:pt>
                <c:pt idx="6">
                  <c:v>1</c:v>
                </c:pt>
                <c:pt idx="7">
                  <c:v>1</c:v>
                </c:pt>
                <c:pt idx="8">
                  <c:v>1</c:v>
                </c:pt>
                <c:pt idx="9">
                  <c:v>1</c:v>
                </c:pt>
                <c:pt idx="10">
                  <c:v>1</c:v>
                </c:pt>
                <c:pt idx="11">
                  <c:v>1</c:v>
                </c:pt>
                <c:pt idx="12">
                  <c:v>1</c:v>
                </c:pt>
                <c:pt idx="13">
                  <c:v>1</c:v>
                </c:pt>
                <c:pt idx="14">
                  <c:v>1</c:v>
                </c:pt>
                <c:pt idx="15">
                  <c:v>1</c:v>
                </c:pt>
                <c:pt idx="16">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2020-2023</a:t>
            </a:r>
            <a:r>
              <a:rPr altLang="en-US"/>
              <a:t>年依申请办理情况</a:t>
            </a:r>
            <a:endParaRPr altLang="en-US"/>
          </a:p>
        </c:rich>
      </c:tx>
      <c:layout/>
      <c:overlay val="0"/>
      <c:spPr>
        <a:noFill/>
        <a:ln>
          <a:noFill/>
        </a:ln>
        <a:effectLst/>
      </c:spPr>
    </c:title>
    <c:autoTitleDeleted val="0"/>
    <c:plotArea>
      <c:layout/>
      <c:barChart>
        <c:barDir val="bar"/>
        <c:grouping val="clustered"/>
        <c:varyColors val="0"/>
        <c:ser>
          <c:idx val="0"/>
          <c:order val="0"/>
          <c:tx>
            <c:strRef>
              <c:f>'[新建 XLS 工作表.xls]Sheet1'!$B$2</c:f>
              <c:strCache>
                <c:ptCount val="1"/>
                <c:pt idx="0">
                  <c:v>依申请办理数量</c:v>
                </c:pt>
              </c:strCache>
            </c:strRef>
          </c:tx>
          <c:spPr>
            <a:solidFill>
              <a:schemeClr val="accent1"/>
            </a:solidFill>
            <a:ln>
              <a:noFill/>
            </a:ln>
            <a:effectLst/>
          </c:spPr>
          <c:invertIfNegative val="0"/>
          <c:dLbls>
            <c:delete val="1"/>
          </c:dLbls>
          <c:cat>
            <c:strRef>
              <c:f>'[新建 XLS 工作表.xls]Sheet1'!$A$3:$A$6</c:f>
              <c:strCache>
                <c:ptCount val="4"/>
                <c:pt idx="0">
                  <c:v>2020年</c:v>
                </c:pt>
                <c:pt idx="1">
                  <c:v>2021年</c:v>
                </c:pt>
                <c:pt idx="2">
                  <c:v>2022年</c:v>
                </c:pt>
                <c:pt idx="3">
                  <c:v>2023年</c:v>
                </c:pt>
              </c:strCache>
            </c:strRef>
          </c:cat>
          <c:val>
            <c:numRef>
              <c:f>'[新建 XLS 工作表.xls]Sheet1'!$B$3:$B$6</c:f>
              <c:numCache>
                <c:formatCode>General</c:formatCode>
                <c:ptCount val="4"/>
                <c:pt idx="0">
                  <c:v>1</c:v>
                </c:pt>
                <c:pt idx="1">
                  <c:v>7</c:v>
                </c:pt>
                <c:pt idx="2">
                  <c:v>2</c:v>
                </c:pt>
                <c:pt idx="3">
                  <c:v>3</c:v>
                </c:pt>
              </c:numCache>
            </c:numRef>
          </c:val>
        </c:ser>
        <c:dLbls>
          <c:showLegendKey val="0"/>
          <c:showVal val="0"/>
          <c:showCatName val="0"/>
          <c:showSerName val="0"/>
          <c:showPercent val="0"/>
          <c:showBubbleSize val="0"/>
        </c:dLbls>
        <c:gapWidth val="140"/>
        <c:overlap val="-40"/>
        <c:axId val="694086832"/>
        <c:axId val="643127628"/>
      </c:barChart>
      <c:catAx>
        <c:axId val="694086832"/>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3127628"/>
        <c:crosses val="autoZero"/>
        <c:auto val="1"/>
        <c:lblAlgn val="ctr"/>
        <c:lblOffset val="100"/>
        <c:noMultiLvlLbl val="0"/>
      </c:catAx>
      <c:valAx>
        <c:axId val="643127628"/>
        <c:scaling>
          <c:orientation val="minMax"/>
        </c:scaling>
        <c:delete val="0"/>
        <c:axPos val="b"/>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0868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94">
    <a:dk1>
      <a:srgbClr val="000000"/>
    </a:dk1>
    <a:lt1>
      <a:srgbClr val="FFFFFF"/>
    </a:lt1>
    <a:dk2>
      <a:srgbClr val="0C0E1F"/>
    </a:dk2>
    <a:lt2>
      <a:srgbClr val="FEFFFF"/>
    </a:lt2>
    <a:accent1>
      <a:srgbClr val="00B2CC"/>
    </a:accent1>
    <a:accent2>
      <a:srgbClr val="FCB040"/>
    </a:accent2>
    <a:accent3>
      <a:srgbClr val="BFD546"/>
    </a:accent3>
    <a:accent4>
      <a:srgbClr val="2E6480"/>
    </a:accent4>
    <a:accent5>
      <a:srgbClr val="FF7B00"/>
    </a:accent5>
    <a:accent6>
      <a:srgbClr val="BE1D2C"/>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9</Pages>
  <Words>2815</Words>
  <Characters>2899</Characters>
  <Lines>0</Lines>
  <Paragraphs>0</Paragraphs>
  <TotalTime>0</TotalTime>
  <ScaleCrop>false</ScaleCrop>
  <LinksUpToDate>false</LinksUpToDate>
  <CharactersWithSpaces>2949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2022-01-26T07:21:00Z</dcterms:created>
  <dc:creator>Administrator</dc:creator>
  <cp:lastModifiedBy>Y  pd</cp:lastModifiedBy>
  <cp:lastPrinted>2023-01-18T02:46:00Z</cp:lastPrinted>
  <dcterms:modified xsi:type="dcterms:W3CDTF">2024-01-31T08:24:55Z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D641953B82EC4C5FA00EB2B669223A1C</vt:lpwstr>
  </property>
</Properties>
</file>