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color w:val="auto"/>
          <w:kern w:val="0"/>
          <w:sz w:val="44"/>
          <w:szCs w:val="44"/>
          <w:lang w:val="en-US" w:eastAsia="zh-CN" w:bidi="en-US"/>
        </w:rPr>
      </w:pPr>
      <w:r>
        <w:rPr>
          <w:rFonts w:hint="eastAsia" w:ascii="方正小标宋简体" w:hAnsi="方正小标宋简体" w:eastAsia="方正小标宋简体" w:cs="方正小标宋简体"/>
          <w:b w:val="0"/>
          <w:bCs w:val="0"/>
          <w:color w:val="auto"/>
          <w:kern w:val="0"/>
          <w:sz w:val="44"/>
          <w:szCs w:val="44"/>
          <w:lang w:eastAsia="zh-CN" w:bidi="en-US"/>
        </w:rPr>
        <w:t>鲁村镇人民政府</w:t>
      </w:r>
      <w:r>
        <w:rPr>
          <w:rFonts w:hint="eastAsia" w:ascii="方正小标宋简体" w:hAnsi="方正小标宋简体" w:eastAsia="方正小标宋简体" w:cs="方正小标宋简体"/>
          <w:b w:val="0"/>
          <w:bCs w:val="0"/>
          <w:color w:val="auto"/>
          <w:kern w:val="0"/>
          <w:sz w:val="44"/>
          <w:szCs w:val="44"/>
          <w:lang w:val="en-US" w:eastAsia="zh-CN" w:bidi="en-US"/>
        </w:rPr>
        <w:t>2021年政府信息公开</w:t>
      </w:r>
    </w:p>
    <w:p>
      <w:pPr>
        <w:spacing w:line="600" w:lineRule="exact"/>
        <w:jc w:val="center"/>
        <w:rPr>
          <w:rFonts w:hint="eastAsia" w:ascii="方正小标宋简体" w:hAnsi="方正小标宋简体" w:eastAsia="方正小标宋简体" w:cs="方正小标宋简体"/>
          <w:b w:val="0"/>
          <w:bCs w:val="0"/>
          <w:color w:val="auto"/>
          <w:kern w:val="0"/>
          <w:sz w:val="44"/>
          <w:szCs w:val="44"/>
          <w:lang w:eastAsia="zh-CN" w:bidi="en-US"/>
        </w:rPr>
      </w:pPr>
      <w:r>
        <w:rPr>
          <w:rFonts w:hint="eastAsia" w:ascii="方正小标宋简体" w:hAnsi="方正小标宋简体" w:eastAsia="方正小标宋简体" w:cs="方正小标宋简体"/>
          <w:b w:val="0"/>
          <w:bCs w:val="0"/>
          <w:color w:val="auto"/>
          <w:kern w:val="0"/>
          <w:sz w:val="44"/>
          <w:szCs w:val="44"/>
          <w:lang w:val="en-US" w:eastAsia="zh-CN" w:bidi="en-US"/>
        </w:rPr>
        <w:t>工作年度报告</w:t>
      </w:r>
    </w:p>
    <w:p>
      <w:pPr>
        <w:numPr>
          <w:ilvl w:val="0"/>
          <w:numId w:val="0"/>
        </w:numPr>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本报告按照新修订的《中华人民共和国政府信息公开条例》（以下简称《条例》）《中华人民共和国政府信息公开工作年度报告格式》（国办公开办函〔2021〕30号）规定，由沂源县</w:t>
      </w:r>
      <w:r>
        <w:rPr>
          <w:rFonts w:hint="eastAsia" w:ascii="仿宋_GB2312" w:hAnsi="仿宋_GB2312" w:eastAsia="仿宋_GB2312" w:cs="仿宋_GB2312"/>
          <w:b w:val="0"/>
          <w:bCs w:val="0"/>
          <w:sz w:val="32"/>
          <w:szCs w:val="32"/>
          <w:lang w:eastAsia="zh-CN"/>
        </w:rPr>
        <w:t>鲁村镇人民政府根据</w:t>
      </w:r>
      <w:r>
        <w:rPr>
          <w:rFonts w:hint="eastAsia" w:ascii="仿宋_GB2312" w:hAnsi="仿宋_GB2312" w:eastAsia="仿宋_GB2312" w:cs="仿宋_GB2312"/>
          <w:b w:val="0"/>
          <w:bCs w:val="0"/>
          <w:sz w:val="32"/>
          <w:szCs w:val="32"/>
        </w:rPr>
        <w:t>政府信息公开工作情况编制。</w:t>
      </w:r>
    </w:p>
    <w:p>
      <w:pPr>
        <w:numPr>
          <w:ilvl w:val="0"/>
          <w:numId w:val="0"/>
        </w:numPr>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告全文由总体情况、主动公开政府信息情况、收到和处理政府信息公开申请情况、因政府信息公开工作被申请行政复议提起行政诉讼情况、政府信息公开工作存在的主要问题及改进情况、其他需要报告的事项等六个部分组成。</w:t>
      </w:r>
    </w:p>
    <w:p>
      <w:pPr>
        <w:numPr>
          <w:ilvl w:val="0"/>
          <w:numId w:val="0"/>
        </w:numPr>
        <w:spacing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报告中所列数据统计期限自2021年1月1日起，至2021年12月31号为止。报告电子版可从沂源县人民政府官方网站（www.yiyuan.gov.cn）下载。如对报告内容有疑问，请与</w:t>
      </w:r>
      <w:r>
        <w:rPr>
          <w:rFonts w:hint="eastAsia" w:ascii="仿宋_GB2312" w:hAnsi="仿宋_GB2312" w:eastAsia="仿宋_GB2312" w:cs="仿宋_GB2312"/>
          <w:b w:val="0"/>
          <w:bCs w:val="0"/>
          <w:sz w:val="32"/>
          <w:szCs w:val="32"/>
          <w:lang w:eastAsia="zh-CN"/>
        </w:rPr>
        <w:t>鲁村</w:t>
      </w:r>
      <w:r>
        <w:rPr>
          <w:rFonts w:hint="eastAsia" w:ascii="仿宋_GB2312" w:hAnsi="仿宋_GB2312" w:eastAsia="仿宋_GB2312" w:cs="仿宋_GB2312"/>
          <w:b w:val="0"/>
          <w:bCs w:val="0"/>
          <w:sz w:val="32"/>
          <w:szCs w:val="32"/>
        </w:rPr>
        <w:t>镇人民政府联系（地址：</w:t>
      </w:r>
      <w:r>
        <w:rPr>
          <w:rFonts w:hint="eastAsia" w:ascii="仿宋_GB2312" w:hAnsi="仿宋_GB2312" w:eastAsia="仿宋_GB2312" w:cs="仿宋_GB2312"/>
          <w:b w:val="0"/>
          <w:bCs w:val="0"/>
          <w:sz w:val="32"/>
          <w:szCs w:val="32"/>
          <w:lang w:eastAsia="zh-CN"/>
        </w:rPr>
        <w:t>鲁村</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泰薛</w:t>
      </w:r>
      <w:r>
        <w:rPr>
          <w:rFonts w:hint="eastAsia" w:ascii="仿宋_GB2312" w:hAnsi="仿宋_GB2312" w:eastAsia="仿宋_GB2312" w:cs="仿宋_GB2312"/>
          <w:b w:val="0"/>
          <w:bCs w:val="0"/>
          <w:sz w:val="32"/>
          <w:szCs w:val="32"/>
        </w:rPr>
        <w:t>路</w:t>
      </w:r>
      <w:r>
        <w:rPr>
          <w:rFonts w:hint="eastAsia" w:ascii="仿宋_GB2312" w:hAnsi="仿宋_GB2312" w:eastAsia="仿宋_GB2312" w:cs="仿宋_GB2312"/>
          <w:b w:val="0"/>
          <w:bCs w:val="0"/>
          <w:sz w:val="32"/>
          <w:szCs w:val="32"/>
          <w:lang w:val="en-US" w:eastAsia="zh-CN"/>
        </w:rPr>
        <w:t>62</w:t>
      </w:r>
      <w:r>
        <w:rPr>
          <w:rFonts w:hint="eastAsia" w:ascii="仿宋_GB2312" w:hAnsi="仿宋_GB2312" w:eastAsia="仿宋_GB2312" w:cs="仿宋_GB2312"/>
          <w:b w:val="0"/>
          <w:bCs w:val="0"/>
          <w:sz w:val="32"/>
          <w:szCs w:val="32"/>
        </w:rPr>
        <w:t>号；邮编：25610</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；电话：0533-</w:t>
      </w:r>
      <w:r>
        <w:rPr>
          <w:rFonts w:hint="eastAsia" w:ascii="仿宋_GB2312" w:hAnsi="仿宋_GB2312" w:eastAsia="仿宋_GB2312" w:cs="仿宋_GB2312"/>
          <w:b w:val="0"/>
          <w:bCs w:val="0"/>
          <w:sz w:val="32"/>
          <w:szCs w:val="32"/>
          <w:lang w:val="en-US" w:eastAsia="zh-CN"/>
        </w:rPr>
        <w:t>3640016</w:t>
      </w:r>
      <w:r>
        <w:rPr>
          <w:rFonts w:hint="eastAsia" w:ascii="仿宋_GB2312" w:hAnsi="仿宋_GB2312" w:eastAsia="仿宋_GB2312" w:cs="仿宋_GB2312"/>
          <w:b w:val="0"/>
          <w:bCs w:val="0"/>
          <w:sz w:val="32"/>
          <w:szCs w:val="32"/>
        </w:rPr>
        <w:t>；邮箱：</w:t>
      </w:r>
      <w:r>
        <w:rPr>
          <w:rFonts w:hint="eastAsia" w:ascii="仿宋_GB2312" w:hAnsi="仿宋_GB2312" w:eastAsia="仿宋_GB2312" w:cs="仿宋_GB2312"/>
          <w:b w:val="0"/>
          <w:bCs w:val="0"/>
          <w:sz w:val="32"/>
          <w:szCs w:val="32"/>
          <w:lang w:val="en-US" w:eastAsia="zh-CN"/>
        </w:rPr>
        <w:t>lucundzb</w:t>
      </w:r>
      <w:r>
        <w:rPr>
          <w:rFonts w:hint="eastAsia" w:ascii="仿宋_GB2312" w:hAnsi="仿宋_GB2312" w:eastAsia="仿宋_GB2312" w:cs="仿宋_GB2312"/>
          <w:b w:val="0"/>
          <w:bCs w:val="0"/>
          <w:sz w:val="32"/>
          <w:szCs w:val="32"/>
        </w:rPr>
        <w:t>@zb.shandong.cn）。</w:t>
      </w:r>
    </w:p>
    <w:p>
      <w:pPr>
        <w:numPr>
          <w:ilvl w:val="0"/>
          <w:numId w:val="1"/>
        </w:numPr>
        <w:spacing w:line="560" w:lineRule="exact"/>
        <w:ind w:firstLine="643" w:firstLineChars="200"/>
        <w:jc w:val="both"/>
        <w:rPr>
          <w:rStyle w:val="7"/>
          <w:rFonts w:hint="eastAsia" w:ascii="仿宋_GB2312" w:hAnsi="仿宋_GB2312" w:eastAsia="仿宋_GB2312" w:cs="仿宋_GB2312"/>
          <w:b/>
          <w:bCs/>
          <w:sz w:val="32"/>
          <w:szCs w:val="32"/>
          <w:shd w:val="clear" w:color="auto" w:fill="FFFFFF"/>
        </w:rPr>
      </w:pPr>
      <w:r>
        <w:rPr>
          <w:rStyle w:val="7"/>
          <w:rFonts w:hint="eastAsia" w:ascii="仿宋_GB2312" w:hAnsi="仿宋_GB2312" w:eastAsia="仿宋_GB2312" w:cs="仿宋_GB2312"/>
          <w:b/>
          <w:bCs/>
          <w:sz w:val="32"/>
          <w:szCs w:val="32"/>
          <w:shd w:val="clear" w:color="auto" w:fill="FFFFFF"/>
        </w:rPr>
        <w:t>总体情况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hint="eastAsia" w:ascii="仿宋_GB2312" w:hAnsi="Times New Roman" w:eastAsia="仿宋_GB2312" w:cs="仿宋_GB2312"/>
          <w:i w:val="0"/>
          <w:caps w:val="0"/>
          <w:color w:val="000000"/>
          <w:spacing w:val="0"/>
          <w:sz w:val="32"/>
          <w:szCs w:val="32"/>
          <w:shd w:val="clear" w:fill="FFFFFF"/>
        </w:rPr>
        <w:t>根据《中华人民共和国政府信息公开条例》（以下简称《条例》）的规定、</w:t>
      </w:r>
      <w:r>
        <w:rPr>
          <w:rFonts w:hint="eastAsia" w:ascii="仿宋_GB2312" w:hAnsi="Times New Roman" w:eastAsia="仿宋_GB2312" w:cs="仿宋_GB2312"/>
          <w:i w:val="0"/>
          <w:caps w:val="0"/>
          <w:color w:val="000000"/>
          <w:spacing w:val="0"/>
          <w:sz w:val="32"/>
          <w:szCs w:val="32"/>
          <w:shd w:val="clear" w:fill="FFFFFF"/>
          <w:lang w:eastAsia="zh-CN"/>
        </w:rPr>
        <w:t>鲁村镇</w:t>
      </w:r>
      <w:r>
        <w:rPr>
          <w:rFonts w:hint="eastAsia" w:ascii="仿宋_GB2312" w:hAnsi="Times New Roman" w:eastAsia="仿宋_GB2312" w:cs="仿宋_GB2312"/>
          <w:i w:val="0"/>
          <w:caps w:val="0"/>
          <w:color w:val="000000"/>
          <w:spacing w:val="0"/>
          <w:sz w:val="32"/>
          <w:szCs w:val="32"/>
          <w:shd w:val="clear" w:fill="FFFFFF"/>
        </w:rPr>
        <w:t>人民政府关于贯彻《条例》的实施意见的要求，现向社会公布</w:t>
      </w:r>
      <w:r>
        <w:rPr>
          <w:rFonts w:hint="eastAsia" w:ascii="仿宋_GB2312" w:hAnsi="Times New Roman" w:eastAsia="仿宋_GB2312" w:cs="仿宋_GB2312"/>
          <w:i w:val="0"/>
          <w:caps w:val="0"/>
          <w:color w:val="000000"/>
          <w:spacing w:val="0"/>
          <w:sz w:val="32"/>
          <w:szCs w:val="32"/>
          <w:shd w:val="clear" w:fill="FFFFFF"/>
          <w:lang w:eastAsia="zh-CN"/>
        </w:rPr>
        <w:t>鲁村镇</w:t>
      </w:r>
      <w:r>
        <w:rPr>
          <w:rFonts w:hint="eastAsia" w:ascii="仿宋_GB2312" w:hAnsi="Times New Roman" w:eastAsia="仿宋_GB2312" w:cs="仿宋_GB2312"/>
          <w:i w:val="0"/>
          <w:caps w:val="0"/>
          <w:color w:val="000000"/>
          <w:spacing w:val="0"/>
          <w:sz w:val="32"/>
          <w:szCs w:val="32"/>
          <w:shd w:val="clear" w:fill="FFFFFF"/>
        </w:rPr>
        <w:t>人民政府202</w:t>
      </w:r>
      <w:r>
        <w:rPr>
          <w:rFonts w:hint="eastAsia" w:ascii="仿宋_GB2312" w:hAnsi="Times New Roman" w:eastAsia="仿宋_GB2312" w:cs="仿宋_GB2312"/>
          <w:i w:val="0"/>
          <w:caps w:val="0"/>
          <w:color w:val="000000"/>
          <w:spacing w:val="0"/>
          <w:sz w:val="32"/>
          <w:szCs w:val="32"/>
          <w:shd w:val="clear" w:fill="FFFFFF"/>
          <w:lang w:val="en-US" w:eastAsia="zh-CN"/>
        </w:rPr>
        <w:t>1</w:t>
      </w:r>
      <w:r>
        <w:rPr>
          <w:rFonts w:hint="eastAsia" w:ascii="仿宋_GB2312" w:hAnsi="Times New Roman" w:eastAsia="仿宋_GB2312" w:cs="仿宋_GB2312"/>
          <w:i w:val="0"/>
          <w:caps w:val="0"/>
          <w:color w:val="000000"/>
          <w:spacing w:val="0"/>
          <w:sz w:val="32"/>
          <w:szCs w:val="32"/>
          <w:shd w:val="clear" w:fill="FFFFFF"/>
        </w:rPr>
        <w:t>年政府信息公开工作年度报告</w:t>
      </w:r>
      <w:r>
        <w:rPr>
          <w:rFonts w:hint="eastAsia" w:eastAsia="仿宋_GB2312"/>
          <w:color w:val="auto"/>
          <w:sz w:val="32"/>
          <w:szCs w:val="32"/>
          <w:shd w:val="clear" w:color="auto" w:fill="FFFFFF"/>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480" w:leftChars="0" w:firstLine="0" w:firstLineChars="0"/>
        <w:jc w:val="both"/>
        <w:textAlignment w:val="auto"/>
        <w:rPr>
          <w:rStyle w:val="7"/>
          <w:rFonts w:hint="eastAsia" w:ascii="仿宋_GB2312" w:hAnsi="仿宋_GB2312" w:eastAsia="仿宋_GB2312" w:cs="仿宋_GB2312"/>
          <w:b w:val="0"/>
          <w:bCs w:val="0"/>
          <w:sz w:val="32"/>
          <w:szCs w:val="32"/>
          <w:shd w:val="clear" w:color="auto" w:fill="FFFFFF"/>
        </w:rPr>
      </w:pPr>
      <w:r>
        <w:rPr>
          <w:rStyle w:val="7"/>
          <w:rFonts w:hint="eastAsia" w:ascii="仿宋_GB2312" w:hAnsi="仿宋_GB2312" w:eastAsia="仿宋_GB2312" w:cs="仿宋_GB2312"/>
          <w:b w:val="0"/>
          <w:bCs w:val="0"/>
          <w:sz w:val="32"/>
          <w:szCs w:val="32"/>
          <w:shd w:val="clear" w:color="auto" w:fill="FFFFFF"/>
        </w:rPr>
        <w:t>主动公开信息情况</w:t>
      </w:r>
    </w:p>
    <w:p>
      <w:pPr>
        <w:pStyle w:val="3"/>
        <w:keepNext w:val="0"/>
        <w:keepLines w:val="0"/>
        <w:widowControl/>
        <w:suppressLineNumbers w:val="0"/>
        <w:autoSpaceDE w:val="0"/>
        <w:autoSpaceDN/>
        <w:spacing w:before="0" w:beforeAutospacing="0" w:after="0" w:afterAutospacing="0" w:line="560" w:lineRule="atLeast"/>
        <w:ind w:firstLine="640" w:firstLineChars="200"/>
        <w:jc w:val="left"/>
        <w:rPr>
          <w:rFonts w:hint="eastAsia" w:ascii="仿宋_GB2312" w:eastAsia="仿宋_GB2312" w:cs="仿宋_GB2312"/>
          <w:caps w:val="0"/>
          <w:color w:val="000000"/>
          <w:spacing w:val="0"/>
          <w:sz w:val="32"/>
          <w:szCs w:val="32"/>
          <w:shd w:val="clear" w:fill="FFFFFF"/>
          <w:lang w:val="en-US" w:eastAsia="zh-CN"/>
        </w:rPr>
      </w:pPr>
      <w:r>
        <w:rPr>
          <w:rFonts w:hint="eastAsia" w:ascii="仿宋_GB2312" w:eastAsia="仿宋_GB2312" w:cs="仿宋_GB2312"/>
          <w:caps w:val="0"/>
          <w:color w:val="000000"/>
          <w:spacing w:val="0"/>
          <w:sz w:val="32"/>
          <w:szCs w:val="32"/>
          <w:shd w:val="clear" w:fill="FFFFFF"/>
          <w:lang w:val="en-US" w:eastAsia="zh-CN"/>
        </w:rPr>
        <w:t>2021年，鲁村镇人民政府严格按照《政府信息公开条例》规定，认真贯彻落实上级《沂源县人民政府政府信息主动公开基本目录（2021版）》等文件要求，及时主动公开信息情况，在保证不泄密的情况下，做到应公开尽公开，有序推进政府信息公开工作向纵深发展。其中，规章本年新制作数量0；规范性文件本年新制作数量54件，对外公开31件；行政许可、行政许可、行政处罚、其他对外管理服务事项9；行政事业性收费0；政府集中采购0；人大代表、政协委员建议提案办理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38" w:leftChars="304" w:right="0" w:firstLine="0" w:firstLineChars="0"/>
        <w:jc w:val="both"/>
        <w:textAlignment w:val="auto"/>
      </w:pPr>
      <w:bookmarkStart w:id="0" w:name="_GoBack"/>
      <w:r>
        <w:drawing>
          <wp:anchor distT="0" distB="0" distL="114300" distR="114300" simplePos="0" relativeHeight="251659264" behindDoc="0" locked="0" layoutInCell="1" allowOverlap="1">
            <wp:simplePos x="0" y="0"/>
            <wp:positionH relativeFrom="column">
              <wp:posOffset>1002030</wp:posOffset>
            </wp:positionH>
            <wp:positionV relativeFrom="paragraph">
              <wp:posOffset>124460</wp:posOffset>
            </wp:positionV>
            <wp:extent cx="3108325" cy="2055495"/>
            <wp:effectExtent l="0" t="0" r="15875" b="19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108325" cy="2055495"/>
                    </a:xfrm>
                    <a:prstGeom prst="rect">
                      <a:avLst/>
                    </a:prstGeom>
                    <a:noFill/>
                    <a:ln>
                      <a:noFill/>
                    </a:ln>
                  </pic:spPr>
                </pic:pic>
              </a:graphicData>
            </a:graphic>
          </wp:anchor>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38" w:leftChars="304" w:righ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微软雅黑" w:eastAsia="仿宋_GB2312" w:cs="仿宋_GB2312"/>
          <w:i w:val="0"/>
          <w:caps w:val="0"/>
          <w:color w:val="000000"/>
          <w:spacing w:val="0"/>
          <w:sz w:val="32"/>
          <w:szCs w:val="32"/>
          <w:shd w:val="clear" w:fill="FFFFFF"/>
          <w:lang w:val="en-US" w:eastAsia="zh-CN"/>
        </w:rPr>
        <w:t>（二）</w:t>
      </w:r>
      <w:r>
        <w:rPr>
          <w:rStyle w:val="7"/>
          <w:rFonts w:hint="eastAsia" w:ascii="仿宋_GB2312" w:hAnsi="仿宋_GB2312" w:eastAsia="仿宋_GB2312" w:cs="仿宋_GB2312"/>
          <w:b w:val="0"/>
          <w:bCs w:val="0"/>
          <w:sz w:val="32"/>
          <w:szCs w:val="32"/>
          <w:shd w:val="clear" w:color="auto" w:fill="FFFFFF"/>
        </w:rPr>
        <w:t>依申请公开情况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2021年鲁村镇人民政府办共收到依申请公开3件，其中包括2件互联网政府信息平台和1件纸质版邮件，均在规定时限内进行答复，</w:t>
      </w:r>
      <w:r>
        <w:rPr>
          <w:rFonts w:hint="eastAsia" w:ascii="仿宋_GB2312" w:hAnsi="仿宋_GB2312" w:eastAsia="仿宋_GB2312" w:cs="仿宋_GB2312"/>
          <w:sz w:val="32"/>
          <w:szCs w:val="32"/>
        </w:rPr>
        <w:t>申请内容主要集中在土地</w:t>
      </w:r>
      <w:r>
        <w:rPr>
          <w:rFonts w:hint="eastAsia" w:ascii="仿宋_GB2312" w:hAnsi="仿宋_GB2312" w:eastAsia="仿宋_GB2312" w:cs="仿宋_GB2312"/>
          <w:sz w:val="32"/>
          <w:szCs w:val="32"/>
          <w:lang w:eastAsia="zh-CN"/>
        </w:rPr>
        <w:t>承包</w:t>
      </w:r>
      <w:r>
        <w:rPr>
          <w:rFonts w:hint="eastAsia" w:ascii="仿宋_GB2312" w:hAnsi="仿宋_GB2312" w:eastAsia="仿宋_GB2312" w:cs="仿宋_GB2312"/>
          <w:sz w:val="32"/>
          <w:szCs w:val="32"/>
        </w:rPr>
        <w:t>、补偿</w:t>
      </w:r>
      <w:r>
        <w:rPr>
          <w:rFonts w:hint="eastAsia" w:ascii="仿宋_GB2312" w:hAnsi="仿宋_GB2312" w:eastAsia="仿宋_GB2312" w:cs="仿宋_GB2312"/>
          <w:sz w:val="32"/>
          <w:szCs w:val="32"/>
          <w:lang w:eastAsia="zh-CN"/>
        </w:rPr>
        <w:t>标准、会议记录</w:t>
      </w:r>
      <w:r>
        <w:rPr>
          <w:rFonts w:hint="eastAsia" w:ascii="仿宋_GB2312" w:hAnsi="仿宋_GB2312" w:eastAsia="仿宋_GB2312" w:cs="仿宋_GB2312"/>
          <w:sz w:val="32"/>
          <w:szCs w:val="32"/>
        </w:rPr>
        <w:t>等领域。</w:t>
      </w:r>
    </w:p>
    <w:p>
      <w:pPr>
        <w:keepNext w:val="0"/>
        <w:keepLines w:val="0"/>
        <w:pageBreakBefore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（三）政府信息管理情况</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lang w:eastAsia="zh-CN"/>
        </w:rPr>
      </w:pPr>
      <w:r>
        <w:rPr>
          <w:rFonts w:hint="eastAsia" w:ascii="仿宋" w:hAnsi="仿宋" w:eastAsia="仿宋" w:cs="仿宋"/>
          <w:sz w:val="31"/>
          <w:szCs w:val="31"/>
          <w:lang w:eastAsia="zh-CN"/>
        </w:rPr>
        <w:t>推动“决策、执行、管理、服务、结果”全过程工作的工作机制，明确了保密审查责任和程序，建立了信息公开时机、范围、方式和防止泄露个人信息的审查制度。另外，加强信息公开日常监测，定期对发布信息进行梳理，对政务栏目更新、信息质量等进行审核把关，保证信息发布严肃性，并通过网络安全测评等形式，加强新平台安全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lang w:eastAsia="zh-CN"/>
        </w:rPr>
        <w:t>（四）</w:t>
      </w:r>
      <w:r>
        <w:rPr>
          <w:rStyle w:val="7"/>
          <w:rFonts w:hint="eastAsia" w:ascii="仿宋_GB2312" w:hAnsi="仿宋_GB2312" w:eastAsia="仿宋_GB2312" w:cs="仿宋_GB2312"/>
          <w:b w:val="0"/>
          <w:bCs w:val="0"/>
          <w:sz w:val="32"/>
          <w:szCs w:val="32"/>
          <w:shd w:val="clear" w:color="auto" w:fill="FFFFFF"/>
        </w:rPr>
        <w:t>平台建设情况</w:t>
      </w:r>
    </w:p>
    <w:p>
      <w:pPr>
        <w:pStyle w:val="3"/>
        <w:keepNext w:val="0"/>
        <w:keepLines w:val="0"/>
        <w:widowControl/>
        <w:suppressLineNumbers w:val="0"/>
        <w:autoSpaceDE w:val="0"/>
        <w:autoSpaceDN/>
        <w:spacing w:before="0" w:beforeAutospacing="0" w:after="0" w:afterAutospacing="0" w:line="560" w:lineRule="atLeast"/>
        <w:ind w:firstLine="640" w:firstLineChars="200"/>
        <w:jc w:val="left"/>
        <w:rPr>
          <w:rFonts w:hint="eastAsia" w:ascii="仿宋_GB2312" w:eastAsia="仿宋_GB2312" w:cs="仿宋_GB2312"/>
          <w:caps w:val="0"/>
          <w:color w:val="000000"/>
          <w:spacing w:val="0"/>
          <w:sz w:val="32"/>
          <w:szCs w:val="32"/>
          <w:shd w:val="clear" w:fill="FFFFFF"/>
          <w:lang w:eastAsia="zh-CN"/>
        </w:rPr>
      </w:pPr>
      <w:r>
        <w:rPr>
          <w:rFonts w:hint="eastAsia" w:ascii="仿宋_GB2312" w:eastAsia="仿宋_GB2312" w:cs="仿宋_GB2312"/>
          <w:caps w:val="0"/>
          <w:color w:val="000000"/>
          <w:spacing w:val="0"/>
          <w:sz w:val="32"/>
          <w:szCs w:val="32"/>
          <w:shd w:val="clear" w:fill="FFFFFF"/>
          <w:lang w:eastAsia="zh-CN"/>
        </w:rPr>
        <w:t>鲁村镇严格按照县大数据中心的要求，完成了平台完善补充等相关工作。镇领导班子成员在牵头成立政务公开领导小组、下设办公室、配备政务公开专职负责人员1名，时常关注政务公开工作进行，保证政务公开有序运行，依托沂源县人民政府网站进行政务信息公开发布。充分发挥沂源县人民政府网站的平台作用，及时发布完善机构职能、领导分工、政府文件、部门文件、重点领域公开、执法结果等信息，并对发布文件进行相关解读工作，确保应当公开的内容及时公开。</w:t>
      </w:r>
    </w:p>
    <w:p>
      <w:pPr>
        <w:pStyle w:val="3"/>
        <w:keepNext w:val="0"/>
        <w:keepLines w:val="0"/>
        <w:widowControl/>
        <w:suppressLineNumbers w:val="0"/>
        <w:autoSpaceDE w:val="0"/>
        <w:autoSpaceDN/>
        <w:spacing w:before="0" w:beforeAutospacing="0" w:after="0" w:afterAutospacing="0" w:line="560" w:lineRule="atLeast"/>
        <w:ind w:firstLine="640" w:firstLineChars="200"/>
        <w:jc w:val="left"/>
        <w:rPr>
          <w:rFonts w:hint="eastAsia" w:ascii="仿宋_GB2312" w:eastAsia="仿宋_GB2312" w:cs="仿宋_GB2312"/>
          <w:caps w:val="0"/>
          <w:color w:val="000000"/>
          <w:spacing w:val="0"/>
          <w:sz w:val="32"/>
          <w:szCs w:val="32"/>
          <w:shd w:val="clear" w:fill="FFFFFF"/>
          <w:lang w:val="en-US" w:eastAsia="zh-CN"/>
        </w:rPr>
      </w:pPr>
      <w:r>
        <w:rPr>
          <w:rFonts w:hint="eastAsia" w:ascii="仿宋_GB2312" w:eastAsia="仿宋_GB2312" w:cs="仿宋_GB2312"/>
          <w:caps w:val="0"/>
          <w:color w:val="000000"/>
          <w:spacing w:val="0"/>
          <w:sz w:val="32"/>
          <w:szCs w:val="32"/>
          <w:shd w:val="clear" w:fill="FFFFFF"/>
          <w:lang w:val="en-US" w:eastAsia="zh-CN"/>
        </w:rPr>
        <w:t>此外，我镇利用“幸福鲁村”微信公众号平台，发布每周主要工作、重要信息等共计67篇，由主要负责同志进行审核之后进行公开，获得群众好评。</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drawing>
          <wp:inline distT="0" distB="0" distL="114300" distR="114300">
            <wp:extent cx="4823460" cy="6118860"/>
            <wp:effectExtent l="0" t="0" r="7620" b="7620"/>
            <wp:docPr id="7" name="图片 7" descr="8af6f649a9f25af0399d117596b5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af6f649a9f25af0399d117596b545c"/>
                    <pic:cNvPicPr>
                      <a:picLocks noChangeAspect="1"/>
                    </pic:cNvPicPr>
                  </pic:nvPicPr>
                  <pic:blipFill>
                    <a:blip r:embed="rId5"/>
                    <a:stretch>
                      <a:fillRect/>
                    </a:stretch>
                  </pic:blipFill>
                  <pic:spPr>
                    <a:xfrm>
                      <a:off x="0" y="0"/>
                      <a:ext cx="4823460" cy="6118860"/>
                    </a:xfrm>
                    <a:prstGeom prst="rect">
                      <a:avLst/>
                    </a:prstGeom>
                  </pic:spPr>
                </pic:pic>
              </a:graphicData>
            </a:graphic>
          </wp:inline>
        </w:drawing>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val="0"/>
          <w:sz w:val="32"/>
          <w:szCs w:val="32"/>
          <w:shd w:val="clear" w:color="auto" w:fill="FFFFFF"/>
        </w:rPr>
      </w:pPr>
      <w:r>
        <w:rPr>
          <w:rStyle w:val="7"/>
          <w:rFonts w:hint="eastAsia" w:ascii="仿宋_GB2312" w:hAnsi="仿宋_GB2312" w:eastAsia="仿宋_GB2312" w:cs="仿宋_GB2312"/>
          <w:b w:val="0"/>
          <w:bCs w:val="0"/>
          <w:sz w:val="32"/>
          <w:szCs w:val="32"/>
          <w:shd w:val="clear" w:color="auto" w:fill="FFFFFF"/>
          <w:lang w:eastAsia="zh-CN"/>
        </w:rPr>
        <w:t>（五）</w:t>
      </w:r>
      <w:r>
        <w:rPr>
          <w:rStyle w:val="7"/>
          <w:rFonts w:hint="eastAsia" w:ascii="仿宋_GB2312" w:hAnsi="仿宋_GB2312" w:eastAsia="仿宋_GB2312" w:cs="仿宋_GB2312"/>
          <w:b w:val="0"/>
          <w:bCs w:val="0"/>
          <w:sz w:val="32"/>
          <w:szCs w:val="32"/>
          <w:shd w:val="clear" w:color="auto" w:fill="FFFFFF"/>
        </w:rPr>
        <w:t>监督保障情况</w:t>
      </w:r>
    </w:p>
    <w:p>
      <w:pPr>
        <w:pStyle w:val="3"/>
        <w:keepNext w:val="0"/>
        <w:keepLines w:val="0"/>
        <w:widowControl/>
        <w:suppressLineNumbers w:val="0"/>
        <w:autoSpaceDE w:val="0"/>
        <w:autoSpaceDN/>
        <w:spacing w:before="0" w:beforeAutospacing="0" w:after="0" w:afterAutospacing="0" w:line="560" w:lineRule="atLeast"/>
        <w:ind w:firstLine="640" w:firstLineChars="200"/>
        <w:jc w:val="left"/>
        <w:rPr>
          <w:rFonts w:hint="eastAsia" w:ascii="仿宋_GB2312" w:eastAsia="仿宋_GB2312" w:cs="仿宋_GB2312"/>
          <w:caps w:val="0"/>
          <w:color w:val="000000"/>
          <w:spacing w:val="0"/>
          <w:sz w:val="32"/>
          <w:szCs w:val="32"/>
          <w:shd w:val="clear" w:fill="FFFFFF"/>
          <w:lang w:eastAsia="zh-CN"/>
        </w:rPr>
      </w:pPr>
      <w:r>
        <w:rPr>
          <w:rFonts w:hint="eastAsia" w:ascii="仿宋_GB2312" w:eastAsia="仿宋_GB2312" w:cs="仿宋_GB2312"/>
          <w:caps w:val="0"/>
          <w:color w:val="000000"/>
          <w:spacing w:val="0"/>
          <w:sz w:val="32"/>
          <w:szCs w:val="32"/>
          <w:shd w:val="clear" w:fill="FFFFFF"/>
          <w:lang w:eastAsia="zh-CN"/>
        </w:rPr>
        <w:t>1.抓好组织保障。为切实加强政府信息公开工作的领导，确保该项工作顺利推进，本单位及时调整政府信息公开工作领导小组成员，由办公室负责政府信息公开的日常工作，明确公开范围分类向社会主动公开，并做到及时更新。</w:t>
      </w:r>
    </w:p>
    <w:p>
      <w:pPr>
        <w:pStyle w:val="3"/>
        <w:keepNext w:val="0"/>
        <w:keepLines w:val="0"/>
        <w:widowControl/>
        <w:suppressLineNumbers w:val="0"/>
        <w:autoSpaceDE w:val="0"/>
        <w:autoSpaceDN/>
        <w:spacing w:before="0" w:beforeAutospacing="0" w:after="0" w:afterAutospacing="0" w:line="560" w:lineRule="atLeast"/>
        <w:ind w:firstLine="640" w:firstLineChars="200"/>
        <w:jc w:val="left"/>
        <w:rPr>
          <w:rFonts w:hint="eastAsia" w:ascii="仿宋_GB2312" w:eastAsia="仿宋_GB2312" w:cs="仿宋_GB2312"/>
          <w:caps w:val="0"/>
          <w:color w:val="000000"/>
          <w:spacing w:val="0"/>
          <w:sz w:val="32"/>
          <w:szCs w:val="32"/>
          <w:shd w:val="clear" w:fill="FFFFFF"/>
          <w:lang w:eastAsia="zh-CN"/>
        </w:rPr>
      </w:pPr>
      <w:r>
        <w:rPr>
          <w:rFonts w:hint="eastAsia" w:ascii="仿宋_GB2312" w:eastAsia="仿宋_GB2312" w:cs="仿宋_GB2312"/>
          <w:caps w:val="0"/>
          <w:color w:val="000000"/>
          <w:spacing w:val="0"/>
          <w:sz w:val="32"/>
          <w:szCs w:val="32"/>
          <w:shd w:val="clear" w:fill="FFFFFF"/>
          <w:lang w:eastAsia="zh-CN"/>
        </w:rPr>
        <w:t>2.完善工作考核。将信息公开工作的完成质量、及时率等纳入工作人员年度考核指标。</w:t>
      </w:r>
    </w:p>
    <w:p>
      <w:pPr>
        <w:pStyle w:val="3"/>
        <w:keepNext w:val="0"/>
        <w:keepLines w:val="0"/>
        <w:widowControl/>
        <w:suppressLineNumbers w:val="0"/>
        <w:autoSpaceDE w:val="0"/>
        <w:autoSpaceDN/>
        <w:spacing w:before="0" w:beforeAutospacing="0" w:after="0" w:afterAutospacing="0" w:line="560" w:lineRule="atLeast"/>
        <w:ind w:firstLine="640" w:firstLineChars="200"/>
        <w:jc w:val="left"/>
        <w:rPr>
          <w:rFonts w:hint="eastAsia" w:ascii="仿宋_GB2312" w:eastAsia="仿宋_GB2312" w:cs="仿宋_GB2312"/>
          <w:caps w:val="0"/>
          <w:color w:val="000000"/>
          <w:spacing w:val="0"/>
          <w:sz w:val="32"/>
          <w:szCs w:val="32"/>
          <w:shd w:val="clear" w:fill="FFFFFF"/>
          <w:lang w:eastAsia="zh-CN"/>
        </w:rPr>
      </w:pPr>
      <w:r>
        <w:rPr>
          <w:rFonts w:hint="eastAsia" w:ascii="仿宋_GB2312" w:eastAsia="仿宋_GB2312" w:cs="仿宋_GB2312"/>
          <w:caps w:val="0"/>
          <w:color w:val="000000"/>
          <w:spacing w:val="0"/>
          <w:sz w:val="32"/>
          <w:szCs w:val="32"/>
          <w:shd w:val="clear" w:fill="FFFFFF"/>
          <w:lang w:eastAsia="zh-CN"/>
        </w:rPr>
        <w:t>3.落实责任追究。对在信息公开工作中有失职渎职行为的，依法追究责任。</w:t>
      </w:r>
    </w:p>
    <w:p>
      <w:pPr>
        <w:pStyle w:val="3"/>
        <w:keepNext w:val="0"/>
        <w:keepLines w:val="0"/>
        <w:widowControl/>
        <w:suppressLineNumbers w:val="0"/>
        <w:autoSpaceDE w:val="0"/>
        <w:autoSpaceDN/>
        <w:spacing w:before="0" w:beforeAutospacing="0" w:after="0" w:afterAutospacing="0" w:line="560" w:lineRule="atLeast"/>
        <w:ind w:firstLine="640" w:firstLineChars="200"/>
        <w:jc w:val="left"/>
      </w:pPr>
      <w:r>
        <w:rPr>
          <w:rFonts w:hint="eastAsia" w:ascii="仿宋_GB2312" w:eastAsia="仿宋_GB2312" w:cs="仿宋_GB2312"/>
          <w:caps w:val="0"/>
          <w:color w:val="000000"/>
          <w:spacing w:val="0"/>
          <w:sz w:val="32"/>
          <w:szCs w:val="32"/>
          <w:shd w:val="clear" w:fill="FFFFFF"/>
          <w:lang w:eastAsia="zh-CN"/>
        </w:rPr>
        <w:t>截止2021年底，本单位政府信息公开运行正常，政府信息公开咨询、申请以及答复工作均得到了顺利开展。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p>
      <w:pPr>
        <w:pStyle w:val="8"/>
        <w:pageBreakBefore w:val="0"/>
        <w:numPr>
          <w:ilvl w:val="0"/>
          <w:numId w:val="1"/>
        </w:numPr>
        <w:kinsoku/>
        <w:wordWrap/>
        <w:overflowPunct/>
        <w:topLinePunct w:val="0"/>
        <w:autoSpaceDE/>
        <w:autoSpaceDN/>
        <w:bidi w:val="0"/>
        <w:adjustRightInd/>
        <w:spacing w:after="280" w:line="240" w:lineRule="auto"/>
        <w:ind w:left="0" w:leftChars="0" w:firstLine="640" w:firstLineChars="200"/>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主动公开政府信息情况</w:t>
      </w:r>
    </w:p>
    <w:tbl>
      <w:tblPr>
        <w:tblStyle w:val="5"/>
        <w:tblW w:w="82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jc w:val="center"/>
        </w:trPr>
        <w:tc>
          <w:tcPr>
            <w:tcW w:w="8234" w:type="dxa"/>
            <w:gridSpan w:val="4"/>
            <w:tcBorders>
              <w:top w:val="single" w:color="4F81BD" w:sz="8" w:space="0"/>
              <w:left w:val="single" w:color="4F81BD" w:sz="8" w:space="0"/>
              <w:bottom w:val="single" w:color="FFFFFF" w:sz="18" w:space="0"/>
              <w:right w:val="single" w:color="4F81BD" w:sz="8" w:space="0"/>
            </w:tcBorders>
            <w:shd w:val="clear" w:color="auto" w:fill="4F81BD"/>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7"/>
                <w:rFonts w:hint="eastAsia" w:ascii="黑体" w:eastAsia="黑体" w:cs="黑体"/>
                <w:b/>
                <w:color w:val="FFFFFF"/>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jc w:val="center"/>
        </w:trPr>
        <w:tc>
          <w:tcPr>
            <w:tcW w:w="250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信息内容</w:t>
            </w:r>
          </w:p>
        </w:tc>
        <w:tc>
          <w:tcPr>
            <w:tcW w:w="1842"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本年新制作数量</w:t>
            </w:r>
          </w:p>
        </w:tc>
        <w:tc>
          <w:tcPr>
            <w:tcW w:w="1888"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本年新公开数量</w:t>
            </w:r>
          </w:p>
        </w:tc>
        <w:tc>
          <w:tcPr>
            <w:tcW w:w="199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对外公开总数量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规章</w:t>
            </w:r>
          </w:p>
        </w:tc>
        <w:tc>
          <w:tcPr>
            <w:tcW w:w="18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888"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99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规范性文件</w:t>
            </w:r>
          </w:p>
        </w:tc>
        <w:tc>
          <w:tcPr>
            <w:tcW w:w="1842"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color w:val="000000"/>
                <w:lang w:val="en-US" w:eastAsia="zh-CN"/>
              </w:rPr>
            </w:pPr>
            <w:r>
              <w:rPr>
                <w:rFonts w:hint="eastAsia"/>
                <w:color w:val="000000"/>
                <w:lang w:val="en-US" w:eastAsia="zh-CN"/>
              </w:rPr>
              <w:t>54</w:t>
            </w:r>
          </w:p>
        </w:tc>
        <w:tc>
          <w:tcPr>
            <w:tcW w:w="1888"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color w:val="000000"/>
                <w:lang w:val="en-US" w:eastAsia="zh-CN"/>
              </w:rPr>
            </w:pPr>
            <w:r>
              <w:rPr>
                <w:rFonts w:hint="eastAsia"/>
                <w:color w:val="000000"/>
                <w:lang w:val="en-US" w:eastAsia="zh-CN"/>
              </w:rPr>
              <w:t>54</w:t>
            </w:r>
          </w:p>
        </w:tc>
        <w:tc>
          <w:tcPr>
            <w:tcW w:w="199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color w:val="000000"/>
                <w:lang w:val="en-US" w:eastAsia="zh-CN"/>
              </w:rPr>
            </w:pPr>
            <w:r>
              <w:rPr>
                <w:rFonts w:hint="eastAsia"/>
                <w:color w:val="000000"/>
                <w:lang w:val="en-US" w:eastAsia="zh-CN"/>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8234" w:type="dxa"/>
            <w:gridSpan w:val="4"/>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7"/>
                <w:rFonts w:hint="eastAsia" w:ascii="黑体" w:eastAsia="黑体" w:cs="黑体"/>
                <w:b/>
                <w:color w:val="000000"/>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信息内容</w:t>
            </w:r>
          </w:p>
        </w:tc>
        <w:tc>
          <w:tcPr>
            <w:tcW w:w="1842"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上一年项目数量</w:t>
            </w:r>
          </w:p>
        </w:tc>
        <w:tc>
          <w:tcPr>
            <w:tcW w:w="1888"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本年增/减</w:t>
            </w:r>
          </w:p>
        </w:tc>
        <w:tc>
          <w:tcPr>
            <w:tcW w:w="199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行政许可</w:t>
            </w:r>
          </w:p>
        </w:tc>
        <w:tc>
          <w:tcPr>
            <w:tcW w:w="18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888"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99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其他对外管理服务事项</w:t>
            </w:r>
          </w:p>
        </w:tc>
        <w:tc>
          <w:tcPr>
            <w:tcW w:w="1842"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888"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99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8234" w:type="dxa"/>
            <w:gridSpan w:val="4"/>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7"/>
                <w:rFonts w:hint="eastAsia" w:ascii="黑体" w:eastAsia="黑体" w:cs="黑体"/>
                <w:b/>
                <w:color w:val="000000"/>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信息内容</w:t>
            </w:r>
          </w:p>
        </w:tc>
        <w:tc>
          <w:tcPr>
            <w:tcW w:w="1842"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上一年项目数量</w:t>
            </w:r>
          </w:p>
        </w:tc>
        <w:tc>
          <w:tcPr>
            <w:tcW w:w="1888"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本年增/减</w:t>
            </w:r>
          </w:p>
        </w:tc>
        <w:tc>
          <w:tcPr>
            <w:tcW w:w="199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行政处罚</w:t>
            </w:r>
          </w:p>
        </w:tc>
        <w:tc>
          <w:tcPr>
            <w:tcW w:w="18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888"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eastAsia="zh-CN"/>
              </w:rPr>
            </w:pPr>
            <w:r>
              <w:rPr>
                <w:rFonts w:hint="eastAsia" w:ascii="宋体" w:hAnsi="宋体" w:eastAsia="宋体" w:cs="宋体"/>
                <w:color w:val="000000"/>
                <w:sz w:val="24"/>
                <w:szCs w:val="24"/>
                <w:lang w:val="en-US" w:eastAsia="zh-CN"/>
              </w:rPr>
              <w:t>9</w:t>
            </w:r>
          </w:p>
        </w:tc>
        <w:tc>
          <w:tcPr>
            <w:tcW w:w="199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eastAsia="zh-CN"/>
              </w:rPr>
            </w:pPr>
            <w:r>
              <w:rPr>
                <w:rFonts w:hint="eastAsia" w:ascii="宋体" w:hAnsi="宋体" w:eastAsia="宋体" w:cs="宋体"/>
                <w:color w:val="000000"/>
                <w:sz w:val="24"/>
                <w:szCs w:val="24"/>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行政强制</w:t>
            </w:r>
          </w:p>
        </w:tc>
        <w:tc>
          <w:tcPr>
            <w:tcW w:w="1842"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888"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199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8234" w:type="dxa"/>
            <w:gridSpan w:val="4"/>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7"/>
                <w:rFonts w:hint="eastAsia" w:ascii="黑体" w:eastAsia="黑体" w:cs="黑体"/>
                <w:b/>
                <w:color w:val="000000"/>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信息内容</w:t>
            </w:r>
          </w:p>
        </w:tc>
        <w:tc>
          <w:tcPr>
            <w:tcW w:w="1842"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上一年项目数量</w:t>
            </w:r>
          </w:p>
        </w:tc>
        <w:tc>
          <w:tcPr>
            <w:tcW w:w="3883"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本年增/减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行政事业性收费</w:t>
            </w:r>
          </w:p>
        </w:tc>
        <w:tc>
          <w:tcPr>
            <w:tcW w:w="18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3883"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jc w:val="center"/>
        </w:trPr>
        <w:tc>
          <w:tcPr>
            <w:tcW w:w="8234" w:type="dxa"/>
            <w:gridSpan w:val="4"/>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7"/>
                <w:rFonts w:hint="eastAsia" w:ascii="黑体" w:eastAsia="黑体" w:cs="黑体"/>
                <w:b/>
                <w:color w:val="000000"/>
                <w:sz w:val="24"/>
                <w:szCs w:val="24"/>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信息内容</w:t>
            </w:r>
          </w:p>
        </w:tc>
        <w:tc>
          <w:tcPr>
            <w:tcW w:w="1842"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采购项目数量</w:t>
            </w:r>
          </w:p>
        </w:tc>
        <w:tc>
          <w:tcPr>
            <w:tcW w:w="3883" w:type="dxa"/>
            <w:gridSpan w:val="2"/>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25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政府集中采购</w:t>
            </w:r>
          </w:p>
        </w:tc>
        <w:tc>
          <w:tcPr>
            <w:tcW w:w="1842"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c>
          <w:tcPr>
            <w:tcW w:w="3883" w:type="dxa"/>
            <w:gridSpan w:val="2"/>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sz w:val="24"/>
                <w:szCs w:val="24"/>
              </w:rPr>
              <w:t>0</w:t>
            </w:r>
          </w:p>
        </w:tc>
      </w:tr>
    </w:tbl>
    <w:p>
      <w:pPr>
        <w:pStyle w:val="8"/>
        <w:pageBreakBefore w:val="0"/>
        <w:numPr>
          <w:ilvl w:val="0"/>
          <w:numId w:val="0"/>
        </w:numPr>
        <w:kinsoku/>
        <w:wordWrap/>
        <w:overflowPunct/>
        <w:topLinePunct w:val="0"/>
        <w:autoSpaceDE/>
        <w:autoSpaceDN/>
        <w:bidi w:val="0"/>
        <w:adjustRightInd/>
        <w:spacing w:after="280" w:line="240" w:lineRule="auto"/>
        <w:ind w:leftChars="200"/>
        <w:rPr>
          <w:rFonts w:hint="default" w:ascii="Times New Roman" w:hAnsi="Times New Roman" w:eastAsia="黑体" w:cs="Times New Roman"/>
          <w:bCs/>
          <w:sz w:val="32"/>
          <w:szCs w:val="32"/>
          <w:lang w:eastAsia="zh-CN"/>
        </w:rPr>
      </w:pPr>
    </w:p>
    <w:p>
      <w:pPr>
        <w:pStyle w:val="8"/>
        <w:pageBreakBefore w:val="0"/>
        <w:kinsoku/>
        <w:wordWrap/>
        <w:overflowPunct/>
        <w:topLinePunct w:val="0"/>
        <w:autoSpaceDE/>
        <w:autoSpaceDN/>
        <w:bidi w:val="0"/>
        <w:adjustRightInd/>
        <w:spacing w:after="240" w:line="240" w:lineRule="auto"/>
        <w:ind w:firstLine="600"/>
        <w:jc w:val="left"/>
        <w:rPr>
          <w:rFonts w:hint="default" w:ascii="Times New Roman" w:hAnsi="Times New Roman" w:eastAsia="黑体" w:cs="Times New Roman"/>
          <w:sz w:val="32"/>
          <w:szCs w:val="32"/>
        </w:rPr>
      </w:pPr>
      <w:r>
        <w:rPr>
          <w:rFonts w:hint="default" w:ascii="Times New Roman" w:hAnsi="Times New Roman" w:eastAsia="黑体" w:cs="Times New Roman"/>
          <w:bCs/>
          <w:sz w:val="32"/>
          <w:szCs w:val="32"/>
        </w:rPr>
        <w:t>三、收到和处理政府信息公开申请情况</w:t>
      </w:r>
    </w:p>
    <w:tbl>
      <w:tblPr>
        <w:tblStyle w:val="5"/>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1096"/>
        <w:gridCol w:w="1836"/>
        <w:gridCol w:w="764"/>
        <w:gridCol w:w="620"/>
        <w:gridCol w:w="620"/>
        <w:gridCol w:w="758"/>
        <w:gridCol w:w="758"/>
        <w:gridCol w:w="489"/>
        <w:gridCol w:w="4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4" w:hRule="atLeast"/>
          <w:jc w:val="center"/>
        </w:trPr>
        <w:tc>
          <w:tcPr>
            <w:tcW w:w="2361" w:type="pct"/>
            <w:gridSpan w:val="3"/>
            <w:vMerge w:val="restart"/>
            <w:tcBorders>
              <w:top w:val="single" w:color="4F81BD" w:sz="8" w:space="0"/>
              <w:left w:val="single" w:color="4F81BD" w:sz="8" w:space="0"/>
              <w:bottom w:val="single" w:color="FFFFFF" w:sz="18" w:space="0"/>
              <w:right w:val="single" w:color="4F81BD" w:sz="8" w:space="0"/>
            </w:tcBorders>
            <w:shd w:val="clear" w:color="auto" w:fill="4F81BD"/>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FFFFFF"/>
                <w:sz w:val="20"/>
                <w:szCs w:val="20"/>
              </w:rPr>
            </w:pPr>
            <w:r>
              <w:rPr>
                <w:rStyle w:val="7"/>
                <w:rFonts w:hint="eastAsia" w:ascii="黑体" w:eastAsia="黑体" w:cs="黑体"/>
                <w:b/>
                <w:color w:val="FFFFFF"/>
                <w:sz w:val="20"/>
                <w:szCs w:val="20"/>
              </w:rPr>
              <w:t>（本列数据的勾稽关系为：第一项加第二项之和，等于第三项加第四项之和）</w:t>
            </w:r>
          </w:p>
        </w:tc>
        <w:tc>
          <w:tcPr>
            <w:tcW w:w="2638" w:type="pct"/>
            <w:gridSpan w:val="7"/>
            <w:tcBorders>
              <w:top w:val="single" w:color="4F81BD" w:sz="8" w:space="0"/>
              <w:left w:val="single" w:color="4F81BD" w:sz="8" w:space="0"/>
              <w:bottom w:val="single" w:color="FFFFFF" w:sz="18" w:space="0"/>
              <w:right w:val="single" w:color="4F81BD" w:sz="8" w:space="0"/>
            </w:tcBorders>
            <w:shd w:val="clear" w:color="auto" w:fill="4F81BD"/>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sz w:val="20"/>
                <w:szCs w:val="20"/>
              </w:rPr>
            </w:pPr>
            <w:r>
              <w:rPr>
                <w:rStyle w:val="7"/>
                <w:rFonts w:hint="eastAsia" w:ascii="黑体" w:eastAsia="黑体" w:cs="黑体"/>
                <w:b/>
                <w:color w:val="FFFFFF"/>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9" w:hRule="atLeast"/>
          <w:jc w:val="center"/>
        </w:trPr>
        <w:tc>
          <w:tcPr>
            <w:tcW w:w="2361" w:type="pct"/>
            <w:gridSpan w:val="3"/>
            <w:vMerge w:val="continue"/>
            <w:tcBorders>
              <w:top w:val="single" w:color="FFFFFF" w:sz="1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448" w:type="pct"/>
            <w:vMerge w:val="restart"/>
            <w:tcBorders>
              <w:top w:val="single" w:color="FFFFFF" w:sz="1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01" w:firstLineChars="100"/>
              <w:jc w:val="both"/>
              <w:rPr>
                <w:color w:val="000000"/>
                <w:sz w:val="20"/>
                <w:szCs w:val="20"/>
              </w:rPr>
            </w:pPr>
            <w:r>
              <w:rPr>
                <w:rStyle w:val="7"/>
                <w:rFonts w:hint="eastAsia" w:ascii="黑体" w:eastAsia="黑体" w:cs="黑体"/>
                <w:b/>
                <w:color w:val="000000"/>
                <w:sz w:val="20"/>
                <w:szCs w:val="20"/>
              </w:rPr>
              <w:t>自然人</w:t>
            </w:r>
          </w:p>
        </w:tc>
        <w:tc>
          <w:tcPr>
            <w:tcW w:w="1905" w:type="pct"/>
            <w:gridSpan w:val="5"/>
            <w:tcBorders>
              <w:top w:val="single" w:color="FFFFFF" w:sz="1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黑体" w:eastAsia="黑体" w:cs="黑体"/>
                <w:b/>
                <w:color w:val="000000"/>
                <w:sz w:val="20"/>
                <w:szCs w:val="20"/>
              </w:rPr>
              <w:t>法人或其他组织</w:t>
            </w:r>
          </w:p>
        </w:tc>
        <w:tc>
          <w:tcPr>
            <w:tcW w:w="285" w:type="pct"/>
            <w:vMerge w:val="restart"/>
            <w:tcBorders>
              <w:top w:val="single" w:color="FFFFFF" w:sz="1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Style w:val="7"/>
                <w:rFonts w:hint="eastAsia" w:ascii="黑体" w:eastAsia="黑体" w:cs="黑体"/>
                <w:b/>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jc w:val="center"/>
        </w:trPr>
        <w:tc>
          <w:tcPr>
            <w:tcW w:w="2361" w:type="pct"/>
            <w:gridSpan w:val="3"/>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448"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Style w:val="7"/>
                <w:rFonts w:hint="eastAsia" w:ascii="黑体" w:eastAsia="黑体" w:cs="黑体"/>
                <w:b/>
                <w:color w:val="000000"/>
                <w:sz w:val="20"/>
                <w:szCs w:val="20"/>
              </w:rPr>
              <w:t>商业企业</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Style w:val="7"/>
                <w:rFonts w:hint="eastAsia" w:ascii="黑体" w:eastAsia="黑体" w:cs="黑体"/>
                <w:b/>
                <w:color w:val="000000"/>
                <w:sz w:val="20"/>
                <w:szCs w:val="20"/>
              </w:rPr>
              <w:t>科研机构</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Style w:val="7"/>
                <w:rFonts w:hint="eastAsia" w:ascii="黑体" w:eastAsia="黑体" w:cs="黑体"/>
                <w:b/>
                <w:color w:val="000000"/>
                <w:sz w:val="20"/>
                <w:szCs w:val="20"/>
              </w:rPr>
              <w:t>社会公益组织</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Style w:val="7"/>
                <w:rFonts w:hint="eastAsia" w:ascii="黑体" w:eastAsia="黑体" w:cs="黑体"/>
                <w:b/>
                <w:color w:val="000000"/>
                <w:sz w:val="20"/>
                <w:szCs w:val="20"/>
              </w:rPr>
              <w:t>法律服务机构</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Style w:val="7"/>
                <w:rFonts w:hint="eastAsia" w:ascii="黑体" w:eastAsia="黑体" w:cs="黑体"/>
                <w:b/>
                <w:color w:val="000000"/>
                <w:sz w:val="20"/>
                <w:szCs w:val="20"/>
              </w:rPr>
              <w:t>其他</w:t>
            </w:r>
          </w:p>
        </w:tc>
        <w:tc>
          <w:tcPr>
            <w:tcW w:w="285"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1" w:hRule="atLeast"/>
          <w:jc w:val="center"/>
        </w:trPr>
        <w:tc>
          <w:tcPr>
            <w:tcW w:w="2361" w:type="pct"/>
            <w:gridSpan w:val="3"/>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一、本年新收政府信息公开申请数量</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3</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4" w:hRule="atLeast"/>
          <w:jc w:val="center"/>
        </w:trPr>
        <w:tc>
          <w:tcPr>
            <w:tcW w:w="2361" w:type="pct"/>
            <w:gridSpan w:val="3"/>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二、上年结转政府信息公开申请数量</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8" w:hRule="atLeast"/>
          <w:jc w:val="center"/>
        </w:trPr>
        <w:tc>
          <w:tcPr>
            <w:tcW w:w="641" w:type="pct"/>
            <w:vMerge w:val="restar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三、本年度办理结果</w:t>
            </w:r>
          </w:p>
        </w:tc>
        <w:tc>
          <w:tcPr>
            <w:tcW w:w="1720" w:type="pct"/>
            <w:gridSpan w:val="2"/>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（一）予以公开</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2</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720" w:type="pct"/>
            <w:gridSpan w:val="2"/>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（二）部分公开（区分处理的，只计这一情形，不计其他情形）</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restar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（三）不予公开</w:t>
            </w: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1．属于国家秘密</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2"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2．其他法律行政法规禁止公开</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1"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3．危及“三安全一稳定”</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4．保护第三方合法权益</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6"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5．属于三类内部事务信息</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5"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6．属于四类过程性信息</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7．属于行政执法案卷</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1"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8．属于行政查询事项</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7"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restar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（四）无法提供</w:t>
            </w: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1．本单位不掌握相关政府信息</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2"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2．没有现成信息需要另行制作</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8"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3．补正后申请内容仍不明确</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restar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（五）不予处理</w:t>
            </w: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1．信访举报投诉类申请</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1</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2．重复申请</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3．要求提供公开出版物</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1"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4．无正当理由大量反复申请</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643"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076"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both"/>
              <w:rPr>
                <w:color w:val="000000"/>
                <w:sz w:val="20"/>
                <w:szCs w:val="20"/>
              </w:rPr>
            </w:pPr>
            <w:r>
              <w:rPr>
                <w:rFonts w:hint="eastAsia" w:ascii="宋体" w:hAnsi="宋体" w:eastAsia="宋体" w:cs="宋体"/>
                <w:color w:val="000000"/>
                <w:sz w:val="20"/>
                <w:szCs w:val="20"/>
              </w:rPr>
              <w:t>5．要求行政机关确认或重新出具已获取信息</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0"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rPr>
                <w:rFonts w:hint="eastAsia" w:ascii="宋体"/>
                <w:color w:val="000000"/>
                <w:sz w:val="20"/>
                <w:szCs w:val="20"/>
              </w:rPr>
            </w:pPr>
          </w:p>
        </w:tc>
        <w:tc>
          <w:tcPr>
            <w:tcW w:w="1720" w:type="pct"/>
            <w:gridSpan w:val="2"/>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（六）其他处理</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1" w:hRule="atLeast"/>
          <w:jc w:val="center"/>
        </w:trPr>
        <w:tc>
          <w:tcPr>
            <w:tcW w:w="641" w:type="pct"/>
            <w:vMerge w:val="continue"/>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rPr>
                <w:rFonts w:hint="eastAsia" w:ascii="宋体"/>
                <w:color w:val="000000"/>
                <w:sz w:val="20"/>
                <w:szCs w:val="20"/>
              </w:rPr>
            </w:pPr>
          </w:p>
        </w:tc>
        <w:tc>
          <w:tcPr>
            <w:tcW w:w="1720" w:type="pct"/>
            <w:gridSpan w:val="2"/>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sz w:val="20"/>
                <w:szCs w:val="20"/>
              </w:rPr>
            </w:pPr>
            <w:r>
              <w:rPr>
                <w:rFonts w:hint="eastAsia" w:ascii="宋体" w:hAnsi="宋体" w:eastAsia="宋体" w:cs="宋体"/>
                <w:color w:val="000000"/>
                <w:sz w:val="20"/>
                <w:szCs w:val="20"/>
              </w:rPr>
              <w:t>（七）总计</w:t>
            </w:r>
          </w:p>
        </w:tc>
        <w:tc>
          <w:tcPr>
            <w:tcW w:w="448"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3</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sz w:val="20"/>
                <w:szCs w:val="20"/>
                <w:lang w:eastAsia="zh-CN"/>
              </w:rPr>
            </w:pPr>
            <w:r>
              <w:rPr>
                <w:rStyle w:val="7"/>
                <w:rFonts w:hint="eastAsia" w:ascii="宋体" w:hAnsi="宋体" w:eastAsia="宋体" w:cs="宋体"/>
                <w:b/>
                <w:color w:val="000000"/>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6" w:hRule="atLeast"/>
          <w:jc w:val="center"/>
        </w:trPr>
        <w:tc>
          <w:tcPr>
            <w:tcW w:w="2361" w:type="pct"/>
            <w:gridSpan w:val="3"/>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Fonts w:hint="eastAsia" w:ascii="宋体" w:hAnsi="宋体" w:eastAsia="宋体" w:cs="宋体"/>
                <w:color w:val="000000"/>
                <w:sz w:val="20"/>
                <w:szCs w:val="20"/>
              </w:rPr>
              <w:t>四、结转下年度继续办理</w:t>
            </w:r>
          </w:p>
        </w:tc>
        <w:tc>
          <w:tcPr>
            <w:tcW w:w="448"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36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44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4"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c>
          <w:tcPr>
            <w:tcW w:w="285" w:type="pct"/>
            <w:tcBorders>
              <w:top w:val="single" w:color="4F81BD" w:sz="8" w:space="0"/>
              <w:left w:val="single" w:color="4F81BD" w:sz="8" w:space="0"/>
              <w:bottom w:val="single" w:color="4F81BD" w:sz="8"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0"/>
                <w:szCs w:val="20"/>
              </w:rPr>
            </w:pPr>
            <w:r>
              <w:rPr>
                <w:rStyle w:val="7"/>
                <w:rFonts w:hint="eastAsia" w:ascii="宋体" w:hAnsi="宋体" w:eastAsia="宋体" w:cs="宋体"/>
                <w:b/>
                <w:color w:val="000000"/>
                <w:sz w:val="20"/>
                <w:szCs w:val="20"/>
              </w:rPr>
              <w:t>0</w:t>
            </w:r>
          </w:p>
        </w:tc>
      </w:tr>
    </w:tbl>
    <w:p>
      <w:pPr>
        <w:pStyle w:val="2"/>
        <w:ind w:left="0" w:leftChars="0" w:firstLine="0" w:firstLineChars="0"/>
        <w:rPr>
          <w:rFonts w:hint="default" w:ascii="Times New Roman" w:hAnsi="Times New Roman" w:eastAsia="黑体" w:cs="Times New Roman"/>
          <w:w w:val="97"/>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w w:val="97"/>
          <w:sz w:val="32"/>
          <w:szCs w:val="32"/>
        </w:rPr>
      </w:pPr>
      <w:r>
        <w:rPr>
          <w:rFonts w:hint="default" w:ascii="Times New Roman" w:hAnsi="Times New Roman" w:eastAsia="黑体" w:cs="Times New Roman"/>
          <w:w w:val="97"/>
          <w:sz w:val="32"/>
          <w:szCs w:val="32"/>
          <w:lang w:eastAsia="zh-CN"/>
        </w:rPr>
        <w:t>四、</w:t>
      </w:r>
      <w:r>
        <w:rPr>
          <w:rFonts w:hint="default" w:ascii="Times New Roman" w:hAnsi="Times New Roman" w:eastAsia="黑体" w:cs="Times New Roman"/>
          <w:w w:val="97"/>
          <w:sz w:val="32"/>
          <w:szCs w:val="32"/>
        </w:rPr>
        <w:t>因政府信息公开工作被申请行政复议、提起行政诉讼情况</w:t>
      </w:r>
    </w:p>
    <w:p>
      <w:pPr>
        <w:pStyle w:val="3"/>
        <w:keepNext w:val="0"/>
        <w:keepLines w:val="0"/>
        <w:widowControl/>
        <w:numPr>
          <w:ilvl w:val="0"/>
          <w:numId w:val="0"/>
        </w:numPr>
        <w:suppressLineNumbers w:val="0"/>
        <w:autoSpaceDE w:val="0"/>
        <w:autoSpaceDN/>
        <w:spacing w:before="0" w:beforeAutospacing="0" w:after="0" w:afterAutospacing="0" w:line="560" w:lineRule="atLeast"/>
        <w:ind w:right="0" w:rightChars="0" w:firstLine="640" w:firstLineChars="200"/>
        <w:jc w:val="left"/>
        <w:rPr>
          <w:rFonts w:hint="eastAsia" w:ascii="仿宋_GB2312" w:hAnsi="Times New Roman" w:eastAsia="仿宋_GB2312" w:cs="仿宋_GB2312"/>
          <w:i w:val="0"/>
          <w:caps w:val="0"/>
          <w:color w:val="000000"/>
          <w:spacing w:val="0"/>
          <w:sz w:val="32"/>
          <w:szCs w:val="32"/>
          <w:shd w:val="clear" w:fill="FFFFFF"/>
        </w:rPr>
      </w:pPr>
      <w:r>
        <w:rPr>
          <w:rFonts w:hint="default" w:ascii="Times New Roman" w:hAnsi="Times New Roman" w:eastAsia="微软雅黑" w:cs="Times New Roman"/>
          <w:i w:val="0"/>
          <w:caps w:val="0"/>
          <w:color w:val="000000"/>
          <w:spacing w:val="0"/>
          <w:sz w:val="32"/>
          <w:szCs w:val="32"/>
          <w:shd w:val="clear" w:fill="FFFFFF"/>
        </w:rPr>
        <w:t>202</w:t>
      </w:r>
      <w:r>
        <w:rPr>
          <w:rFonts w:hint="eastAsia" w:ascii="Times New Roman" w:hAnsi="Times New Roman" w:eastAsia="微软雅黑" w:cs="Times New Roman"/>
          <w:i w:val="0"/>
          <w:caps w:val="0"/>
          <w:color w:val="000000"/>
          <w:spacing w:val="0"/>
          <w:sz w:val="32"/>
          <w:szCs w:val="32"/>
          <w:shd w:val="clear" w:fill="FFFFFF"/>
          <w:lang w:val="en-US" w:eastAsia="zh-CN"/>
        </w:rPr>
        <w:t>1</w:t>
      </w:r>
      <w:r>
        <w:rPr>
          <w:rFonts w:hint="eastAsia" w:ascii="仿宋_GB2312" w:hAnsi="Times New Roman" w:eastAsia="仿宋_GB2312" w:cs="仿宋_GB2312"/>
          <w:i w:val="0"/>
          <w:caps w:val="0"/>
          <w:color w:val="000000"/>
          <w:spacing w:val="0"/>
          <w:sz w:val="32"/>
          <w:szCs w:val="32"/>
          <w:shd w:val="clear" w:fill="FFFFFF"/>
        </w:rPr>
        <w:t>年，严格按照《条例》的规定公开政府信息，没有因政府信息公开申请提起行政复议、行政诉讼的情况发生。</w:t>
      </w:r>
    </w:p>
    <w:tbl>
      <w:tblPr>
        <w:tblStyle w:val="5"/>
        <w:tblpPr w:leftFromText="180" w:rightFromText="180" w:vertAnchor="text" w:horzAnchor="page" w:tblpX="1910" w:tblpY="421"/>
        <w:tblOverlap w:val="neve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8"/>
        <w:gridCol w:w="618"/>
        <w:gridCol w:w="621"/>
        <w:gridCol w:w="624"/>
        <w:gridCol w:w="443"/>
        <w:gridCol w:w="624"/>
        <w:gridCol w:w="624"/>
        <w:gridCol w:w="624"/>
        <w:gridCol w:w="624"/>
        <w:gridCol w:w="436"/>
        <w:gridCol w:w="624"/>
        <w:gridCol w:w="486"/>
        <w:gridCol w:w="486"/>
        <w:gridCol w:w="627"/>
        <w:gridCol w:w="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1717" w:type="pct"/>
            <w:gridSpan w:val="5"/>
            <w:tcBorders>
              <w:top w:val="single" w:color="4F81BD" w:sz="8" w:space="0"/>
              <w:left w:val="single" w:color="4F81BD" w:sz="8" w:space="0"/>
              <w:bottom w:val="single" w:color="FFFFFF" w:sz="18" w:space="0"/>
              <w:right w:val="single" w:color="4F81BD" w:sz="8" w:space="0"/>
            </w:tcBorders>
            <w:shd w:val="clear" w:color="auto" w:fill="4F81BD"/>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7"/>
                <w:rFonts w:hint="eastAsia" w:ascii="黑体" w:eastAsia="黑体" w:cs="黑体"/>
                <w:b/>
                <w:color w:val="FFFFFF"/>
                <w:sz w:val="18"/>
                <w:szCs w:val="18"/>
              </w:rPr>
              <w:t>行政复议</w:t>
            </w:r>
          </w:p>
        </w:tc>
        <w:tc>
          <w:tcPr>
            <w:tcW w:w="3282" w:type="pct"/>
            <w:gridSpan w:val="10"/>
            <w:tcBorders>
              <w:top w:val="single" w:color="4F81BD" w:sz="8" w:space="0"/>
              <w:left w:val="single" w:color="4F81BD" w:sz="8" w:space="0"/>
              <w:bottom w:val="single" w:color="FFFFFF" w:sz="18" w:space="0"/>
              <w:right w:val="single" w:color="4F81BD" w:sz="8" w:space="0"/>
            </w:tcBorders>
            <w:shd w:val="clear" w:color="auto" w:fill="4F81BD"/>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FFFF"/>
              </w:rPr>
            </w:pPr>
            <w:r>
              <w:rPr>
                <w:rStyle w:val="7"/>
                <w:rFonts w:hint="eastAsia" w:ascii="黑体" w:eastAsia="黑体" w:cs="黑体"/>
                <w:b/>
                <w:color w:val="FFFFFF"/>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363" w:type="pct"/>
            <w:vMerge w:val="restart"/>
            <w:tcBorders>
              <w:top w:val="single" w:color="FFFFFF" w:sz="18" w:space="0"/>
              <w:left w:val="single" w:color="auto" w:sz="4" w:space="0"/>
              <w:bottom w:val="single" w:color="auto" w:sz="4"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黑体" w:eastAsia="黑体" w:cs="黑体"/>
                <w:b/>
                <w:color w:val="000000"/>
                <w:sz w:val="18"/>
                <w:szCs w:val="18"/>
              </w:rPr>
              <w:t>结果维持</w:t>
            </w:r>
          </w:p>
        </w:tc>
        <w:tc>
          <w:tcPr>
            <w:tcW w:w="363" w:type="pct"/>
            <w:vMerge w:val="restart"/>
            <w:tcBorders>
              <w:top w:val="single" w:color="FFFFFF" w:sz="18" w:space="0"/>
              <w:left w:val="single" w:color="4F81BD" w:sz="8" w:space="0"/>
              <w:bottom w:val="single" w:color="auto" w:sz="4"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黑体" w:eastAsia="黑体" w:cs="黑体"/>
                <w:b/>
                <w:color w:val="000000"/>
                <w:sz w:val="18"/>
                <w:szCs w:val="18"/>
              </w:rPr>
              <w:t>结果纠正</w:t>
            </w:r>
          </w:p>
        </w:tc>
        <w:tc>
          <w:tcPr>
            <w:tcW w:w="365" w:type="pct"/>
            <w:vMerge w:val="restart"/>
            <w:tcBorders>
              <w:top w:val="single" w:color="FFFFFF" w:sz="18" w:space="0"/>
              <w:left w:val="single" w:color="4F81BD" w:sz="8" w:space="0"/>
              <w:bottom w:val="single" w:color="auto" w:sz="4"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黑体" w:eastAsia="黑体" w:cs="黑体"/>
                <w:b/>
                <w:color w:val="000000"/>
                <w:sz w:val="18"/>
                <w:szCs w:val="18"/>
              </w:rPr>
              <w:t>其他结果</w:t>
            </w:r>
          </w:p>
        </w:tc>
        <w:tc>
          <w:tcPr>
            <w:tcW w:w="366" w:type="pct"/>
            <w:vMerge w:val="restart"/>
            <w:tcBorders>
              <w:top w:val="single" w:color="FFFFFF" w:sz="18" w:space="0"/>
              <w:left w:val="single" w:color="4F81BD" w:sz="8" w:space="0"/>
              <w:bottom w:val="single" w:color="auto" w:sz="4"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黑体" w:eastAsia="黑体" w:cs="黑体"/>
                <w:b/>
                <w:color w:val="000000"/>
                <w:sz w:val="18"/>
                <w:szCs w:val="18"/>
              </w:rPr>
              <w:t>尚未审结</w:t>
            </w:r>
          </w:p>
        </w:tc>
        <w:tc>
          <w:tcPr>
            <w:tcW w:w="258" w:type="pct"/>
            <w:vMerge w:val="restart"/>
            <w:tcBorders>
              <w:top w:val="single" w:color="FFFFFF" w:sz="18" w:space="0"/>
              <w:left w:val="single" w:color="4F81BD" w:sz="8" w:space="0"/>
              <w:bottom w:val="single" w:color="auto" w:sz="4"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黑体" w:eastAsia="黑体" w:cs="黑体"/>
                <w:b/>
                <w:color w:val="000000"/>
                <w:sz w:val="18"/>
                <w:szCs w:val="18"/>
              </w:rPr>
              <w:t>总计</w:t>
            </w:r>
          </w:p>
        </w:tc>
        <w:tc>
          <w:tcPr>
            <w:tcW w:w="1720" w:type="pct"/>
            <w:gridSpan w:val="5"/>
            <w:tcBorders>
              <w:top w:val="single" w:color="FFFFFF" w:sz="18" w:space="0"/>
              <w:left w:val="single" w:color="4F81BD" w:sz="8" w:space="0"/>
              <w:bottom w:val="single" w:color="auto" w:sz="4"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7"/>
                <w:rFonts w:hint="eastAsia" w:ascii="黑体" w:eastAsia="黑体" w:cs="黑体"/>
                <w:b/>
                <w:color w:val="000000"/>
                <w:sz w:val="18"/>
                <w:szCs w:val="18"/>
              </w:rPr>
              <w:t>未经复议直接起诉</w:t>
            </w:r>
          </w:p>
        </w:tc>
        <w:tc>
          <w:tcPr>
            <w:tcW w:w="1561" w:type="pct"/>
            <w:gridSpan w:val="5"/>
            <w:tcBorders>
              <w:top w:val="single" w:color="FFFFFF" w:sz="18" w:space="0"/>
              <w:left w:val="single" w:color="4F81BD" w:sz="8" w:space="0"/>
              <w:bottom w:val="single" w:color="auto" w:sz="4" w:space="0"/>
              <w:right w:val="single" w:color="4F81BD" w:sz="8" w:space="0"/>
            </w:tcBorders>
            <w:shd w:val="clear" w:color="auto" w:fill="B8CCE4"/>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7"/>
                <w:rFonts w:hint="eastAsia" w:ascii="黑体" w:eastAsia="黑体" w:cs="黑体"/>
                <w:b/>
                <w:color w:val="00000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0" w:hRule="atLeast"/>
        </w:trPr>
        <w:tc>
          <w:tcPr>
            <w:tcW w:w="363" w:type="pct"/>
            <w:vMerge w:val="continue"/>
            <w:tcBorders>
              <w:top w:val="single" w:color="auto" w:sz="4" w:space="0"/>
              <w:left w:val="single" w:color="auto" w:sz="4" w:space="0"/>
              <w:bottom w:val="single" w:color="auto" w:sz="4" w:space="0"/>
              <w:right w:val="single" w:color="4F81BD" w:sz="8" w:space="0"/>
            </w:tcBorders>
            <w:shd w:val="clear" w:color="auto" w:fill="FFFFFF"/>
            <w:tcMar>
              <w:left w:w="108" w:type="dxa"/>
              <w:right w:w="108" w:type="dxa"/>
            </w:tcMar>
            <w:vAlign w:val="center"/>
          </w:tcPr>
          <w:p>
            <w:pPr>
              <w:rPr>
                <w:rFonts w:hint="eastAsia" w:ascii="宋体"/>
                <w:color w:val="000000"/>
                <w:sz w:val="24"/>
                <w:szCs w:val="24"/>
              </w:rPr>
            </w:pPr>
          </w:p>
        </w:tc>
        <w:tc>
          <w:tcPr>
            <w:tcW w:w="363" w:type="pct"/>
            <w:vMerge w:val="continue"/>
            <w:tcBorders>
              <w:top w:val="single" w:color="auto" w:sz="4" w:space="0"/>
              <w:left w:val="single" w:color="4F81BD" w:sz="8" w:space="0"/>
              <w:bottom w:val="single" w:color="auto" w:sz="4" w:space="0"/>
              <w:right w:val="single" w:color="4F81BD" w:sz="8" w:space="0"/>
            </w:tcBorders>
            <w:shd w:val="clear" w:color="auto" w:fill="FFFFFF"/>
            <w:tcMar>
              <w:left w:w="108" w:type="dxa"/>
              <w:right w:w="108" w:type="dxa"/>
            </w:tcMar>
            <w:vAlign w:val="center"/>
          </w:tcPr>
          <w:p>
            <w:pPr>
              <w:rPr>
                <w:rFonts w:hint="eastAsia" w:ascii="宋体"/>
                <w:color w:val="000000"/>
                <w:sz w:val="24"/>
                <w:szCs w:val="24"/>
              </w:rPr>
            </w:pPr>
          </w:p>
        </w:tc>
        <w:tc>
          <w:tcPr>
            <w:tcW w:w="365" w:type="pct"/>
            <w:vMerge w:val="continue"/>
            <w:tcBorders>
              <w:top w:val="single" w:color="auto" w:sz="4" w:space="0"/>
              <w:left w:val="single" w:color="4F81BD" w:sz="8" w:space="0"/>
              <w:bottom w:val="single" w:color="auto" w:sz="4" w:space="0"/>
              <w:right w:val="single" w:color="4F81BD" w:sz="8" w:space="0"/>
            </w:tcBorders>
            <w:shd w:val="clear" w:color="auto" w:fill="FFFFFF"/>
            <w:tcMar>
              <w:left w:w="108" w:type="dxa"/>
              <w:right w:w="108" w:type="dxa"/>
            </w:tcMar>
            <w:vAlign w:val="center"/>
          </w:tcPr>
          <w:p>
            <w:pPr>
              <w:rPr>
                <w:rFonts w:hint="eastAsia" w:ascii="宋体"/>
                <w:color w:val="000000"/>
                <w:sz w:val="24"/>
                <w:szCs w:val="24"/>
              </w:rPr>
            </w:pPr>
          </w:p>
        </w:tc>
        <w:tc>
          <w:tcPr>
            <w:tcW w:w="366" w:type="pct"/>
            <w:vMerge w:val="continue"/>
            <w:tcBorders>
              <w:top w:val="single" w:color="auto" w:sz="4" w:space="0"/>
              <w:left w:val="single" w:color="4F81BD" w:sz="8" w:space="0"/>
              <w:bottom w:val="single" w:color="auto" w:sz="4" w:space="0"/>
              <w:right w:val="single" w:color="4F81BD" w:sz="8" w:space="0"/>
            </w:tcBorders>
            <w:shd w:val="clear" w:color="auto" w:fill="FFFFFF"/>
            <w:tcMar>
              <w:left w:w="108" w:type="dxa"/>
              <w:right w:w="108" w:type="dxa"/>
            </w:tcMar>
            <w:vAlign w:val="center"/>
          </w:tcPr>
          <w:p>
            <w:pPr>
              <w:rPr>
                <w:rFonts w:hint="eastAsia" w:ascii="宋体"/>
                <w:color w:val="000000"/>
                <w:sz w:val="24"/>
                <w:szCs w:val="24"/>
              </w:rPr>
            </w:pPr>
          </w:p>
        </w:tc>
        <w:tc>
          <w:tcPr>
            <w:tcW w:w="258" w:type="pct"/>
            <w:vMerge w:val="continue"/>
            <w:tcBorders>
              <w:top w:val="single" w:color="auto" w:sz="4" w:space="0"/>
              <w:left w:val="single" w:color="4F81BD" w:sz="8" w:space="0"/>
              <w:bottom w:val="single" w:color="auto" w:sz="4" w:space="0"/>
              <w:right w:val="single" w:color="auto" w:sz="4" w:space="0"/>
            </w:tcBorders>
            <w:shd w:val="clear" w:color="auto" w:fill="FFFFFF"/>
            <w:tcMar>
              <w:left w:w="108" w:type="dxa"/>
              <w:right w:w="108" w:type="dxa"/>
            </w:tcMar>
            <w:vAlign w:val="center"/>
          </w:tcPr>
          <w:p>
            <w:pPr>
              <w:rPr>
                <w:rFonts w:hint="eastAsia" w:ascii="宋体"/>
                <w:color w:val="000000"/>
                <w:sz w:val="24"/>
                <w:szCs w:val="24"/>
              </w:rPr>
            </w:pPr>
          </w:p>
        </w:tc>
        <w:tc>
          <w:tcPr>
            <w:tcW w:w="366"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结果维持</w:t>
            </w:r>
          </w:p>
        </w:tc>
        <w:tc>
          <w:tcPr>
            <w:tcW w:w="366"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结果纠正</w:t>
            </w:r>
          </w:p>
        </w:tc>
        <w:tc>
          <w:tcPr>
            <w:tcW w:w="366"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其他结果</w:t>
            </w:r>
          </w:p>
        </w:tc>
        <w:tc>
          <w:tcPr>
            <w:tcW w:w="366"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尚未审结</w:t>
            </w:r>
          </w:p>
        </w:tc>
        <w:tc>
          <w:tcPr>
            <w:tcW w:w="255"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总计</w:t>
            </w:r>
          </w:p>
        </w:tc>
        <w:tc>
          <w:tcPr>
            <w:tcW w:w="366"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结果维持</w:t>
            </w:r>
          </w:p>
        </w:tc>
        <w:tc>
          <w:tcPr>
            <w:tcW w:w="285"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结果纠正</w:t>
            </w:r>
          </w:p>
        </w:tc>
        <w:tc>
          <w:tcPr>
            <w:tcW w:w="285"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其他结果</w:t>
            </w:r>
          </w:p>
        </w:tc>
        <w:tc>
          <w:tcPr>
            <w:tcW w:w="368" w:type="pct"/>
            <w:tcBorders>
              <w:top w:val="single" w:color="4F81BD" w:sz="8" w:space="0"/>
              <w:left w:val="single" w:color="4F81BD" w:sz="8" w:space="0"/>
              <w:bottom w:val="single" w:color="4F81BD" w:sz="8" w:space="0"/>
              <w:right w:val="single" w:color="4F81BD" w:sz="8"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尚未审结</w:t>
            </w:r>
          </w:p>
        </w:tc>
        <w:tc>
          <w:tcPr>
            <w:tcW w:w="257" w:type="pct"/>
            <w:tcBorders>
              <w:top w:val="single" w:color="auto" w:sz="4" w:space="0"/>
              <w:left w:val="single" w:color="auto" w:sz="4" w:space="0"/>
              <w:bottom w:val="single" w:color="auto" w:sz="4" w:space="0"/>
              <w:right w:val="single" w:color="auto" w:sz="4" w:space="0"/>
            </w:tcBorders>
            <w:shd w:val="clear" w:color="auto" w:fill="B4C6E7" w:themeFill="accent5" w:themeFillTint="66"/>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黑体" w:eastAsia="黑体" w:cs="黑体"/>
                <w:b/>
                <w:color w:val="auto"/>
                <w:sz w:val="18"/>
                <w:szCs w:val="18"/>
              </w:rPr>
            </w:pPr>
            <w:r>
              <w:rPr>
                <w:rStyle w:val="7"/>
                <w:rFonts w:hint="eastAsia" w:ascii="黑体" w:eastAsia="黑体" w:cs="黑体"/>
                <w:b/>
                <w:color w:val="auto"/>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6" w:hRule="atLeast"/>
        </w:trPr>
        <w:tc>
          <w:tcPr>
            <w:tcW w:w="363"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3"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5"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6"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258"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6"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6"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6"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6"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255"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6"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285"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285"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368"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c>
          <w:tcPr>
            <w:tcW w:w="257" w:type="pct"/>
            <w:tcBorders>
              <w:top w:val="single" w:color="auto" w:sz="4" w:space="0"/>
              <w:left w:val="dotted" w:color="auto" w:sz="8" w:space="0"/>
              <w:bottom w:val="dotted" w:color="auto" w:sz="8" w:space="0"/>
              <w:right w:val="dotted"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Style w:val="7"/>
                <w:rFonts w:hint="eastAsia" w:ascii="仿宋_GB2312" w:eastAsia="仿宋_GB2312" w:cs="仿宋_GB2312"/>
                <w:b/>
                <w:color w:val="000000"/>
                <w:sz w:val="18"/>
                <w:szCs w:val="18"/>
              </w:rPr>
              <w:t>0</w:t>
            </w:r>
          </w:p>
        </w:tc>
      </w:tr>
    </w:tbl>
    <w:p>
      <w:pPr>
        <w:pStyle w:val="3"/>
        <w:keepNext w:val="0"/>
        <w:keepLines w:val="0"/>
        <w:widowControl/>
        <w:numPr>
          <w:ilvl w:val="0"/>
          <w:numId w:val="0"/>
        </w:numPr>
        <w:suppressLineNumbers w:val="0"/>
        <w:autoSpaceDE w:val="0"/>
        <w:autoSpaceDN/>
        <w:spacing w:before="0" w:beforeAutospacing="0" w:after="0" w:afterAutospacing="0" w:line="560" w:lineRule="atLeast"/>
        <w:ind w:right="0" w:rightChars="0" w:firstLine="640" w:firstLineChars="200"/>
        <w:jc w:val="left"/>
        <w:rPr>
          <w:rFonts w:hint="default" w:ascii="仿宋_GB2312" w:hAnsi="Times New Roman" w:eastAsia="仿宋_GB2312" w:cs="仿宋_GB2312"/>
          <w:i w:val="0"/>
          <w:caps w:val="0"/>
          <w:color w:val="000000"/>
          <w:spacing w:val="0"/>
          <w:sz w:val="32"/>
          <w:szCs w:val="32"/>
          <w:shd w:val="clear" w:fill="FFFFFF"/>
        </w:rPr>
      </w:pPr>
    </w:p>
    <w:p>
      <w:pPr>
        <w:pageBreakBefore w:val="0"/>
        <w:widowControl/>
        <w:numPr>
          <w:ilvl w:val="0"/>
          <w:numId w:val="0"/>
        </w:numPr>
        <w:shd w:val="clear" w:color="auto" w:fill="FFFFFF"/>
        <w:kinsoku/>
        <w:wordWrap/>
        <w:overflowPunct/>
        <w:topLinePunct w:val="0"/>
        <w:autoSpaceDE/>
        <w:autoSpaceDN/>
        <w:bidi w:val="0"/>
        <w:adjustRightInd/>
        <w:spacing w:line="240" w:lineRule="auto"/>
        <w:rPr>
          <w:rFonts w:hint="default" w:ascii="Times New Roman" w:hAnsi="Times New Roman" w:eastAsia="楷体_GB2312" w:cs="Times New Roman"/>
          <w:b/>
          <w:color w:val="auto"/>
          <w:sz w:val="32"/>
          <w:szCs w:val="32"/>
          <w:lang w:eastAsia="zh-CN" w:bidi="ar-SA"/>
        </w:rPr>
      </w:pPr>
      <w:r>
        <w:rPr>
          <w:rFonts w:hint="eastAsia" w:ascii="Times New Roman" w:hAnsi="Times New Roman" w:eastAsia="黑体" w:cs="Times New Roman"/>
          <w:w w:val="97"/>
          <w:sz w:val="32"/>
          <w:szCs w:val="32"/>
          <w:lang w:eastAsia="zh-CN"/>
        </w:rPr>
        <w:t>五、</w:t>
      </w:r>
      <w:r>
        <w:rPr>
          <w:rFonts w:hint="default" w:ascii="Times New Roman" w:hAnsi="Times New Roman" w:eastAsia="黑体" w:cs="Times New Roman"/>
          <w:w w:val="97"/>
          <w:sz w:val="32"/>
          <w:szCs w:val="32"/>
          <w:lang w:eastAsia="zh-CN"/>
        </w:rPr>
        <w:t>政</w:t>
      </w:r>
      <w:r>
        <w:rPr>
          <w:rFonts w:hint="default" w:ascii="Times New Roman" w:hAnsi="Times New Roman" w:eastAsia="黑体" w:cs="Times New Roman"/>
          <w:color w:val="auto"/>
          <w:sz w:val="32"/>
          <w:szCs w:val="32"/>
          <w:lang w:eastAsia="zh-CN" w:bidi="ar-SA"/>
        </w:rPr>
        <w:t>府信息公开工作存在的主要问题及改进情况</w:t>
      </w:r>
    </w:p>
    <w:p>
      <w:pPr>
        <w:bidi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年，我镇政府信息公开工作虽然取得了一定成绩，但与《条例》的要求和公众的需求还有差距。一是政务信息公开力度有待进一步加大；二是政务信息公开的内容还不够全面；三是信息公开更新还不够及时。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下一步，我镇将按照要求不断改进和提高，重点抓好以下几项工作：一是进一步提升政务公开的层次；二是不断丰富政府信息公开内容；三是加大信息公开力度。确保政务信息公开工作及时、准确，自觉接受社会公众对信息公开情况的监督。</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eastAsia="zh-CN" w:bidi="zh-TW"/>
        </w:rPr>
        <w:t>六、其他需要报告的事项</w:t>
      </w:r>
    </w:p>
    <w:p>
      <w:pPr>
        <w:pStyle w:val="2"/>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1.收费情况。</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根据《国务院办公厅关于印发〈政府信息公开信息处理费管理办法〉的通知》（国办函〔2020〕109号）和《山东省人民政府办公厅关于做好政府信息公开信息处理费管理工作有关事项的通知》（鲁政办字〔2020〕179号）规定，</w:t>
      </w:r>
      <w:r>
        <w:rPr>
          <w:rFonts w:hint="eastAsia" w:ascii="仿宋_GB2312" w:hAnsi="仿宋_GB2312" w:eastAsia="仿宋_GB2312" w:cs="仿宋_GB2312"/>
          <w:kern w:val="2"/>
          <w:sz w:val="32"/>
          <w:szCs w:val="32"/>
          <w:lang w:val="en-US" w:eastAsia="zh-CN" w:bidi="ar-SA"/>
        </w:rPr>
        <w:t>鲁村镇</w:t>
      </w:r>
      <w:r>
        <w:rPr>
          <w:rFonts w:hint="default" w:ascii="仿宋_GB2312" w:hAnsi="仿宋_GB2312" w:eastAsia="仿宋_GB2312" w:cs="仿宋_GB2312"/>
          <w:kern w:val="2"/>
          <w:sz w:val="32"/>
          <w:szCs w:val="32"/>
          <w:lang w:val="en-US" w:eastAsia="zh-CN" w:bidi="ar-SA"/>
        </w:rPr>
        <w:t>本年度未收取任何</w:t>
      </w:r>
      <w:r>
        <w:rPr>
          <w:rFonts w:hint="eastAsia" w:ascii="仿宋_GB2312" w:hAnsi="仿宋_GB2312" w:eastAsia="仿宋_GB2312" w:cs="仿宋_GB2312"/>
          <w:kern w:val="2"/>
          <w:sz w:val="32"/>
          <w:szCs w:val="32"/>
          <w:lang w:val="en-US" w:eastAsia="zh-CN" w:bidi="ar-SA"/>
        </w:rPr>
        <w:t>政府</w:t>
      </w:r>
      <w:r>
        <w:rPr>
          <w:rFonts w:ascii="仿宋_GB2312" w:eastAsia="仿宋_GB2312"/>
          <w:sz w:val="32"/>
          <w:szCs w:val="32"/>
        </w:rPr>
        <w:t>信息</w:t>
      </w:r>
      <w:r>
        <w:rPr>
          <w:rFonts w:hint="eastAsia" w:ascii="仿宋_GB2312" w:eastAsia="仿宋_GB2312"/>
          <w:sz w:val="32"/>
          <w:szCs w:val="32"/>
          <w:lang w:eastAsia="zh-CN"/>
        </w:rPr>
        <w:t>公开信息</w:t>
      </w:r>
      <w:r>
        <w:rPr>
          <w:rFonts w:ascii="仿宋_GB2312" w:eastAsia="仿宋_GB2312"/>
          <w:sz w:val="32"/>
          <w:szCs w:val="32"/>
        </w:rPr>
        <w:t>处理费</w:t>
      </w:r>
      <w:r>
        <w:rPr>
          <w:rFonts w:hint="default" w:ascii="仿宋_GB2312" w:hAnsi="仿宋_GB2312" w:eastAsia="仿宋_GB2312" w:cs="仿宋_GB2312"/>
          <w:kern w:val="2"/>
          <w:sz w:val="32"/>
          <w:szCs w:val="32"/>
          <w:lang w:val="en-US" w:eastAsia="zh-CN" w:bidi="ar-SA"/>
        </w:rPr>
        <w:t>。</w:t>
      </w:r>
    </w:p>
    <w:p>
      <w:pPr>
        <w:pStyle w:val="4"/>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2.落实上级工作要点情况。</w:t>
      </w:r>
    </w:p>
    <w:p>
      <w:pPr>
        <w:ind w:firstLine="640" w:firstLineChars="200"/>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2021年，</w:t>
      </w:r>
      <w:r>
        <w:rPr>
          <w:rFonts w:hint="eastAsia" w:ascii="仿宋" w:hAnsi="仿宋" w:eastAsia="仿宋" w:cs="仿宋"/>
          <w:sz w:val="31"/>
          <w:szCs w:val="31"/>
          <w:shd w:val="clear" w:fill="FFFFFF"/>
        </w:rPr>
        <w:t>对于《沂源县人民政府办公室关于印发 2021 年沂源县政务公开工作要点的通知》中提到的二十六项任务要点，我镇予以高度重视，严格按照上级要求予以落实</w:t>
      </w:r>
      <w:r>
        <w:rPr>
          <w:rFonts w:hint="eastAsia" w:ascii="仿宋" w:hAnsi="仿宋" w:eastAsia="仿宋" w:cs="仿宋"/>
          <w:sz w:val="31"/>
          <w:szCs w:val="31"/>
          <w:shd w:val="clear" w:fill="FFFFFF"/>
          <w:lang w:eastAsia="zh-CN"/>
        </w:rPr>
        <w:t>，</w:t>
      </w:r>
      <w:r>
        <w:rPr>
          <w:rFonts w:hint="eastAsia" w:ascii="仿宋" w:hAnsi="仿宋" w:eastAsia="仿宋" w:cs="仿宋"/>
          <w:sz w:val="31"/>
          <w:szCs w:val="31"/>
          <w:shd w:val="clear" w:fill="FFFFFF"/>
        </w:rPr>
        <w:t>按时上交任务清单</w:t>
      </w:r>
      <w:r>
        <w:rPr>
          <w:rFonts w:hint="eastAsia" w:ascii="仿宋" w:hAnsi="仿宋" w:eastAsia="仿宋" w:cs="仿宋"/>
          <w:sz w:val="31"/>
          <w:szCs w:val="31"/>
          <w:shd w:val="clear" w:fill="FFFFFF"/>
          <w:lang w:eastAsia="zh-CN"/>
        </w:rPr>
        <w:t>，</w:t>
      </w:r>
      <w:r>
        <w:rPr>
          <w:rFonts w:hint="eastAsia" w:ascii="仿宋" w:hAnsi="仿宋" w:eastAsia="仿宋" w:cs="仿宋"/>
          <w:sz w:val="31"/>
          <w:szCs w:val="31"/>
          <w:shd w:val="clear" w:fill="FFFFFF"/>
        </w:rPr>
        <w:t>本年度落实情况良好。</w:t>
      </w:r>
    </w:p>
    <w:p>
      <w:pPr>
        <w:pStyle w:val="4"/>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3.人大代表建议和政协提案办理结果公开情况。</w:t>
      </w:r>
    </w:p>
    <w:p>
      <w:pPr>
        <w:ind w:firstLine="620" w:firstLineChars="200"/>
        <w:rPr>
          <w:rFonts w:hint="eastAsia" w:ascii="仿宋_GB2312" w:hAnsi="仿宋_GB2312" w:eastAsia="仿宋_GB2312" w:cs="仿宋_GB2312"/>
          <w:color w:val="000000"/>
          <w:kern w:val="2"/>
          <w:sz w:val="32"/>
          <w:szCs w:val="32"/>
          <w:lang w:val="en-US" w:eastAsia="zh-CN" w:bidi="ar-SA"/>
        </w:rPr>
      </w:pPr>
      <w:r>
        <w:rPr>
          <w:rFonts w:hint="eastAsia" w:ascii="仿宋" w:hAnsi="仿宋" w:eastAsia="仿宋" w:cs="仿宋"/>
          <w:sz w:val="31"/>
          <w:szCs w:val="31"/>
          <w:shd w:val="clear" w:fill="FFFFFF"/>
        </w:rPr>
        <w:t>镇十六届人大十次会议闭会期间，镇人大转交镇政府的人大代表建议意见交办单共</w:t>
      </w:r>
      <w:r>
        <w:rPr>
          <w:rFonts w:hint="eastAsia" w:ascii="仿宋" w:hAnsi="仿宋" w:eastAsia="仿宋" w:cs="仿宋"/>
          <w:sz w:val="31"/>
          <w:szCs w:val="31"/>
          <w:shd w:val="clear" w:fill="FFFFFF"/>
          <w:lang w:val="en-US" w:eastAsia="zh-CN"/>
        </w:rPr>
        <w:t>23</w:t>
      </w:r>
      <w:r>
        <w:rPr>
          <w:rFonts w:hint="eastAsia" w:ascii="仿宋" w:hAnsi="仿宋" w:eastAsia="仿宋" w:cs="仿宋"/>
          <w:sz w:val="31"/>
          <w:szCs w:val="31"/>
          <w:shd w:val="clear" w:fill="FFFFFF"/>
        </w:rPr>
        <w:t>件。十次会议以来，在镇人大的监督和镇人大代表的关心支持下，经过全镇各级各有关部门和单位的积极努力，</w:t>
      </w:r>
      <w:r>
        <w:rPr>
          <w:rFonts w:hint="eastAsia" w:ascii="仿宋" w:hAnsi="仿宋" w:eastAsia="仿宋" w:cs="仿宋"/>
          <w:sz w:val="31"/>
          <w:szCs w:val="31"/>
          <w:shd w:val="clear" w:fill="FFFFFF"/>
          <w:lang w:val="en-US" w:eastAsia="zh-CN"/>
        </w:rPr>
        <w:t>23</w:t>
      </w:r>
      <w:r>
        <w:rPr>
          <w:rFonts w:hint="eastAsia" w:ascii="仿宋" w:hAnsi="仿宋" w:eastAsia="仿宋" w:cs="仿宋"/>
          <w:sz w:val="31"/>
          <w:szCs w:val="31"/>
          <w:shd w:val="clear" w:fill="FFFFFF"/>
        </w:rPr>
        <w:t>件建议意见办理工作进展顺利，截至目前，对代表所提建议意见均已答复，建议意见涉及问题大部分得到解决。已经办理完成或正在办理的建议</w:t>
      </w:r>
      <w:r>
        <w:rPr>
          <w:rFonts w:hint="eastAsia" w:ascii="仿宋" w:hAnsi="仿宋" w:eastAsia="仿宋" w:cs="仿宋"/>
          <w:sz w:val="31"/>
          <w:szCs w:val="31"/>
          <w:shd w:val="clear" w:fill="FFFFFF"/>
          <w:lang w:val="en-US" w:eastAsia="zh-CN"/>
        </w:rPr>
        <w:t>23</w:t>
      </w:r>
      <w:r>
        <w:rPr>
          <w:rFonts w:hint="eastAsia" w:ascii="仿宋" w:hAnsi="仿宋" w:eastAsia="仿宋" w:cs="仿宋"/>
          <w:sz w:val="31"/>
          <w:szCs w:val="31"/>
          <w:shd w:val="clear" w:fill="FFFFFF"/>
        </w:rPr>
        <w:t>件，占建议总数的</w:t>
      </w:r>
      <w:r>
        <w:rPr>
          <w:rFonts w:hint="eastAsia" w:ascii="仿宋" w:hAnsi="仿宋" w:eastAsia="仿宋" w:cs="仿宋"/>
          <w:sz w:val="31"/>
          <w:szCs w:val="31"/>
          <w:shd w:val="clear" w:fill="FFFFFF"/>
          <w:lang w:val="en-US" w:eastAsia="zh-CN"/>
        </w:rPr>
        <w:t>100</w:t>
      </w:r>
      <w:r>
        <w:rPr>
          <w:rFonts w:hint="eastAsia" w:ascii="仿宋" w:hAnsi="仿宋" w:eastAsia="仿宋" w:cs="仿宋"/>
          <w:sz w:val="31"/>
          <w:szCs w:val="31"/>
          <w:shd w:val="clear" w:fill="FFFFFF"/>
        </w:rPr>
        <w:t>%。</w:t>
      </w:r>
    </w:p>
    <w:p>
      <w:pPr>
        <w:pStyle w:val="2"/>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4.政务公开工作创新情况</w:t>
      </w:r>
    </w:p>
    <w:p>
      <w:pPr>
        <w:pStyle w:val="3"/>
        <w:keepNext w:val="0"/>
        <w:keepLines w:val="0"/>
        <w:widowControl/>
        <w:suppressLineNumbers w:val="0"/>
        <w:shd w:val="clear" w:fill="FFFFFF"/>
        <w:spacing w:after="240" w:afterAutospacing="0"/>
        <w:ind w:left="0" w:firstLine="620"/>
        <w:jc w:val="both"/>
        <w:rPr>
          <w:rFonts w:hint="eastAsia"/>
          <w:lang w:val="en-US" w:eastAsia="zh-CN"/>
        </w:rPr>
      </w:pPr>
      <w:r>
        <w:rPr>
          <w:rFonts w:hint="eastAsia" w:ascii="仿宋" w:hAnsi="仿宋" w:eastAsia="仿宋" w:cs="仿宋"/>
          <w:sz w:val="31"/>
          <w:szCs w:val="31"/>
          <w:shd w:val="clear" w:fill="FFFFFF"/>
        </w:rPr>
        <w:t>我镇暂无政务公开工作创新情况。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A1F72"/>
    <w:multiLevelType w:val="singleLevel"/>
    <w:tmpl w:val="FDBA1F72"/>
    <w:lvl w:ilvl="0" w:tentative="0">
      <w:start w:val="1"/>
      <w:numFmt w:val="chineseCounting"/>
      <w:suff w:val="nothing"/>
      <w:lvlText w:val="%1、"/>
      <w:lvlJc w:val="left"/>
      <w:rPr>
        <w:rFonts w:hint="eastAsia"/>
      </w:rPr>
    </w:lvl>
  </w:abstractNum>
  <w:abstractNum w:abstractNumId="1">
    <w:nsid w:val="67FD781C"/>
    <w:multiLevelType w:val="singleLevel"/>
    <w:tmpl w:val="67FD781C"/>
    <w:lvl w:ilvl="0" w:tentative="0">
      <w:start w:val="1"/>
      <w:numFmt w:val="chineseCounting"/>
      <w:suff w:val="nothing"/>
      <w:lvlText w:val="（%1）"/>
      <w:lvlJc w:val="left"/>
      <w:pPr>
        <w:ind w:left="48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C6604"/>
    <w:rsid w:val="1B9C6604"/>
    <w:rsid w:val="2417526B"/>
    <w:rsid w:val="3D9D3A50"/>
    <w:rsid w:val="42CD7084"/>
    <w:rsid w:val="6AEC1B6A"/>
    <w:rsid w:val="79A4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ind w:firstLine="200" w:firstLineChars="200"/>
      <w:outlineLvl w:val="0"/>
    </w:pPr>
    <w:rPr>
      <w:rFonts w:ascii="Calibri Light" w:hAnsi="Calibri Light" w:eastAsia="黑体" w:cs="Times New Roman"/>
      <w:b/>
      <w:bCs/>
      <w:sz w:val="32"/>
      <w:szCs w:val="32"/>
    </w:rPr>
  </w:style>
  <w:style w:type="character" w:styleId="7">
    <w:name w:val="Strong"/>
    <w:basedOn w:val="6"/>
    <w:qFormat/>
    <w:uiPriority w:val="0"/>
    <w:rPr>
      <w:b/>
    </w:rPr>
  </w:style>
  <w:style w:type="paragraph" w:customStyle="1" w:styleId="8">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9">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10">
    <w:name w:val="Other|2"/>
    <w:basedOn w:val="1"/>
    <w:qFormat/>
    <w:uiPriority w:val="0"/>
    <w:pPr>
      <w:spacing w:before="90"/>
      <w:jc w:val="center"/>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3014</Words>
  <Characters>3140</Characters>
  <Lines>0</Lines>
  <Paragraphs>0</Paragraphs>
  <TotalTime>6</TotalTime>
  <ScaleCrop>false</ScaleCrop>
  <LinksUpToDate>false</LinksUpToDate>
  <CharactersWithSpaces>3142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2022-01-29T06:51:00Z</dcterms:created>
  <dc:creator>Administrator</dc:creator>
  <cp:lastModifiedBy>Chaser</cp:lastModifiedBy>
  <dcterms:modified xsi:type="dcterms:W3CDTF">2022-03-31T09:19:51Z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EC15A98991854AB0A888E6EA8C5A2A72</vt:lpwstr>
  </property>
</Properties>
</file>