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沂源县科学技术局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沂源县科技局严格落实《中华人民共和国政府信息公开条例》以及国家、省、市政府信息公开工作有关文件要求，认真开展政务信息公开工作，坚持以公开为常态，以不公开为例外的原则，把政府信息公开作为改进工作作风和机关形象的重要载体，精心组织，规范进行，有效保障了群众的知情权、参与权、监督权。具体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本年度报告中所列数据的统计期限自2022年1月1日起，至2022年12月31日止。如对报告内容有疑问，请与行政机关规范全称联系</w:t>
      </w:r>
      <w:r>
        <w:rPr>
          <w:rFonts w:hint="eastAsia" w:ascii="仿宋_GB2312" w:hAnsi="仿宋_GB2312" w:eastAsia="仿宋_GB2312" w:cs="仿宋_GB2312"/>
          <w:sz w:val="32"/>
          <w:szCs w:val="32"/>
        </w:rPr>
        <w:t>（地址：沂源县振兴路</w:t>
      </w:r>
      <w:r>
        <w:rPr>
          <w:rFonts w:hint="eastAsia" w:ascii="仿宋_GB2312" w:hAnsi="仿宋_GB2312" w:eastAsia="仿宋_GB2312" w:cs="仿宋_GB2312"/>
          <w:sz w:val="32"/>
          <w:szCs w:val="32"/>
          <w:lang w:val="en-US"/>
        </w:rPr>
        <w:t>61</w:t>
      </w:r>
      <w:r>
        <w:rPr>
          <w:rFonts w:hint="eastAsia" w:ascii="仿宋_GB2312" w:hAnsi="仿宋_GB2312" w:eastAsia="仿宋_GB2312" w:cs="仿宋_GB2312"/>
          <w:sz w:val="32"/>
          <w:szCs w:val="32"/>
        </w:rPr>
        <w:t>号；邮编：</w:t>
      </w:r>
      <w:r>
        <w:rPr>
          <w:rFonts w:hint="eastAsia" w:ascii="仿宋_GB2312" w:hAnsi="仿宋_GB2312" w:eastAsia="仿宋_GB2312" w:cs="仿宋_GB2312"/>
          <w:sz w:val="32"/>
          <w:szCs w:val="32"/>
          <w:lang w:val="en-US"/>
        </w:rPr>
        <w:t>256100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rPr>
        <w:t>0533-3241139</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rPr>
        <w:t>yyxkjjbgs@zb.shandong.cn</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2022年，沂源县科技局在市委、市政府的领导下，紧扣全县科技重点工作，围绕人民群众关切的问题，借力“互联网+政务服务”，及时、准确公开各类政府信息，及时回应社会关切，有序、稳妥推进我局政府信息公开的各项工作。明确工作任务，细化工作目标，不断加大公开力度，扩大公开范围，细化公开内容，切实发挥信息公开的监督约束作用，全面推进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rPr>
        <w:t>（一）</w:t>
      </w:r>
      <w:r>
        <w:rPr>
          <w:rFonts w:hint="eastAsia" w:ascii="黑体" w:hAnsi="黑体" w:eastAsia="黑体" w:cs="黑体"/>
          <w:sz w:val="32"/>
          <w:szCs w:val="32"/>
        </w:rPr>
        <w:t>主动公开信息情况</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rPr>
        <w:t>日，科技局融公开平台公布相关政府信息</w:t>
      </w:r>
      <w:r>
        <w:rPr>
          <w:rFonts w:hint="eastAsia" w:ascii="仿宋_GB2312" w:hAnsi="仿宋_GB2312" w:eastAsia="仿宋_GB2312" w:cs="仿宋_GB2312"/>
          <w:sz w:val="32"/>
          <w:szCs w:val="32"/>
          <w:lang w:val="en-US"/>
        </w:rPr>
        <w:t>73</w:t>
      </w:r>
      <w:r>
        <w:rPr>
          <w:rFonts w:hint="eastAsia" w:ascii="仿宋_GB2312" w:hAnsi="仿宋_GB2312" w:eastAsia="仿宋_GB2312" w:cs="仿宋_GB2312"/>
          <w:sz w:val="32"/>
          <w:szCs w:val="32"/>
        </w:rPr>
        <w:t>条。其中，政府会议类信息</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条，政策法规类信息</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条，规划计划类信息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人大建议办理信息1条，</w:t>
      </w:r>
      <w:r>
        <w:rPr>
          <w:rFonts w:hint="eastAsia" w:ascii="仿宋_GB2312" w:hAnsi="仿宋_GB2312" w:eastAsia="仿宋_GB2312" w:cs="仿宋_GB2312"/>
          <w:sz w:val="32"/>
          <w:szCs w:val="32"/>
        </w:rPr>
        <w:t>政协</w:t>
      </w:r>
      <w:r>
        <w:rPr>
          <w:rFonts w:hint="eastAsia" w:ascii="仿宋_GB2312" w:hAnsi="仿宋_GB2312" w:eastAsia="仿宋_GB2312" w:cs="仿宋_GB2312"/>
          <w:sz w:val="32"/>
          <w:szCs w:val="32"/>
          <w:lang w:val="en-US" w:eastAsia="zh-CN"/>
        </w:rPr>
        <w:t>提案办理</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条，工作动态类</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条，财政预决算类信息</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条，其他类信息</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围绕决策公开、管理和服务公开、执行和结果公开，加强会议公开力度，主动公开部门会议信息</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次，其中</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次专题会议，</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次会议解读。</w:t>
      </w: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年共制发公开规范性文件</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件，人事任免文件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件，源科字文件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件，积极采用主要负责人解读、图片解读、视频解读、政策吹风会等多种形式进行解读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rPr>
      </w:pPr>
      <w:r>
        <w:t> </w:t>
      </w:r>
      <w:r>
        <w:rPr>
          <w:rFonts w:hint="eastAsia"/>
          <w:lang w:val="en-US" w:eastAsia="zh-CN"/>
        </w:rPr>
        <w:t xml:space="preserve">    </w:t>
      </w:r>
      <w:r>
        <w:rPr>
          <w:rFonts w:hint="eastAsia" w:ascii="黑体" w:hAnsi="黑体" w:eastAsia="黑体" w:cs="黑体"/>
          <w:sz w:val="32"/>
          <w:szCs w:val="32"/>
          <w:lang w:val="en-US"/>
        </w:rPr>
        <w:t>（二）依申请公开情况</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年，未通过各种渠道收到有关政府信息公开申请。近年来，我局未收到任何政府信息公开申请。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lang w:val="en-US"/>
        </w:rPr>
        <w:t> </w:t>
      </w: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r>
        <w:rPr>
          <w:rFonts w:ascii="仿宋_GB2312" w:hAnsi="宋体" w:eastAsia="仿宋_GB2312" w:cs="仿宋_GB2312"/>
          <w:i w:val="0"/>
          <w:iCs w:val="0"/>
          <w:caps w:val="0"/>
          <w:color w:val="000000"/>
          <w:spacing w:val="0"/>
          <w:sz w:val="32"/>
          <w:szCs w:val="32"/>
          <w:shd w:val="clear" w:fill="FFFFFF"/>
        </w:rPr>
        <w:t>2022年，</w:t>
      </w:r>
      <w:r>
        <w:rPr>
          <w:rFonts w:hint="eastAsia" w:ascii="仿宋_GB2312" w:hAnsi="宋体" w:eastAsia="仿宋_GB2312" w:cs="仿宋_GB2312"/>
          <w:i w:val="0"/>
          <w:iCs w:val="0"/>
          <w:caps w:val="0"/>
          <w:color w:val="000000"/>
          <w:spacing w:val="0"/>
          <w:sz w:val="32"/>
          <w:szCs w:val="32"/>
          <w:shd w:val="clear" w:fill="FFFFFF"/>
          <w:lang w:val="en-US" w:eastAsia="zh-CN"/>
        </w:rPr>
        <w:t>县</w:t>
      </w:r>
      <w:r>
        <w:rPr>
          <w:rFonts w:ascii="仿宋_GB2312" w:hAnsi="宋体" w:eastAsia="仿宋_GB2312" w:cs="仿宋_GB2312"/>
          <w:i w:val="0"/>
          <w:iCs w:val="0"/>
          <w:caps w:val="0"/>
          <w:color w:val="000000"/>
          <w:spacing w:val="0"/>
          <w:sz w:val="32"/>
          <w:szCs w:val="32"/>
          <w:shd w:val="clear" w:fill="FFFFFF"/>
        </w:rPr>
        <w:t>科技局认真落实《中华人民共和国政府信息公开条例》要求，</w:t>
      </w:r>
      <w:r>
        <w:rPr>
          <w:rFonts w:hint="eastAsia" w:ascii="仿宋_GB2312" w:hAnsi="仿宋_GB2312" w:eastAsia="仿宋_GB2312" w:cs="仿宋_GB2312"/>
          <w:sz w:val="32"/>
          <w:szCs w:val="32"/>
          <w:lang w:val="en-US" w:eastAsia="zh-CN"/>
        </w:rPr>
        <w:t>成立了以局长为组长的政府信息公开领导小组，领导小组下设办公室，由局办公室负责具体工作。</w:t>
      </w:r>
      <w:r>
        <w:rPr>
          <w:rFonts w:ascii="仿宋_GB2312" w:hAnsi="宋体" w:eastAsia="仿宋_GB2312" w:cs="仿宋_GB2312"/>
          <w:i w:val="0"/>
          <w:iCs w:val="0"/>
          <w:caps w:val="0"/>
          <w:color w:val="000000"/>
          <w:spacing w:val="0"/>
          <w:sz w:val="32"/>
          <w:szCs w:val="32"/>
          <w:shd w:val="clear" w:fill="FFFFFF"/>
        </w:rPr>
        <w:t>结合全</w:t>
      </w:r>
      <w:r>
        <w:rPr>
          <w:rFonts w:hint="eastAsia" w:ascii="仿宋_GB2312" w:hAnsi="宋体" w:eastAsia="仿宋_GB2312" w:cs="仿宋_GB2312"/>
          <w:i w:val="0"/>
          <w:iCs w:val="0"/>
          <w:caps w:val="0"/>
          <w:color w:val="000000"/>
          <w:spacing w:val="0"/>
          <w:sz w:val="32"/>
          <w:szCs w:val="32"/>
          <w:shd w:val="clear" w:fill="FFFFFF"/>
          <w:lang w:val="en-US" w:eastAsia="zh-CN"/>
        </w:rPr>
        <w:t>县</w:t>
      </w:r>
      <w:r>
        <w:rPr>
          <w:rFonts w:ascii="仿宋_GB2312" w:hAnsi="宋体" w:eastAsia="仿宋_GB2312" w:cs="仿宋_GB2312"/>
          <w:i w:val="0"/>
          <w:iCs w:val="0"/>
          <w:caps w:val="0"/>
          <w:color w:val="000000"/>
          <w:spacing w:val="0"/>
          <w:sz w:val="32"/>
          <w:szCs w:val="32"/>
          <w:shd w:val="clear" w:fill="FFFFFF"/>
        </w:rPr>
        <w:t>科技创新年度工作重点，及时调整政务公开目录及栏目内容动态更新，积极有序推进政务公开标准化建设，切实提高政务公开工作规范化、标准化水平。</w:t>
      </w:r>
      <w:r>
        <w:rPr>
          <w:rFonts w:ascii="Calibri" w:hAnsi="Calibri" w:eastAsia="仿宋_GB2312" w:cs="Calibri"/>
          <w:i w:val="0"/>
          <w:iCs w:val="0"/>
          <w:caps w:val="0"/>
          <w:color w:val="000000"/>
          <w:spacing w:val="0"/>
          <w:sz w:val="32"/>
          <w:szCs w:val="32"/>
          <w:shd w:val="clear" w:fill="FFFFFF"/>
        </w:rPr>
        <w:t> </w:t>
      </w:r>
      <w:r>
        <w:rPr>
          <w:rFonts w:hint="eastAsia" w:ascii="仿宋_GB2312" w:hAnsi="仿宋_GB2312" w:eastAsia="仿宋_GB2312" w:cs="仿宋_GB2312"/>
          <w:sz w:val="32"/>
          <w:szCs w:val="32"/>
          <w:lang w:val="en-US" w:eastAsia="zh-CN"/>
        </w:rPr>
        <w:t>建立了信息主动公开、保密审查、监督检查等一系列工作制度。主要公开方式是通过县政府网站和媒体网站等媒介，明确了主动公开工作各个环节的职责、程序、公开方式、公开内容。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（四）政府信息公开平台、机构建设和人员情况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val="en-US"/>
        </w:rPr>
      </w:pPr>
      <w:r>
        <w:rPr>
          <w:rFonts w:hint="eastAsia" w:ascii="仿宋_GB2312" w:hAnsi="宋体" w:eastAsia="仿宋_GB2312" w:cs="仿宋_GB2312"/>
          <w:i w:val="0"/>
          <w:iCs w:val="0"/>
          <w:caps w:val="0"/>
          <w:color w:val="000000"/>
          <w:spacing w:val="0"/>
          <w:sz w:val="32"/>
          <w:szCs w:val="32"/>
          <w:shd w:val="clear" w:fill="FFFFFF"/>
          <w:lang w:val="en-US" w:eastAsia="zh-CN"/>
        </w:rPr>
        <w:t>依托县政府网站作为政务公开主要途径，安排专人对政务信息公开目录及内容进行适时更新，并充分运用“沂源科技”微信公众号进行政务信息公开发布，以多途径、多形式推进政务公开信息化建设。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color w:val="000000"/>
          <w:spacing w:val="0"/>
          <w:sz w:val="32"/>
          <w:szCs w:val="32"/>
          <w:shd w:val="clear" w:fill="FFFFFF"/>
          <w:lang w:val="en-US"/>
        </w:rPr>
      </w:pPr>
      <w:r>
        <w:rPr>
          <w:rFonts w:hint="eastAsia" w:ascii="仿宋_GB2312" w:hAnsi="宋体" w:eastAsia="仿宋_GB2312" w:cs="仿宋_GB2312"/>
          <w:i w:val="0"/>
          <w:iCs w:val="0"/>
          <w:caps w:val="0"/>
          <w:color w:val="000000"/>
          <w:spacing w:val="0"/>
          <w:sz w:val="32"/>
          <w:szCs w:val="32"/>
          <w:shd w:val="clear" w:fill="FFFFFF"/>
          <w:lang w:val="en-US" w:eastAsia="zh-CN"/>
        </w:rPr>
        <w:t xml:space="preserve">  </w:t>
      </w:r>
      <w:r>
        <w:rPr>
          <w:rFonts w:hint="eastAsia" w:ascii="仿宋_GB2312" w:hAnsi="宋体" w:eastAsia="仿宋_GB2312" w:cs="仿宋_GB2312"/>
          <w:b/>
          <w:bCs/>
          <w:i w:val="0"/>
          <w:iCs w:val="0"/>
          <w:caps w:val="0"/>
          <w:color w:val="000000"/>
          <w:spacing w:val="0"/>
          <w:sz w:val="32"/>
          <w:szCs w:val="32"/>
          <w:shd w:val="clear" w:fill="FFFFFF"/>
          <w:lang w:val="en-US" w:eastAsia="zh-CN"/>
        </w:rPr>
        <w:t xml:space="preserve"> </w:t>
      </w:r>
      <w:r>
        <w:rPr>
          <w:rFonts w:hint="eastAsia" w:ascii="仿宋_GB2312" w:hAnsi="宋体" w:eastAsia="仿宋_GB2312" w:cs="仿宋_GB2312"/>
          <w:i w:val="0"/>
          <w:iCs w:val="0"/>
          <w:caps w:val="0"/>
          <w:color w:val="000000"/>
          <w:spacing w:val="0"/>
          <w:sz w:val="32"/>
          <w:szCs w:val="32"/>
          <w:shd w:val="clear" w:fill="FFFFFF"/>
          <w:lang w:val="en-US" w:eastAsia="zh-CN"/>
        </w:rPr>
        <w:t>一是充分发挥政府网站功能。将沂源县政府网站作为政务信息公开的主阵地，不断规范发布格式，注重提升发布信息的质量。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val="en-US"/>
        </w:rPr>
      </w:pPr>
      <w:r>
        <w:rPr>
          <w:rFonts w:hint="eastAsia" w:ascii="仿宋_GB2312" w:hAnsi="宋体" w:eastAsia="仿宋_GB2312" w:cs="仿宋_GB2312"/>
          <w:i w:val="0"/>
          <w:iCs w:val="0"/>
          <w:caps w:val="0"/>
          <w:color w:val="000000"/>
          <w:spacing w:val="0"/>
          <w:sz w:val="32"/>
          <w:szCs w:val="32"/>
          <w:shd w:val="clear" w:fill="FFFFFF"/>
          <w:lang w:val="en-US" w:eastAsia="zh-CN"/>
        </w:rPr>
        <w:t>二是加强政务新媒体建设。加强推送热点内容，进一步提升服务质量和效能。2022年，新建“沂源科技”微信公众号，共发布信息31条，订阅数562个。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一是</w:t>
      </w:r>
      <w:r>
        <w:rPr>
          <w:rFonts w:hint="eastAsia" w:ascii="仿宋_GB2312" w:hAnsi="宋体" w:eastAsia="仿宋_GB2312" w:cs="仿宋_GB2312"/>
          <w:i w:val="0"/>
          <w:iCs w:val="0"/>
          <w:caps w:val="0"/>
          <w:color w:val="000000"/>
          <w:spacing w:val="0"/>
          <w:sz w:val="32"/>
          <w:szCs w:val="32"/>
          <w:shd w:val="clear" w:fill="FFFFFF"/>
        </w:rPr>
        <w:t>强化组织领导。充分发挥局政务信息公开工作领导小组作用，政务公开重大事项由领导小组研究后及时予以公开。二是加强日常调度推进，在局党组会议、局工作例会上安排具体人员做好政务网站和新媒体相关工作。</w:t>
      </w:r>
      <w:r>
        <w:rPr>
          <w:rFonts w:hint="eastAsia" w:ascii="仿宋_GB2312" w:hAnsi="宋体" w:eastAsia="仿宋_GB2312" w:cs="仿宋_GB2312"/>
          <w:i w:val="0"/>
          <w:iCs w:val="0"/>
          <w:caps w:val="0"/>
          <w:color w:val="000000"/>
          <w:spacing w:val="0"/>
          <w:sz w:val="32"/>
          <w:szCs w:val="32"/>
          <w:shd w:val="clear" w:fill="FFFFFF"/>
          <w:lang w:val="en-US" w:eastAsia="zh-CN"/>
        </w:rPr>
        <w:t>三</w:t>
      </w:r>
      <w:r>
        <w:rPr>
          <w:rFonts w:hint="eastAsia" w:ascii="仿宋_GB2312" w:hAnsi="宋体" w:eastAsia="仿宋_GB2312" w:cs="仿宋_GB2312"/>
          <w:i w:val="0"/>
          <w:iCs w:val="0"/>
          <w:caps w:val="0"/>
          <w:color w:val="000000"/>
          <w:spacing w:val="0"/>
          <w:sz w:val="32"/>
          <w:szCs w:val="32"/>
          <w:shd w:val="clear" w:fill="FFFFFF"/>
        </w:rPr>
        <w:t>是强化落实推进。积极组织人员参加各类政务公开工作会议和业务培训。不断提升信息公开的质量和效能，提升群众满意度。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二、主动公开政府信息情况</w:t>
      </w:r>
    </w:p>
    <w:tbl>
      <w:tblPr>
        <w:tblStyle w:val="3"/>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65"/>
        <w:gridCol w:w="2067"/>
        <w:gridCol w:w="1932"/>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850" w:type="dxa"/>
            <w:gridSpan w:val="4"/>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信息内容</w:t>
            </w:r>
          </w:p>
        </w:tc>
        <w:tc>
          <w:tcPr>
            <w:tcW w:w="206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本年制发件数</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本年废止件数</w:t>
            </w:r>
          </w:p>
        </w:tc>
        <w:tc>
          <w:tcPr>
            <w:tcW w:w="218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规章</w:t>
            </w:r>
          </w:p>
        </w:tc>
        <w:tc>
          <w:tcPr>
            <w:tcW w:w="206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218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规范性文件</w:t>
            </w:r>
          </w:p>
        </w:tc>
        <w:tc>
          <w:tcPr>
            <w:tcW w:w="2067"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932"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2186"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信息内容</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行政许可</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信息内容</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行政处罚</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行政强制</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850" w:type="dxa"/>
            <w:gridSpan w:val="4"/>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信息内容</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65"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行政事业性收费</w:t>
            </w:r>
          </w:p>
        </w:tc>
        <w:tc>
          <w:tcPr>
            <w:tcW w:w="6185" w:type="dxa"/>
            <w:gridSpan w:val="3"/>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三、收到和处理政府信息公开申请情况</w:t>
      </w:r>
    </w:p>
    <w:tbl>
      <w:tblPr>
        <w:tblStyle w:val="3"/>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77"/>
        <w:gridCol w:w="964"/>
        <w:gridCol w:w="48"/>
        <w:gridCol w:w="1067"/>
        <w:gridCol w:w="874"/>
        <w:gridCol w:w="913"/>
        <w:gridCol w:w="913"/>
        <w:gridCol w:w="901"/>
        <w:gridCol w:w="812"/>
        <w:gridCol w:w="737"/>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17" w:type="dxa"/>
            <w:gridSpan w:val="4"/>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（本列数据的勾稽关系为：第一项加第二项之和，等于第三项加第四项之和）</w:t>
            </w:r>
          </w:p>
        </w:tc>
        <w:tc>
          <w:tcPr>
            <w:tcW w:w="5969" w:type="dxa"/>
            <w:gridSpan w:val="7"/>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xml:space="preserve">        </w:t>
            </w:r>
            <w:r>
              <w:rPr>
                <w:rFonts w:hint="eastAsia"/>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35" w:hRule="atLeast"/>
        </w:trPr>
        <w:tc>
          <w:tcPr>
            <w:tcW w:w="2917"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675"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自然人</w:t>
            </w:r>
          </w:p>
        </w:tc>
        <w:tc>
          <w:tcPr>
            <w:tcW w:w="4575" w:type="dxa"/>
            <w:gridSpan w:val="5"/>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法人或其他组织</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2917"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67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商业企业</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科研机构</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社会公益组织</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法律服务机构</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其他</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2917" w:type="dxa"/>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一、本年新收政府信息公开申请数量</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2917" w:type="dxa"/>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二、上年结转政府信息公开申请数量</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502"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三、本年度办理结果</w:t>
            </w:r>
          </w:p>
        </w:tc>
        <w:tc>
          <w:tcPr>
            <w:tcW w:w="2415" w:type="dxa"/>
            <w:gridSpan w:val="3"/>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（一）予以公开</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lang w:val="en-US"/>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2415" w:type="dxa"/>
            <w:gridSpan w:val="3"/>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（二）部分公开（区分处理的，只计这一情形，不计其他情形）</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0" w:hRule="atLeast"/>
        </w:trPr>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（三）不予公开</w:t>
            </w: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1.</w:t>
            </w:r>
            <w:r>
              <w:rPr>
                <w:rFonts w:hint="eastAsia"/>
              </w:rPr>
              <w:t>属于国家秘密</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2.</w:t>
            </w:r>
            <w:r>
              <w:rPr>
                <w:rFonts w:hint="eastAsia"/>
              </w:rPr>
              <w:t>其他法律行政法规禁止公开</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3.</w:t>
            </w:r>
            <w:r>
              <w:rPr>
                <w:rFonts w:hint="eastAsia"/>
              </w:rPr>
              <w:t>危及“三安全一稳定”</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4.</w:t>
            </w:r>
            <w:r>
              <w:rPr>
                <w:rFonts w:hint="eastAsia"/>
              </w:rPr>
              <w:t>保护第三方合法权益</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5.</w:t>
            </w:r>
            <w:r>
              <w:rPr>
                <w:rFonts w:hint="eastAsia"/>
              </w:rPr>
              <w:t>属于三类内部事务信息</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6.</w:t>
            </w:r>
            <w:r>
              <w:rPr>
                <w:rFonts w:hint="eastAsia"/>
              </w:rPr>
              <w:t>属于四类过程性信息</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7.</w:t>
            </w:r>
            <w:r>
              <w:rPr>
                <w:rFonts w:hint="eastAsia"/>
              </w:rPr>
              <w:t>属于行政执法案卷</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8.</w:t>
            </w:r>
            <w:r>
              <w:rPr>
                <w:rFonts w:hint="eastAsia"/>
              </w:rPr>
              <w:t>属于行政查询事项</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（四）无法提供</w:t>
            </w: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1.</w:t>
            </w:r>
            <w:r>
              <w:rPr>
                <w:rFonts w:hint="eastAsia"/>
              </w:rPr>
              <w:t>本机关不掌握相关政府信息</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2.</w:t>
            </w:r>
            <w:r>
              <w:rPr>
                <w:rFonts w:hint="eastAsia"/>
              </w:rPr>
              <w:t>没有现成信息需要另行制作</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3.</w:t>
            </w:r>
            <w:r>
              <w:rPr>
                <w:rFonts w:hint="eastAsia"/>
              </w:rPr>
              <w:t>补正后申请内容仍不明确</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（五）不予处理</w:t>
            </w: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1.</w:t>
            </w:r>
            <w:r>
              <w:rPr>
                <w:rFonts w:hint="eastAsia"/>
              </w:rPr>
              <w:t>信访举报投诉类申请</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2.</w:t>
            </w:r>
            <w:r>
              <w:rPr>
                <w:rFonts w:hint="eastAsia"/>
              </w:rPr>
              <w:t>重复申请</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3.</w:t>
            </w:r>
            <w:r>
              <w:rPr>
                <w:rFonts w:hint="eastAsia"/>
              </w:rPr>
              <w:t>要求提供公开出版物</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4.</w:t>
            </w:r>
            <w:r>
              <w:rPr>
                <w:rFonts w:hint="eastAsia"/>
              </w:rPr>
              <w:t>无正当理由大量反复申请</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96" w:type="dxa"/>
            <w:gridSpan w:val="2"/>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5.</w:t>
            </w:r>
            <w:r>
              <w:rPr>
                <w:rFonts w:hint="eastAsia"/>
              </w:rPr>
              <w:t>要求行政机关确认或重新出具已获取信息</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82"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（六）其他处理</w:t>
            </w:r>
          </w:p>
        </w:tc>
        <w:tc>
          <w:tcPr>
            <w:tcW w:w="1633" w:type="dxa"/>
            <w:gridSpan w:val="2"/>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1</w:t>
            </w:r>
            <w:r>
              <w:rPr>
                <w:rFonts w:hint="eastAsia"/>
              </w:rPr>
              <w:t>、申请人无正当理由逾期不补正、行政机关不再处理其政府信息公开申请</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82"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33" w:type="dxa"/>
            <w:gridSpan w:val="2"/>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2</w:t>
            </w:r>
            <w:r>
              <w:rPr>
                <w:rFonts w:hint="eastAsia"/>
              </w:rPr>
              <w:t>、申请人逾期未按收费通知要求缴纳费用、行政机关不再处理其政府信息公开申请</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782"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1633" w:type="dxa"/>
            <w:gridSpan w:val="2"/>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3</w:t>
            </w:r>
            <w:r>
              <w:rPr>
                <w:rFonts w:hint="eastAsia"/>
              </w:rPr>
              <w:t>、其他</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2"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2415" w:type="dxa"/>
            <w:gridSpan w:val="3"/>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（七）总计</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917" w:type="dxa"/>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四、结转下年度继续办理</w:t>
            </w:r>
          </w:p>
        </w:tc>
        <w:tc>
          <w:tcPr>
            <w:tcW w:w="6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7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94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5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19"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7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102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6"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91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85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87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87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87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8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85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85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w:t>
      </w:r>
      <w:r>
        <w:rPr>
          <w:rFonts w:hint="eastAsia" w:ascii="黑体" w:hAnsi="黑体" w:eastAsia="黑体" w:cs="黑体"/>
          <w:sz w:val="32"/>
          <w:szCs w:val="32"/>
          <w:lang w:val="en-US"/>
        </w:rPr>
        <w:t>　四、政府信息公开行政复议、行政诉讼情况</w:t>
      </w:r>
    </w:p>
    <w:tbl>
      <w:tblPr>
        <w:tblStyle w:val="3"/>
        <w:tblW w:w="9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4"/>
        <w:gridCol w:w="564"/>
        <w:gridCol w:w="564"/>
        <w:gridCol w:w="564"/>
        <w:gridCol w:w="564"/>
        <w:gridCol w:w="564"/>
        <w:gridCol w:w="575"/>
        <w:gridCol w:w="715"/>
        <w:gridCol w:w="575"/>
        <w:gridCol w:w="661"/>
        <w:gridCol w:w="596"/>
        <w:gridCol w:w="564"/>
        <w:gridCol w:w="483"/>
        <w:gridCol w:w="215"/>
        <w:gridCol w:w="255"/>
        <w:gridCol w:w="309"/>
        <w:gridCol w:w="704"/>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022" w:type="dxa"/>
            <w:gridSpan w:val="6"/>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行政复议</w:t>
            </w:r>
          </w:p>
        </w:tc>
        <w:tc>
          <w:tcPr>
            <w:tcW w:w="5895" w:type="dxa"/>
            <w:gridSpan w:val="11"/>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行政诉讼</w:t>
            </w:r>
          </w:p>
        </w:tc>
        <w:tc>
          <w:tcPr>
            <w:tcW w:w="70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1" w:type="dxa"/>
            <w:vMerge w:val="restart"/>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结果维持</w:t>
            </w:r>
          </w:p>
        </w:tc>
        <w:tc>
          <w:tcPr>
            <w:tcW w:w="525"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结果纠正</w:t>
            </w:r>
          </w:p>
        </w:tc>
        <w:tc>
          <w:tcPr>
            <w:tcW w:w="526"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其他结果</w:t>
            </w:r>
          </w:p>
        </w:tc>
        <w:tc>
          <w:tcPr>
            <w:tcW w:w="434"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尚未审结</w:t>
            </w:r>
          </w:p>
        </w:tc>
        <w:tc>
          <w:tcPr>
            <w:tcW w:w="570" w:type="dxa"/>
            <w:vMerge w:val="restart"/>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总计</w:t>
            </w:r>
          </w:p>
        </w:tc>
        <w:tc>
          <w:tcPr>
            <w:tcW w:w="3271" w:type="dxa"/>
            <w:gridSpan w:val="5"/>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未经复议直接起诉</w:t>
            </w:r>
          </w:p>
        </w:tc>
        <w:tc>
          <w:tcPr>
            <w:tcW w:w="3180" w:type="dxa"/>
            <w:gridSpan w:val="7"/>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复议后起诉</w:t>
            </w:r>
          </w:p>
        </w:tc>
        <w:tc>
          <w:tcPr>
            <w:tcW w:w="705" w:type="dxa"/>
            <w:shd w:val="clear" w:color="auto" w:fill="FFFFFF"/>
            <w:tcMar>
              <w:left w:w="105"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11" w:type="dxa"/>
            <w:vMerge w:val="continue"/>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525"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526"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434"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570" w:type="dxa"/>
            <w:vMerge w:val="continue"/>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tc>
        <w:tc>
          <w:tcPr>
            <w:tcW w:w="5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结果维持</w:t>
            </w:r>
          </w:p>
        </w:tc>
        <w:tc>
          <w:tcPr>
            <w:tcW w:w="6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结果纠正</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其他结果</w:t>
            </w:r>
          </w:p>
        </w:tc>
        <w:tc>
          <w:tcPr>
            <w:tcW w:w="6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尚未审结</w:t>
            </w:r>
          </w:p>
        </w:tc>
        <w:tc>
          <w:tcPr>
            <w:tcW w:w="7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总计</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结果维持</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结果纠正</w:t>
            </w:r>
          </w:p>
        </w:tc>
        <w:tc>
          <w:tcPr>
            <w:tcW w:w="69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其他结果</w:t>
            </w:r>
          </w:p>
        </w:tc>
        <w:tc>
          <w:tcPr>
            <w:tcW w:w="54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尚未审结</w:t>
            </w:r>
          </w:p>
        </w:tc>
        <w:tc>
          <w:tcPr>
            <w:tcW w:w="78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rPr>
              <w:t>　　总计</w:t>
            </w:r>
          </w:p>
        </w:tc>
        <w:tc>
          <w:tcPr>
            <w:tcW w:w="70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35" w:hRule="atLeast"/>
        </w:trPr>
        <w:tc>
          <w:tcPr>
            <w:tcW w:w="411"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52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52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434"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57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556"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9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0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2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63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540"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435" w:type="dxa"/>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495"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1080" w:type="dxa"/>
            <w:gridSpan w:val="2"/>
            <w:tcBorders>
              <w:top w:val="nil"/>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lang w:val="en-US"/>
              </w:rPr>
              <w:t>0</w:t>
            </w:r>
          </w:p>
        </w:tc>
        <w:tc>
          <w:tcPr>
            <w:tcW w:w="70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5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5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5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5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5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5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67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5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64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60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58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49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24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25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330"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67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c>
          <w:tcPr>
            <w:tcW w:w="435" w:type="dxa"/>
            <w:tcBorders>
              <w:top w:val="nil"/>
              <w:left w:val="nil"/>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pPr>
            <w:r>
              <w:rPr>
                <w:lang w:val="en-US" w:eastAsia="zh-CN"/>
              </w:rPr>
              <w:t>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_GB2312" w:hAnsi="仿宋_GB2312" w:eastAsia="仿宋_GB2312" w:cs="仿宋_GB2312"/>
          <w:sz w:val="32"/>
          <w:szCs w:val="32"/>
          <w:lang w:val="en-US" w:eastAsia="zh-CN"/>
        </w:rPr>
      </w:pPr>
      <w:r>
        <w:rPr>
          <w:b/>
          <w:bCs/>
          <w:lang w:val="en-US"/>
        </w:rPr>
        <w:t> </w:t>
      </w:r>
      <w:r>
        <w:rPr>
          <w:rFonts w:hint="eastAsia"/>
          <w:b/>
          <w:bCs/>
          <w:lang w:val="en-US"/>
        </w:rPr>
        <w:t xml:space="preserve"> </w:t>
      </w:r>
      <w:r>
        <w:rPr>
          <w:rFonts w:hint="eastAsia"/>
          <w:b/>
          <w:bCs/>
          <w:lang w:val="en-US" w:eastAsia="zh-CN"/>
        </w:rPr>
        <w:t xml:space="preserve"> </w:t>
      </w:r>
      <w:r>
        <w:rPr>
          <w:rFonts w:hint="eastAsia" w:ascii="仿宋_GB2312" w:hAnsi="仿宋_GB2312" w:eastAsia="仿宋_GB2312" w:cs="仿宋_GB2312"/>
          <w:b/>
          <w:bCs/>
          <w:sz w:val="32"/>
          <w:szCs w:val="32"/>
          <w:lang w:val="en-US" w:eastAsia="zh-CN"/>
        </w:rPr>
        <w:t>主要问题：</w:t>
      </w:r>
      <w:r>
        <w:rPr>
          <w:rFonts w:hint="eastAsia" w:ascii="仿宋_GB2312" w:hAnsi="仿宋_GB2312" w:eastAsia="仿宋_GB2312" w:cs="仿宋_GB2312"/>
          <w:sz w:val="32"/>
          <w:szCs w:val="32"/>
          <w:lang w:val="en-US" w:eastAsia="zh-CN"/>
        </w:rPr>
        <w:t>一是政务公开信息发布时效性需进一步提升。二是政务公开工作人员频繁调整，业务能力仍需提高。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改进情况：</w:t>
      </w:r>
      <w:r>
        <w:rPr>
          <w:rFonts w:hint="eastAsia" w:ascii="仿宋_GB2312" w:hAnsi="仿宋_GB2312" w:eastAsia="仿宋_GB2312" w:cs="仿宋_GB2312"/>
          <w:sz w:val="32"/>
          <w:szCs w:val="32"/>
          <w:lang w:val="en-US" w:eastAsia="zh-CN"/>
        </w:rPr>
        <w:t>一是建立及时汇报上传机制，将单位政务公开栏目相关信息、文件经分管领导和主要领导审阅后及时上传，有效提升信息及时率。二是持续加强“两化”建设。进一步推进政务公开标准化、规范化建设，结合实际，积极探索创新，推出可复制可推广经验。改进政务公开专区，为群众提供更加便捷的政府信息获取渠道。 三是持续加强指导培训。鉴于政务公开工作人员流动频繁的问题，仍需将业务培训摆在重要位置，以集中培训和个别指导相结合的方式常态化开展指导培训，持续加强政务公开基层队伍建设。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（一）收取信息处理费情况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（二）落实上年度政务公开工作要点情况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严格按照《政务公开工作计划》完成工作任务，按时编制完成主动公开基本目录、政务公开年报等信息。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（三）建议提案办理结果公开情况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坚持人大建议、政协提案办理法定公开制度，对建议提案的办理结果做到及时公开。2022年，科技局办理人大建议1件，答复1件；政协提案1件，答复1件。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（四） 在政务公开制度、内容、形式和平台建设方面的创新实践情况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2022年，建设“沂源科技”微信公众号，及时 发布科技创新政策和工作动态，主动接受群众监督，推动全县科技创新工作公开、公正、透明。共发布信息31条，订阅数562个。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2023年1月28日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jE4NmNkMjRlNTk0YjA2OTI0ZmU0NmU3MzliZDAifQ=="/>
  </w:docVars>
  <w:rsids>
    <w:rsidRoot w:val="00000000"/>
    <w:rsid w:val="11570A47"/>
    <w:rsid w:val="21A26924"/>
    <w:rsid w:val="3B446B04"/>
    <w:rsid w:val="4BCB02D6"/>
    <w:rsid w:val="6535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2944</Words>
  <Characters>3063</Characters>
  <Lines>0</Lines>
  <Paragraphs>0</Paragraphs>
  <TotalTime>5</TotalTime>
  <ScaleCrop>false</ScaleCrop>
  <LinksUpToDate>false</LinksUpToDate>
  <CharactersWithSpaces>3236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2023-01-20T06:48:00Z</dcterms:created>
  <dc:creator>Unis</dc:creator>
  <cp:lastModifiedBy>Leno</cp:lastModifiedBy>
  <dcterms:modified xsi:type="dcterms:W3CDTF">2023-01-29T01:45:13Z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82213913F6074FFC85CFB181FEBFA93E</vt:lpwstr>
  </property>
</Properties>
</file>