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沂源县科技局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关于《中共沂源县委  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沂源县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人民政府关于创建国家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创新型县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实施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意见》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的政策解读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为深入贯彻落实科技部《关于印发&lt;创新型县（市）建设工作指引&gt;的通知》（国科发农〔2018〕130号）有关精神，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锚定“走在前、开新局”，聚焦“3510”发展目标和“强富美优”城市愿景，深入落实黄河流域生态保护和高质量发展重大国家战略，坚定不移推动绿色低碳高质量发展，深入实施“三县战略”，聚力推进“四新四创”，全力争创国家创新型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《创新型县市建设工作指引》（国科发[2018]30号）以及我县“三县战略”和“四新四创”工作部署。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/>
          <w:b w:val="0"/>
          <w:bCs/>
          <w:sz w:val="32"/>
          <w:szCs w:val="32"/>
        </w:rPr>
        <w:t>总体要求和发展目标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到202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年,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全县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创新综合实力显著提升,主要创新指标保持全市前列。全社会研发经费投入占地区生产总值比重达到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%,高新技术企业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科技型中小企业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数量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分别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达到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家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120家以上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,高新技术产业产值占规模以上工业总产值的比重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保持全省领先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,规模以上工业企业中有研发活动企业占比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达到60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%以上,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每年开展产学研活动8场以上，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省级以上科技企业孵化器和众创空间达到3家以上,全县每万人发明专利拥有量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突破6.5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件,年登记技术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合同登记成交额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达到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20亿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元以上,集聚一批优秀高层次创新创业人才,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省级以上高层次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人才达到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人以上。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在2023年已创成省科技创新强县基础上，积极争创国家创新型县。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sz w:val="32"/>
          <w:szCs w:val="32"/>
        </w:rPr>
        <w:t>重点任务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强化企业创新主体地位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（突出企业创新投入主体地位、壮大科技型企业队伍、大力培育创新型领军企业）；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优化创新平台布局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（加大企业创新平台建设力度、强化公共技术服务平台建设、发挥成果转化平台效能、推动科技与产业深度融合）；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推动科技与产业深度融合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（加快产业集聚集群创新发展提升农业科技园区建设水平）；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增强知识产权的创造、运用、保护和管理能力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（提高知识产权产出能力、提高知识产权转化运用能力、提高知识产权保护能力）；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推动科技成果转移转化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（积极推进校城融合发展、实施一批共性技术应用示范工程、育好用好科技创新人才夯实发展后劲、推动人才与产业深度融合、拓展育才引才模式、健全人才发展服务保障体系）；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推进创新创业深入发展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（打造创新创业孵化体系、健全完善“双创”综合服务体系、支持中小企业做优做强）；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进一步完善科技管理制度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（完善财政支持科技创新模式、打造公开透明、科学规范的“阳光科技”、优化科技创新评价机制）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组织实施和保障：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加强组织领导、形成工作合力、狠抓政策落实、鼓励大胆探索、营造创新氛围。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jE4NmNkMjRlNTk0YjA2OTI0ZmU0NmU3MzliZDAifQ=="/>
  </w:docVars>
  <w:rsids>
    <w:rsidRoot w:val="00000000"/>
    <w:rsid w:val="748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2024-01-17T06:49:27Z</dcterms:created>
  <dc:creator>Unis</dc:creator>
  <cp:lastModifiedBy>Leno</cp:lastModifiedBy>
  <dcterms:modified xsi:type="dcterms:W3CDTF">2024-01-17T07:18:19Z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BEEFA326868945049A15BA1D3F94BB32_12</vt:lpwstr>
  </property>
</Properties>
</file>