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F6F61">
      <w:pPr>
        <w:jc w:val="center"/>
        <w:rPr>
          <w:rFonts w:hint="eastAsia" w:ascii="方正小标宋简体" w:hAnsi="宋体" w:eastAsia="方正小标宋简体"/>
          <w:color w:val="FF0000"/>
          <w:spacing w:val="-40"/>
          <w:w w:val="60"/>
          <w:sz w:val="144"/>
          <w:szCs w:val="136"/>
        </w:rPr>
      </w:pPr>
      <w:r>
        <w:rPr>
          <w:rFonts w:hint="eastAsia" w:ascii="方正小标宋简体" w:hAnsi="宋体" w:eastAsia="方正小标宋简体"/>
          <w:color w:val="FF0000"/>
          <w:spacing w:val="-40"/>
          <w:w w:val="60"/>
          <w:sz w:val="144"/>
          <w:szCs w:val="136"/>
        </w:rPr>
        <w:t>沂源县科学技术局文件</w:t>
      </w:r>
    </w:p>
    <w:p w14:paraId="7D7108F6">
      <w:pPr>
        <w:rPr>
          <w:rFonts w:hint="eastAsia" w:ascii="方正小标宋简体" w:hAnsi="方正小标宋简体" w:eastAsia="方正小标宋简体" w:cs="方正小标宋简体"/>
          <w:b/>
          <w:bCs/>
          <w:color w:val="000000"/>
          <w:sz w:val="40"/>
          <w:szCs w:val="40"/>
        </w:rPr>
      </w:pPr>
      <w:r>
        <w:rPr>
          <w:rFonts w:hint="eastAsia" w:ascii="方正小标宋简体" w:hAnsi="华文中宋" w:eastAsia="方正小标宋简体"/>
          <w:color w:val="FF0000"/>
          <w:w w:val="50"/>
          <w:sz w:val="140"/>
          <w:szCs w:val="14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156845</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12.35pt;height:0pt;width:441pt;z-index:251659264;mso-width-relative:page;mso-height-relative:page;" filled="f" stroked="t" coordsize="21600,21600" o:gfxdata="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q1Z7PWAAAABwEAAA8AAAAAAAAAAQAgAAAAIgAAAGRycy9kb3ducmV2Lnht&#10;bFBLAQIUABQAAAAIAIdO4kCJAEMj+wEAAPMDAAAOAAAAAAAAAAEAIAAAACUBAABkcnMvZTJvRG9j&#10;LnhtbFBLBQYAAAAABgAGAFkBAACSBQAAAAA=&#10;">
                <v:fill on="f" focussize="0,0"/>
                <v:stroke weight="1.5pt" color="#FF0000" joinstyle="round"/>
                <v:imagedata o:title=""/>
                <o:lock v:ext="edit" aspectratio="f"/>
              </v:line>
            </w:pict>
          </mc:Fallback>
        </mc:AlternateContent>
      </w:r>
    </w:p>
    <w:p w14:paraId="4A8C9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2025年</w:t>
      </w:r>
      <w:r>
        <w:rPr>
          <w:rFonts w:hint="eastAsia" w:ascii="方正小标宋简体" w:hAnsi="方正小标宋简体" w:eastAsia="方正小标宋简体" w:cs="方正小标宋简体"/>
          <w:b w:val="0"/>
          <w:bCs w:val="0"/>
          <w:color w:val="auto"/>
          <w:sz w:val="44"/>
          <w:szCs w:val="44"/>
          <w:lang w:val="en-US" w:eastAsia="zh-CN"/>
        </w:rPr>
        <w:t>度</w:t>
      </w:r>
      <w:r>
        <w:rPr>
          <w:rFonts w:hint="eastAsia" w:ascii="方正小标宋简体" w:hAnsi="方正小标宋简体" w:eastAsia="方正小标宋简体" w:cs="方正小标宋简体"/>
          <w:b w:val="0"/>
          <w:bCs w:val="0"/>
          <w:color w:val="auto"/>
          <w:sz w:val="44"/>
          <w:szCs w:val="44"/>
        </w:rPr>
        <w:t>法治政府建设</w:t>
      </w:r>
      <w:r>
        <w:rPr>
          <w:rFonts w:hint="eastAsia" w:ascii="方正小标宋简体" w:hAnsi="方正小标宋简体" w:eastAsia="方正小标宋简体" w:cs="方正小标宋简体"/>
          <w:b w:val="0"/>
          <w:bCs w:val="0"/>
          <w:color w:val="auto"/>
          <w:sz w:val="44"/>
          <w:szCs w:val="44"/>
          <w:lang w:val="en-US" w:eastAsia="zh-CN"/>
        </w:rPr>
        <w:t>情况报告</w:t>
      </w:r>
    </w:p>
    <w:p w14:paraId="1133BF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rPr>
          <w:rFonts w:hint="eastAsia" w:ascii="仿宋_GB2312" w:hAnsi="仿宋_GB2312" w:eastAsia="仿宋_GB2312" w:cs="仿宋_GB2312"/>
          <w:color w:val="auto"/>
          <w:sz w:val="32"/>
          <w:szCs w:val="32"/>
        </w:rPr>
      </w:pPr>
    </w:p>
    <w:p w14:paraId="1C0E7C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一、党政主要负责人履行推进法治建设第一责任人职责加强法治政府建设的有关情况</w:t>
      </w:r>
    </w:p>
    <w:p w14:paraId="498FB5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bidi="ar"/>
        </w:rPr>
        <w:t>2025年，县科技局主要负责同志严格履行推进法治建设第一责任人职责，将法治建设作为全局重点工作统筹推进。成立由党组书记任组长的法治建设工作领导小组，构建 “一把手”负总责、分管领导具体抓、各科室协同配合的工作格局，明确各级责任主体的职责边界。把法治建设纳入全局年度重点工作计划，每季度召开专题会议研究法治建设推进情况，及时解决工作中的难点问题。同时，带头深化法治思想学习，将习近平法治思想纳入党组理论学习中心组学习核心内容，组织干部职工开展专题学习和培训，推动党规党纪与法律法规学习融会贯通，以“关键少数”带动“绝大多数”，切实提升全局干部职工遵规守纪、依法行政的政治自觉和行动自觉。</w:t>
      </w:r>
    </w:p>
    <w:p w14:paraId="623D73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二、推进法治政府建设的主要举措和成效</w:t>
      </w:r>
    </w:p>
    <w:p w14:paraId="3F33CD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（一）强化思想引领，夯实法治基础</w:t>
      </w:r>
    </w:p>
    <w:p w14:paraId="42F81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bidi="ar"/>
        </w:rPr>
        <w:t>坚持把学习贯彻习近平法治思想作为首要政治任务，纳入党组理论学习中心组学习、主体党日学习核心内容，全年组织专题学习6次，实现干部职工学习全覆盖。</w:t>
      </w:r>
      <w:r>
        <w:rPr>
          <w:rFonts w:hint="eastAsia" w:ascii="仿宋_GB2312" w:hAnsi="仿宋_GB2312" w:eastAsia="仿宋_GB2312" w:cs="仿宋_GB2312"/>
          <w:color w:val="auto"/>
          <w:sz w:val="32"/>
          <w:szCs w:val="32"/>
        </w:rPr>
        <w:t>重点学习《中华人民共和国科学技术进步法》《中华人民共和国促进科技成果转化法》</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山东省行政调解办法》</w:t>
      </w:r>
      <w:r>
        <w:rPr>
          <w:rFonts w:hint="eastAsia" w:ascii="仿宋_GB2312" w:hAnsi="仿宋_GB2312" w:eastAsia="仿宋_GB2312" w:cs="仿宋_GB2312"/>
          <w:color w:val="auto"/>
          <w:sz w:val="32"/>
          <w:szCs w:val="32"/>
        </w:rPr>
        <w:t>等核心法律法规，以及《中国共产党纪律处分条例》等党规党纪，推动党规党纪与法律法规学习融会贯通，切实增强干部职工遵规守纪、依法行政的政治自觉和行动自觉</w:t>
      </w:r>
      <w:r>
        <w:rPr>
          <w:rFonts w:hint="eastAsia" w:ascii="仿宋_GB2312" w:hAnsi="仿宋_GB2312" w:eastAsia="仿宋_GB2312" w:cs="仿宋_GB2312"/>
          <w:b w:val="0"/>
          <w:bCs w:val="0"/>
          <w:color w:val="auto"/>
          <w:kern w:val="0"/>
          <w:sz w:val="32"/>
          <w:szCs w:val="32"/>
          <w:lang w:val="en-US" w:eastAsia="zh-CN" w:bidi="ar"/>
        </w:rPr>
        <w:t>，有效提升了干部职工的法治素养。</w:t>
      </w:r>
    </w:p>
    <w:p w14:paraId="5CA104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（二）健全制度体系，规范权力运行</w:t>
      </w:r>
    </w:p>
    <w:p w14:paraId="21917C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color w:val="auto"/>
          <w:sz w:val="32"/>
          <w:szCs w:val="32"/>
        </w:rPr>
        <w:t>严格执行“三重一大”集体决策制度，对科技项目</w:t>
      </w:r>
      <w:r>
        <w:rPr>
          <w:rFonts w:hint="eastAsia" w:ascii="仿宋_GB2312" w:hAnsi="仿宋_GB2312" w:eastAsia="仿宋_GB2312" w:cs="仿宋_GB2312"/>
          <w:b w:val="0"/>
          <w:bCs w:val="0"/>
          <w:color w:val="auto"/>
          <w:sz w:val="32"/>
          <w:szCs w:val="32"/>
          <w:lang w:val="en-US" w:eastAsia="zh-CN"/>
        </w:rPr>
        <w:t>申报推荐</w:t>
      </w:r>
      <w:r>
        <w:rPr>
          <w:rFonts w:hint="eastAsia" w:ascii="仿宋_GB2312" w:hAnsi="仿宋_GB2312" w:eastAsia="仿宋_GB2312" w:cs="仿宋_GB2312"/>
          <w:b w:val="0"/>
          <w:bCs w:val="0"/>
          <w:color w:val="auto"/>
          <w:sz w:val="32"/>
          <w:szCs w:val="32"/>
        </w:rPr>
        <w:t>、专项资金</w:t>
      </w:r>
      <w:r>
        <w:rPr>
          <w:rFonts w:hint="eastAsia" w:ascii="仿宋_GB2312" w:hAnsi="仿宋_GB2312" w:eastAsia="仿宋_GB2312" w:cs="仿宋_GB2312"/>
          <w:b w:val="0"/>
          <w:bCs w:val="0"/>
          <w:color w:val="auto"/>
          <w:sz w:val="32"/>
          <w:szCs w:val="32"/>
          <w:lang w:val="en-US" w:eastAsia="zh-CN"/>
        </w:rPr>
        <w:t>管理</w:t>
      </w:r>
      <w:r>
        <w:rPr>
          <w:rFonts w:hint="eastAsia" w:ascii="仿宋_GB2312" w:hAnsi="仿宋_GB2312" w:eastAsia="仿宋_GB2312" w:cs="仿宋_GB2312"/>
          <w:b w:val="0"/>
          <w:bCs w:val="0"/>
          <w:color w:val="auto"/>
          <w:sz w:val="32"/>
          <w:szCs w:val="32"/>
        </w:rPr>
        <w:t>等关键事项，坚持“集体领导、民主集中、会议决定”原则，全年召开党组会议研究重大事项3次，所有事项均按程序开展合法性审查和公平竞争审查，确保决策合法合规、科学民主。</w:t>
      </w:r>
      <w:r>
        <w:rPr>
          <w:rFonts w:hint="eastAsia" w:ascii="仿宋_GB2312" w:hAnsi="仿宋_GB2312" w:eastAsia="仿宋_GB2312" w:cs="仿宋_GB2312"/>
          <w:b w:val="0"/>
          <w:bCs w:val="0"/>
          <w:color w:val="auto"/>
          <w:sz w:val="32"/>
          <w:szCs w:val="32"/>
          <w:lang w:val="en-US" w:eastAsia="zh-CN"/>
        </w:rPr>
        <w:t>二是</w:t>
      </w:r>
      <w:r>
        <w:rPr>
          <w:rFonts w:hint="eastAsia" w:ascii="仿宋_GB2312" w:hAnsi="仿宋_GB2312" w:eastAsia="仿宋_GB2312" w:cs="仿宋_GB2312"/>
          <w:b w:val="0"/>
          <w:bCs w:val="0"/>
          <w:color w:val="auto"/>
          <w:sz w:val="32"/>
          <w:szCs w:val="32"/>
        </w:rPr>
        <w:t>健全“双随机、一公开”监管机制，制定年度检查计划，对科技项目实施、创新主体培育等开展常态化监管。全面推行行政执法制度，配合相关部门查处科研失信行为，维护良好科研秩序。</w:t>
      </w:r>
    </w:p>
    <w:p w14:paraId="5B08ED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（三）坚持依法行政，提升治理效能</w:t>
      </w:r>
    </w:p>
    <w:p w14:paraId="189F643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color w:val="auto"/>
          <w:sz w:val="32"/>
          <w:szCs w:val="32"/>
        </w:rPr>
        <w:t>优化政务服务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坚持遍访企业，</w:t>
      </w:r>
      <w:r>
        <w:rPr>
          <w:rFonts w:hint="default" w:ascii="Times New Roman" w:hAnsi="Times New Roman" w:eastAsia="仿宋_GB2312" w:cs="Times New Roman"/>
          <w:b w:val="0"/>
          <w:bCs w:val="0"/>
          <w:color w:val="auto"/>
          <w:kern w:val="0"/>
          <w:sz w:val="32"/>
          <w:szCs w:val="32"/>
          <w:lang w:val="en-US" w:eastAsia="zh-CN" w:bidi="ar"/>
        </w:rPr>
        <w:t>量身定制“创新服务项目”</w:t>
      </w:r>
      <w:r>
        <w:rPr>
          <w:rFonts w:hint="eastAsia" w:ascii="仿宋_GB2312" w:hAnsi="仿宋_GB2312" w:eastAsia="仿宋_GB2312" w:cs="仿宋_GB2312"/>
          <w:b w:val="0"/>
          <w:bCs w:val="0"/>
          <w:color w:val="auto"/>
          <w:sz w:val="32"/>
          <w:szCs w:val="32"/>
        </w:rPr>
        <w:t>，全年举办高新技术企业认定、研发费用归集等专场培训</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场，覆盖企业1</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0余家。依托政务公开平台，公开科技政策、项目申报等信息10条，确保行政权力公开透明运行。</w:t>
      </w:r>
      <w:r>
        <w:rPr>
          <w:rFonts w:hint="eastAsia" w:ascii="仿宋_GB2312" w:hAnsi="仿宋_GB2312" w:eastAsia="仿宋_GB2312" w:cs="仿宋_GB2312"/>
          <w:b w:val="0"/>
          <w:bCs w:val="0"/>
          <w:color w:val="auto"/>
          <w:sz w:val="32"/>
          <w:szCs w:val="32"/>
          <w:lang w:val="en-US" w:eastAsia="zh-CN"/>
        </w:rPr>
        <w:t>二是</w:t>
      </w:r>
      <w:r>
        <w:rPr>
          <w:rFonts w:hint="eastAsia" w:ascii="仿宋_GB2312" w:hAnsi="仿宋_GB2312" w:eastAsia="仿宋_GB2312" w:cs="仿宋_GB2312"/>
          <w:b w:val="0"/>
          <w:bCs w:val="0"/>
          <w:color w:val="auto"/>
          <w:sz w:val="32"/>
          <w:szCs w:val="32"/>
        </w:rPr>
        <w:t>推动政策落地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聚焦科技创新全链条，贯彻落实相关法治建设规划和纲要，结合沂源实际推动科技政策落地。加强与高校院所合作，组织产学研需求对接活动</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次，全年</w:t>
      </w:r>
      <w:r>
        <w:rPr>
          <w:rFonts w:hint="eastAsia" w:ascii="仿宋_GB2312" w:hAnsi="仿宋_GB2312" w:eastAsia="仿宋_GB2312" w:cs="仿宋_GB2312"/>
          <w:b w:val="0"/>
          <w:bCs w:val="0"/>
          <w:color w:val="auto"/>
          <w:sz w:val="32"/>
          <w:szCs w:val="32"/>
          <w:lang w:val="en-US" w:eastAsia="zh-CN"/>
        </w:rPr>
        <w:t>完成</w:t>
      </w:r>
      <w:r>
        <w:rPr>
          <w:rFonts w:hint="eastAsia" w:ascii="仿宋_GB2312" w:hAnsi="仿宋_GB2312" w:eastAsia="仿宋_GB2312" w:cs="仿宋_GB2312"/>
          <w:b w:val="0"/>
          <w:bCs w:val="0"/>
          <w:color w:val="auto"/>
          <w:sz w:val="32"/>
          <w:szCs w:val="32"/>
        </w:rPr>
        <w:t>技术合同</w:t>
      </w:r>
      <w:r>
        <w:rPr>
          <w:rFonts w:hint="eastAsia" w:ascii="仿宋_GB2312" w:hAnsi="仿宋_GB2312" w:eastAsia="仿宋_GB2312" w:cs="仿宋_GB2312"/>
          <w:b w:val="0"/>
          <w:bCs w:val="0"/>
          <w:color w:val="auto"/>
          <w:sz w:val="32"/>
          <w:szCs w:val="32"/>
          <w:lang w:val="en-US" w:eastAsia="zh-CN"/>
        </w:rPr>
        <w:t>登记31亿元</w:t>
      </w:r>
      <w:r>
        <w:rPr>
          <w:rFonts w:hint="eastAsia" w:ascii="仿宋_GB2312" w:hAnsi="仿宋_GB2312" w:eastAsia="仿宋_GB2312" w:cs="仿宋_GB2312"/>
          <w:b w:val="0"/>
          <w:bCs w:val="0"/>
          <w:color w:val="auto"/>
          <w:sz w:val="32"/>
          <w:szCs w:val="32"/>
        </w:rPr>
        <w:t>。</w:t>
      </w:r>
    </w:p>
    <w:p w14:paraId="0B0B444D">
      <w:pPr>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b w:val="0"/>
          <w:bCs w:val="0"/>
          <w:color w:val="auto"/>
          <w:sz w:val="32"/>
          <w:szCs w:val="32"/>
        </w:rPr>
        <w:t>（四）深化普法宣传，营造良好氛围</w:t>
      </w:r>
      <w:r>
        <w:rPr>
          <w:rFonts w:hint="eastAsia" w:ascii="楷体_GB2312" w:hAnsi="楷体_GB2312" w:eastAsia="楷体_GB2312" w:cs="楷体_GB2312"/>
          <w:color w:val="auto"/>
          <w:sz w:val="32"/>
          <w:szCs w:val="32"/>
        </w:rPr>
        <w:t>落实“谁执法谁普法”责任制​</w:t>
      </w:r>
    </w:p>
    <w:p w14:paraId="5AB5815F">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制定年度普法工作计划，结合“4・26 世界知识产权日”“科技工作者日”“国家宪法日”等重要节点，开展集中普法宣传活动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次。重点宣传《山东省科学技术普及条例》《科学技术活动违规行为处理暂行规定》等法律法规，发放宣传资料</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余份，覆盖群众和企业职工</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余人次。</w:t>
      </w:r>
      <w:r>
        <w:rPr>
          <w:rFonts w:hint="eastAsia" w:ascii="仿宋_GB2312" w:hAnsi="仿宋_GB2312" w:eastAsia="仿宋_GB2312" w:cs="仿宋_GB2312"/>
          <w:color w:val="auto"/>
          <w:sz w:val="32"/>
          <w:szCs w:val="32"/>
          <w:lang w:val="en-US" w:eastAsia="zh-CN"/>
        </w:rPr>
        <w:t xml:space="preserve">  </w:t>
      </w:r>
    </w:p>
    <w:p w14:paraId="6B20C78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强化重点群体普法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针对企业、科技工作者等不同群体，开展精准普法。面向企业负责人和科研管理人员，重点讲解科技项目管理、科研经费使用等方面的法律要求；面向科技工作者，重点宣传科研诚信、知识产权保护等相关规定，引导其自觉遵守科研伦理和法律底线，全年开展精准普法培训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场，覆盖重点人群</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余人次。​</w:t>
      </w:r>
    </w:p>
    <w:p w14:paraId="53261590">
      <w:pPr>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（五）加强监督制约，筑牢廉政防线</w:t>
      </w:r>
    </w:p>
    <w:p w14:paraId="34C83B30">
      <w:pPr>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强化内部监督管理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深入推进全面从严治党，严格执行中央八项规定及其实施细则精神，落实基层党组织主体责任、“一把手” 第一责任人责任和领导班子 “一岗双责”。开展廉政风险自查，梳理风险点</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个，制定防控措施</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 xml:space="preserve"> 项，组织干部职工签订党风廉政建设责任书，开展廉政谈话</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 xml:space="preserve"> 余人次。</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主动接受外部监督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认真办理人大代表建议和政协委员提案，做到沟通率、办结率、满意率</w:t>
      </w:r>
      <w:bookmarkStart w:id="0" w:name="_GoBack"/>
      <w:bookmarkEnd w:id="0"/>
      <w:r>
        <w:rPr>
          <w:rFonts w:hint="eastAsia" w:ascii="仿宋_GB2312" w:hAnsi="仿宋_GB2312" w:eastAsia="仿宋_GB2312" w:cs="仿宋_GB2312"/>
          <w:color w:val="auto"/>
          <w:sz w:val="32"/>
          <w:szCs w:val="32"/>
        </w:rPr>
        <w:t>“三个 100%”。通过政府信息公开平台，主动接受社会公众监督，及时回应群众关切。组织观看警示教育片、学习违纪违法案件通报等，用身边案例开展警示教育，筑牢干部职工思想防线。</w:t>
      </w:r>
    </w:p>
    <w:p w14:paraId="1F589C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存在的不足</w:t>
      </w:r>
      <w:r>
        <w:rPr>
          <w:rFonts w:hint="eastAsia" w:ascii="黑体" w:hAnsi="黑体" w:eastAsia="黑体" w:cs="黑体"/>
          <w:b w:val="0"/>
          <w:bCs w:val="0"/>
          <w:color w:val="auto"/>
          <w:sz w:val="32"/>
          <w:szCs w:val="32"/>
          <w:lang w:val="en-US" w:eastAsia="zh-CN"/>
        </w:rPr>
        <w:t>和原因</w:t>
      </w:r>
    </w:p>
    <w:p w14:paraId="39BE29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法治思维融入深度不足</w:t>
      </w:r>
    </w:p>
    <w:p w14:paraId="605269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0" w:leftChars="-19" w:right="0" w:rightChars="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部分干部未能将法治建设与业务工作紧密结合，运用法治方式解决复杂问题的能力有待提升，在科技项目管理、成果转化等工作中，法治考量不够充分。</w:t>
      </w:r>
    </w:p>
    <w:p w14:paraId="31BE394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）普法宣传针对性有待加强</w:t>
      </w:r>
    </w:p>
    <w:p w14:paraId="3E4B8E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0" w:leftChars="-19" w:right="0" w:rightChars="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针对人工智能、生物医药等新兴科技领域的法律宣传不够及时，宣传内容与新兴领域发展需求匹配度不高；宣传形式较为传统，创新不足，吸引力和感染力有待提升。</w:t>
      </w:r>
    </w:p>
    <w:p w14:paraId="16DA746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lang w:eastAsia="zh-CN"/>
        </w:rPr>
        <w:t>）法治队伍专业化水平不高</w:t>
      </w:r>
    </w:p>
    <w:p w14:paraId="5BE7D8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0" w:leftChars="-19" w:right="0" w:rightChars="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缺乏专职法治工作人员，现有人员多为兼职，专业法律知识储备不足，应对科技领域复杂法律问题的能力需要进一步提升。</w:t>
      </w:r>
    </w:p>
    <w:p w14:paraId="38953D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0" w:leftChars="-19" w:right="0" w:rightChars="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主要原因一是</w:t>
      </w:r>
      <w:r>
        <w:rPr>
          <w:rFonts w:hint="eastAsia" w:ascii="仿宋_GB2312" w:hAnsi="仿宋_GB2312" w:eastAsia="仿宋_GB2312" w:cs="仿宋_GB2312"/>
          <w:b w:val="0"/>
          <w:bCs w:val="0"/>
          <w:color w:val="auto"/>
          <w:sz w:val="32"/>
          <w:szCs w:val="32"/>
        </w:rPr>
        <w:t>思想认识存在偏差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部分</w:t>
      </w:r>
      <w:r>
        <w:rPr>
          <w:rFonts w:hint="eastAsia" w:ascii="仿宋_GB2312" w:hAnsi="仿宋_GB2312" w:eastAsia="仿宋_GB2312" w:cs="仿宋_GB2312"/>
          <w:b w:val="0"/>
          <w:bCs w:val="0"/>
          <w:color w:val="auto"/>
          <w:sz w:val="32"/>
          <w:szCs w:val="32"/>
          <w:lang w:val="en-US" w:eastAsia="zh-CN"/>
        </w:rPr>
        <w:t>职工</w:t>
      </w:r>
      <w:r>
        <w:rPr>
          <w:rFonts w:hint="eastAsia" w:ascii="仿宋_GB2312" w:hAnsi="仿宋_GB2312" w:eastAsia="仿宋_GB2312" w:cs="仿宋_GB2312"/>
          <w:b w:val="0"/>
          <w:bCs w:val="0"/>
          <w:color w:val="auto"/>
          <w:sz w:val="32"/>
          <w:szCs w:val="32"/>
        </w:rPr>
        <w:t>对法治建设的重要性认识不够深刻，认为法治建设是“软任务”，业务工作是“硬指标”，未能充分认识到法治建设对科技创新工作的保障和促进作用，导致法治思维树立不牢固。</w:t>
      </w:r>
      <w:r>
        <w:rPr>
          <w:rFonts w:hint="eastAsia" w:ascii="仿宋_GB2312" w:hAnsi="仿宋_GB2312" w:eastAsia="仿宋_GB2312" w:cs="仿宋_GB2312"/>
          <w:b w:val="0"/>
          <w:bCs w:val="0"/>
          <w:color w:val="auto"/>
          <w:sz w:val="32"/>
          <w:szCs w:val="32"/>
          <w:lang w:val="en-US" w:eastAsia="zh-CN"/>
        </w:rPr>
        <w:t>二是</w:t>
      </w:r>
      <w:r>
        <w:rPr>
          <w:rFonts w:hint="eastAsia" w:ascii="仿宋_GB2312" w:hAnsi="仿宋_GB2312" w:eastAsia="仿宋_GB2312" w:cs="仿宋_GB2312"/>
          <w:b w:val="0"/>
          <w:bCs w:val="0"/>
          <w:color w:val="auto"/>
          <w:sz w:val="32"/>
          <w:szCs w:val="32"/>
        </w:rPr>
        <w:t>工作统筹不科学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在制定普法计划和开展宣传活动时，对新兴科技领域的发展趋势和法律需求调研不够深入，未能精准对接不同群体的普法需求；同时，受资源、技术等因素限制，宣传形式创新力度不足。</w:t>
      </w:r>
      <w:r>
        <w:rPr>
          <w:rFonts w:hint="eastAsia" w:ascii="仿宋_GB2312" w:hAnsi="仿宋_GB2312" w:eastAsia="仿宋_GB2312" w:cs="仿宋_GB2312"/>
          <w:b w:val="0"/>
          <w:bCs w:val="0"/>
          <w:color w:val="auto"/>
          <w:sz w:val="32"/>
          <w:szCs w:val="32"/>
          <w:lang w:val="en-US" w:eastAsia="zh-CN"/>
        </w:rPr>
        <w:t>三是</w:t>
      </w:r>
      <w:r>
        <w:rPr>
          <w:rFonts w:hint="eastAsia" w:ascii="仿宋_GB2312" w:hAnsi="仿宋_GB2312" w:eastAsia="仿宋_GB2312" w:cs="仿宋_GB2312"/>
          <w:b w:val="0"/>
          <w:bCs w:val="0"/>
          <w:color w:val="auto"/>
          <w:sz w:val="32"/>
          <w:szCs w:val="32"/>
        </w:rPr>
        <w:t>人才培养机制不完善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缺乏系统的法治人才培养计划，对现有干部的法律业务培训不够系统全面，激励机制不健全，干部参与法律学习和职业资格考试的积极性不高，导致法治队伍专业化建设滞后。</w:t>
      </w:r>
    </w:p>
    <w:p w14:paraId="6BBFA7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四、2026 年推进法治政府建设的计划安排</w:t>
      </w:r>
    </w:p>
    <w:p w14:paraId="2600F5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（一）持续强化法治思想引领</w:t>
      </w:r>
    </w:p>
    <w:p w14:paraId="7FF8D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bidi="ar"/>
        </w:rPr>
        <w:t>深化习近平法治思想学习教育，将法治学习纳入干部培训必修课，创新学习形式，丰富学习内容，不断提升干部职工法治思维和依法行政能力。计划全年组织专题学习不少于 15次，开展法治培训不少于4场，实现学习教育常态化、制度化，推动法治思维深度融入科技业务工作。</w:t>
      </w:r>
    </w:p>
    <w:p w14:paraId="28A0AC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（二）健全完善法治制度体系</w:t>
      </w:r>
    </w:p>
    <w:p w14:paraId="440FFC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960" w:firstLineChars="3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bidi="ar"/>
        </w:rPr>
        <w:t>进一步优化重大行政决策程序，完善规范性文件动态清理机制，加强科技领域制度创新，推动政策文件与科技创新实践深度契合。强化法律顾问和公职律师作用发挥，扩大合法性审查覆盖面，将合法性审查贯穿于科技项目管理、专项资金使用、政策制定等各个环节，确保各项工作在法治轨道上运行。</w:t>
      </w:r>
    </w:p>
    <w:p w14:paraId="35953E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（三）提升普法宣传实效</w:t>
      </w:r>
    </w:p>
    <w:p w14:paraId="747F1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bidi="ar"/>
        </w:rPr>
        <w:t>聚焦人工智能、生物医药等新兴领域，开展针对性普法宣传，及时解读相关法律法规和政策要求，提升宣传内容的精准度。深化“谁执法谁普法”责任制，推动普法宣传与科技服务、项目管理等工作深度融合，营造全社会关心支持科技创新的法治氛围。</w:t>
      </w:r>
    </w:p>
    <w:p w14:paraId="52DA8E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（四）强化法治队伍建设</w:t>
      </w:r>
    </w:p>
    <w:p w14:paraId="63514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加强专职法治工作人员培养，鼓励干部职工参加法律职业资格考试和法治业务培训，提升专业素养，对在法治工作中表现突出的个人给予表彰奖励，激发干部职工参与法治建设的积极性和主动性。</w:t>
      </w:r>
    </w:p>
    <w:p w14:paraId="4179A5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0"/>
          <w:sz w:val="32"/>
          <w:szCs w:val="32"/>
          <w:lang w:val="en-US" w:eastAsia="zh-CN" w:bidi="ar"/>
        </w:rPr>
      </w:pPr>
    </w:p>
    <w:p w14:paraId="3AF72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0"/>
          <w:sz w:val="32"/>
          <w:szCs w:val="32"/>
          <w:lang w:val="en-US" w:eastAsia="zh-CN" w:bidi="ar"/>
        </w:rPr>
      </w:pPr>
    </w:p>
    <w:p w14:paraId="7C0D3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2026年1月13日</w:t>
      </w:r>
    </w:p>
    <w:p w14:paraId="24AED38F">
      <w:pPr>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C51"/>
    <w:rsid w:val="0A8C469E"/>
    <w:rsid w:val="36925AF6"/>
    <w:rsid w:val="36B15204"/>
    <w:rsid w:val="3E9D6FD2"/>
    <w:rsid w:val="58313520"/>
    <w:rsid w:val="64F57D67"/>
    <w:rsid w:val="6B5E41D4"/>
    <w:rsid w:val="717F6C52"/>
    <w:rsid w:val="728564EA"/>
    <w:rsid w:val="7A46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2649</Words>
  <Characters>2681</Characters>
  <Lines>0</Lines>
  <Paragraphs>0</Paragraphs>
  <TotalTime>7</TotalTime>
  <ScaleCrop>false</ScaleCrop>
  <LinksUpToDate>false</LinksUpToDate>
  <CharactersWithSpaces>2731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2025-11-11T01:49:00Z</dcterms:created>
  <dc:creator>Unis</dc:creator>
  <cp:lastModifiedBy>SHER</cp:lastModifiedBy>
  <dcterms:modified xsi:type="dcterms:W3CDTF">2026-01-13T02:09:01Z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eyJoZGlkIjoiNTU2YjUyMzI4MDQ5MDM2NDQyZmNkZDk1YTAxYmVmNDgiLCJ1c2VySWQiOiI2MjEzNzIyNjgifQ==</vt:lpwstr>
  </property>
  <property fmtid="{D5CDD505-2E9C-101B-9397-08002B2CF9AE}" pid="4" name="ICV">
    <vt:lpwstr>02C7BE16A42E46C69C43D42337D1693D_12</vt:lpwstr>
  </property>
</Properties>
</file>