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before="0" w:beforeAutospacing="0" w:after="0" w:afterAutospacing="0" w:line="240" w:lineRule="exact"/>
        <w:jc w:val="both"/>
        <w:rPr>
          <w:rFonts w:ascii="仿宋_GB2312" w:hAnsi="仿宋" w:eastAsia="仿宋_GB2312"/>
          <w:color w:val="auto"/>
          <w:sz w:val="32"/>
          <w:szCs w:val="32"/>
        </w:rPr>
      </w:pPr>
    </w:p>
    <w:p>
      <w:pPr>
        <w:spacing w:line="740" w:lineRule="exact"/>
        <w:jc w:val="center"/>
        <w:rPr>
          <w:rFonts w:ascii="方正小标宋_GBK" w:hAnsi="宋体" w:eastAsia="方正小标宋_GBK" w:cs="宋体"/>
          <w:color w:val="auto"/>
          <w:kern w:val="0"/>
          <w:sz w:val="60"/>
          <w:szCs w:val="60"/>
        </w:rPr>
      </w:pPr>
      <w:r>
        <w:rPr>
          <w:rFonts w:hint="eastAsia" w:ascii="方正小标宋_GBK" w:hAnsi="宋体" w:eastAsia="方正小标宋_GBK" w:cs="宋体"/>
          <w:color w:val="auto"/>
          <w:kern w:val="0"/>
          <w:sz w:val="60"/>
          <w:szCs w:val="60"/>
          <w:lang w:eastAsia="zh-CN"/>
        </w:rPr>
        <w:t>县政府</w:t>
      </w:r>
      <w:r>
        <w:rPr>
          <w:rFonts w:hint="eastAsia" w:ascii="方正小标宋_GBK" w:hAnsi="宋体" w:eastAsia="方正小标宋_GBK" w:cs="宋体"/>
          <w:color w:val="auto"/>
          <w:kern w:val="0"/>
          <w:sz w:val="60"/>
          <w:szCs w:val="60"/>
        </w:rPr>
        <w:t>部门单位政务公开事项标准目录</w:t>
      </w:r>
    </w:p>
    <w:p>
      <w:pPr>
        <w:spacing w:line="240" w:lineRule="exact"/>
        <w:rPr>
          <w:rFonts w:hint="eastAsia" w:ascii="方正小标宋_GBK" w:hAnsi="宋体" w:eastAsia="方正小标宋_GBK" w:cs="宋体"/>
          <w:color w:val="auto"/>
          <w:kern w:val="0"/>
          <w:sz w:val="60"/>
          <w:szCs w:val="60"/>
          <w:lang w:eastAsia="zh-CN"/>
        </w:rPr>
      </w:pPr>
    </w:p>
    <w:tbl>
      <w:tblPr>
        <w:tblStyle w:val="5"/>
        <w:tblW w:w="20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29"/>
        <w:gridCol w:w="798"/>
        <w:gridCol w:w="1241"/>
        <w:gridCol w:w="1530"/>
        <w:gridCol w:w="3193"/>
        <w:gridCol w:w="2606"/>
        <w:gridCol w:w="2532"/>
        <w:gridCol w:w="1875"/>
        <w:gridCol w:w="2062"/>
        <w:gridCol w:w="1106"/>
        <w:gridCol w:w="1200"/>
        <w:gridCol w:w="882"/>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529" w:type="dxa"/>
            <w:vMerge w:val="restart"/>
            <w:vAlign w:val="center"/>
          </w:tcPr>
          <w:p>
            <w:pPr>
              <w:widowControl/>
              <w:spacing w:line="300" w:lineRule="exact"/>
              <w:jc w:val="both"/>
              <w:rPr>
                <w:rFonts w:eastAsia="方正黑体_GBK"/>
                <w:color w:val="auto"/>
                <w:kern w:val="0"/>
                <w:sz w:val="26"/>
                <w:szCs w:val="26"/>
              </w:rPr>
            </w:pPr>
            <w:r>
              <w:rPr>
                <w:rFonts w:hint="eastAsia" w:eastAsia="方正黑体_GBK"/>
                <w:color w:val="auto"/>
                <w:kern w:val="0"/>
                <w:sz w:val="26"/>
                <w:szCs w:val="26"/>
              </w:rPr>
              <w:t>序号</w:t>
            </w:r>
          </w:p>
        </w:tc>
        <w:tc>
          <w:tcPr>
            <w:tcW w:w="798" w:type="dxa"/>
            <w:vMerge w:val="restart"/>
            <w:vAlign w:val="center"/>
          </w:tcPr>
          <w:p>
            <w:pPr>
              <w:widowControl/>
              <w:spacing w:line="300" w:lineRule="exact"/>
              <w:jc w:val="center"/>
              <w:rPr>
                <w:rFonts w:eastAsia="方正黑体_GBK"/>
                <w:color w:val="auto"/>
                <w:kern w:val="0"/>
                <w:sz w:val="26"/>
                <w:szCs w:val="26"/>
              </w:rPr>
            </w:pPr>
            <w:r>
              <w:rPr>
                <w:rFonts w:hint="eastAsia" w:eastAsia="方正黑体_GBK"/>
                <w:color w:val="auto"/>
                <w:kern w:val="0"/>
                <w:sz w:val="26"/>
                <w:szCs w:val="26"/>
              </w:rPr>
              <w:t>过程</w:t>
            </w:r>
          </w:p>
        </w:tc>
        <w:tc>
          <w:tcPr>
            <w:tcW w:w="2771" w:type="dxa"/>
            <w:gridSpan w:val="2"/>
            <w:vAlign w:val="center"/>
          </w:tcPr>
          <w:p>
            <w:pPr>
              <w:widowControl/>
              <w:spacing w:line="260" w:lineRule="exact"/>
              <w:jc w:val="center"/>
              <w:rPr>
                <w:rFonts w:eastAsia="方正黑体_GBK"/>
                <w:color w:val="auto"/>
                <w:kern w:val="0"/>
                <w:sz w:val="26"/>
                <w:szCs w:val="26"/>
              </w:rPr>
            </w:pPr>
            <w:r>
              <w:rPr>
                <w:rFonts w:hint="eastAsia" w:eastAsia="方正黑体_GBK"/>
                <w:color w:val="auto"/>
                <w:kern w:val="0"/>
                <w:sz w:val="26"/>
                <w:szCs w:val="26"/>
              </w:rPr>
              <w:t>公开事项</w:t>
            </w:r>
          </w:p>
        </w:tc>
        <w:tc>
          <w:tcPr>
            <w:tcW w:w="3193" w:type="dxa"/>
            <w:vMerge w:val="restart"/>
            <w:vAlign w:val="center"/>
          </w:tcPr>
          <w:p>
            <w:pPr>
              <w:spacing w:line="300" w:lineRule="exact"/>
              <w:rPr>
                <w:rFonts w:eastAsia="方正黑体_GBK"/>
                <w:color w:val="auto"/>
                <w:kern w:val="0"/>
                <w:sz w:val="26"/>
                <w:szCs w:val="26"/>
              </w:rPr>
            </w:pPr>
            <w:r>
              <w:rPr>
                <w:rFonts w:hint="eastAsia" w:eastAsia="方正黑体_GBK"/>
                <w:color w:val="auto"/>
                <w:kern w:val="0"/>
                <w:sz w:val="26"/>
                <w:szCs w:val="26"/>
              </w:rPr>
              <w:t>公开内容（要素）</w:t>
            </w:r>
          </w:p>
        </w:tc>
        <w:tc>
          <w:tcPr>
            <w:tcW w:w="2606" w:type="dxa"/>
            <w:vMerge w:val="restart"/>
            <w:vAlign w:val="center"/>
          </w:tcPr>
          <w:p>
            <w:pPr>
              <w:widowControl/>
              <w:spacing w:line="300" w:lineRule="exact"/>
              <w:jc w:val="center"/>
              <w:rPr>
                <w:rFonts w:eastAsia="方正黑体_GBK"/>
                <w:color w:val="auto"/>
                <w:kern w:val="0"/>
                <w:sz w:val="26"/>
                <w:szCs w:val="26"/>
              </w:rPr>
            </w:pPr>
            <w:r>
              <w:rPr>
                <w:rFonts w:hint="eastAsia" w:eastAsia="方正黑体_GBK"/>
                <w:color w:val="auto"/>
                <w:kern w:val="0"/>
                <w:sz w:val="26"/>
                <w:szCs w:val="26"/>
              </w:rPr>
              <w:t>公</w:t>
            </w:r>
            <w:r>
              <w:rPr>
                <w:rFonts w:eastAsia="方正黑体_GBK"/>
                <w:color w:val="auto"/>
                <w:kern w:val="0"/>
                <w:sz w:val="26"/>
                <w:szCs w:val="26"/>
              </w:rPr>
              <w:t xml:space="preserve">  </w:t>
            </w:r>
            <w:r>
              <w:rPr>
                <w:rFonts w:hint="eastAsia" w:eastAsia="方正黑体_GBK"/>
                <w:color w:val="auto"/>
                <w:kern w:val="0"/>
                <w:sz w:val="26"/>
                <w:szCs w:val="26"/>
              </w:rPr>
              <w:t>开</w:t>
            </w:r>
            <w:r>
              <w:rPr>
                <w:rFonts w:eastAsia="方正黑体_GBK"/>
                <w:color w:val="auto"/>
                <w:kern w:val="0"/>
                <w:sz w:val="26"/>
                <w:szCs w:val="26"/>
              </w:rPr>
              <w:t xml:space="preserve">  </w:t>
            </w:r>
            <w:r>
              <w:rPr>
                <w:rFonts w:hint="eastAsia" w:eastAsia="方正黑体_GBK"/>
                <w:color w:val="auto"/>
                <w:kern w:val="0"/>
                <w:sz w:val="26"/>
                <w:szCs w:val="26"/>
              </w:rPr>
              <w:t>依</w:t>
            </w:r>
            <w:r>
              <w:rPr>
                <w:rFonts w:eastAsia="方正黑体_GBK"/>
                <w:color w:val="auto"/>
                <w:kern w:val="0"/>
                <w:sz w:val="26"/>
                <w:szCs w:val="26"/>
              </w:rPr>
              <w:t xml:space="preserve">  </w:t>
            </w:r>
            <w:r>
              <w:rPr>
                <w:rFonts w:hint="eastAsia" w:eastAsia="方正黑体_GBK"/>
                <w:color w:val="auto"/>
                <w:kern w:val="0"/>
                <w:sz w:val="26"/>
                <w:szCs w:val="26"/>
              </w:rPr>
              <w:t>据</w:t>
            </w:r>
          </w:p>
        </w:tc>
        <w:tc>
          <w:tcPr>
            <w:tcW w:w="2532" w:type="dxa"/>
            <w:vMerge w:val="restart"/>
            <w:vAlign w:val="center"/>
          </w:tcPr>
          <w:p>
            <w:pPr>
              <w:widowControl/>
              <w:spacing w:line="300" w:lineRule="exact"/>
              <w:jc w:val="center"/>
              <w:rPr>
                <w:rFonts w:eastAsia="方正黑体_GBK"/>
                <w:color w:val="auto"/>
                <w:kern w:val="0"/>
                <w:sz w:val="26"/>
                <w:szCs w:val="26"/>
              </w:rPr>
            </w:pPr>
            <w:r>
              <w:rPr>
                <w:rFonts w:hint="eastAsia" w:eastAsia="方正黑体_GBK"/>
                <w:color w:val="auto"/>
                <w:kern w:val="0"/>
                <w:sz w:val="26"/>
                <w:szCs w:val="26"/>
              </w:rPr>
              <w:t>公开时限</w:t>
            </w:r>
          </w:p>
        </w:tc>
        <w:tc>
          <w:tcPr>
            <w:tcW w:w="1875" w:type="dxa"/>
            <w:vMerge w:val="restart"/>
            <w:vAlign w:val="center"/>
          </w:tcPr>
          <w:p>
            <w:pPr>
              <w:widowControl/>
              <w:spacing w:line="300" w:lineRule="exact"/>
              <w:jc w:val="center"/>
              <w:rPr>
                <w:rFonts w:hint="eastAsia" w:eastAsia="方正黑体_GBK"/>
                <w:color w:val="auto"/>
                <w:kern w:val="0"/>
                <w:sz w:val="26"/>
                <w:szCs w:val="26"/>
              </w:rPr>
            </w:pPr>
            <w:r>
              <w:rPr>
                <w:rFonts w:hint="eastAsia" w:eastAsia="方正黑体_GBK"/>
                <w:color w:val="auto"/>
                <w:kern w:val="0"/>
                <w:sz w:val="26"/>
                <w:szCs w:val="26"/>
              </w:rPr>
              <w:t>公开主体</w:t>
            </w:r>
          </w:p>
          <w:p>
            <w:pPr>
              <w:widowControl/>
              <w:spacing w:line="300" w:lineRule="exact"/>
              <w:jc w:val="center"/>
              <w:rPr>
                <w:rFonts w:eastAsia="方正黑体_GBK"/>
                <w:color w:val="auto"/>
                <w:kern w:val="0"/>
                <w:sz w:val="26"/>
                <w:szCs w:val="26"/>
              </w:rPr>
            </w:pPr>
          </w:p>
        </w:tc>
        <w:tc>
          <w:tcPr>
            <w:tcW w:w="2062" w:type="dxa"/>
            <w:vMerge w:val="restart"/>
            <w:vAlign w:val="center"/>
          </w:tcPr>
          <w:p>
            <w:pPr>
              <w:widowControl/>
              <w:spacing w:line="280" w:lineRule="exact"/>
              <w:jc w:val="center"/>
              <w:rPr>
                <w:rFonts w:eastAsia="方正黑体_GBK"/>
                <w:color w:val="auto"/>
                <w:kern w:val="0"/>
                <w:sz w:val="26"/>
                <w:szCs w:val="26"/>
              </w:rPr>
            </w:pPr>
            <w:r>
              <w:rPr>
                <w:rFonts w:hint="eastAsia" w:eastAsia="方正黑体_GBK"/>
                <w:color w:val="auto"/>
                <w:kern w:val="0"/>
                <w:sz w:val="26"/>
                <w:szCs w:val="26"/>
              </w:rPr>
              <w:t>公开渠道和载体</w:t>
            </w:r>
          </w:p>
        </w:tc>
        <w:tc>
          <w:tcPr>
            <w:tcW w:w="2306" w:type="dxa"/>
            <w:gridSpan w:val="2"/>
            <w:vAlign w:val="center"/>
          </w:tcPr>
          <w:p>
            <w:pPr>
              <w:widowControl/>
              <w:spacing w:line="280" w:lineRule="exact"/>
              <w:jc w:val="center"/>
              <w:rPr>
                <w:rFonts w:eastAsia="方正黑体_GBK"/>
                <w:color w:val="auto"/>
                <w:kern w:val="0"/>
                <w:sz w:val="26"/>
                <w:szCs w:val="26"/>
              </w:rPr>
            </w:pPr>
            <w:r>
              <w:rPr>
                <w:rFonts w:hint="eastAsia" w:eastAsia="方正黑体_GBK"/>
                <w:color w:val="auto"/>
                <w:kern w:val="0"/>
                <w:sz w:val="26"/>
                <w:szCs w:val="26"/>
              </w:rPr>
              <w:t>公开对象</w:t>
            </w:r>
          </w:p>
        </w:tc>
        <w:tc>
          <w:tcPr>
            <w:tcW w:w="2078" w:type="dxa"/>
            <w:gridSpan w:val="2"/>
            <w:vAlign w:val="center"/>
          </w:tcPr>
          <w:p>
            <w:pPr>
              <w:widowControl/>
              <w:spacing w:line="280" w:lineRule="exact"/>
              <w:jc w:val="center"/>
              <w:rPr>
                <w:rFonts w:eastAsia="方正黑体_GBK"/>
                <w:color w:val="auto"/>
                <w:kern w:val="0"/>
                <w:sz w:val="26"/>
                <w:szCs w:val="26"/>
              </w:rPr>
            </w:pPr>
            <w:r>
              <w:rPr>
                <w:rFonts w:hint="eastAsia" w:eastAsia="方正黑体_GBK"/>
                <w:color w:val="auto"/>
                <w:kern w:val="0"/>
                <w:sz w:val="26"/>
                <w:szCs w:val="26"/>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529" w:type="dxa"/>
            <w:vMerge w:val="continue"/>
            <w:vAlign w:val="center"/>
          </w:tcPr>
          <w:p>
            <w:pPr>
              <w:widowControl/>
              <w:spacing w:line="300" w:lineRule="exact"/>
              <w:jc w:val="both"/>
              <w:rPr>
                <w:rFonts w:eastAsia="方正黑体_GBK"/>
                <w:color w:val="auto"/>
                <w:kern w:val="0"/>
                <w:sz w:val="26"/>
                <w:szCs w:val="26"/>
              </w:rPr>
            </w:pPr>
          </w:p>
        </w:tc>
        <w:tc>
          <w:tcPr>
            <w:tcW w:w="798" w:type="dxa"/>
            <w:vMerge w:val="continue"/>
            <w:vAlign w:val="center"/>
          </w:tcPr>
          <w:p>
            <w:pPr>
              <w:widowControl/>
              <w:spacing w:line="300" w:lineRule="exact"/>
              <w:jc w:val="center"/>
              <w:rPr>
                <w:rFonts w:eastAsia="方正黑体_GBK"/>
                <w:color w:val="auto"/>
                <w:kern w:val="0"/>
                <w:sz w:val="26"/>
                <w:szCs w:val="26"/>
              </w:rPr>
            </w:pPr>
          </w:p>
        </w:tc>
        <w:tc>
          <w:tcPr>
            <w:tcW w:w="1241" w:type="dxa"/>
            <w:vAlign w:val="center"/>
          </w:tcPr>
          <w:p>
            <w:pPr>
              <w:widowControl/>
              <w:spacing w:line="300" w:lineRule="exact"/>
              <w:jc w:val="center"/>
              <w:rPr>
                <w:rFonts w:eastAsia="方正黑体_GBK"/>
                <w:color w:val="auto"/>
                <w:kern w:val="0"/>
                <w:sz w:val="26"/>
                <w:szCs w:val="26"/>
              </w:rPr>
            </w:pPr>
            <w:r>
              <w:rPr>
                <w:rFonts w:hint="eastAsia" w:eastAsia="方正黑体_GBK"/>
                <w:color w:val="auto"/>
                <w:kern w:val="0"/>
                <w:sz w:val="26"/>
                <w:szCs w:val="26"/>
              </w:rPr>
              <w:t>一级目录</w:t>
            </w:r>
          </w:p>
        </w:tc>
        <w:tc>
          <w:tcPr>
            <w:tcW w:w="1530" w:type="dxa"/>
            <w:vAlign w:val="center"/>
          </w:tcPr>
          <w:p>
            <w:pPr>
              <w:widowControl/>
              <w:spacing w:line="300" w:lineRule="exact"/>
              <w:jc w:val="center"/>
              <w:rPr>
                <w:rFonts w:eastAsia="方正黑体_GBK"/>
                <w:color w:val="auto"/>
                <w:kern w:val="0"/>
                <w:sz w:val="26"/>
                <w:szCs w:val="26"/>
              </w:rPr>
            </w:pPr>
            <w:r>
              <w:rPr>
                <w:rFonts w:hint="eastAsia" w:eastAsia="方正黑体_GBK"/>
                <w:color w:val="auto"/>
                <w:kern w:val="0"/>
                <w:sz w:val="26"/>
                <w:szCs w:val="26"/>
              </w:rPr>
              <w:t>二级目录</w:t>
            </w:r>
          </w:p>
        </w:tc>
        <w:tc>
          <w:tcPr>
            <w:tcW w:w="3193" w:type="dxa"/>
            <w:vMerge w:val="continue"/>
            <w:vAlign w:val="center"/>
          </w:tcPr>
          <w:p>
            <w:pPr>
              <w:widowControl/>
              <w:spacing w:line="300" w:lineRule="exact"/>
              <w:rPr>
                <w:rFonts w:eastAsia="方正黑体_GBK"/>
                <w:color w:val="auto"/>
                <w:kern w:val="0"/>
                <w:sz w:val="26"/>
                <w:szCs w:val="26"/>
              </w:rPr>
            </w:pPr>
          </w:p>
        </w:tc>
        <w:tc>
          <w:tcPr>
            <w:tcW w:w="2606" w:type="dxa"/>
            <w:vMerge w:val="continue"/>
            <w:vAlign w:val="center"/>
          </w:tcPr>
          <w:p>
            <w:pPr>
              <w:widowControl/>
              <w:spacing w:line="300" w:lineRule="exact"/>
              <w:jc w:val="center"/>
              <w:rPr>
                <w:rFonts w:eastAsia="方正黑体_GBK"/>
                <w:color w:val="auto"/>
                <w:kern w:val="0"/>
                <w:sz w:val="26"/>
                <w:szCs w:val="26"/>
              </w:rPr>
            </w:pPr>
          </w:p>
        </w:tc>
        <w:tc>
          <w:tcPr>
            <w:tcW w:w="2532" w:type="dxa"/>
            <w:vMerge w:val="continue"/>
            <w:vAlign w:val="center"/>
          </w:tcPr>
          <w:p>
            <w:pPr>
              <w:widowControl/>
              <w:spacing w:line="300" w:lineRule="exact"/>
              <w:jc w:val="center"/>
              <w:rPr>
                <w:rFonts w:eastAsia="方正黑体_GBK"/>
                <w:color w:val="auto"/>
                <w:kern w:val="0"/>
                <w:sz w:val="26"/>
                <w:szCs w:val="26"/>
              </w:rPr>
            </w:pPr>
          </w:p>
        </w:tc>
        <w:tc>
          <w:tcPr>
            <w:tcW w:w="1875" w:type="dxa"/>
            <w:vMerge w:val="continue"/>
            <w:vAlign w:val="center"/>
          </w:tcPr>
          <w:p>
            <w:pPr>
              <w:widowControl/>
              <w:spacing w:line="300" w:lineRule="exact"/>
              <w:jc w:val="center"/>
              <w:rPr>
                <w:rFonts w:eastAsia="方正黑体_GBK"/>
                <w:color w:val="auto"/>
                <w:kern w:val="0"/>
                <w:sz w:val="26"/>
                <w:szCs w:val="26"/>
              </w:rPr>
            </w:pPr>
          </w:p>
        </w:tc>
        <w:tc>
          <w:tcPr>
            <w:tcW w:w="2062" w:type="dxa"/>
            <w:vMerge w:val="continue"/>
            <w:vAlign w:val="center"/>
          </w:tcPr>
          <w:p>
            <w:pPr>
              <w:widowControl/>
              <w:spacing w:line="280" w:lineRule="exact"/>
              <w:jc w:val="center"/>
              <w:rPr>
                <w:rFonts w:eastAsia="方正黑体_GBK"/>
                <w:color w:val="auto"/>
                <w:kern w:val="0"/>
                <w:sz w:val="26"/>
                <w:szCs w:val="26"/>
              </w:rPr>
            </w:pPr>
          </w:p>
        </w:tc>
        <w:tc>
          <w:tcPr>
            <w:tcW w:w="1106" w:type="dxa"/>
            <w:vAlign w:val="center"/>
          </w:tcPr>
          <w:p>
            <w:pPr>
              <w:widowControl/>
              <w:spacing w:line="280" w:lineRule="exact"/>
              <w:jc w:val="center"/>
              <w:rPr>
                <w:rFonts w:eastAsia="方正黑体_GBK"/>
                <w:color w:val="auto"/>
                <w:kern w:val="0"/>
                <w:sz w:val="26"/>
                <w:szCs w:val="26"/>
              </w:rPr>
            </w:pPr>
            <w:r>
              <w:rPr>
                <w:rFonts w:hint="eastAsia" w:eastAsia="方正黑体_GBK"/>
                <w:color w:val="auto"/>
                <w:kern w:val="0"/>
                <w:sz w:val="26"/>
                <w:szCs w:val="26"/>
              </w:rPr>
              <w:t>全社会</w:t>
            </w:r>
          </w:p>
        </w:tc>
        <w:tc>
          <w:tcPr>
            <w:tcW w:w="1200" w:type="dxa"/>
            <w:vAlign w:val="center"/>
          </w:tcPr>
          <w:p>
            <w:pPr>
              <w:widowControl/>
              <w:spacing w:line="280" w:lineRule="exact"/>
              <w:jc w:val="center"/>
              <w:rPr>
                <w:rFonts w:eastAsia="方正黑体_GBK"/>
                <w:color w:val="auto"/>
                <w:kern w:val="0"/>
                <w:sz w:val="26"/>
                <w:szCs w:val="26"/>
              </w:rPr>
            </w:pPr>
            <w:r>
              <w:rPr>
                <w:rFonts w:hint="eastAsia" w:eastAsia="方正黑体_GBK"/>
                <w:color w:val="auto"/>
                <w:kern w:val="0"/>
                <w:sz w:val="26"/>
                <w:szCs w:val="26"/>
              </w:rPr>
              <w:t>特定群众</w:t>
            </w:r>
          </w:p>
        </w:tc>
        <w:tc>
          <w:tcPr>
            <w:tcW w:w="882" w:type="dxa"/>
            <w:vAlign w:val="center"/>
          </w:tcPr>
          <w:p>
            <w:pPr>
              <w:widowControl/>
              <w:spacing w:line="280" w:lineRule="exact"/>
              <w:jc w:val="center"/>
              <w:rPr>
                <w:rFonts w:eastAsia="方正黑体_GBK"/>
                <w:color w:val="auto"/>
                <w:kern w:val="0"/>
                <w:sz w:val="26"/>
                <w:szCs w:val="26"/>
              </w:rPr>
            </w:pPr>
            <w:r>
              <w:rPr>
                <w:rFonts w:hint="eastAsia" w:eastAsia="方正黑体_GBK"/>
                <w:color w:val="auto"/>
                <w:kern w:val="0"/>
                <w:sz w:val="26"/>
                <w:szCs w:val="26"/>
              </w:rPr>
              <w:t>主动</w:t>
            </w:r>
          </w:p>
        </w:tc>
        <w:tc>
          <w:tcPr>
            <w:tcW w:w="1196" w:type="dxa"/>
            <w:vAlign w:val="center"/>
          </w:tcPr>
          <w:p>
            <w:pPr>
              <w:widowControl/>
              <w:spacing w:line="280" w:lineRule="exact"/>
              <w:jc w:val="center"/>
              <w:rPr>
                <w:rFonts w:eastAsia="方正黑体_GBK"/>
                <w:color w:val="auto"/>
                <w:kern w:val="0"/>
                <w:sz w:val="26"/>
                <w:szCs w:val="26"/>
              </w:rPr>
            </w:pPr>
            <w:r>
              <w:rPr>
                <w:rFonts w:hint="eastAsia" w:eastAsia="方正黑体_GBK"/>
                <w:color w:val="auto"/>
                <w:kern w:val="0"/>
                <w:sz w:val="26"/>
                <w:szCs w:val="26"/>
              </w:rPr>
              <w:t>依申</w:t>
            </w:r>
          </w:p>
          <w:p>
            <w:pPr>
              <w:widowControl/>
              <w:spacing w:line="280" w:lineRule="exact"/>
              <w:jc w:val="center"/>
              <w:rPr>
                <w:rFonts w:eastAsia="方正黑体_GBK"/>
                <w:color w:val="auto"/>
                <w:kern w:val="0"/>
                <w:sz w:val="26"/>
                <w:szCs w:val="26"/>
              </w:rPr>
            </w:pPr>
            <w:r>
              <w:rPr>
                <w:rFonts w:hint="eastAsia" w:eastAsia="方正黑体_GBK"/>
                <w:color w:val="auto"/>
                <w:kern w:val="0"/>
                <w:sz w:val="26"/>
                <w:szCs w:val="26"/>
              </w:rPr>
              <w:t>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9" w:hRule="atLeast"/>
          <w:jc w:val="center"/>
        </w:trPr>
        <w:tc>
          <w:tcPr>
            <w:tcW w:w="529" w:type="dxa"/>
            <w:vAlign w:val="center"/>
          </w:tcPr>
          <w:p>
            <w:pPr>
              <w:widowControl/>
              <w:numPr>
                <w:ilvl w:val="0"/>
                <w:numId w:val="1"/>
              </w:numPr>
              <w:spacing w:line="300" w:lineRule="exact"/>
              <w:ind w:left="0" w:firstLine="0"/>
              <w:jc w:val="both"/>
              <w:rPr>
                <w:color w:val="auto"/>
                <w:kern w:val="0"/>
                <w:sz w:val="26"/>
                <w:szCs w:val="26"/>
              </w:rPr>
            </w:pPr>
          </w:p>
        </w:tc>
        <w:tc>
          <w:tcPr>
            <w:tcW w:w="798" w:type="dxa"/>
            <w:vMerge w:val="restart"/>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决策</w:t>
            </w:r>
          </w:p>
        </w:tc>
        <w:tc>
          <w:tcPr>
            <w:tcW w:w="1241" w:type="dxa"/>
            <w:vMerge w:val="restart"/>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政策法规</w:t>
            </w:r>
            <w:r>
              <w:rPr>
                <w:rFonts w:hint="eastAsia" w:ascii="宋体" w:hAnsi="宋体" w:cs="宋体"/>
                <w:i w:val="0"/>
                <w:color w:val="000000"/>
                <w:kern w:val="0"/>
                <w:sz w:val="22"/>
                <w:szCs w:val="22"/>
                <w:u w:val="none"/>
                <w:lang w:val="en-US" w:eastAsia="zh-CN" w:bidi="ar"/>
              </w:rPr>
              <w:br w:type="textWrapping"/>
            </w:r>
          </w:p>
        </w:tc>
        <w:tc>
          <w:tcPr>
            <w:tcW w:w="1530"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部门文件</w:t>
            </w:r>
            <w:r>
              <w:rPr>
                <w:rFonts w:hint="eastAsia" w:ascii="宋体" w:hAnsi="宋体" w:cs="宋体"/>
                <w:i w:val="0"/>
                <w:color w:val="000000"/>
                <w:kern w:val="0"/>
                <w:sz w:val="22"/>
                <w:szCs w:val="22"/>
                <w:u w:val="none"/>
                <w:lang w:val="en-US" w:eastAsia="zh-CN" w:bidi="ar"/>
              </w:rPr>
              <w:br w:type="textWrapping"/>
            </w:r>
          </w:p>
        </w:tc>
        <w:tc>
          <w:tcPr>
            <w:tcW w:w="3193"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本单位印发的规范性文件，本部门印发的除规范性文件以为的其他可以以全文公开的文件</w:t>
            </w:r>
          </w:p>
        </w:tc>
        <w:tc>
          <w:tcPr>
            <w:tcW w:w="26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《中华人民共和国政府信息公开条例》（2019 年国务院令第 711 号）</w:t>
            </w:r>
          </w:p>
        </w:tc>
        <w:tc>
          <w:tcPr>
            <w:tcW w:w="253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形成或变更之日起 20 个工作日内（法律、法规对政府信息公开期限另有规定的，从其规定）</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w:t>
            </w:r>
          </w:p>
        </w:tc>
        <w:tc>
          <w:tcPr>
            <w:tcW w:w="1200" w:type="dxa"/>
            <w:vAlign w:val="center"/>
          </w:tcPr>
          <w:p>
            <w:pPr>
              <w:rPr>
                <w:bCs/>
                <w:color w:val="auto"/>
                <w:kern w:val="0"/>
                <w:sz w:val="26"/>
                <w:szCs w:val="26"/>
              </w:rPr>
            </w:pPr>
          </w:p>
        </w:tc>
        <w:tc>
          <w:tcPr>
            <w:tcW w:w="882"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196" w:type="dxa"/>
            <w:vAlign w:val="center"/>
          </w:tcPr>
          <w:p>
            <w:pP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34" w:hRule="atLeast"/>
          <w:jc w:val="center"/>
        </w:trPr>
        <w:tc>
          <w:tcPr>
            <w:tcW w:w="529" w:type="dxa"/>
            <w:vAlign w:val="center"/>
          </w:tcPr>
          <w:p>
            <w:pPr>
              <w:widowControl/>
              <w:numPr>
                <w:ilvl w:val="0"/>
                <w:numId w:val="1"/>
              </w:numPr>
              <w:spacing w:line="300" w:lineRule="exact"/>
              <w:ind w:left="0" w:firstLine="0"/>
              <w:jc w:val="both"/>
              <w:rPr>
                <w:color w:val="auto"/>
                <w:kern w:val="0"/>
                <w:sz w:val="26"/>
                <w:szCs w:val="26"/>
              </w:rPr>
            </w:pPr>
          </w:p>
        </w:tc>
        <w:tc>
          <w:tcPr>
            <w:tcW w:w="798" w:type="dxa"/>
            <w:vMerge w:val="continue"/>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241" w:type="dxa"/>
            <w:vMerge w:val="continue"/>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530"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规范性文件立改废</w:t>
            </w:r>
            <w:r>
              <w:rPr>
                <w:rFonts w:hint="eastAsia" w:ascii="宋体" w:hAnsi="宋体" w:cs="宋体"/>
                <w:i w:val="0"/>
                <w:color w:val="000000"/>
                <w:kern w:val="0"/>
                <w:sz w:val="22"/>
                <w:szCs w:val="22"/>
                <w:u w:val="none"/>
                <w:lang w:val="en-US" w:eastAsia="zh-CN" w:bidi="ar"/>
              </w:rPr>
              <w:br w:type="textWrapping"/>
            </w:r>
          </w:p>
        </w:tc>
        <w:tc>
          <w:tcPr>
            <w:tcW w:w="3193"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本单位部门文件主动公开情况，包括信息索引号、名称、文件编号、生产日期、公开类型形式、时限和责任部门等</w:t>
            </w:r>
          </w:p>
        </w:tc>
        <w:tc>
          <w:tcPr>
            <w:tcW w:w="26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《中华人民共和国政府信息公开条例》（2019 年国务院令第 711 号）</w:t>
            </w:r>
          </w:p>
        </w:tc>
        <w:tc>
          <w:tcPr>
            <w:tcW w:w="253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形成或变更之日起 20 个工作日内（法律、法规对政府信息公开期限另有规定的，从其规定）</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w:t>
            </w:r>
          </w:p>
        </w:tc>
        <w:tc>
          <w:tcPr>
            <w:tcW w:w="1200" w:type="dxa"/>
            <w:vAlign w:val="center"/>
          </w:tcPr>
          <w:p>
            <w:pPr>
              <w:rPr>
                <w:bCs/>
                <w:color w:val="auto"/>
                <w:kern w:val="0"/>
                <w:sz w:val="26"/>
                <w:szCs w:val="26"/>
              </w:rPr>
            </w:pPr>
          </w:p>
        </w:tc>
        <w:tc>
          <w:tcPr>
            <w:tcW w:w="882"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196" w:type="dxa"/>
            <w:vAlign w:val="center"/>
          </w:tcPr>
          <w:p>
            <w:pPr>
              <w:keepNext w:val="0"/>
              <w:keepLines w:val="0"/>
              <w:widowControl/>
              <w:suppressLineNumbers w:val="0"/>
              <w:jc w:val="left"/>
              <w:textAlignment w:val="cente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36" w:hRule="atLeast"/>
          <w:jc w:val="center"/>
        </w:trPr>
        <w:tc>
          <w:tcPr>
            <w:tcW w:w="529" w:type="dxa"/>
            <w:vAlign w:val="center"/>
          </w:tcPr>
          <w:p>
            <w:pPr>
              <w:widowControl/>
              <w:numPr>
                <w:ilvl w:val="0"/>
                <w:numId w:val="1"/>
              </w:numPr>
              <w:spacing w:line="300" w:lineRule="exact"/>
              <w:ind w:left="0" w:leftChars="0" w:firstLine="0" w:firstLineChars="0"/>
              <w:jc w:val="both"/>
              <w:rPr>
                <w:rFonts w:hint="eastAsia" w:asciiTheme="minorEastAsia" w:hAnsiTheme="minorEastAsia" w:eastAsiaTheme="minorEastAsia" w:cstheme="minorEastAsia"/>
                <w:color w:val="auto"/>
                <w:kern w:val="0"/>
                <w:sz w:val="22"/>
                <w:szCs w:val="22"/>
              </w:rPr>
            </w:pPr>
          </w:p>
        </w:tc>
        <w:tc>
          <w:tcPr>
            <w:tcW w:w="798" w:type="dxa"/>
            <w:vMerge w:val="continue"/>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241" w:type="dxa"/>
            <w:vMerge w:val="restart"/>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重大决策</w:t>
            </w:r>
            <w:r>
              <w:rPr>
                <w:rFonts w:hint="eastAsia" w:ascii="宋体" w:hAnsi="宋体" w:cs="宋体"/>
                <w:i w:val="0"/>
                <w:color w:val="000000"/>
                <w:kern w:val="0"/>
                <w:sz w:val="22"/>
                <w:szCs w:val="22"/>
                <w:u w:val="none"/>
                <w:lang w:val="en-US" w:eastAsia="zh-CN" w:bidi="ar"/>
              </w:rPr>
              <w:br w:type="textWrapping"/>
            </w:r>
            <w:r>
              <w:rPr>
                <w:rFonts w:hint="eastAsia" w:ascii="宋体" w:hAnsi="宋体" w:cs="宋体"/>
                <w:i w:val="0"/>
                <w:color w:val="000000"/>
                <w:kern w:val="0"/>
                <w:sz w:val="22"/>
                <w:szCs w:val="22"/>
                <w:u w:val="none"/>
                <w:lang w:val="en-US" w:eastAsia="zh-CN" w:bidi="ar"/>
              </w:rPr>
              <w:t>预公开</w:t>
            </w:r>
            <w:r>
              <w:rPr>
                <w:rFonts w:hint="eastAsia" w:ascii="宋体" w:hAnsi="宋体" w:cs="宋体"/>
                <w:i w:val="0"/>
                <w:color w:val="000000"/>
                <w:kern w:val="0"/>
                <w:sz w:val="22"/>
                <w:szCs w:val="22"/>
                <w:u w:val="none"/>
                <w:lang w:val="en-US" w:eastAsia="zh-CN" w:bidi="ar"/>
              </w:rPr>
              <w:br w:type="textWrapping"/>
            </w:r>
          </w:p>
        </w:tc>
        <w:tc>
          <w:tcPr>
            <w:tcW w:w="1530"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意见征集</w:t>
            </w:r>
            <w:r>
              <w:rPr>
                <w:rFonts w:hint="eastAsia" w:ascii="宋体" w:hAnsi="宋体" w:cs="宋体"/>
                <w:i w:val="0"/>
                <w:color w:val="000000"/>
                <w:kern w:val="0"/>
                <w:sz w:val="22"/>
                <w:szCs w:val="22"/>
                <w:u w:val="none"/>
                <w:lang w:val="en-US" w:eastAsia="zh-CN" w:bidi="ar"/>
              </w:rPr>
              <w:br w:type="textWrapping"/>
            </w:r>
          </w:p>
        </w:tc>
        <w:tc>
          <w:tcPr>
            <w:tcW w:w="3193"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涉及重大民生议题、企业经营发展、专业领域的重要改革方案、重大政策措施、重点工程项目，除依法应当保密的外，主动向社会公布决策草案、决策依据等，通过听证座谈、网络征集、咨询协商、媒体沟通等多种形式向社会征求意见。</w:t>
            </w:r>
          </w:p>
        </w:tc>
        <w:tc>
          <w:tcPr>
            <w:tcW w:w="26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《重大行政决策程序暂行条例》（国务院令第713号）；</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253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形成或变更之日起 20 个工作日内（法律、法规对政府信息公开期限另有规定的，从其规定）</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w:t>
            </w:r>
          </w:p>
        </w:tc>
        <w:tc>
          <w:tcPr>
            <w:tcW w:w="1200" w:type="dxa"/>
            <w:vAlign w:val="center"/>
          </w:tcPr>
          <w:p>
            <w:pPr>
              <w:rPr>
                <w:rFonts w:hint="eastAsia" w:asciiTheme="minorEastAsia" w:hAnsiTheme="minorEastAsia" w:eastAsiaTheme="minorEastAsia" w:cstheme="minorEastAsia"/>
                <w:bCs/>
                <w:color w:val="auto"/>
                <w:kern w:val="0"/>
                <w:sz w:val="22"/>
                <w:szCs w:val="22"/>
              </w:rPr>
            </w:pPr>
          </w:p>
        </w:tc>
        <w:tc>
          <w:tcPr>
            <w:tcW w:w="88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w:t>
            </w:r>
          </w:p>
        </w:tc>
        <w:tc>
          <w:tcPr>
            <w:tcW w:w="119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Cs/>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48" w:hRule="atLeast"/>
          <w:jc w:val="center"/>
        </w:trPr>
        <w:tc>
          <w:tcPr>
            <w:tcW w:w="529" w:type="dxa"/>
            <w:vAlign w:val="center"/>
          </w:tcPr>
          <w:p>
            <w:pPr>
              <w:widowControl/>
              <w:numPr>
                <w:ilvl w:val="0"/>
                <w:numId w:val="1"/>
              </w:numPr>
              <w:spacing w:line="300" w:lineRule="exact"/>
              <w:ind w:left="0" w:firstLine="0"/>
              <w:jc w:val="both"/>
              <w:rPr>
                <w:rFonts w:hint="eastAsia" w:asciiTheme="minorEastAsia" w:hAnsiTheme="minorEastAsia" w:eastAsiaTheme="minorEastAsia" w:cstheme="minorEastAsia"/>
                <w:color w:val="auto"/>
                <w:kern w:val="0"/>
                <w:sz w:val="22"/>
                <w:szCs w:val="22"/>
              </w:rPr>
            </w:pPr>
          </w:p>
        </w:tc>
        <w:tc>
          <w:tcPr>
            <w:tcW w:w="798" w:type="dxa"/>
            <w:vMerge w:val="continue"/>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241" w:type="dxa"/>
            <w:vMerge w:val="continue"/>
            <w:tcBorders>
              <w:bottom w:val="single" w:color="auto"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530"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意见反馈</w:t>
            </w:r>
            <w:r>
              <w:rPr>
                <w:rFonts w:hint="eastAsia" w:ascii="宋体" w:hAnsi="宋体" w:cs="宋体"/>
                <w:i w:val="0"/>
                <w:color w:val="000000"/>
                <w:kern w:val="0"/>
                <w:sz w:val="22"/>
                <w:szCs w:val="22"/>
                <w:u w:val="none"/>
                <w:lang w:val="en-US" w:eastAsia="zh-CN" w:bidi="ar"/>
              </w:rPr>
              <w:br w:type="textWrapping"/>
            </w:r>
          </w:p>
        </w:tc>
        <w:tc>
          <w:tcPr>
            <w:tcW w:w="3193"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公布意见采纳情况及相对集中的意见未予采纳的原因。</w:t>
            </w:r>
          </w:p>
        </w:tc>
        <w:tc>
          <w:tcPr>
            <w:tcW w:w="26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《中华人民共和国政府信息公开条例》（国务院令第711号）；</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253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形成或变更之日起 20 个工作日内（法律、法规对政府信息公开期限另有规定的，从其规定）</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w:t>
            </w:r>
          </w:p>
        </w:tc>
        <w:tc>
          <w:tcPr>
            <w:tcW w:w="1200" w:type="dxa"/>
            <w:vAlign w:val="center"/>
          </w:tcPr>
          <w:p>
            <w:pPr>
              <w:rPr>
                <w:rFonts w:hint="eastAsia" w:asciiTheme="minorEastAsia" w:hAnsiTheme="minorEastAsia" w:eastAsiaTheme="minorEastAsia" w:cstheme="minorEastAsia"/>
                <w:bCs/>
                <w:color w:val="auto"/>
                <w:kern w:val="0"/>
                <w:sz w:val="22"/>
                <w:szCs w:val="22"/>
                <w:lang w:val="en-US" w:eastAsia="zh-CN" w:bidi="ar-SA"/>
              </w:rPr>
            </w:pPr>
          </w:p>
        </w:tc>
        <w:tc>
          <w:tcPr>
            <w:tcW w:w="88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Cs/>
                <w:color w:val="auto"/>
                <w:kern w:val="0"/>
                <w:sz w:val="22"/>
                <w:szCs w:val="22"/>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w:t>
            </w:r>
          </w:p>
        </w:tc>
        <w:tc>
          <w:tcPr>
            <w:tcW w:w="119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Cs/>
                <w:color w:val="auto"/>
                <w:kern w:val="0"/>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91" w:hRule="atLeast"/>
          <w:jc w:val="center"/>
        </w:trPr>
        <w:tc>
          <w:tcPr>
            <w:tcW w:w="529" w:type="dxa"/>
            <w:vAlign w:val="center"/>
          </w:tcPr>
          <w:p>
            <w:pPr>
              <w:widowControl/>
              <w:numPr>
                <w:ilvl w:val="0"/>
                <w:numId w:val="1"/>
              </w:numPr>
              <w:spacing w:line="300" w:lineRule="exact"/>
              <w:ind w:left="0" w:firstLine="0"/>
              <w:jc w:val="both"/>
              <w:rPr>
                <w:color w:val="auto"/>
                <w:kern w:val="0"/>
                <w:sz w:val="26"/>
                <w:szCs w:val="26"/>
              </w:rPr>
            </w:pPr>
          </w:p>
        </w:tc>
        <w:tc>
          <w:tcPr>
            <w:tcW w:w="798" w:type="dxa"/>
            <w:vAlign w:val="center"/>
          </w:tcPr>
          <w:p>
            <w:pPr>
              <w:widowControl/>
              <w:spacing w:line="300" w:lineRule="exact"/>
              <w:jc w:val="left"/>
              <w:rPr>
                <w:rFonts w:eastAsia="方正黑体_GBK"/>
                <w:color w:val="auto"/>
                <w:kern w:val="0"/>
                <w:sz w:val="26"/>
                <w:szCs w:val="26"/>
              </w:rPr>
            </w:pPr>
          </w:p>
        </w:tc>
        <w:tc>
          <w:tcPr>
            <w:tcW w:w="1241" w:type="dxa"/>
            <w:tcBorders>
              <w:bottom w:val="single" w:color="auto"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规划计划</w:t>
            </w:r>
          </w:p>
        </w:tc>
        <w:tc>
          <w:tcPr>
            <w:tcW w:w="1530"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3193" w:type="dxa"/>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本部门中长期发展规划、年度工作计划和工作总结</w:t>
            </w:r>
          </w:p>
        </w:tc>
        <w:tc>
          <w:tcPr>
            <w:tcW w:w="26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《中华人民共和国政府信息公开条例》（2019 年国务院令第 711 号）</w:t>
            </w:r>
          </w:p>
        </w:tc>
        <w:tc>
          <w:tcPr>
            <w:tcW w:w="253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形成或变更之日起 20 个工作日内（法律、法规对政府信息公开期限另有规定的，从其规定）</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200" w:type="dxa"/>
            <w:vAlign w:val="center"/>
          </w:tcPr>
          <w:p>
            <w:pPr>
              <w:rPr>
                <w:bCs/>
                <w:color w:val="auto"/>
                <w:kern w:val="0"/>
                <w:sz w:val="26"/>
                <w:szCs w:val="26"/>
              </w:rPr>
            </w:pPr>
          </w:p>
        </w:tc>
        <w:tc>
          <w:tcPr>
            <w:tcW w:w="882"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196" w:type="dxa"/>
            <w:vAlign w:val="center"/>
          </w:tcPr>
          <w:p>
            <w:pP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04" w:hRule="atLeast"/>
          <w:jc w:val="center"/>
        </w:trPr>
        <w:tc>
          <w:tcPr>
            <w:tcW w:w="529" w:type="dxa"/>
            <w:vAlign w:val="center"/>
          </w:tcPr>
          <w:p>
            <w:pPr>
              <w:widowControl/>
              <w:numPr>
                <w:ilvl w:val="0"/>
                <w:numId w:val="1"/>
              </w:numPr>
              <w:spacing w:line="300" w:lineRule="exact"/>
              <w:ind w:left="0" w:firstLine="0"/>
              <w:jc w:val="both"/>
              <w:rPr>
                <w:color w:val="auto"/>
                <w:kern w:val="0"/>
                <w:sz w:val="26"/>
                <w:szCs w:val="26"/>
              </w:rPr>
            </w:pPr>
            <w:bookmarkStart w:id="0" w:name="OLE_LINK7" w:colFirst="6" w:colLast="6"/>
            <w:bookmarkStart w:id="1" w:name="_Hlk11998333"/>
            <w:bookmarkStart w:id="2" w:name="OLE_LINK8" w:colFirst="8" w:colLast="8"/>
          </w:p>
        </w:tc>
        <w:tc>
          <w:tcPr>
            <w:tcW w:w="798" w:type="dxa"/>
            <w:vMerge w:val="restart"/>
            <w:tcBorders>
              <w:right w:val="single" w:color="auto" w:sz="4" w:space="0"/>
            </w:tcBorders>
            <w:vAlign w:val="center"/>
          </w:tcPr>
          <w:p>
            <w:pPr>
              <w:widowControl/>
              <w:spacing w:line="300" w:lineRule="exact"/>
              <w:jc w:val="center"/>
              <w:rPr>
                <w:rFonts w:eastAsia="方正黑体_GBK"/>
                <w:color w:val="auto"/>
                <w:kern w:val="0"/>
                <w:sz w:val="26"/>
                <w:szCs w:val="26"/>
              </w:rPr>
            </w:pPr>
          </w:p>
        </w:tc>
        <w:tc>
          <w:tcPr>
            <w:tcW w:w="1241"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建议提案</w:t>
            </w:r>
            <w:r>
              <w:rPr>
                <w:rFonts w:hint="eastAsia" w:ascii="宋体" w:hAnsi="宋体" w:cs="宋体"/>
                <w:i w:val="0"/>
                <w:color w:val="000000"/>
                <w:kern w:val="0"/>
                <w:sz w:val="22"/>
                <w:szCs w:val="22"/>
                <w:u w:val="none"/>
                <w:lang w:val="en-US" w:eastAsia="zh-CN" w:bidi="ar"/>
              </w:rPr>
              <w:br w:type="textWrapping"/>
            </w:r>
            <w:r>
              <w:rPr>
                <w:rFonts w:hint="eastAsia" w:ascii="宋体" w:hAnsi="宋体" w:cs="宋体"/>
                <w:i w:val="0"/>
                <w:color w:val="000000"/>
                <w:kern w:val="0"/>
                <w:sz w:val="22"/>
                <w:szCs w:val="22"/>
                <w:u w:val="none"/>
                <w:lang w:val="en-US" w:eastAsia="zh-CN" w:bidi="ar"/>
              </w:rPr>
              <w:t>办理</w:t>
            </w:r>
            <w:r>
              <w:rPr>
                <w:rFonts w:hint="eastAsia" w:ascii="宋体" w:hAnsi="宋体" w:cs="宋体"/>
                <w:i w:val="0"/>
                <w:color w:val="000000"/>
                <w:kern w:val="0"/>
                <w:sz w:val="22"/>
                <w:szCs w:val="22"/>
                <w:u w:val="none"/>
                <w:lang w:val="en-US" w:eastAsia="zh-CN" w:bidi="ar"/>
              </w:rPr>
              <w:br w:type="textWrapping"/>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br w:type="textWrapping"/>
            </w:r>
          </w:p>
        </w:tc>
        <w:tc>
          <w:tcPr>
            <w:tcW w:w="1530" w:type="dxa"/>
            <w:tcBorders>
              <w:left w:val="single" w:color="auto"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人大代表建议提案</w:t>
            </w:r>
          </w:p>
        </w:tc>
        <w:tc>
          <w:tcPr>
            <w:tcW w:w="3193"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本单位当年承办的建议提案责任分工办理回复、代表或委员满意度等情况</w:t>
            </w:r>
          </w:p>
        </w:tc>
        <w:tc>
          <w:tcPr>
            <w:tcW w:w="2606" w:type="dxa"/>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人大代表建议办理答复</w:t>
            </w:r>
          </w:p>
        </w:tc>
        <w:tc>
          <w:tcPr>
            <w:tcW w:w="253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《国务院办公厅关于做好全国人大代表建议和全国政协委员提案办理结果公开工作的通知》（国办发{2014}46号）</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1200" w:type="dxa"/>
            <w:vAlign w:val="center"/>
          </w:tcPr>
          <w:p>
            <w:pPr>
              <w:widowControl/>
              <w:spacing w:line="280" w:lineRule="exact"/>
              <w:jc w:val="center"/>
              <w:rPr>
                <w:bCs/>
                <w:color w:val="auto"/>
                <w:kern w:val="0"/>
                <w:sz w:val="26"/>
                <w:szCs w:val="26"/>
              </w:rPr>
            </w:pPr>
          </w:p>
        </w:tc>
        <w:tc>
          <w:tcPr>
            <w:tcW w:w="882" w:type="dxa"/>
            <w:vAlign w:val="center"/>
          </w:tcPr>
          <w:p>
            <w:pPr>
              <w:widowControl/>
              <w:spacing w:line="280" w:lineRule="exact"/>
              <w:jc w:val="center"/>
              <w:rPr>
                <w:bCs/>
                <w:color w:val="auto"/>
                <w:kern w:val="0"/>
                <w:sz w:val="26"/>
                <w:szCs w:val="26"/>
              </w:rPr>
            </w:pPr>
            <w:r>
              <w:rPr>
                <w:rFonts w:hint="eastAsia"/>
                <w:bCs/>
                <w:color w:val="auto"/>
                <w:kern w:val="0"/>
                <w:sz w:val="26"/>
                <w:szCs w:val="26"/>
              </w:rPr>
              <w:t>√</w:t>
            </w:r>
          </w:p>
        </w:tc>
        <w:tc>
          <w:tcPr>
            <w:tcW w:w="1196" w:type="dxa"/>
            <w:vAlign w:val="center"/>
          </w:tcPr>
          <w:p>
            <w:pPr>
              <w:keepNext w:val="0"/>
              <w:keepLines w:val="0"/>
              <w:widowControl/>
              <w:suppressLineNumbers w:val="0"/>
              <w:jc w:val="left"/>
              <w:textAlignment w:val="center"/>
              <w:rPr>
                <w:bCs/>
                <w:color w:val="auto"/>
                <w:kern w:val="0"/>
                <w:sz w:val="26"/>
                <w:szCs w:val="26"/>
              </w:rPr>
            </w:pP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36" w:hRule="atLeast"/>
          <w:jc w:val="center"/>
        </w:trPr>
        <w:tc>
          <w:tcPr>
            <w:tcW w:w="529" w:type="dxa"/>
            <w:vAlign w:val="center"/>
          </w:tcPr>
          <w:p>
            <w:pPr>
              <w:widowControl/>
              <w:numPr>
                <w:ilvl w:val="0"/>
                <w:numId w:val="1"/>
              </w:numPr>
              <w:spacing w:line="300" w:lineRule="exact"/>
              <w:ind w:left="0" w:firstLine="0"/>
              <w:jc w:val="both"/>
              <w:rPr>
                <w:color w:val="auto"/>
                <w:kern w:val="0"/>
                <w:sz w:val="26"/>
                <w:szCs w:val="26"/>
              </w:rPr>
            </w:pPr>
          </w:p>
        </w:tc>
        <w:tc>
          <w:tcPr>
            <w:tcW w:w="798" w:type="dxa"/>
            <w:vMerge w:val="continue"/>
            <w:tcBorders>
              <w:right w:val="single" w:color="auto" w:sz="4" w:space="0"/>
            </w:tcBorders>
            <w:vAlign w:val="center"/>
          </w:tcPr>
          <w:p>
            <w:pPr>
              <w:widowControl/>
              <w:spacing w:line="300" w:lineRule="exact"/>
              <w:jc w:val="left"/>
              <w:rPr>
                <w:rFonts w:eastAsia="方正黑体_GBK"/>
                <w:color w:val="auto"/>
                <w:kern w:val="0"/>
                <w:sz w:val="26"/>
                <w:szCs w:val="26"/>
              </w:rPr>
            </w:pPr>
          </w:p>
        </w:tc>
        <w:tc>
          <w:tcPr>
            <w:tcW w:w="1241"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530" w:type="dxa"/>
            <w:tcBorders>
              <w:left w:val="single" w:color="auto"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政协委员提案办理</w:t>
            </w:r>
          </w:p>
        </w:tc>
        <w:tc>
          <w:tcPr>
            <w:tcW w:w="3193"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本单位当年承办的建议提案责任 分工办理回复、代表或委员满意度等情况</w:t>
            </w:r>
          </w:p>
        </w:tc>
        <w:tc>
          <w:tcPr>
            <w:tcW w:w="2606" w:type="dxa"/>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政协委员建议办理答复</w:t>
            </w:r>
          </w:p>
        </w:tc>
        <w:tc>
          <w:tcPr>
            <w:tcW w:w="253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《国务院办公厅关于做好全国人大代表建议和全国政协委员提案办理结果公开工作的通知》（国办发{2014}46号）</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200" w:type="dxa"/>
            <w:vAlign w:val="center"/>
          </w:tcPr>
          <w:p>
            <w:pPr>
              <w:rPr>
                <w:bCs/>
                <w:color w:val="auto"/>
                <w:kern w:val="0"/>
                <w:sz w:val="26"/>
                <w:szCs w:val="26"/>
              </w:rPr>
            </w:pPr>
          </w:p>
        </w:tc>
        <w:tc>
          <w:tcPr>
            <w:tcW w:w="882"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196" w:type="dxa"/>
            <w:vAlign w:val="center"/>
          </w:tcPr>
          <w:p>
            <w:pP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03" w:hRule="atLeast"/>
          <w:jc w:val="center"/>
        </w:trPr>
        <w:tc>
          <w:tcPr>
            <w:tcW w:w="529" w:type="dxa"/>
            <w:vAlign w:val="center"/>
          </w:tcPr>
          <w:p>
            <w:pPr>
              <w:widowControl/>
              <w:numPr>
                <w:ilvl w:val="0"/>
                <w:numId w:val="1"/>
              </w:numPr>
              <w:spacing w:line="300" w:lineRule="exact"/>
              <w:ind w:left="0" w:firstLine="0"/>
              <w:jc w:val="both"/>
              <w:rPr>
                <w:color w:val="auto"/>
                <w:kern w:val="0"/>
                <w:sz w:val="26"/>
                <w:szCs w:val="26"/>
              </w:rPr>
            </w:pPr>
          </w:p>
        </w:tc>
        <w:tc>
          <w:tcPr>
            <w:tcW w:w="798" w:type="dxa"/>
            <w:vMerge w:val="restart"/>
            <w:tcBorders>
              <w:right w:val="single" w:color="auto" w:sz="4" w:space="0"/>
            </w:tcBorders>
            <w:vAlign w:val="center"/>
          </w:tcPr>
          <w:p>
            <w:pPr>
              <w:spacing w:line="300" w:lineRule="exact"/>
              <w:jc w:val="center"/>
              <w:rPr>
                <w:rFonts w:eastAsia="方正黑体_GBK"/>
                <w:color w:val="auto"/>
                <w:kern w:val="0"/>
                <w:sz w:val="26"/>
                <w:szCs w:val="26"/>
              </w:rPr>
            </w:pPr>
            <w:r>
              <w:rPr>
                <w:rFonts w:hint="eastAsia" w:eastAsia="方正黑体_GBK"/>
                <w:color w:val="auto"/>
                <w:kern w:val="0"/>
                <w:sz w:val="26"/>
                <w:szCs w:val="26"/>
              </w:rPr>
              <w:t>管理和服务</w:t>
            </w:r>
          </w:p>
        </w:tc>
        <w:tc>
          <w:tcPr>
            <w:tcW w:w="1241" w:type="dxa"/>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机构领导</w:t>
            </w:r>
          </w:p>
        </w:tc>
        <w:tc>
          <w:tcPr>
            <w:tcW w:w="1530" w:type="dxa"/>
            <w:tcBorders>
              <w:left w:val="single" w:color="auto" w:sz="4" w:space="0"/>
            </w:tcBorders>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p>
        </w:tc>
        <w:tc>
          <w:tcPr>
            <w:tcW w:w="3193"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领导分工、简历、办公联系方式、照片；领导活动相关信息</w:t>
            </w:r>
          </w:p>
        </w:tc>
        <w:tc>
          <w:tcPr>
            <w:tcW w:w="26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《中华人民共和国政府信息公开条例》（2019 年国务院令第 711 号）</w:t>
            </w:r>
          </w:p>
        </w:tc>
        <w:tc>
          <w:tcPr>
            <w:tcW w:w="2532" w:type="dxa"/>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自该信息形成或者变更之日起20个工作日内</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200" w:type="dxa"/>
            <w:vAlign w:val="center"/>
          </w:tcPr>
          <w:p>
            <w:pPr>
              <w:rPr>
                <w:bCs/>
                <w:color w:val="auto"/>
                <w:kern w:val="0"/>
                <w:sz w:val="26"/>
                <w:szCs w:val="26"/>
              </w:rPr>
            </w:pPr>
          </w:p>
        </w:tc>
        <w:tc>
          <w:tcPr>
            <w:tcW w:w="882"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196" w:type="dxa"/>
            <w:vAlign w:val="center"/>
          </w:tcPr>
          <w:p>
            <w:pP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jc w:val="center"/>
        </w:trPr>
        <w:tc>
          <w:tcPr>
            <w:tcW w:w="529" w:type="dxa"/>
            <w:vAlign w:val="center"/>
          </w:tcPr>
          <w:p>
            <w:pPr>
              <w:widowControl/>
              <w:numPr>
                <w:ilvl w:val="0"/>
                <w:numId w:val="1"/>
              </w:numPr>
              <w:spacing w:line="300" w:lineRule="exact"/>
              <w:ind w:left="0" w:firstLine="0"/>
              <w:jc w:val="both"/>
              <w:rPr>
                <w:color w:val="auto"/>
                <w:kern w:val="0"/>
                <w:sz w:val="26"/>
                <w:szCs w:val="26"/>
              </w:rPr>
            </w:pPr>
          </w:p>
        </w:tc>
        <w:tc>
          <w:tcPr>
            <w:tcW w:w="798" w:type="dxa"/>
            <w:vMerge w:val="continue"/>
            <w:tcBorders>
              <w:right w:val="single" w:color="auto" w:sz="4" w:space="0"/>
            </w:tcBorders>
            <w:vAlign w:val="center"/>
          </w:tcPr>
          <w:p>
            <w:pPr>
              <w:widowControl/>
              <w:spacing w:line="300" w:lineRule="exact"/>
              <w:jc w:val="center"/>
              <w:rPr>
                <w:rFonts w:eastAsia="方正黑体_GBK"/>
                <w:color w:val="auto"/>
                <w:kern w:val="0"/>
                <w:sz w:val="26"/>
                <w:szCs w:val="26"/>
              </w:rPr>
            </w:pPr>
          </w:p>
        </w:tc>
        <w:tc>
          <w:tcPr>
            <w:tcW w:w="1241" w:type="dxa"/>
            <w:vMerge w:val="restart"/>
            <w:tcBorders>
              <w:top w:val="single" w:color="auto" w:sz="4" w:space="0"/>
            </w:tcBorders>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机构设置</w:t>
            </w:r>
            <w:r>
              <w:rPr>
                <w:rFonts w:hint="eastAsia" w:ascii="宋体" w:hAnsi="宋体" w:cs="宋体"/>
                <w:i w:val="0"/>
                <w:color w:val="000000"/>
                <w:kern w:val="0"/>
                <w:sz w:val="22"/>
                <w:szCs w:val="22"/>
                <w:u w:val="none"/>
                <w:lang w:val="en-US" w:eastAsia="zh-CN" w:bidi="ar"/>
              </w:rPr>
              <w:br w:type="textWrapping"/>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br w:type="textWrapping"/>
            </w:r>
          </w:p>
        </w:tc>
        <w:tc>
          <w:tcPr>
            <w:tcW w:w="1530"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机构简介</w:t>
            </w:r>
            <w:r>
              <w:rPr>
                <w:rFonts w:hint="eastAsia" w:ascii="宋体" w:hAnsi="宋体" w:cs="宋体"/>
                <w:i w:val="0"/>
                <w:color w:val="000000"/>
                <w:kern w:val="0"/>
                <w:sz w:val="22"/>
                <w:szCs w:val="22"/>
                <w:u w:val="none"/>
                <w:lang w:val="en-US" w:eastAsia="zh-CN" w:bidi="ar"/>
              </w:rPr>
              <w:br w:type="textWrapping"/>
            </w:r>
          </w:p>
        </w:tc>
        <w:tc>
          <w:tcPr>
            <w:tcW w:w="3193"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机构及职责分工、办公地址、办公时间、联系电话；</w:t>
            </w:r>
          </w:p>
        </w:tc>
        <w:tc>
          <w:tcPr>
            <w:tcW w:w="26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《中华人民共和国政府信息公开条例》（2019 年国务院令第 711号）《中共沂源县委办公室 沂源县人民政府办公室关于印发&lt;沂源县科技局职能配置、岗位设置和人员编制规定&gt;的通知》</w:t>
            </w:r>
          </w:p>
        </w:tc>
        <w:tc>
          <w:tcPr>
            <w:tcW w:w="253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形成或变更之日起 20 个工作日内（法律、法规对政府信息公开期限另有规定的，从其规定）</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200" w:type="dxa"/>
            <w:vAlign w:val="center"/>
          </w:tcPr>
          <w:p>
            <w:pPr>
              <w:rPr>
                <w:bCs/>
                <w:color w:val="auto"/>
                <w:kern w:val="0"/>
                <w:sz w:val="26"/>
                <w:szCs w:val="26"/>
              </w:rPr>
            </w:pPr>
          </w:p>
        </w:tc>
        <w:tc>
          <w:tcPr>
            <w:tcW w:w="882"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196" w:type="dxa"/>
            <w:vAlign w:val="center"/>
          </w:tcPr>
          <w:p>
            <w:pP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8" w:hRule="atLeast"/>
          <w:jc w:val="center"/>
        </w:trPr>
        <w:tc>
          <w:tcPr>
            <w:tcW w:w="529" w:type="dxa"/>
            <w:vAlign w:val="center"/>
          </w:tcPr>
          <w:p>
            <w:pPr>
              <w:widowControl/>
              <w:numPr>
                <w:ilvl w:val="0"/>
                <w:numId w:val="1"/>
              </w:numPr>
              <w:spacing w:line="300" w:lineRule="exact"/>
              <w:ind w:left="0" w:firstLine="0"/>
              <w:jc w:val="both"/>
              <w:rPr>
                <w:color w:val="auto"/>
                <w:kern w:val="0"/>
                <w:sz w:val="26"/>
                <w:szCs w:val="26"/>
              </w:rPr>
            </w:pPr>
          </w:p>
        </w:tc>
        <w:tc>
          <w:tcPr>
            <w:tcW w:w="798" w:type="dxa"/>
            <w:vMerge w:val="continue"/>
            <w:tcBorders>
              <w:right w:val="single" w:color="auto" w:sz="4" w:space="0"/>
            </w:tcBorders>
            <w:vAlign w:val="center"/>
          </w:tcPr>
          <w:p>
            <w:pPr>
              <w:widowControl/>
              <w:spacing w:line="300" w:lineRule="exact"/>
              <w:jc w:val="left"/>
              <w:rPr>
                <w:rFonts w:eastAsia="方正黑体_GBK"/>
                <w:color w:val="auto"/>
                <w:kern w:val="0"/>
                <w:sz w:val="26"/>
                <w:szCs w:val="26"/>
              </w:rPr>
            </w:pPr>
          </w:p>
        </w:tc>
        <w:tc>
          <w:tcPr>
            <w:tcW w:w="1241" w:type="dxa"/>
            <w:vMerge w:val="continue"/>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530"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内设机构及下属单位</w:t>
            </w:r>
          </w:p>
        </w:tc>
        <w:tc>
          <w:tcPr>
            <w:tcW w:w="3193"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内设机构职责、职能设置、人员编制</w:t>
            </w:r>
          </w:p>
        </w:tc>
        <w:tc>
          <w:tcPr>
            <w:tcW w:w="26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《中华人民共和国政府信息公开条例》（2019 年国务院令第 711 号）《中共沂源县委办公室 沂源县人民政府办公室关于印发&lt;沂源县科技局职能配置、岗位设置和人员编制规定&gt;的通知》</w:t>
            </w:r>
          </w:p>
        </w:tc>
        <w:tc>
          <w:tcPr>
            <w:tcW w:w="253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形成或变更之日起 20 个工作日内（法律、法规对政府信息公开期限另有规定的，从其规定）</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200" w:type="dxa"/>
            <w:vAlign w:val="center"/>
          </w:tcPr>
          <w:p>
            <w:pPr>
              <w:rPr>
                <w:bCs/>
                <w:color w:val="auto"/>
                <w:kern w:val="0"/>
                <w:sz w:val="26"/>
                <w:szCs w:val="26"/>
              </w:rPr>
            </w:pPr>
          </w:p>
        </w:tc>
        <w:tc>
          <w:tcPr>
            <w:tcW w:w="882"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196" w:type="dxa"/>
            <w:vAlign w:val="center"/>
          </w:tcPr>
          <w:p>
            <w:pP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89" w:hRule="atLeast"/>
          <w:jc w:val="center"/>
        </w:trPr>
        <w:tc>
          <w:tcPr>
            <w:tcW w:w="529" w:type="dxa"/>
            <w:vAlign w:val="center"/>
          </w:tcPr>
          <w:p>
            <w:pPr>
              <w:widowControl/>
              <w:numPr>
                <w:ilvl w:val="0"/>
                <w:numId w:val="1"/>
              </w:numPr>
              <w:spacing w:line="300" w:lineRule="exact"/>
              <w:ind w:left="0" w:firstLine="0"/>
              <w:jc w:val="both"/>
              <w:rPr>
                <w:color w:val="auto"/>
                <w:kern w:val="0"/>
                <w:sz w:val="26"/>
                <w:szCs w:val="26"/>
              </w:rPr>
            </w:pPr>
          </w:p>
        </w:tc>
        <w:tc>
          <w:tcPr>
            <w:tcW w:w="798" w:type="dxa"/>
            <w:vAlign w:val="center"/>
          </w:tcPr>
          <w:p>
            <w:pPr>
              <w:widowControl/>
              <w:spacing w:line="300" w:lineRule="exact"/>
              <w:jc w:val="left"/>
              <w:rPr>
                <w:rFonts w:eastAsia="方正黑体_GBK"/>
                <w:color w:val="auto"/>
                <w:kern w:val="0"/>
                <w:sz w:val="26"/>
                <w:szCs w:val="26"/>
              </w:rPr>
            </w:pPr>
          </w:p>
        </w:tc>
        <w:tc>
          <w:tcPr>
            <w:tcW w:w="1241"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财政资金</w:t>
            </w:r>
            <w:r>
              <w:rPr>
                <w:rFonts w:hint="eastAsia" w:ascii="宋体" w:hAnsi="宋体" w:cs="宋体"/>
                <w:i w:val="0"/>
                <w:color w:val="000000"/>
                <w:kern w:val="0"/>
                <w:sz w:val="22"/>
                <w:szCs w:val="22"/>
                <w:u w:val="none"/>
                <w:lang w:val="en-US" w:eastAsia="zh-CN" w:bidi="ar"/>
              </w:rPr>
              <w:br w:type="textWrapping"/>
            </w:r>
          </w:p>
        </w:tc>
        <w:tc>
          <w:tcPr>
            <w:tcW w:w="1530"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年度部门预决算及“三公”经费情况</w:t>
            </w:r>
          </w:p>
        </w:tc>
        <w:tc>
          <w:tcPr>
            <w:tcW w:w="3193"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本单位财务信息情况，包括财政预决算、“三公”经费、专项经费、财政收</w:t>
            </w:r>
            <w:bookmarkStart w:id="3" w:name="_GoBack"/>
            <w:bookmarkEnd w:id="3"/>
            <w:r>
              <w:rPr>
                <w:rFonts w:hint="eastAsia" w:ascii="宋体" w:hAnsi="宋体" w:cs="宋体"/>
                <w:i w:val="0"/>
                <w:color w:val="000000"/>
                <w:kern w:val="0"/>
                <w:sz w:val="22"/>
                <w:szCs w:val="22"/>
                <w:u w:val="none"/>
                <w:lang w:val="en-US" w:eastAsia="zh-CN" w:bidi="ar"/>
              </w:rPr>
              <w:t>支情况、政府采购等》。</w:t>
            </w:r>
          </w:p>
        </w:tc>
        <w:tc>
          <w:tcPr>
            <w:tcW w:w="26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《中华人民共和国政府信息公开条例》（2019 年国务院令第 711 号）</w:t>
            </w:r>
          </w:p>
        </w:tc>
        <w:tc>
          <w:tcPr>
            <w:tcW w:w="2532" w:type="dxa"/>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形成或变更之日起 20 个工作日内（法律、法规对政府信息公开期限另有规定的，从其规定）</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200" w:type="dxa"/>
            <w:vAlign w:val="center"/>
          </w:tcPr>
          <w:p>
            <w:pPr>
              <w:rPr>
                <w:bCs/>
                <w:color w:val="auto"/>
                <w:kern w:val="0"/>
                <w:sz w:val="26"/>
                <w:szCs w:val="26"/>
              </w:rPr>
            </w:pPr>
          </w:p>
        </w:tc>
        <w:tc>
          <w:tcPr>
            <w:tcW w:w="882"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196" w:type="dxa"/>
            <w:vAlign w:val="center"/>
          </w:tcPr>
          <w:p>
            <w:pP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90" w:hRule="atLeast"/>
          <w:jc w:val="center"/>
        </w:trPr>
        <w:tc>
          <w:tcPr>
            <w:tcW w:w="529" w:type="dxa"/>
            <w:vAlign w:val="center"/>
          </w:tcPr>
          <w:p>
            <w:pPr>
              <w:widowControl/>
              <w:numPr>
                <w:ilvl w:val="0"/>
                <w:numId w:val="1"/>
              </w:numPr>
              <w:spacing w:line="300" w:lineRule="exact"/>
              <w:ind w:left="0" w:firstLine="0"/>
              <w:jc w:val="both"/>
              <w:rPr>
                <w:color w:val="auto"/>
                <w:kern w:val="0"/>
                <w:sz w:val="26"/>
                <w:szCs w:val="26"/>
              </w:rPr>
            </w:pPr>
          </w:p>
        </w:tc>
        <w:tc>
          <w:tcPr>
            <w:tcW w:w="798" w:type="dxa"/>
            <w:vAlign w:val="center"/>
          </w:tcPr>
          <w:p>
            <w:pPr>
              <w:widowControl/>
              <w:spacing w:line="300" w:lineRule="exact"/>
              <w:jc w:val="center"/>
              <w:rPr>
                <w:rFonts w:eastAsia="方正黑体_GBK"/>
                <w:color w:val="auto"/>
                <w:kern w:val="0"/>
                <w:sz w:val="26"/>
                <w:szCs w:val="26"/>
              </w:rPr>
            </w:pPr>
          </w:p>
        </w:tc>
        <w:tc>
          <w:tcPr>
            <w:tcW w:w="1241"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精准脱贫</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530"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3193"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加强科技扶贫工作信息的公开。</w:t>
            </w:r>
          </w:p>
        </w:tc>
        <w:tc>
          <w:tcPr>
            <w:tcW w:w="26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《中华人民共和国政府信息公开条例》（2019 年国务院令第 711 号）</w:t>
            </w:r>
          </w:p>
        </w:tc>
        <w:tc>
          <w:tcPr>
            <w:tcW w:w="253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实时公开</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200" w:type="dxa"/>
            <w:vAlign w:val="center"/>
          </w:tcPr>
          <w:p>
            <w:pPr>
              <w:rPr>
                <w:bCs/>
                <w:color w:val="auto"/>
                <w:kern w:val="0"/>
                <w:sz w:val="26"/>
                <w:szCs w:val="26"/>
              </w:rPr>
            </w:pPr>
          </w:p>
        </w:tc>
        <w:tc>
          <w:tcPr>
            <w:tcW w:w="882"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196" w:type="dxa"/>
            <w:vAlign w:val="center"/>
          </w:tcPr>
          <w:p>
            <w:pP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20" w:hRule="atLeast"/>
          <w:jc w:val="center"/>
        </w:trPr>
        <w:tc>
          <w:tcPr>
            <w:tcW w:w="529" w:type="dxa"/>
            <w:vAlign w:val="center"/>
          </w:tcPr>
          <w:p>
            <w:pPr>
              <w:widowControl/>
              <w:numPr>
                <w:ilvl w:val="0"/>
                <w:numId w:val="1"/>
              </w:numPr>
              <w:spacing w:line="300" w:lineRule="exact"/>
              <w:ind w:left="0" w:firstLine="0"/>
              <w:jc w:val="both"/>
              <w:rPr>
                <w:color w:val="auto"/>
                <w:kern w:val="0"/>
                <w:sz w:val="26"/>
                <w:szCs w:val="26"/>
              </w:rPr>
            </w:pPr>
          </w:p>
        </w:tc>
        <w:tc>
          <w:tcPr>
            <w:tcW w:w="798" w:type="dxa"/>
            <w:vAlign w:val="center"/>
          </w:tcPr>
          <w:p>
            <w:pPr>
              <w:widowControl/>
              <w:spacing w:line="300" w:lineRule="exact"/>
              <w:jc w:val="center"/>
              <w:rPr>
                <w:rFonts w:eastAsia="方正黑体_GBK"/>
                <w:color w:val="auto"/>
                <w:kern w:val="0"/>
                <w:sz w:val="26"/>
                <w:szCs w:val="26"/>
              </w:rPr>
            </w:pPr>
          </w:p>
        </w:tc>
        <w:tc>
          <w:tcPr>
            <w:tcW w:w="1241"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权责清单和动态调整情况</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530"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3193"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本单位核定保留的行政职权事项，包括行政处罚、给付、确认、奖励等项目名称、职权编码和依据等；本单位监管事项情况，包括职权事项名称、依据、监管对象、内容、标准、方式、措施，监管科室及投诉电话等</w:t>
            </w:r>
          </w:p>
        </w:tc>
        <w:tc>
          <w:tcPr>
            <w:tcW w:w="26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《中华人民共和国政府信息公开条例》（2019 年国务院令第 711 号）</w:t>
            </w:r>
          </w:p>
        </w:tc>
        <w:tc>
          <w:tcPr>
            <w:tcW w:w="253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形成或变更之日起 20 个工作日内（法律、法规对政府信息公开期限另有规定的，从其规定）</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200" w:type="dxa"/>
            <w:vAlign w:val="center"/>
          </w:tcPr>
          <w:p>
            <w:pPr>
              <w:rPr>
                <w:bCs/>
                <w:color w:val="auto"/>
                <w:kern w:val="0"/>
                <w:sz w:val="26"/>
                <w:szCs w:val="26"/>
              </w:rPr>
            </w:pPr>
          </w:p>
        </w:tc>
        <w:tc>
          <w:tcPr>
            <w:tcW w:w="882"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196" w:type="dxa"/>
            <w:vAlign w:val="center"/>
          </w:tcPr>
          <w:p>
            <w:pP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08" w:hRule="atLeast"/>
          <w:jc w:val="center"/>
        </w:trPr>
        <w:tc>
          <w:tcPr>
            <w:tcW w:w="529" w:type="dxa"/>
            <w:vAlign w:val="center"/>
          </w:tcPr>
          <w:p>
            <w:pPr>
              <w:widowControl/>
              <w:numPr>
                <w:ilvl w:val="0"/>
                <w:numId w:val="1"/>
              </w:numPr>
              <w:spacing w:line="300" w:lineRule="exact"/>
              <w:ind w:left="0" w:firstLine="0"/>
              <w:jc w:val="both"/>
              <w:rPr>
                <w:color w:val="auto"/>
                <w:kern w:val="0"/>
                <w:sz w:val="26"/>
                <w:szCs w:val="26"/>
              </w:rPr>
            </w:pPr>
          </w:p>
        </w:tc>
        <w:tc>
          <w:tcPr>
            <w:tcW w:w="798" w:type="dxa"/>
            <w:vMerge w:val="restart"/>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重点</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领域</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信息</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公开</w:t>
            </w:r>
          </w:p>
          <w:p>
            <w:pPr>
              <w:widowControl/>
              <w:spacing w:line="300" w:lineRule="exact"/>
              <w:jc w:val="center"/>
              <w:rPr>
                <w:rFonts w:eastAsia="方正黑体_GBK"/>
                <w:color w:val="auto"/>
                <w:kern w:val="0"/>
                <w:sz w:val="26"/>
                <w:szCs w:val="26"/>
              </w:rPr>
            </w:pPr>
          </w:p>
        </w:tc>
        <w:tc>
          <w:tcPr>
            <w:tcW w:w="1241" w:type="dxa"/>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十二大攻坚行动</w:t>
            </w:r>
          </w:p>
        </w:tc>
        <w:tc>
          <w:tcPr>
            <w:tcW w:w="1530"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科教创新攻坚行动</w:t>
            </w:r>
          </w:p>
        </w:tc>
        <w:tc>
          <w:tcPr>
            <w:tcW w:w="3193" w:type="dxa"/>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科教创新攻坚行动进展及落实情况；增强创新驱动力发展、执行情况</w:t>
            </w:r>
          </w:p>
        </w:tc>
        <w:tc>
          <w:tcPr>
            <w:tcW w:w="26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《中华人民共和国政府信息公开条例》（2019 年国务院令第 711 号）</w:t>
            </w:r>
          </w:p>
        </w:tc>
        <w:tc>
          <w:tcPr>
            <w:tcW w:w="2532" w:type="dxa"/>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实时公开</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200" w:type="dxa"/>
            <w:vAlign w:val="center"/>
          </w:tcPr>
          <w:p>
            <w:pPr>
              <w:rPr>
                <w:bCs/>
                <w:color w:val="auto"/>
                <w:kern w:val="0"/>
                <w:sz w:val="26"/>
                <w:szCs w:val="26"/>
              </w:rPr>
            </w:pPr>
          </w:p>
        </w:tc>
        <w:tc>
          <w:tcPr>
            <w:tcW w:w="882"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196" w:type="dxa"/>
            <w:vAlign w:val="center"/>
          </w:tcPr>
          <w:p>
            <w:pP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8" w:hRule="atLeast"/>
          <w:jc w:val="center"/>
        </w:trPr>
        <w:tc>
          <w:tcPr>
            <w:tcW w:w="529" w:type="dxa"/>
            <w:vAlign w:val="center"/>
          </w:tcPr>
          <w:p>
            <w:pPr>
              <w:widowControl/>
              <w:numPr>
                <w:ilvl w:val="0"/>
                <w:numId w:val="1"/>
              </w:numPr>
              <w:spacing w:line="300" w:lineRule="exact"/>
              <w:ind w:left="0" w:firstLine="0"/>
              <w:jc w:val="both"/>
              <w:rPr>
                <w:color w:val="auto"/>
                <w:kern w:val="0"/>
                <w:sz w:val="26"/>
                <w:szCs w:val="26"/>
              </w:rPr>
            </w:pPr>
          </w:p>
        </w:tc>
        <w:tc>
          <w:tcPr>
            <w:tcW w:w="798" w:type="dxa"/>
            <w:vMerge w:val="continue"/>
            <w:vAlign w:val="center"/>
          </w:tcPr>
          <w:p>
            <w:pPr>
              <w:widowControl/>
              <w:spacing w:line="300" w:lineRule="exact"/>
              <w:jc w:val="center"/>
              <w:rPr>
                <w:rFonts w:hint="eastAsia" w:eastAsia="方正黑体_GBK"/>
                <w:color w:val="auto"/>
                <w:kern w:val="0"/>
                <w:sz w:val="26"/>
                <w:szCs w:val="26"/>
              </w:rPr>
            </w:pPr>
          </w:p>
        </w:tc>
        <w:tc>
          <w:tcPr>
            <w:tcW w:w="1241" w:type="dxa"/>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双招双引</w:t>
            </w:r>
          </w:p>
        </w:tc>
        <w:tc>
          <w:tcPr>
            <w:tcW w:w="1530" w:type="dxa"/>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招才引智</w:t>
            </w:r>
          </w:p>
        </w:tc>
        <w:tc>
          <w:tcPr>
            <w:tcW w:w="3193"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“招才引智”进展、执行情况</w:t>
            </w:r>
          </w:p>
        </w:tc>
        <w:tc>
          <w:tcPr>
            <w:tcW w:w="26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《中华人民共和国政府信息公开条例》（2019 年国务院令第 711 号）</w:t>
            </w:r>
          </w:p>
        </w:tc>
        <w:tc>
          <w:tcPr>
            <w:tcW w:w="253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实时公开</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00" w:type="dxa"/>
            <w:vAlign w:val="center"/>
          </w:tcPr>
          <w:p>
            <w:pPr>
              <w:rPr>
                <w:bCs/>
                <w:color w:val="auto"/>
                <w:kern w:val="0"/>
                <w:sz w:val="26"/>
                <w:szCs w:val="26"/>
              </w:rPr>
            </w:pPr>
          </w:p>
        </w:tc>
        <w:tc>
          <w:tcPr>
            <w:tcW w:w="88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96" w:type="dxa"/>
            <w:vAlign w:val="center"/>
          </w:tcPr>
          <w:p>
            <w:pP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6" w:hRule="atLeast"/>
          <w:jc w:val="center"/>
        </w:trPr>
        <w:tc>
          <w:tcPr>
            <w:tcW w:w="529" w:type="dxa"/>
            <w:vAlign w:val="center"/>
          </w:tcPr>
          <w:p>
            <w:pPr>
              <w:widowControl/>
              <w:numPr>
                <w:ilvl w:val="0"/>
                <w:numId w:val="1"/>
              </w:numPr>
              <w:spacing w:line="300" w:lineRule="exact"/>
              <w:ind w:left="0" w:firstLine="0"/>
              <w:jc w:val="both"/>
              <w:rPr>
                <w:color w:val="auto"/>
                <w:kern w:val="0"/>
                <w:sz w:val="26"/>
                <w:szCs w:val="26"/>
              </w:rPr>
            </w:pPr>
          </w:p>
        </w:tc>
        <w:tc>
          <w:tcPr>
            <w:tcW w:w="798" w:type="dxa"/>
            <w:vMerge w:val="continue"/>
            <w:vAlign w:val="center"/>
          </w:tcPr>
          <w:p>
            <w:pPr>
              <w:widowControl/>
              <w:spacing w:line="300" w:lineRule="exact"/>
              <w:jc w:val="left"/>
              <w:rPr>
                <w:rFonts w:eastAsia="方正黑体_GBK"/>
                <w:color w:val="auto"/>
                <w:kern w:val="0"/>
                <w:sz w:val="26"/>
                <w:szCs w:val="26"/>
              </w:rPr>
            </w:pPr>
          </w:p>
        </w:tc>
        <w:tc>
          <w:tcPr>
            <w:tcW w:w="1241" w:type="dxa"/>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精准扶贫</w:t>
            </w:r>
          </w:p>
        </w:tc>
        <w:tc>
          <w:tcPr>
            <w:tcW w:w="1530" w:type="dxa"/>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科技扶贫</w:t>
            </w:r>
          </w:p>
        </w:tc>
        <w:tc>
          <w:tcPr>
            <w:tcW w:w="3193"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加强科技扶贫工作信息的公开。</w:t>
            </w:r>
          </w:p>
        </w:tc>
        <w:tc>
          <w:tcPr>
            <w:tcW w:w="26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《中华人民共和国政府信息公开条例》（2019 年国务院令第 711 号）</w:t>
            </w:r>
          </w:p>
        </w:tc>
        <w:tc>
          <w:tcPr>
            <w:tcW w:w="253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实时公开</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200" w:type="dxa"/>
            <w:vAlign w:val="center"/>
          </w:tcPr>
          <w:p>
            <w:pPr>
              <w:rPr>
                <w:bCs/>
                <w:color w:val="auto"/>
                <w:kern w:val="0"/>
                <w:sz w:val="26"/>
                <w:szCs w:val="26"/>
              </w:rPr>
            </w:pPr>
          </w:p>
        </w:tc>
        <w:tc>
          <w:tcPr>
            <w:tcW w:w="882"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196" w:type="dxa"/>
            <w:vAlign w:val="center"/>
          </w:tcPr>
          <w:p>
            <w:pP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05" w:hRule="atLeast"/>
          <w:jc w:val="center"/>
        </w:trPr>
        <w:tc>
          <w:tcPr>
            <w:tcW w:w="529" w:type="dxa"/>
            <w:vAlign w:val="center"/>
          </w:tcPr>
          <w:p>
            <w:pPr>
              <w:keepNext w:val="0"/>
              <w:keepLines w:val="0"/>
              <w:widowControl/>
              <w:numPr>
                <w:ilvl w:val="0"/>
                <w:numId w:val="2"/>
              </w:numPr>
              <w:suppressLineNumbers w:val="0"/>
              <w:ind w:left="850" w:leftChars="0" w:hanging="711" w:firstLineChars="0"/>
              <w:jc w:val="left"/>
              <w:textAlignment w:val="center"/>
              <w:rPr>
                <w:rFonts w:hint="default" w:ascii="宋体" w:hAnsi="宋体" w:cs="宋体"/>
                <w:i w:val="0"/>
                <w:color w:val="000000"/>
                <w:kern w:val="0"/>
                <w:sz w:val="22"/>
                <w:szCs w:val="22"/>
                <w:u w:val="none"/>
                <w:lang w:val="en-US" w:eastAsia="zh-CN" w:bidi="ar"/>
              </w:rPr>
            </w:pPr>
          </w:p>
        </w:tc>
        <w:tc>
          <w:tcPr>
            <w:tcW w:w="798" w:type="dxa"/>
            <w:vMerge w:val="restart"/>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政策</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解读</w:t>
            </w:r>
          </w:p>
        </w:tc>
        <w:tc>
          <w:tcPr>
            <w:tcW w:w="1241" w:type="dxa"/>
            <w:vMerge w:val="restart"/>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政策</w:t>
            </w:r>
            <w:r>
              <w:rPr>
                <w:rFonts w:hint="eastAsia" w:ascii="宋体" w:hAnsi="宋体" w:cs="宋体"/>
                <w:i w:val="0"/>
                <w:color w:val="000000"/>
                <w:kern w:val="0"/>
                <w:sz w:val="22"/>
                <w:szCs w:val="22"/>
                <w:u w:val="none"/>
                <w:lang w:val="en-US" w:eastAsia="zh-CN" w:bidi="ar"/>
              </w:rPr>
              <w:br w:type="textWrapping"/>
            </w:r>
            <w:r>
              <w:rPr>
                <w:rFonts w:hint="eastAsia" w:ascii="宋体" w:hAnsi="宋体" w:cs="宋体"/>
                <w:i w:val="0"/>
                <w:color w:val="000000"/>
                <w:kern w:val="0"/>
                <w:sz w:val="22"/>
                <w:szCs w:val="22"/>
                <w:u w:val="none"/>
                <w:lang w:val="en-US" w:eastAsia="zh-CN" w:bidi="ar"/>
              </w:rPr>
              <w:t>解读</w:t>
            </w:r>
            <w:r>
              <w:rPr>
                <w:rFonts w:hint="eastAsia" w:ascii="宋体" w:hAnsi="宋体" w:cs="宋体"/>
                <w:i w:val="0"/>
                <w:color w:val="000000"/>
                <w:kern w:val="0"/>
                <w:sz w:val="22"/>
                <w:szCs w:val="22"/>
                <w:u w:val="none"/>
                <w:lang w:val="en-US" w:eastAsia="zh-CN" w:bidi="ar"/>
              </w:rPr>
              <w:br w:type="textWrapping"/>
            </w:r>
          </w:p>
        </w:tc>
        <w:tc>
          <w:tcPr>
            <w:tcW w:w="1530"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上级政策</w:t>
            </w:r>
            <w:r>
              <w:rPr>
                <w:rFonts w:hint="eastAsia" w:ascii="宋体" w:hAnsi="宋体" w:cs="宋体"/>
                <w:i w:val="0"/>
                <w:color w:val="000000"/>
                <w:kern w:val="0"/>
                <w:sz w:val="22"/>
                <w:szCs w:val="22"/>
                <w:u w:val="none"/>
                <w:lang w:val="en-US" w:eastAsia="zh-CN" w:bidi="ar"/>
              </w:rPr>
              <w:br w:type="textWrapping"/>
            </w:r>
            <w:r>
              <w:rPr>
                <w:rFonts w:hint="eastAsia" w:ascii="宋体" w:hAnsi="宋体" w:cs="宋体"/>
                <w:i w:val="0"/>
                <w:color w:val="000000"/>
                <w:kern w:val="0"/>
                <w:sz w:val="22"/>
                <w:szCs w:val="22"/>
                <w:u w:val="none"/>
                <w:lang w:val="en-US" w:eastAsia="zh-CN" w:bidi="ar"/>
              </w:rPr>
              <w:t>解读</w:t>
            </w:r>
            <w:r>
              <w:rPr>
                <w:rFonts w:hint="eastAsia" w:ascii="宋体" w:hAnsi="宋体" w:cs="宋体"/>
                <w:i w:val="0"/>
                <w:color w:val="000000"/>
                <w:kern w:val="0"/>
                <w:sz w:val="22"/>
                <w:szCs w:val="22"/>
                <w:u w:val="none"/>
                <w:lang w:val="en-US" w:eastAsia="zh-CN" w:bidi="ar"/>
              </w:rPr>
              <w:br w:type="textWrapping"/>
            </w:r>
          </w:p>
        </w:tc>
        <w:tc>
          <w:tcPr>
            <w:tcW w:w="3193"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转发国家和省、市、县（市、区）等上级机关或者专家、学者关于法律法规规章及上级重要政策措施的解读。</w:t>
            </w:r>
          </w:p>
        </w:tc>
        <w:tc>
          <w:tcPr>
            <w:tcW w:w="26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《中共中央办公厅国务院办公厅印发〈关于全面推进政务公开工作的意见〉的通知》（中办发〔2016〕8号）。</w:t>
            </w:r>
          </w:p>
        </w:tc>
        <w:tc>
          <w:tcPr>
            <w:tcW w:w="253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政策及政策解读信息发布之日起</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200" w:type="dxa"/>
            <w:vAlign w:val="center"/>
          </w:tcPr>
          <w:p>
            <w:pPr>
              <w:rPr>
                <w:bCs/>
                <w:color w:val="auto"/>
                <w:kern w:val="0"/>
                <w:sz w:val="26"/>
                <w:szCs w:val="26"/>
              </w:rPr>
            </w:pPr>
          </w:p>
        </w:tc>
        <w:tc>
          <w:tcPr>
            <w:tcW w:w="882"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196" w:type="dxa"/>
            <w:vAlign w:val="center"/>
          </w:tcPr>
          <w:p>
            <w:pP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05" w:hRule="atLeast"/>
          <w:jc w:val="center"/>
        </w:trPr>
        <w:tc>
          <w:tcPr>
            <w:tcW w:w="529" w:type="dxa"/>
            <w:vAlign w:val="center"/>
          </w:tcPr>
          <w:p>
            <w:pPr>
              <w:keepNext w:val="0"/>
              <w:keepLines w:val="0"/>
              <w:widowControl/>
              <w:numPr>
                <w:ilvl w:val="0"/>
                <w:numId w:val="2"/>
              </w:numPr>
              <w:suppressLineNumbers w:val="0"/>
              <w:ind w:left="850" w:leftChars="0" w:hanging="711" w:firstLineChars="0"/>
              <w:jc w:val="left"/>
              <w:textAlignment w:val="center"/>
              <w:rPr>
                <w:rFonts w:hint="eastAsia" w:ascii="宋体" w:hAnsi="宋体" w:cs="宋体"/>
                <w:i w:val="0"/>
                <w:color w:val="000000"/>
                <w:kern w:val="0"/>
                <w:sz w:val="22"/>
                <w:szCs w:val="22"/>
                <w:u w:val="none"/>
                <w:lang w:val="en-US" w:eastAsia="zh-CN" w:bidi="ar"/>
              </w:rPr>
            </w:pPr>
          </w:p>
        </w:tc>
        <w:tc>
          <w:tcPr>
            <w:tcW w:w="798" w:type="dxa"/>
            <w:vMerge w:val="continue"/>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241" w:type="dxa"/>
            <w:vMerge w:val="continue"/>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530"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负责人</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解读</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3193"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部门负责人通过参加新闻发布会、发表署名文章或接受媒体采访等形式就相关政策进行解读。</w:t>
            </w:r>
          </w:p>
        </w:tc>
        <w:tc>
          <w:tcPr>
            <w:tcW w:w="26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《中共中央办公厅国务院办公厅印发〈关于全面推进政务公开工作的意见〉的通知》（中办发〔2016〕8号）。</w:t>
            </w:r>
          </w:p>
        </w:tc>
        <w:tc>
          <w:tcPr>
            <w:tcW w:w="253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政策及政策解读信息发布之日起</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00" w:type="dxa"/>
            <w:vAlign w:val="center"/>
          </w:tcPr>
          <w:p>
            <w:pPr>
              <w:rPr>
                <w:bCs/>
                <w:color w:val="auto"/>
                <w:kern w:val="0"/>
                <w:sz w:val="26"/>
                <w:szCs w:val="26"/>
              </w:rPr>
            </w:pPr>
          </w:p>
        </w:tc>
        <w:tc>
          <w:tcPr>
            <w:tcW w:w="88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96" w:type="dxa"/>
            <w:vAlign w:val="center"/>
          </w:tcPr>
          <w:p>
            <w:pP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05" w:hRule="atLeast"/>
          <w:jc w:val="center"/>
        </w:trPr>
        <w:tc>
          <w:tcPr>
            <w:tcW w:w="529" w:type="dxa"/>
            <w:vAlign w:val="center"/>
          </w:tcPr>
          <w:p>
            <w:pPr>
              <w:keepNext w:val="0"/>
              <w:keepLines w:val="0"/>
              <w:widowControl/>
              <w:numPr>
                <w:ilvl w:val="0"/>
                <w:numId w:val="2"/>
              </w:numPr>
              <w:suppressLineNumbers w:val="0"/>
              <w:ind w:left="850" w:leftChars="0" w:hanging="711" w:firstLineChars="0"/>
              <w:jc w:val="left"/>
              <w:textAlignment w:val="center"/>
              <w:rPr>
                <w:rFonts w:hint="eastAsia" w:ascii="宋体" w:hAnsi="宋体" w:cs="宋体"/>
                <w:i w:val="0"/>
                <w:color w:val="000000"/>
                <w:kern w:val="0"/>
                <w:sz w:val="22"/>
                <w:szCs w:val="22"/>
                <w:u w:val="none"/>
                <w:lang w:val="en-US" w:eastAsia="zh-CN" w:bidi="ar"/>
              </w:rPr>
            </w:pPr>
          </w:p>
        </w:tc>
        <w:tc>
          <w:tcPr>
            <w:tcW w:w="798" w:type="dxa"/>
            <w:vMerge w:val="continue"/>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241" w:type="dxa"/>
            <w:vMerge w:val="continue"/>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530"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部门解读</w:t>
            </w:r>
            <w:r>
              <w:rPr>
                <w:rFonts w:hint="eastAsia" w:ascii="宋体" w:hAnsi="宋体" w:cs="宋体"/>
                <w:i w:val="0"/>
                <w:color w:val="000000"/>
                <w:kern w:val="0"/>
                <w:sz w:val="22"/>
                <w:szCs w:val="22"/>
                <w:u w:val="none"/>
                <w:lang w:val="en-US" w:eastAsia="zh-CN" w:bidi="ar"/>
              </w:rPr>
              <w:br w:type="textWrapping"/>
            </w:r>
          </w:p>
        </w:tc>
        <w:tc>
          <w:tcPr>
            <w:tcW w:w="3193"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深入解读重要政策文件的制定背景、起草过程、工作目标、主要内容、创新举措和下一步工作考虑等。鼓励采用图片图表、音频视频、卡通动漫等群众喜闻乐见的展现形式提升解读效果。</w:t>
            </w:r>
          </w:p>
        </w:tc>
        <w:tc>
          <w:tcPr>
            <w:tcW w:w="26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《中共中央办公厅国务院办公厅印发〈关于全面推进政务公开工作的意见〉的通知》（中办发〔2016〕8号）。</w:t>
            </w:r>
          </w:p>
        </w:tc>
        <w:tc>
          <w:tcPr>
            <w:tcW w:w="253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政策及政策解读信息发布之日起</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00" w:type="dxa"/>
            <w:vAlign w:val="center"/>
          </w:tcPr>
          <w:p>
            <w:pPr>
              <w:rPr>
                <w:bCs/>
                <w:color w:val="auto"/>
                <w:kern w:val="0"/>
                <w:sz w:val="26"/>
                <w:szCs w:val="26"/>
              </w:rPr>
            </w:pPr>
          </w:p>
        </w:tc>
        <w:tc>
          <w:tcPr>
            <w:tcW w:w="882"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96" w:type="dxa"/>
            <w:vAlign w:val="center"/>
          </w:tcPr>
          <w:p>
            <w:pP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85" w:hRule="atLeast"/>
          <w:jc w:val="center"/>
        </w:trPr>
        <w:tc>
          <w:tcPr>
            <w:tcW w:w="529" w:type="dxa"/>
            <w:vAlign w:val="center"/>
          </w:tcPr>
          <w:p>
            <w:pPr>
              <w:keepNext w:val="0"/>
              <w:keepLines w:val="0"/>
              <w:widowControl/>
              <w:numPr>
                <w:ilvl w:val="0"/>
                <w:numId w:val="2"/>
              </w:numPr>
              <w:suppressLineNumbers w:val="0"/>
              <w:ind w:left="850" w:leftChars="0" w:hanging="711" w:firstLineChars="0"/>
              <w:jc w:val="left"/>
              <w:textAlignment w:val="center"/>
              <w:rPr>
                <w:rFonts w:hint="eastAsia" w:ascii="宋体" w:hAnsi="宋体" w:cs="宋体"/>
                <w:i w:val="0"/>
                <w:color w:val="000000"/>
                <w:kern w:val="0"/>
                <w:sz w:val="22"/>
                <w:szCs w:val="22"/>
                <w:u w:val="none"/>
                <w:lang w:val="en-US" w:eastAsia="zh-CN" w:bidi="ar"/>
              </w:rPr>
            </w:pPr>
          </w:p>
        </w:tc>
        <w:tc>
          <w:tcPr>
            <w:tcW w:w="798" w:type="dxa"/>
            <w:vMerge w:val="restart"/>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回应</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关切</w:t>
            </w:r>
          </w:p>
        </w:tc>
        <w:tc>
          <w:tcPr>
            <w:tcW w:w="1241" w:type="dxa"/>
            <w:vMerge w:val="restart"/>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回应</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关切</w:t>
            </w:r>
            <w:r>
              <w:rPr>
                <w:rFonts w:hint="eastAsia" w:ascii="宋体" w:hAnsi="宋体" w:cs="宋体"/>
                <w:i w:val="0"/>
                <w:color w:val="000000"/>
                <w:kern w:val="0"/>
                <w:sz w:val="22"/>
                <w:szCs w:val="22"/>
                <w:u w:val="none"/>
                <w:lang w:val="en-US" w:eastAsia="zh-CN" w:bidi="ar"/>
              </w:rPr>
              <w:br w:type="textWrapping"/>
            </w:r>
          </w:p>
        </w:tc>
        <w:tc>
          <w:tcPr>
            <w:tcW w:w="1530"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主动回应</w:t>
            </w:r>
            <w:r>
              <w:rPr>
                <w:rFonts w:hint="eastAsia" w:ascii="宋体" w:hAnsi="宋体" w:cs="宋体"/>
                <w:i w:val="0"/>
                <w:color w:val="000000"/>
                <w:kern w:val="0"/>
                <w:sz w:val="22"/>
                <w:szCs w:val="22"/>
                <w:u w:val="none"/>
                <w:lang w:val="en-US" w:eastAsia="zh-CN" w:bidi="ar"/>
              </w:rPr>
              <w:br w:type="textWrapping"/>
            </w:r>
          </w:p>
        </w:tc>
        <w:tc>
          <w:tcPr>
            <w:tcW w:w="3193"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关于科技工作方面的热点回应、本单位电视问政、网民留言、“领导信箱”办理等</w:t>
            </w:r>
          </w:p>
        </w:tc>
        <w:tc>
          <w:tcPr>
            <w:tcW w:w="26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《中华人民共和国政府信息公开条例》（2019 年国务院令第 711 号）</w:t>
            </w:r>
          </w:p>
        </w:tc>
        <w:tc>
          <w:tcPr>
            <w:tcW w:w="2532" w:type="dxa"/>
            <w:vAlign w:val="center"/>
          </w:tcPr>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按规定及时公开</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200" w:type="dxa"/>
            <w:vAlign w:val="center"/>
          </w:tcPr>
          <w:p>
            <w:pPr>
              <w:rPr>
                <w:bCs/>
                <w:color w:val="auto"/>
                <w:kern w:val="0"/>
                <w:sz w:val="26"/>
                <w:szCs w:val="26"/>
              </w:rPr>
            </w:pPr>
          </w:p>
        </w:tc>
        <w:tc>
          <w:tcPr>
            <w:tcW w:w="882"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196" w:type="dxa"/>
            <w:vAlign w:val="center"/>
          </w:tcPr>
          <w:p>
            <w:pPr>
              <w:rPr>
                <w:bCs/>
                <w:color w:val="auto"/>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55" w:hRule="atLeast"/>
          <w:jc w:val="center"/>
        </w:trPr>
        <w:tc>
          <w:tcPr>
            <w:tcW w:w="529" w:type="dxa"/>
            <w:vAlign w:val="center"/>
          </w:tcPr>
          <w:p>
            <w:pPr>
              <w:widowControl/>
              <w:numPr>
                <w:ilvl w:val="0"/>
                <w:numId w:val="2"/>
              </w:numPr>
              <w:spacing w:line="300" w:lineRule="exact"/>
              <w:ind w:left="850" w:leftChars="0" w:hanging="711" w:firstLineChars="0"/>
              <w:jc w:val="center"/>
              <w:rPr>
                <w:color w:val="auto"/>
                <w:kern w:val="0"/>
                <w:sz w:val="26"/>
                <w:szCs w:val="26"/>
              </w:rPr>
            </w:pPr>
          </w:p>
        </w:tc>
        <w:tc>
          <w:tcPr>
            <w:tcW w:w="798" w:type="dxa"/>
            <w:vMerge w:val="continue"/>
            <w:vAlign w:val="center"/>
          </w:tcPr>
          <w:p>
            <w:pPr>
              <w:widowControl/>
              <w:spacing w:line="300" w:lineRule="exact"/>
              <w:jc w:val="center"/>
              <w:rPr>
                <w:rFonts w:eastAsia="方正黑体_GBK"/>
                <w:color w:val="auto"/>
                <w:kern w:val="0"/>
                <w:sz w:val="26"/>
                <w:szCs w:val="26"/>
              </w:rPr>
            </w:pPr>
          </w:p>
        </w:tc>
        <w:tc>
          <w:tcPr>
            <w:tcW w:w="1241" w:type="dxa"/>
            <w:vMerge w:val="continue"/>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530"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互动回应</w:t>
            </w:r>
            <w:r>
              <w:rPr>
                <w:rFonts w:hint="eastAsia" w:ascii="宋体" w:hAnsi="宋体" w:cs="宋体"/>
                <w:i w:val="0"/>
                <w:color w:val="000000"/>
                <w:kern w:val="0"/>
                <w:sz w:val="22"/>
                <w:szCs w:val="22"/>
                <w:u w:val="none"/>
                <w:lang w:val="en-US" w:eastAsia="zh-CN" w:bidi="ar"/>
              </w:rPr>
              <w:br w:type="textWrapping"/>
            </w:r>
          </w:p>
        </w:tc>
        <w:tc>
          <w:tcPr>
            <w:tcW w:w="3193"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在收集分析研判舆情的基础上，针对舆论关注的焦点、热点和群众投诉咨询问题的互动回应、回复处理内容。</w:t>
            </w:r>
          </w:p>
        </w:tc>
        <w:tc>
          <w:tcPr>
            <w:tcW w:w="26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《中共中央办公厅国务院办公厅印发〈关于全面推进政务公开工作的意见〉的通知》（中办发〔2016〕8号）；</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253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按规定及时公开。</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00" w:type="dxa"/>
            <w:vAlign w:val="center"/>
          </w:tcPr>
          <w:p>
            <w:pPr>
              <w:rPr>
                <w:rFonts w:hint="eastAsia" w:asciiTheme="minorEastAsia" w:hAnsiTheme="minorEastAsia" w:eastAsiaTheme="minorEastAsia" w:cstheme="minorEastAsia"/>
                <w:bCs/>
                <w:color w:val="auto"/>
                <w:kern w:val="0"/>
                <w:sz w:val="22"/>
                <w:szCs w:val="22"/>
              </w:rPr>
            </w:pPr>
          </w:p>
        </w:tc>
        <w:tc>
          <w:tcPr>
            <w:tcW w:w="88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96" w:type="dxa"/>
            <w:vAlign w:val="center"/>
          </w:tcPr>
          <w:p>
            <w:pPr>
              <w:rPr>
                <w:rFonts w:hint="eastAsia" w:asciiTheme="minorEastAsia" w:hAnsiTheme="minorEastAsia" w:eastAsiaTheme="minorEastAsia" w:cstheme="minorEastAsia"/>
                <w:bCs/>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47" w:hRule="atLeast"/>
          <w:jc w:val="center"/>
        </w:trPr>
        <w:tc>
          <w:tcPr>
            <w:tcW w:w="529" w:type="dxa"/>
            <w:vAlign w:val="center"/>
          </w:tcPr>
          <w:p>
            <w:pPr>
              <w:widowControl/>
              <w:numPr>
                <w:ilvl w:val="0"/>
                <w:numId w:val="2"/>
              </w:numPr>
              <w:spacing w:line="300" w:lineRule="exact"/>
              <w:ind w:left="850" w:leftChars="0" w:hanging="711" w:firstLineChars="0"/>
              <w:jc w:val="both"/>
              <w:rPr>
                <w:color w:val="auto"/>
                <w:kern w:val="0"/>
                <w:sz w:val="26"/>
                <w:szCs w:val="26"/>
              </w:rPr>
            </w:pPr>
          </w:p>
        </w:tc>
        <w:tc>
          <w:tcPr>
            <w:tcW w:w="798" w:type="dxa"/>
            <w:vMerge w:val="restart"/>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监督</w:t>
            </w:r>
          </w:p>
          <w:p>
            <w:pPr>
              <w:keepNext w:val="0"/>
              <w:keepLines w:val="0"/>
              <w:widowControl/>
              <w:suppressLineNumbers w:val="0"/>
              <w:jc w:val="left"/>
              <w:textAlignment w:val="center"/>
              <w:rPr>
                <w:rFonts w:hint="eastAsia" w:eastAsia="方正黑体_GBK"/>
                <w:color w:val="auto"/>
                <w:kern w:val="0"/>
                <w:sz w:val="26"/>
                <w:szCs w:val="26"/>
              </w:rPr>
            </w:pPr>
            <w:r>
              <w:rPr>
                <w:rFonts w:hint="eastAsia" w:ascii="宋体" w:hAnsi="宋体" w:cs="宋体"/>
                <w:i w:val="0"/>
                <w:color w:val="000000"/>
                <w:kern w:val="0"/>
                <w:sz w:val="22"/>
                <w:szCs w:val="22"/>
                <w:u w:val="none"/>
                <w:lang w:val="en-US" w:eastAsia="zh-CN" w:bidi="ar"/>
              </w:rPr>
              <w:t>保障</w:t>
            </w:r>
          </w:p>
        </w:tc>
        <w:tc>
          <w:tcPr>
            <w:tcW w:w="1241" w:type="dxa"/>
            <w:vMerge w:val="restart"/>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监督</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保障</w:t>
            </w:r>
            <w:r>
              <w:rPr>
                <w:rFonts w:hint="eastAsia" w:ascii="宋体" w:hAnsi="宋体" w:cs="宋体"/>
                <w:i w:val="0"/>
                <w:color w:val="000000"/>
                <w:kern w:val="0"/>
                <w:sz w:val="22"/>
                <w:szCs w:val="22"/>
                <w:u w:val="none"/>
                <w:lang w:val="en-US" w:eastAsia="zh-CN" w:bidi="ar"/>
              </w:rPr>
              <w:br w:type="textWrapping"/>
            </w:r>
          </w:p>
        </w:tc>
        <w:tc>
          <w:tcPr>
            <w:tcW w:w="1530"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公开制度</w:t>
            </w:r>
            <w:r>
              <w:rPr>
                <w:rFonts w:hint="eastAsia" w:ascii="宋体" w:hAnsi="宋体" w:cs="宋体"/>
                <w:i w:val="0"/>
                <w:color w:val="000000"/>
                <w:kern w:val="0"/>
                <w:sz w:val="22"/>
                <w:szCs w:val="22"/>
                <w:u w:val="none"/>
                <w:lang w:val="en-US" w:eastAsia="zh-CN" w:bidi="ar"/>
              </w:rPr>
              <w:br w:type="textWrapping"/>
            </w:r>
          </w:p>
        </w:tc>
        <w:tc>
          <w:tcPr>
            <w:tcW w:w="3193"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务公开主动公开制度、政府信息依申请公开制度、政府信息公开保密审查制度、政务舆情回应制度、政府信息公开统计制度、政务公开工作责任追究制度、政务公开发布协调制度、政府信息公文公开属性源头认定制度、重大行政决策公众参与制度、政策解读制度、政务公开工作社会评议制度、政务公开投诉举报制度、政务公开考评制度、政府开放日制度、政务公开监督员制度等相关制度。</w:t>
            </w:r>
          </w:p>
        </w:tc>
        <w:tc>
          <w:tcPr>
            <w:tcW w:w="26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《中华人民共和国政府信息公开条例》（国务院令第711号）；</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《中共中央办公厅国务院办公厅印发〈关于全面推进政务公开工作的意见〉的通知》（中办发〔2016〕8号）。</w:t>
            </w:r>
          </w:p>
        </w:tc>
        <w:tc>
          <w:tcPr>
            <w:tcW w:w="253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自该信息形成或者变更之日起20个工作日内</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200" w:type="dxa"/>
            <w:vAlign w:val="center"/>
          </w:tcPr>
          <w:p>
            <w:pPr>
              <w:rPr>
                <w:rFonts w:hint="eastAsia" w:asciiTheme="minorEastAsia" w:hAnsiTheme="minorEastAsia" w:eastAsiaTheme="minorEastAsia" w:cstheme="minorEastAsia"/>
                <w:bCs/>
                <w:color w:val="auto"/>
                <w:kern w:val="0"/>
                <w:sz w:val="22"/>
                <w:szCs w:val="22"/>
              </w:rPr>
            </w:pPr>
          </w:p>
        </w:tc>
        <w:tc>
          <w:tcPr>
            <w:tcW w:w="88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196" w:type="dxa"/>
            <w:vAlign w:val="center"/>
          </w:tcPr>
          <w:p>
            <w:pPr>
              <w:rPr>
                <w:rFonts w:hint="eastAsia" w:asciiTheme="minorEastAsia" w:hAnsiTheme="minorEastAsia" w:eastAsiaTheme="minorEastAsia" w:cstheme="minorEastAsia"/>
                <w:bCs/>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35" w:hRule="atLeast"/>
          <w:jc w:val="center"/>
        </w:trPr>
        <w:tc>
          <w:tcPr>
            <w:tcW w:w="529" w:type="dxa"/>
            <w:vAlign w:val="center"/>
          </w:tcPr>
          <w:p>
            <w:pPr>
              <w:widowControl/>
              <w:numPr>
                <w:ilvl w:val="0"/>
                <w:numId w:val="2"/>
              </w:numPr>
              <w:spacing w:line="300" w:lineRule="exact"/>
              <w:ind w:left="850" w:leftChars="0" w:hanging="711" w:firstLineChars="0"/>
              <w:jc w:val="both"/>
              <w:rPr>
                <w:color w:val="auto"/>
                <w:kern w:val="0"/>
                <w:sz w:val="26"/>
                <w:szCs w:val="26"/>
              </w:rPr>
            </w:pPr>
          </w:p>
        </w:tc>
        <w:tc>
          <w:tcPr>
            <w:tcW w:w="798" w:type="dxa"/>
            <w:vMerge w:val="continue"/>
            <w:vAlign w:val="center"/>
          </w:tcPr>
          <w:p>
            <w:pPr>
              <w:widowControl/>
              <w:spacing w:line="300" w:lineRule="exact"/>
              <w:jc w:val="left"/>
              <w:rPr>
                <w:rFonts w:eastAsia="方正黑体_GBK"/>
                <w:color w:val="auto"/>
                <w:kern w:val="0"/>
                <w:sz w:val="26"/>
                <w:szCs w:val="26"/>
              </w:rPr>
            </w:pPr>
          </w:p>
        </w:tc>
        <w:tc>
          <w:tcPr>
            <w:tcW w:w="1241" w:type="dxa"/>
            <w:vMerge w:val="continue"/>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530"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专项工作</w:t>
            </w:r>
            <w:r>
              <w:rPr>
                <w:rFonts w:hint="eastAsia" w:ascii="宋体" w:hAnsi="宋体" w:cs="宋体"/>
                <w:i w:val="0"/>
                <w:color w:val="000000"/>
                <w:kern w:val="0"/>
                <w:sz w:val="22"/>
                <w:szCs w:val="22"/>
                <w:u w:val="none"/>
                <w:lang w:val="en-US" w:eastAsia="zh-CN" w:bidi="ar"/>
              </w:rPr>
              <w:br w:type="textWrapping"/>
            </w:r>
          </w:p>
        </w:tc>
        <w:tc>
          <w:tcPr>
            <w:tcW w:w="3193"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发布基层政务公开标准化规范化试点成果巩固推广、贯彻落实政府信息公开条例等信息。</w:t>
            </w:r>
          </w:p>
        </w:tc>
        <w:tc>
          <w:tcPr>
            <w:tcW w:w="26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《中华人民共和国政府信息公开条例》（国务院令第711号）；</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《中共中央办公厅国务院办公厅印发〈关于全面推进政务公开工作的意见〉的通知》（中办发〔2016〕8号）。</w:t>
            </w:r>
          </w:p>
        </w:tc>
        <w:tc>
          <w:tcPr>
            <w:tcW w:w="253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自该信息形成或者变更之日起20个工作日内。</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Cs/>
                <w:color w:val="auto"/>
                <w:kern w:val="0"/>
                <w:sz w:val="22"/>
                <w:szCs w:val="22"/>
              </w:rPr>
            </w:pPr>
            <w:r>
              <w:rPr>
                <w:rFonts w:hint="eastAsia" w:ascii="宋体" w:hAnsi="宋体" w:eastAsia="宋体" w:cs="宋体"/>
                <w:i w:val="0"/>
                <w:color w:val="000000"/>
                <w:kern w:val="0"/>
                <w:sz w:val="22"/>
                <w:szCs w:val="22"/>
                <w:u w:val="none"/>
                <w:lang w:val="en-US" w:eastAsia="zh-CN" w:bidi="ar"/>
              </w:rPr>
              <w:t>√</w:t>
            </w:r>
          </w:p>
        </w:tc>
        <w:tc>
          <w:tcPr>
            <w:tcW w:w="1200" w:type="dxa"/>
            <w:vAlign w:val="center"/>
          </w:tcPr>
          <w:p>
            <w:pPr>
              <w:rPr>
                <w:rFonts w:hint="eastAsia" w:asciiTheme="minorEastAsia" w:hAnsiTheme="minorEastAsia" w:eastAsiaTheme="minorEastAsia" w:cstheme="minorEastAsia"/>
                <w:bCs/>
                <w:color w:val="auto"/>
                <w:kern w:val="0"/>
                <w:sz w:val="22"/>
                <w:szCs w:val="22"/>
              </w:rPr>
            </w:pPr>
          </w:p>
        </w:tc>
        <w:tc>
          <w:tcPr>
            <w:tcW w:w="88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bCs/>
                <w:color w:val="auto"/>
                <w:kern w:val="0"/>
                <w:sz w:val="22"/>
                <w:szCs w:val="22"/>
              </w:rPr>
            </w:pPr>
            <w:r>
              <w:rPr>
                <w:rFonts w:hint="eastAsia" w:ascii="宋体" w:hAnsi="宋体" w:eastAsia="宋体" w:cs="宋体"/>
                <w:i w:val="0"/>
                <w:color w:val="000000"/>
                <w:kern w:val="0"/>
                <w:sz w:val="22"/>
                <w:szCs w:val="22"/>
                <w:u w:val="none"/>
                <w:lang w:val="en-US" w:eastAsia="zh-CN" w:bidi="ar"/>
              </w:rPr>
              <w:t>√</w:t>
            </w:r>
          </w:p>
        </w:tc>
        <w:tc>
          <w:tcPr>
            <w:tcW w:w="1196" w:type="dxa"/>
            <w:vAlign w:val="center"/>
          </w:tcPr>
          <w:p>
            <w:pPr>
              <w:rPr>
                <w:rFonts w:hint="eastAsia" w:asciiTheme="minorEastAsia" w:hAnsiTheme="minorEastAsia" w:eastAsiaTheme="minorEastAsia" w:cstheme="minorEastAsia"/>
                <w:bCs/>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59" w:hRule="atLeast"/>
          <w:jc w:val="center"/>
        </w:trPr>
        <w:tc>
          <w:tcPr>
            <w:tcW w:w="529" w:type="dxa"/>
            <w:vAlign w:val="center"/>
          </w:tcPr>
          <w:p>
            <w:pPr>
              <w:widowControl/>
              <w:numPr>
                <w:ilvl w:val="0"/>
                <w:numId w:val="2"/>
              </w:numPr>
              <w:spacing w:line="300" w:lineRule="exact"/>
              <w:ind w:left="850" w:leftChars="0" w:hanging="711" w:firstLineChars="0"/>
              <w:jc w:val="both"/>
              <w:rPr>
                <w:color w:val="auto"/>
                <w:kern w:val="0"/>
                <w:sz w:val="26"/>
                <w:szCs w:val="26"/>
              </w:rPr>
            </w:pPr>
          </w:p>
        </w:tc>
        <w:tc>
          <w:tcPr>
            <w:tcW w:w="798" w:type="dxa"/>
            <w:vMerge w:val="continue"/>
            <w:vAlign w:val="center"/>
          </w:tcPr>
          <w:p>
            <w:pPr>
              <w:widowControl/>
              <w:spacing w:line="300" w:lineRule="exact"/>
              <w:jc w:val="center"/>
              <w:rPr>
                <w:rFonts w:eastAsia="方正黑体_GBK"/>
                <w:color w:val="auto"/>
                <w:kern w:val="0"/>
                <w:sz w:val="26"/>
                <w:szCs w:val="26"/>
              </w:rPr>
            </w:pPr>
          </w:p>
        </w:tc>
        <w:tc>
          <w:tcPr>
            <w:tcW w:w="1241" w:type="dxa"/>
            <w:vMerge w:val="continue"/>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p>
        </w:tc>
        <w:tc>
          <w:tcPr>
            <w:tcW w:w="1530"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工作推进</w:t>
            </w:r>
            <w:r>
              <w:rPr>
                <w:rFonts w:hint="eastAsia" w:ascii="宋体" w:hAnsi="宋体" w:cs="宋体"/>
                <w:i w:val="0"/>
                <w:color w:val="000000"/>
                <w:kern w:val="0"/>
                <w:sz w:val="22"/>
                <w:szCs w:val="22"/>
                <w:u w:val="none"/>
                <w:lang w:val="en-US" w:eastAsia="zh-CN" w:bidi="ar"/>
              </w:rPr>
              <w:br w:type="textWrapping"/>
            </w:r>
          </w:p>
        </w:tc>
        <w:tc>
          <w:tcPr>
            <w:tcW w:w="3193"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政务公开工作开展、督查调度、工作交流、简报等信息。</w:t>
            </w:r>
          </w:p>
        </w:tc>
        <w:tc>
          <w:tcPr>
            <w:tcW w:w="2606"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《中华人民共和国政府信息公开条例》（国务院令第711号）；</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《中共中央办公厅国务院办公厅印发〈关于全面推进政务公开工作的意见〉的通知》（中办发〔2016〕8号）。</w:t>
            </w:r>
          </w:p>
        </w:tc>
        <w:tc>
          <w:tcPr>
            <w:tcW w:w="253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自该信息形成或者变更之日起20个工作日内。</w:t>
            </w:r>
          </w:p>
        </w:tc>
        <w:tc>
          <w:tcPr>
            <w:tcW w:w="18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科技局办公室</w:t>
            </w:r>
          </w:p>
        </w:tc>
        <w:tc>
          <w:tcPr>
            <w:tcW w:w="2062"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■政府网站</w:t>
            </w:r>
          </w:p>
        </w:tc>
        <w:tc>
          <w:tcPr>
            <w:tcW w:w="1106"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200" w:type="dxa"/>
            <w:vAlign w:val="center"/>
          </w:tcPr>
          <w:p>
            <w:pPr>
              <w:rPr>
                <w:bCs/>
                <w:color w:val="auto"/>
                <w:kern w:val="0"/>
                <w:sz w:val="26"/>
                <w:szCs w:val="26"/>
              </w:rPr>
            </w:pPr>
          </w:p>
        </w:tc>
        <w:tc>
          <w:tcPr>
            <w:tcW w:w="882" w:type="dxa"/>
            <w:vAlign w:val="center"/>
          </w:tcPr>
          <w:p>
            <w:pPr>
              <w:keepNext w:val="0"/>
              <w:keepLines w:val="0"/>
              <w:widowControl/>
              <w:suppressLineNumbers w:val="0"/>
              <w:jc w:val="left"/>
              <w:textAlignment w:val="center"/>
              <w:rPr>
                <w:bCs/>
                <w:color w:val="auto"/>
                <w:kern w:val="0"/>
                <w:sz w:val="26"/>
                <w:szCs w:val="26"/>
              </w:rPr>
            </w:pPr>
            <w:r>
              <w:rPr>
                <w:rFonts w:hint="eastAsia" w:ascii="宋体" w:hAnsi="宋体" w:eastAsia="宋体" w:cs="宋体"/>
                <w:i w:val="0"/>
                <w:color w:val="000000"/>
                <w:kern w:val="0"/>
                <w:sz w:val="22"/>
                <w:szCs w:val="22"/>
                <w:u w:val="none"/>
                <w:lang w:val="en-US" w:eastAsia="zh-CN" w:bidi="ar"/>
              </w:rPr>
              <w:t>√</w:t>
            </w:r>
          </w:p>
        </w:tc>
        <w:tc>
          <w:tcPr>
            <w:tcW w:w="1196" w:type="dxa"/>
            <w:vAlign w:val="center"/>
          </w:tcPr>
          <w:p>
            <w:pPr>
              <w:rPr>
                <w:bCs/>
                <w:color w:val="auto"/>
                <w:kern w:val="0"/>
                <w:sz w:val="26"/>
                <w:szCs w:val="26"/>
              </w:rPr>
            </w:pPr>
          </w:p>
        </w:tc>
      </w:tr>
    </w:tbl>
    <w:p>
      <w:pPr>
        <w:rPr>
          <w:rFonts w:ascii="文星标宋" w:hAnsi="文星标宋" w:eastAsia="文星标宋"/>
          <w:color w:val="auto"/>
          <w:sz w:val="40"/>
          <w:szCs w:val="40"/>
          <w:shd w:val="clear" w:color="auto" w:fill="FFFFFF"/>
        </w:rPr>
      </w:pPr>
    </w:p>
    <w:p>
      <w:pPr>
        <w:rPr>
          <w:rFonts w:ascii="文星标宋" w:hAnsi="文星标宋" w:eastAsia="文星标宋"/>
          <w:color w:val="auto"/>
          <w:sz w:val="40"/>
          <w:szCs w:val="40"/>
          <w:shd w:val="clear" w:color="auto" w:fill="FFFFFF"/>
        </w:rPr>
      </w:pPr>
    </w:p>
    <w:p>
      <w:pPr>
        <w:rPr>
          <w:rFonts w:ascii="文星标宋" w:hAnsi="文星标宋" w:eastAsia="文星标宋"/>
          <w:color w:val="auto"/>
          <w:sz w:val="40"/>
          <w:szCs w:val="40"/>
          <w:shd w:val="clear" w:color="auto" w:fill="FFFFFF"/>
        </w:rPr>
        <w:sectPr>
          <w:footerReference r:id="rId3" w:type="default"/>
          <w:pgSz w:w="23811" w:h="16838" w:orient="landscape"/>
          <w:pgMar w:top="1417" w:right="1417" w:bottom="1417" w:left="1417" w:header="851" w:footer="1247" w:gutter="0"/>
          <w:cols w:space="720" w:num="1"/>
          <w:docGrid w:type="lines" w:linePitch="312" w:charSpace="0"/>
        </w:sectPr>
      </w:pPr>
    </w:p>
    <w:p>
      <w:pPr>
        <w:rPr>
          <w:rFonts w:hint="eastAsia" w:ascii="黑体" w:hAnsi="黑体" w:eastAsia="黑体" w:cs="黑体"/>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AE2B8"/>
    <w:multiLevelType w:val="singleLevel"/>
    <w:tmpl w:val="824AE2B8"/>
    <w:lvl w:ilvl="0" w:tentative="0">
      <w:start w:val="17"/>
      <w:numFmt w:val="decimal"/>
      <w:lvlText w:val="%1"/>
      <w:lvlJc w:val="center"/>
      <w:pPr>
        <w:tabs>
          <w:tab w:val="left" w:pos="845"/>
        </w:tabs>
        <w:ind w:left="850" w:hanging="711"/>
      </w:pPr>
      <w:rPr>
        <w:rFonts w:hint="default" w:cs="Times New Roman"/>
      </w:rPr>
    </w:lvl>
  </w:abstractNum>
  <w:abstractNum w:abstractNumId="1">
    <w:nsid w:val="00000001"/>
    <w:multiLevelType w:val="singleLevel"/>
    <w:tmpl w:val="00000001"/>
    <w:lvl w:ilvl="0" w:tentative="0">
      <w:start w:val="1"/>
      <w:numFmt w:val="decimal"/>
      <w:lvlText w:val="%1"/>
      <w:lvlJc w:val="left"/>
      <w:pPr>
        <w:tabs>
          <w:tab w:val="left" w:pos="420"/>
        </w:tabs>
        <w:ind w:left="425" w:hanging="425"/>
      </w:pPr>
      <w:rPr>
        <w:rFonts w:hint="default"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36B94"/>
    <w:rsid w:val="0013222D"/>
    <w:rsid w:val="00DC0CA3"/>
    <w:rsid w:val="0129783A"/>
    <w:rsid w:val="01350665"/>
    <w:rsid w:val="015B0A4A"/>
    <w:rsid w:val="018C6907"/>
    <w:rsid w:val="020E0B2D"/>
    <w:rsid w:val="02277B1E"/>
    <w:rsid w:val="02371DB9"/>
    <w:rsid w:val="02795EC4"/>
    <w:rsid w:val="02DD763E"/>
    <w:rsid w:val="0339051E"/>
    <w:rsid w:val="03982364"/>
    <w:rsid w:val="043E5800"/>
    <w:rsid w:val="049872CD"/>
    <w:rsid w:val="05582A12"/>
    <w:rsid w:val="05D72B6C"/>
    <w:rsid w:val="066072D8"/>
    <w:rsid w:val="06631C30"/>
    <w:rsid w:val="06D760CA"/>
    <w:rsid w:val="06FC5187"/>
    <w:rsid w:val="0755565E"/>
    <w:rsid w:val="07B615AA"/>
    <w:rsid w:val="08CF094C"/>
    <w:rsid w:val="0952634F"/>
    <w:rsid w:val="09845327"/>
    <w:rsid w:val="098E565A"/>
    <w:rsid w:val="0A197EA8"/>
    <w:rsid w:val="0A4F1812"/>
    <w:rsid w:val="0A761F60"/>
    <w:rsid w:val="0A9446A9"/>
    <w:rsid w:val="0ABA35B8"/>
    <w:rsid w:val="0AEA72E6"/>
    <w:rsid w:val="0B7E2DD8"/>
    <w:rsid w:val="0B9D0E57"/>
    <w:rsid w:val="0C0600D8"/>
    <w:rsid w:val="0C080E98"/>
    <w:rsid w:val="0C191B19"/>
    <w:rsid w:val="0C4155E6"/>
    <w:rsid w:val="0C59303D"/>
    <w:rsid w:val="0D316517"/>
    <w:rsid w:val="0DD40656"/>
    <w:rsid w:val="0E046948"/>
    <w:rsid w:val="0F332FC8"/>
    <w:rsid w:val="0FB034C1"/>
    <w:rsid w:val="0FEC422F"/>
    <w:rsid w:val="10CB7914"/>
    <w:rsid w:val="1124373A"/>
    <w:rsid w:val="11760B6F"/>
    <w:rsid w:val="11AA0FB9"/>
    <w:rsid w:val="123F30F4"/>
    <w:rsid w:val="126D0BFD"/>
    <w:rsid w:val="12A0329A"/>
    <w:rsid w:val="136433C7"/>
    <w:rsid w:val="138F5CB8"/>
    <w:rsid w:val="13C01A36"/>
    <w:rsid w:val="140E6C6C"/>
    <w:rsid w:val="14296E68"/>
    <w:rsid w:val="145571C3"/>
    <w:rsid w:val="14A1010D"/>
    <w:rsid w:val="14D03190"/>
    <w:rsid w:val="150B1E11"/>
    <w:rsid w:val="15377CBD"/>
    <w:rsid w:val="15393CD8"/>
    <w:rsid w:val="156D27C5"/>
    <w:rsid w:val="163B0BE9"/>
    <w:rsid w:val="16684E41"/>
    <w:rsid w:val="16AF3359"/>
    <w:rsid w:val="16FA3199"/>
    <w:rsid w:val="1734612F"/>
    <w:rsid w:val="173A05DB"/>
    <w:rsid w:val="177D5DA3"/>
    <w:rsid w:val="179539D5"/>
    <w:rsid w:val="179D1BFF"/>
    <w:rsid w:val="17BA22A2"/>
    <w:rsid w:val="18237B64"/>
    <w:rsid w:val="18D274FC"/>
    <w:rsid w:val="18F54BBF"/>
    <w:rsid w:val="1A4F2A6D"/>
    <w:rsid w:val="1AC22026"/>
    <w:rsid w:val="1B4D64CE"/>
    <w:rsid w:val="1C334011"/>
    <w:rsid w:val="1C4352E9"/>
    <w:rsid w:val="1CF41BD2"/>
    <w:rsid w:val="1D6524FC"/>
    <w:rsid w:val="1DB15984"/>
    <w:rsid w:val="1DDC2AD3"/>
    <w:rsid w:val="1E323D4B"/>
    <w:rsid w:val="1E354C5C"/>
    <w:rsid w:val="1E452FFF"/>
    <w:rsid w:val="1E5B7056"/>
    <w:rsid w:val="1ED20419"/>
    <w:rsid w:val="1F3F09BB"/>
    <w:rsid w:val="1F8724FA"/>
    <w:rsid w:val="208D41D6"/>
    <w:rsid w:val="208D5A49"/>
    <w:rsid w:val="20AE688D"/>
    <w:rsid w:val="21174B4A"/>
    <w:rsid w:val="211E5CC5"/>
    <w:rsid w:val="21812F5E"/>
    <w:rsid w:val="21C15D94"/>
    <w:rsid w:val="22262F61"/>
    <w:rsid w:val="2241183B"/>
    <w:rsid w:val="2247007D"/>
    <w:rsid w:val="226932DF"/>
    <w:rsid w:val="22716E40"/>
    <w:rsid w:val="227B6C77"/>
    <w:rsid w:val="22A06617"/>
    <w:rsid w:val="23250EB9"/>
    <w:rsid w:val="233942EB"/>
    <w:rsid w:val="233C18DA"/>
    <w:rsid w:val="23442670"/>
    <w:rsid w:val="23723D1B"/>
    <w:rsid w:val="24250207"/>
    <w:rsid w:val="245864F7"/>
    <w:rsid w:val="25345F80"/>
    <w:rsid w:val="25855681"/>
    <w:rsid w:val="25DF5C9A"/>
    <w:rsid w:val="25FC350D"/>
    <w:rsid w:val="27B34E5E"/>
    <w:rsid w:val="28025678"/>
    <w:rsid w:val="28475DF6"/>
    <w:rsid w:val="28866308"/>
    <w:rsid w:val="28EF1EE4"/>
    <w:rsid w:val="294067C0"/>
    <w:rsid w:val="298F1761"/>
    <w:rsid w:val="29CA66A5"/>
    <w:rsid w:val="2A3D7D3F"/>
    <w:rsid w:val="2AA87530"/>
    <w:rsid w:val="2B0410C0"/>
    <w:rsid w:val="2B173E9E"/>
    <w:rsid w:val="2B2E3445"/>
    <w:rsid w:val="2B4A4001"/>
    <w:rsid w:val="2BC71244"/>
    <w:rsid w:val="2BE26F35"/>
    <w:rsid w:val="2BF3436D"/>
    <w:rsid w:val="2CB020A9"/>
    <w:rsid w:val="2DD31139"/>
    <w:rsid w:val="2E09753A"/>
    <w:rsid w:val="2E163D53"/>
    <w:rsid w:val="2E3D2013"/>
    <w:rsid w:val="2F2D529A"/>
    <w:rsid w:val="2F861AF0"/>
    <w:rsid w:val="307932DE"/>
    <w:rsid w:val="308310ED"/>
    <w:rsid w:val="30952497"/>
    <w:rsid w:val="311A3E2C"/>
    <w:rsid w:val="31283A26"/>
    <w:rsid w:val="314F1428"/>
    <w:rsid w:val="31CA0AC5"/>
    <w:rsid w:val="31D25B5C"/>
    <w:rsid w:val="32836B94"/>
    <w:rsid w:val="328B636C"/>
    <w:rsid w:val="34BD25FB"/>
    <w:rsid w:val="35152DF5"/>
    <w:rsid w:val="354F168A"/>
    <w:rsid w:val="35526025"/>
    <w:rsid w:val="358925CC"/>
    <w:rsid w:val="35D86B8D"/>
    <w:rsid w:val="37866C48"/>
    <w:rsid w:val="37B55261"/>
    <w:rsid w:val="381C209E"/>
    <w:rsid w:val="3843699B"/>
    <w:rsid w:val="39692BEF"/>
    <w:rsid w:val="39A33F84"/>
    <w:rsid w:val="39B83D4D"/>
    <w:rsid w:val="39FA400E"/>
    <w:rsid w:val="3A3D65EA"/>
    <w:rsid w:val="3B354214"/>
    <w:rsid w:val="3B4E3912"/>
    <w:rsid w:val="3B564D73"/>
    <w:rsid w:val="3BC90AC3"/>
    <w:rsid w:val="3C683605"/>
    <w:rsid w:val="3CB16ABB"/>
    <w:rsid w:val="3D1413C8"/>
    <w:rsid w:val="3D897A53"/>
    <w:rsid w:val="3DB74AAB"/>
    <w:rsid w:val="3DD60212"/>
    <w:rsid w:val="3E054D0C"/>
    <w:rsid w:val="3E1665BD"/>
    <w:rsid w:val="3E5F046C"/>
    <w:rsid w:val="3E7C623F"/>
    <w:rsid w:val="3E7F36BF"/>
    <w:rsid w:val="3E8F64D1"/>
    <w:rsid w:val="3F2C401C"/>
    <w:rsid w:val="40154AB5"/>
    <w:rsid w:val="40B25AFD"/>
    <w:rsid w:val="41442A62"/>
    <w:rsid w:val="41D12BC9"/>
    <w:rsid w:val="41D87320"/>
    <w:rsid w:val="41EF37D3"/>
    <w:rsid w:val="42301F5A"/>
    <w:rsid w:val="425061ED"/>
    <w:rsid w:val="436A6C6A"/>
    <w:rsid w:val="4424763D"/>
    <w:rsid w:val="4474140B"/>
    <w:rsid w:val="450274BF"/>
    <w:rsid w:val="451F78DC"/>
    <w:rsid w:val="456423A1"/>
    <w:rsid w:val="45855EC8"/>
    <w:rsid w:val="45E67F89"/>
    <w:rsid w:val="46B44F28"/>
    <w:rsid w:val="46F901C4"/>
    <w:rsid w:val="47382FAF"/>
    <w:rsid w:val="47780AE0"/>
    <w:rsid w:val="479F01E3"/>
    <w:rsid w:val="48271E2A"/>
    <w:rsid w:val="48A75767"/>
    <w:rsid w:val="48EC19D6"/>
    <w:rsid w:val="49470CA9"/>
    <w:rsid w:val="4A137806"/>
    <w:rsid w:val="4A1A25B6"/>
    <w:rsid w:val="4A211D3F"/>
    <w:rsid w:val="4A6C4A75"/>
    <w:rsid w:val="4A6F4165"/>
    <w:rsid w:val="4A7422B4"/>
    <w:rsid w:val="4A9D7D9F"/>
    <w:rsid w:val="4AA9093B"/>
    <w:rsid w:val="4AC95E4B"/>
    <w:rsid w:val="4B097DC3"/>
    <w:rsid w:val="4B9649BA"/>
    <w:rsid w:val="4BA01C5B"/>
    <w:rsid w:val="4BE32170"/>
    <w:rsid w:val="4DC57054"/>
    <w:rsid w:val="4ED5279E"/>
    <w:rsid w:val="4EE07B40"/>
    <w:rsid w:val="4EF6274A"/>
    <w:rsid w:val="4FDC34BD"/>
    <w:rsid w:val="50447577"/>
    <w:rsid w:val="506518C1"/>
    <w:rsid w:val="507919E0"/>
    <w:rsid w:val="5097168B"/>
    <w:rsid w:val="50C1522A"/>
    <w:rsid w:val="513F263C"/>
    <w:rsid w:val="524A2EA3"/>
    <w:rsid w:val="52C8331B"/>
    <w:rsid w:val="52D0520E"/>
    <w:rsid w:val="5302619F"/>
    <w:rsid w:val="53415F03"/>
    <w:rsid w:val="53450766"/>
    <w:rsid w:val="53A76A97"/>
    <w:rsid w:val="53BE0D3B"/>
    <w:rsid w:val="53CA6E0E"/>
    <w:rsid w:val="53CD0FF7"/>
    <w:rsid w:val="54A56CB6"/>
    <w:rsid w:val="54CD137B"/>
    <w:rsid w:val="55852529"/>
    <w:rsid w:val="560F530D"/>
    <w:rsid w:val="563D5189"/>
    <w:rsid w:val="56831E04"/>
    <w:rsid w:val="56DB20CD"/>
    <w:rsid w:val="57B01589"/>
    <w:rsid w:val="57E630BF"/>
    <w:rsid w:val="57FA6459"/>
    <w:rsid w:val="584A6B4F"/>
    <w:rsid w:val="58B10726"/>
    <w:rsid w:val="591379AC"/>
    <w:rsid w:val="593C71E6"/>
    <w:rsid w:val="59490A64"/>
    <w:rsid w:val="596867D2"/>
    <w:rsid w:val="59A22DD1"/>
    <w:rsid w:val="59BF4872"/>
    <w:rsid w:val="59D6302B"/>
    <w:rsid w:val="5A3C31BA"/>
    <w:rsid w:val="5A9454D3"/>
    <w:rsid w:val="5AAA2EA7"/>
    <w:rsid w:val="5AD14EAE"/>
    <w:rsid w:val="5AFE7AC2"/>
    <w:rsid w:val="5B2442D5"/>
    <w:rsid w:val="5B672FF5"/>
    <w:rsid w:val="5B7A0996"/>
    <w:rsid w:val="5BA619FC"/>
    <w:rsid w:val="5BCE5358"/>
    <w:rsid w:val="5C233F16"/>
    <w:rsid w:val="5C7D6FC0"/>
    <w:rsid w:val="5C943946"/>
    <w:rsid w:val="5D235BC0"/>
    <w:rsid w:val="5D3E46C8"/>
    <w:rsid w:val="5D4C4D9D"/>
    <w:rsid w:val="5E4561AE"/>
    <w:rsid w:val="5E791341"/>
    <w:rsid w:val="5F8149F3"/>
    <w:rsid w:val="5F94164A"/>
    <w:rsid w:val="5FB6070A"/>
    <w:rsid w:val="60545C02"/>
    <w:rsid w:val="606A77E9"/>
    <w:rsid w:val="612C2521"/>
    <w:rsid w:val="621B3142"/>
    <w:rsid w:val="62332972"/>
    <w:rsid w:val="62472BE3"/>
    <w:rsid w:val="62537EEB"/>
    <w:rsid w:val="63AF3110"/>
    <w:rsid w:val="63D24D59"/>
    <w:rsid w:val="64831AB0"/>
    <w:rsid w:val="659A291E"/>
    <w:rsid w:val="65A47AD3"/>
    <w:rsid w:val="65C953C6"/>
    <w:rsid w:val="66BD5026"/>
    <w:rsid w:val="66FD655D"/>
    <w:rsid w:val="678D1F02"/>
    <w:rsid w:val="67FD4D1D"/>
    <w:rsid w:val="67FD5F8B"/>
    <w:rsid w:val="684E773F"/>
    <w:rsid w:val="6898697F"/>
    <w:rsid w:val="692E42B3"/>
    <w:rsid w:val="69B60F57"/>
    <w:rsid w:val="69DB6C54"/>
    <w:rsid w:val="69DF060C"/>
    <w:rsid w:val="6A703832"/>
    <w:rsid w:val="6A9A4651"/>
    <w:rsid w:val="6B781B1A"/>
    <w:rsid w:val="6C353FD2"/>
    <w:rsid w:val="6C406F9D"/>
    <w:rsid w:val="6D0E4769"/>
    <w:rsid w:val="6E6E3B55"/>
    <w:rsid w:val="6E982CFA"/>
    <w:rsid w:val="70A56FAD"/>
    <w:rsid w:val="70B42C72"/>
    <w:rsid w:val="719E1630"/>
    <w:rsid w:val="723642BE"/>
    <w:rsid w:val="723B79EB"/>
    <w:rsid w:val="72BE69A9"/>
    <w:rsid w:val="7314791C"/>
    <w:rsid w:val="731D6EC7"/>
    <w:rsid w:val="73856EAC"/>
    <w:rsid w:val="73C608B1"/>
    <w:rsid w:val="743D5D01"/>
    <w:rsid w:val="74742B44"/>
    <w:rsid w:val="753F10D5"/>
    <w:rsid w:val="756B3ADA"/>
    <w:rsid w:val="75A20BDA"/>
    <w:rsid w:val="75AF57A2"/>
    <w:rsid w:val="76155CB8"/>
    <w:rsid w:val="764772A2"/>
    <w:rsid w:val="76A671F8"/>
    <w:rsid w:val="76D21FD0"/>
    <w:rsid w:val="76D258C4"/>
    <w:rsid w:val="76FA7438"/>
    <w:rsid w:val="775B5574"/>
    <w:rsid w:val="779315FB"/>
    <w:rsid w:val="77C501A3"/>
    <w:rsid w:val="79CB6DDD"/>
    <w:rsid w:val="79DE12AF"/>
    <w:rsid w:val="7A4F42D1"/>
    <w:rsid w:val="7A74273F"/>
    <w:rsid w:val="7ADC700C"/>
    <w:rsid w:val="7B460336"/>
    <w:rsid w:val="7B537B76"/>
    <w:rsid w:val="7B756D3C"/>
    <w:rsid w:val="7BA108AC"/>
    <w:rsid w:val="7BB068B5"/>
    <w:rsid w:val="7BCD0E82"/>
    <w:rsid w:val="7C6B0C71"/>
    <w:rsid w:val="7CBE03A7"/>
    <w:rsid w:val="7CC6579A"/>
    <w:rsid w:val="7D293266"/>
    <w:rsid w:val="7D6E46E6"/>
    <w:rsid w:val="7D915007"/>
    <w:rsid w:val="7DA7736B"/>
    <w:rsid w:val="7DBB1B34"/>
    <w:rsid w:val="7DC07B3D"/>
    <w:rsid w:val="7E313476"/>
    <w:rsid w:val="7EA8681F"/>
    <w:rsid w:val="7EE8792A"/>
    <w:rsid w:val="7F1F5236"/>
    <w:rsid w:val="7F9F0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FollowedHyperlink"/>
    <w:basedOn w:val="6"/>
    <w:qFormat/>
    <w:uiPriority w:val="0"/>
    <w:rPr>
      <w:rFonts w:cs="Times New Roman"/>
      <w:color w:val="800080"/>
      <w:u w:val="single"/>
    </w:rPr>
  </w:style>
  <w:style w:type="character" w:styleId="9">
    <w:name w:val="Hyperlink"/>
    <w:basedOn w:val="6"/>
    <w:uiPriority w:val="0"/>
    <w:rPr>
      <w:rFonts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2020-08-29T14:47:00Z</dcterms:created>
  <dc:creator>Darren</dc:creator>
  <cp:lastModifiedBy>几月</cp:lastModifiedBy>
  <cp:lastPrinted>2020-08-31T03:54:00Z</cp:lastPrinted>
  <dcterms:modified xsi:type="dcterms:W3CDTF">2020-09-29T06:08:23Z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