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常用工具软件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经济贸易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计算机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22计4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李昊宇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本课旨在培养学生熟练运用工具软件，创造性的处理日常信息的内容。通过课堂教学和上机练习能够很好的学会25个常用工具软件，形成自己的功能强大、容易使用的系统检测、日常使用维护工具。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中职高二的学生处于职业技能与理论知识并重的学习阶段，他们普遍具备一定的计算机操作基础，但对于专业工具软件的应用往往还不够熟练。在学习常用工具软件时，学生们表现出了浓厚的兴趣和积极性，但也存在一些问题。在技能掌握方面，学生们对基本的办公软件如Word、Excel、PowerPoint等能够进行简单的操作，但在高级功能和技巧方面还存在不足。同时，学生们对于图形图像处理软件、视频编辑软件等也有一定的了解，但实际操作能力参差不齐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针对以上情况，教师在教学过程中应注重基础知识的巩固，同时加强实践操作的训练，提高学生的技能水平。同时，还应关注学生的个体差异，因材施教，激发学生的学习兴趣和动力。通过多样化的教学方法和手段，帮助学生更好地掌握常用工具软件的应用技能，为未来的职业发展打下坚实的基础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rFonts w:hint="eastAsia"/>
                <w:lang w:val="en-US" w:eastAsia="zh-CN"/>
              </w:rPr>
              <w:t xml:space="preserve"> 本书遵循大多数中职学生的认知规律和学习思路,以使用计算机处理日常问题为主线,采用模块化和任务驱动的教学法,围绕每个工具软件的主要功能、特点,介绍其使用和设置方法，把该软件的各相关知识点融合在所设计的任务中;同时让学生了解行业技术应用和发展的基本情形,拓展综合应用的能力,达到掌握技能、增加经验的目的。根据工具软件蓬勃发展的现状,专门设计了“小技巧”栏目,针对每个软件讲解几个十分精彩的应用点,既开拓了视野,又提高了解决实际问题的能力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教学重点：了解25个工具软件的应用场景和使用方法</w:t>
            </w:r>
          </w:p>
          <w:p>
            <w:pPr>
              <w:spacing w:line="420" w:lineRule="exac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教学难点：可以针对不同的情形采用不同的软件进行解决。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2"/>
              </w:numPr>
              <w:ind w:left="-10" w:leftChars="0" w:firstLine="64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讲授法：使用讲授法对知识进行最基础的传授。保证课本上的重要知识点直接、快速、精炼的让学生掌握，为学生在实践中能更游刃有余的应用基本技能打好坚实的理论基础。</w:t>
            </w:r>
          </w:p>
          <w:p>
            <w:pPr>
              <w:widowControl/>
              <w:numPr>
                <w:ilvl w:val="0"/>
                <w:numId w:val="2"/>
              </w:numPr>
              <w:ind w:left="-10" w:leftChars="0" w:firstLine="64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案例教学法：在教师的指导下，学生在上机进行课本经典案例操作时才更有针对性，做出自己的判断和评价。拓宽学生的思维空间，又能大大增加学生的学习兴趣，提高学生实际操作能力。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3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3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前言分区助手和一键Ghost的使用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分区助手和一键Ghost的应用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驱动精灵、鲁大师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驱动精灵鲁大师的应用场景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虚拟机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虚拟机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压缩软件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压缩软件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阅读软件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阅读软件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翻译软件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翻译软件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思维导图软件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掌握思维导图XMind的使用方法和操作技巧。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百度网盘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百度网盘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图片管理器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图片管理器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屏幕截图软件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掌握屏幕截图软件的使用方法和操作技巧。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录屏软件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录屏软件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美图秀秀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美图秀秀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音频处理软件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音频处理软件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格式工厂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格式工厂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迅雷、网易邮箱大师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迅雷、网易邮箱大师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优酷、360安全卫士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优酷、360安全卫士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金山毒霸、防火墙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金山毒霸、防火墙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数据恢复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掌握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数据恢复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的使用方法和操作技巧。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66E6EDD"/>
    <w:multiLevelType w:val="singleLevel"/>
    <w:tmpl w:val="566E6EDD"/>
    <w:lvl w:ilvl="0" w:tentative="0">
      <w:start w:val="1"/>
      <w:numFmt w:val="decimal"/>
      <w:suff w:val="nothing"/>
      <w:lvlText w:val="%1、"/>
      <w:lvlJc w:val="left"/>
      <w:pPr>
        <w:ind w:left="-1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482E00DD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rPr>
      <w:sz w:val="24"/>
    </w:rPr>
  </w:style>
  <w:style w:type="character" w:styleId="5">
    <w:name w:val="Strong"/>
    <w:basedOn w:val="4"/>
    <w:qFormat/>
    <w:uiPriority w:val="22"/>
    <w:rPr>
      <w:b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帅宇儿</cp:lastModifiedBy>
  <dcterms:modified xsi:type="dcterms:W3CDTF">2024-02-27T11:31:35Z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