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英语</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经济贸贸易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英语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23计算机1、5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王晓霞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24"/>
                <w:szCs w:val="24"/>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pStyle w:val="4"/>
              <w:bidi w:val="0"/>
              <w:ind w:firstLine="320" w:firstLineChars="100"/>
              <w:rPr>
                <w:rFonts w:hint="eastAsia"/>
              </w:rPr>
            </w:pPr>
            <w:r>
              <w:rPr>
                <w:rFonts w:hint="eastAsia"/>
              </w:rPr>
              <w:t>中等职业学校英语课程要在九年义务教育基础上，帮助学生进一步学习英语基础知识，培养听、说、读、写等语言技能，初步形成职场英语的应用能力;激发和培养学生学习英语的兴趣，提高学生学习的自信心，帮助学生掌握学习策略，养成良好的学习习惯，提高自主学习能力;引导学生了解、认识中西方文化差异，培养正确的情感、态度和价值观。</w:t>
            </w:r>
          </w:p>
          <w:p>
            <w:pPr>
              <w:pStyle w:val="4"/>
              <w:bidi w:val="0"/>
              <w:ind w:firstLine="320" w:firstLineChars="100"/>
              <w:rPr>
                <w:rFonts w:ascii="宋体" w:hAnsi="宋体" w:eastAsia="宋体" w:cs="宋体"/>
                <w:kern w:val="0"/>
                <w:sz w:val="24"/>
                <w:szCs w:val="24"/>
              </w:rPr>
            </w:pPr>
            <w:r>
              <w:rPr>
                <w:rFonts w:hint="eastAsia"/>
              </w:rPr>
              <w:t>本学期英语教学的主要目的和任务是:巩固、扩大基础知识;培养口头和书面初步运用英语进行交际的能力，侧重培养阅读能力;发展智力，培养自学能力。随着现代信息技术的发展和运用，英语在实际的操作和运用中显得越来越重要，作为一名合格的中专生，掌握基本的英语口头语和专业用语有利于他们未来的职业发展和提成的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pStyle w:val="4"/>
              <w:bidi w:val="0"/>
              <w:ind w:firstLine="320" w:firstLineChars="100"/>
              <w:rPr>
                <w:rFonts w:hint="eastAsia"/>
              </w:rPr>
            </w:pPr>
            <w:r>
              <w:rPr>
                <w:rFonts w:hint="eastAsia"/>
              </w:rPr>
              <w:t>职校的生源决定了学生的基础，学生英语程度参差不齐，基础好的同学少数，他们能够正确朗读单词，较流利地朗读课文并能进行简单会话，大多数学生英语学习兴趣不足，目的不明确，没有继续学好的动力，个别同学甚至完全放弃学习，不想继续学习英语，上英语课对他们来说是被动应付，甚至浪费时间。</w:t>
            </w:r>
          </w:p>
          <w:p>
            <w:pPr>
              <w:pStyle w:val="4"/>
              <w:bidi w:val="0"/>
              <w:ind w:firstLine="640" w:firstLineChars="200"/>
              <w:rPr>
                <w:rFonts w:ascii="仿宋" w:hAnsi="仿宋" w:eastAsia="仿宋" w:cs="仿宋"/>
                <w:szCs w:val="28"/>
              </w:rPr>
            </w:pPr>
            <w:r>
              <w:rPr>
                <w:rFonts w:hint="eastAsia"/>
              </w:rPr>
              <w:t>学生文化知识基础较差，个性心里品质欠缺，主动配合老师的意识低，可能个别学生思想意识较坏。给老师的上课带来一定的困难，但我准备用一颗真诚的</w:t>
            </w:r>
            <w:r>
              <w:rPr>
                <w:rFonts w:hint="eastAsia" w:ascii="宋体" w:hAnsi="宋体" w:eastAsia="宋体" w:cs="宋体"/>
                <w:kern w:val="0"/>
                <w:szCs w:val="32"/>
              </w:rPr>
              <w:t>心感动学生，使他们在思想和学习方面不断的进步。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pPr>
            <w:r>
              <w:rPr>
                <w:rFonts w:hint="eastAsia" w:ascii="宋体" w:hAnsi="宋体" w:eastAsia="宋体" w:cs="宋体"/>
                <w:b/>
                <w:bCs/>
                <w:kern w:val="0"/>
                <w:sz w:val="32"/>
                <w:szCs w:val="32"/>
              </w:rPr>
              <w:t>教材分析：</w:t>
            </w:r>
          </w:p>
          <w:p>
            <w:pPr>
              <w:pStyle w:val="4"/>
              <w:bidi w:val="0"/>
              <w:ind w:firstLine="320" w:firstLineChars="100"/>
            </w:pPr>
            <w:r>
              <w:rPr>
                <w:rFonts w:hint="eastAsia"/>
              </w:rPr>
              <w:t>本套英语基础模块第一册</w:t>
            </w:r>
            <w:r>
              <w:rPr>
                <w:rFonts w:hint="eastAsia"/>
                <w:lang w:val="en-US" w:eastAsia="zh-CN"/>
              </w:rPr>
              <w:t>共八</w:t>
            </w:r>
            <w:r>
              <w:rPr>
                <w:rFonts w:hint="eastAsia"/>
              </w:rPr>
              <w:t>个单元，每单元都有导入、听说部分、语音部分、读写部分、语言运用、单元任务和自我评价部分。每一部分都精心安排了各种活动任务，循序渐进，由简单到复杂。各个单元的话题都是非常贴切学生生活与学习的话题，并且把各种语言活动设置在真实的职业场景中。各种形式丰富的练习活动，对于训练学生听书、说、读、写的能力非常有帮助</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pStyle w:val="4"/>
              <w:bidi w:val="0"/>
              <w:rPr>
                <w:rFonts w:hint="eastAsia"/>
              </w:rPr>
            </w:pPr>
            <w:r>
              <w:rPr>
                <w:rFonts w:hint="eastAsia"/>
              </w:rPr>
              <w:t>重点:</w:t>
            </w:r>
          </w:p>
          <w:p>
            <w:pPr>
              <w:pStyle w:val="4"/>
              <w:bidi w:val="0"/>
              <w:rPr>
                <w:rFonts w:hint="eastAsia"/>
              </w:rPr>
            </w:pPr>
            <w:r>
              <w:rPr>
                <w:rFonts w:hint="eastAsia"/>
              </w:rPr>
              <w:t>1、能按四会与三会要求掌握所学单词。</w:t>
            </w:r>
          </w:p>
          <w:p>
            <w:pPr>
              <w:pStyle w:val="4"/>
              <w:bidi w:val="0"/>
              <w:rPr>
                <w:rFonts w:hint="eastAsia"/>
              </w:rPr>
            </w:pPr>
            <w:r>
              <w:rPr>
                <w:rFonts w:hint="eastAsia"/>
              </w:rPr>
              <w:t>2、能按四会要求掌握所学句型。</w:t>
            </w:r>
          </w:p>
          <w:p>
            <w:pPr>
              <w:pStyle w:val="4"/>
              <w:bidi w:val="0"/>
              <w:rPr>
                <w:rFonts w:hint="eastAsia"/>
              </w:rPr>
            </w:pPr>
            <w:r>
              <w:rPr>
                <w:rFonts w:hint="eastAsia"/>
              </w:rPr>
              <w:t>3、能运用日常交际用语，或用四会句型，惊醒简单的交流，并做到大胆开口，发音正确，所用话语符合场合。</w:t>
            </w:r>
          </w:p>
          <w:p>
            <w:pPr>
              <w:pStyle w:val="4"/>
              <w:bidi w:val="0"/>
              <w:rPr>
                <w:rFonts w:hint="eastAsia"/>
              </w:rPr>
            </w:pPr>
            <w:r>
              <w:rPr>
                <w:rFonts w:hint="eastAsia"/>
              </w:rPr>
              <w:t>4、能在图片、手势、情景等非语言的提示下，听懂清晰的话语与录音。</w:t>
            </w:r>
          </w:p>
          <w:p>
            <w:pPr>
              <w:pStyle w:val="4"/>
              <w:bidi w:val="0"/>
              <w:rPr>
                <w:rFonts w:hint="eastAsia"/>
              </w:rPr>
            </w:pPr>
            <w:r>
              <w:rPr>
                <w:rFonts w:hint="eastAsia"/>
              </w:rPr>
              <w:t>5、培养良好的书写习惯，能做到书写整洁、规范。</w:t>
            </w:r>
          </w:p>
          <w:p>
            <w:pPr>
              <w:pStyle w:val="4"/>
              <w:bidi w:val="0"/>
            </w:pPr>
            <w:r>
              <w:rPr>
                <w:rFonts w:hint="eastAsia"/>
              </w:rPr>
              <w:t>难点:养成良好的听英语、读英语，说英语的习惯，能自觉的模仿语音、语调，逐步培养语感。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pStyle w:val="4"/>
              <w:bidi w:val="0"/>
              <w:rPr>
                <w:rFonts w:hint="default"/>
                <w:lang w:val="en-US" w:eastAsia="zh-CN"/>
              </w:rPr>
            </w:pPr>
            <w:r>
              <w:rPr>
                <w:rFonts w:hint="default"/>
                <w:lang w:val="en-US" w:eastAsia="zh-CN"/>
              </w:rPr>
              <w:t>1、培养学习兴趣，引导学生掌握正确的学习方法和策略，提高学习效率。</w:t>
            </w:r>
          </w:p>
          <w:p>
            <w:pPr>
              <w:pStyle w:val="4"/>
              <w:bidi w:val="0"/>
              <w:rPr>
                <w:rFonts w:hint="default"/>
                <w:lang w:val="en-US" w:eastAsia="zh-CN"/>
              </w:rPr>
            </w:pPr>
            <w:r>
              <w:rPr>
                <w:rFonts w:hint="default"/>
                <w:lang w:val="en-US" w:eastAsia="zh-CN"/>
              </w:rPr>
              <w:t>2、发挥学生主体和教师主导作用。</w:t>
            </w:r>
          </w:p>
          <w:p>
            <w:pPr>
              <w:pStyle w:val="4"/>
              <w:bidi w:val="0"/>
              <w:rPr>
                <w:rFonts w:hint="default"/>
                <w:lang w:val="en-US" w:eastAsia="zh-CN"/>
              </w:rPr>
            </w:pPr>
            <w:r>
              <w:rPr>
                <w:rFonts w:hint="default"/>
                <w:lang w:val="en-US" w:eastAsia="zh-CN"/>
              </w:rPr>
              <w:t>3、加强日常生活中英语口语的运用。</w:t>
            </w:r>
          </w:p>
          <w:p>
            <w:pPr>
              <w:pStyle w:val="4"/>
              <w:bidi w:val="0"/>
              <w:rPr>
                <w:rFonts w:hint="default"/>
                <w:lang w:val="en-US" w:eastAsia="zh-CN"/>
              </w:rPr>
            </w:pPr>
            <w:r>
              <w:rPr>
                <w:rFonts w:hint="default"/>
                <w:lang w:val="en-US" w:eastAsia="zh-CN"/>
              </w:rPr>
              <w:t>4、鼓励学生自主探索，合用探究，共同提高。</w:t>
            </w:r>
          </w:p>
          <w:p>
            <w:pPr>
              <w:pStyle w:val="4"/>
              <w:bidi w:val="0"/>
              <w:rPr>
                <w:rFonts w:hint="default"/>
                <w:lang w:val="en-US" w:eastAsia="zh-CN"/>
              </w:rPr>
            </w:pPr>
            <w:r>
              <w:rPr>
                <w:rFonts w:hint="default"/>
                <w:lang w:val="en-US" w:eastAsia="zh-CN"/>
              </w:rPr>
              <w:t>5、用良好的师生关系，协调课堂气氛，培养学生。</w:t>
            </w:r>
          </w:p>
          <w:p>
            <w:pPr>
              <w:pStyle w:val="4"/>
              <w:bidi w:val="0"/>
              <w:rPr>
                <w:rFonts w:hint="default" w:eastAsiaTheme="minorEastAsia"/>
                <w:lang w:val="en-US" w:eastAsia="zh-CN"/>
              </w:rPr>
            </w:pPr>
            <w:r>
              <w:rPr>
                <w:rFonts w:hint="default"/>
                <w:lang w:val="en-US" w:eastAsia="zh-CN"/>
              </w:rPr>
              <w:t>本学期我会努力做好教学工作，提高自己的教学水平，工作中我会多阅读关于教学方面的书籍杂志，以弥补在教学中的不足，争取在英语教学工作中取得更好的成绩。</w:t>
            </w:r>
          </w:p>
        </w:tc>
      </w:tr>
    </w:tbl>
    <w:p/>
    <w:tbl>
      <w:tblPr>
        <w:tblStyle w:val="8"/>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8"/>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sz w:val="22"/>
              </w:rPr>
              <w:t>Unit 6 Not Just Tasty!</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sz w:val="22"/>
              </w:rPr>
              <w:t>Listening and Speaking</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sz w:val="22"/>
              </w:rPr>
              <w:t>Unit 6 Not Just Tasty!</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Times New Roman" w:hAnsi="Times New Roman" w:cs="Times New Roman"/>
                <w:sz w:val="22"/>
              </w:rPr>
              <w:t>Reading and Writing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sz w:val="22"/>
              </w:rPr>
              <w:t>Unit 6 Not Just Tasty!</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Times New Roman" w:hAnsi="Times New Roman" w:cs="Times New Roman"/>
                <w:sz w:val="22"/>
              </w:rPr>
              <w:t>Reading and Writing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sz w:val="22"/>
              </w:rPr>
              <w:t>Unit 6 Not Just Tasty!</w:t>
            </w:r>
          </w:p>
        </w:tc>
        <w:tc>
          <w:tcPr>
            <w:tcW w:w="2453" w:type="dxa"/>
            <w:tcBorders>
              <w:top w:val="nil"/>
              <w:left w:val="nil"/>
              <w:bottom w:val="single" w:color="auto" w:sz="4" w:space="0"/>
              <w:right w:val="single" w:color="auto" w:sz="4" w:space="0"/>
            </w:tcBorders>
            <w:shd w:val="clear" w:color="auto" w:fill="auto"/>
            <w:noWrap/>
            <w:vAlign w:val="bottom"/>
          </w:tcPr>
          <w:p>
            <w:pPr>
              <w:jc w:val="center"/>
              <w:rPr>
                <w:rFonts w:ascii="Calibri" w:hAnsi="Calibri" w:cs="Calibri"/>
                <w:sz w:val="22"/>
              </w:rPr>
            </w:pPr>
            <w:r>
              <w:rPr>
                <w:rFonts w:ascii="Calibri" w:hAnsi="Calibri" w:cs="Calibri"/>
                <w:sz w:val="22"/>
              </w:rPr>
              <w:t>For Better Performance</w:t>
            </w:r>
          </w:p>
          <w:p>
            <w:pPr>
              <w:widowControl/>
              <w:jc w:val="left"/>
              <w:rPr>
                <w:rFonts w:ascii="宋体" w:hAnsi="宋体" w:eastAsia="宋体" w:cs="宋体"/>
                <w:kern w:val="0"/>
                <w:sz w:val="24"/>
                <w:szCs w:val="24"/>
              </w:rPr>
            </w:pPr>
            <w:r>
              <w:rPr>
                <w:rFonts w:ascii="Calibri" w:hAnsi="Calibri" w:cs="Calibri"/>
                <w:sz w:val="22"/>
              </w:rPr>
              <w:t>Around the world</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iCs/>
                <w:sz w:val="22"/>
              </w:rPr>
              <w:t>Unit 7 W</w:t>
            </w:r>
            <w:r>
              <w:rPr>
                <w:rFonts w:hint="eastAsia" w:ascii="Calibri" w:hAnsi="Calibri" w:cs="Calibri"/>
                <w:i/>
                <w:iCs/>
                <w:sz w:val="22"/>
              </w:rPr>
              <w:t>h</w:t>
            </w:r>
            <w:r>
              <w:rPr>
                <w:rFonts w:ascii="Calibri" w:hAnsi="Calibri" w:cs="Calibri"/>
                <w:i/>
                <w:iCs/>
                <w:sz w:val="22"/>
              </w:rPr>
              <w:t>en Disaster Strikes</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Times New Roman" w:hAnsi="Times New Roman" w:cs="Times New Roman"/>
                <w:sz w:val="22"/>
              </w:rPr>
              <w:t>Reading and Writing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iCs/>
                <w:sz w:val="22"/>
              </w:rPr>
              <w:t>Unit 7 W</w:t>
            </w:r>
            <w:r>
              <w:rPr>
                <w:rFonts w:hint="eastAsia" w:ascii="Calibri" w:hAnsi="Calibri" w:cs="Calibri"/>
                <w:i/>
                <w:iCs/>
                <w:sz w:val="22"/>
              </w:rPr>
              <w:t>h</w:t>
            </w:r>
            <w:r>
              <w:rPr>
                <w:rFonts w:ascii="Calibri" w:hAnsi="Calibri" w:cs="Calibri"/>
                <w:i/>
                <w:iCs/>
                <w:sz w:val="22"/>
              </w:rPr>
              <w:t>en Disaster Strikes</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Times New Roman" w:hAnsi="Times New Roman" w:cs="Times New Roman"/>
                <w:sz w:val="22"/>
              </w:rPr>
              <w:t>Reading and Writing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iCs/>
                <w:sz w:val="22"/>
              </w:rPr>
              <w:t>Unit 7 W</w:t>
            </w:r>
            <w:r>
              <w:rPr>
                <w:rFonts w:hint="eastAsia" w:ascii="Calibri" w:hAnsi="Calibri" w:cs="Calibri"/>
                <w:i/>
                <w:iCs/>
                <w:sz w:val="22"/>
              </w:rPr>
              <w:t>h</w:t>
            </w:r>
            <w:r>
              <w:rPr>
                <w:rFonts w:ascii="Calibri" w:hAnsi="Calibri" w:cs="Calibri"/>
                <w:i/>
                <w:iCs/>
                <w:sz w:val="22"/>
              </w:rPr>
              <w:t>en Disaster Strikes</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Times New Roman" w:hAnsi="Times New Roman" w:cs="Times New Roman"/>
                <w:sz w:val="22"/>
              </w:rPr>
              <w:t>Reading and Writing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iCs/>
                <w:sz w:val="22"/>
              </w:rPr>
              <w:t>Unit 7 W</w:t>
            </w:r>
            <w:r>
              <w:rPr>
                <w:rFonts w:hint="eastAsia" w:ascii="Calibri" w:hAnsi="Calibri" w:cs="Calibri"/>
                <w:i/>
                <w:iCs/>
                <w:sz w:val="22"/>
              </w:rPr>
              <w:t>h</w:t>
            </w:r>
            <w:r>
              <w:rPr>
                <w:rFonts w:ascii="Calibri" w:hAnsi="Calibri" w:cs="Calibri"/>
                <w:i/>
                <w:iCs/>
                <w:sz w:val="22"/>
              </w:rPr>
              <w:t>en Disaster Strikes</w:t>
            </w:r>
          </w:p>
        </w:tc>
        <w:tc>
          <w:tcPr>
            <w:tcW w:w="2453" w:type="dxa"/>
            <w:tcBorders>
              <w:top w:val="nil"/>
              <w:left w:val="nil"/>
              <w:bottom w:val="single" w:color="auto" w:sz="4" w:space="0"/>
              <w:right w:val="single" w:color="auto" w:sz="4" w:space="0"/>
            </w:tcBorders>
            <w:shd w:val="clear" w:color="auto" w:fill="auto"/>
            <w:noWrap/>
            <w:vAlign w:val="bottom"/>
          </w:tcPr>
          <w:p>
            <w:pPr>
              <w:jc w:val="center"/>
              <w:rPr>
                <w:rFonts w:ascii="Calibri" w:hAnsi="Calibri" w:cs="Calibri"/>
                <w:sz w:val="22"/>
              </w:rPr>
            </w:pPr>
            <w:r>
              <w:rPr>
                <w:rFonts w:ascii="Calibri" w:hAnsi="Calibri" w:cs="Calibri"/>
                <w:sz w:val="22"/>
              </w:rPr>
              <w:t>For Better Performance</w:t>
            </w:r>
          </w:p>
          <w:p>
            <w:pPr>
              <w:widowControl/>
              <w:jc w:val="left"/>
              <w:rPr>
                <w:rFonts w:ascii="宋体" w:hAnsi="宋体" w:eastAsia="宋体" w:cs="宋体"/>
                <w:kern w:val="0"/>
                <w:sz w:val="24"/>
                <w:szCs w:val="24"/>
              </w:rPr>
            </w:pPr>
            <w:r>
              <w:rPr>
                <w:rFonts w:ascii="Calibri" w:hAnsi="Calibri" w:cs="Calibri"/>
                <w:sz w:val="22"/>
              </w:rPr>
              <w:t>Around the world</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iCs/>
                <w:sz w:val="22"/>
              </w:rPr>
              <w:t>Unit 8 E</w:t>
            </w:r>
            <w:r>
              <w:rPr>
                <w:rFonts w:hint="eastAsia" w:ascii="Calibri" w:hAnsi="Calibri" w:cs="Calibri"/>
                <w:i/>
                <w:iCs/>
                <w:sz w:val="22"/>
              </w:rPr>
              <w:t>n</w:t>
            </w:r>
            <w:r>
              <w:rPr>
                <w:rFonts w:ascii="Calibri" w:hAnsi="Calibri" w:cs="Calibri"/>
                <w:i/>
                <w:iCs/>
                <w:sz w:val="22"/>
              </w:rPr>
              <w:t>joy the Festivals</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sz w:val="22"/>
              </w:rPr>
              <w:t>Listening and Speaking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ascii="Calibri" w:hAnsi="Calibri" w:cs="Calibri"/>
                <w:i/>
                <w:iCs/>
                <w:sz w:val="22"/>
              </w:rPr>
              <w:t>Unit 8 E</w:t>
            </w:r>
            <w:r>
              <w:rPr>
                <w:rFonts w:hint="eastAsia" w:ascii="Calibri" w:hAnsi="Calibri" w:cs="Calibri"/>
                <w:i/>
                <w:iCs/>
                <w:sz w:val="22"/>
              </w:rPr>
              <w:t>n</w:t>
            </w:r>
            <w:r>
              <w:rPr>
                <w:rFonts w:ascii="Calibri" w:hAnsi="Calibri" w:cs="Calibri"/>
                <w:i/>
                <w:iCs/>
                <w:sz w:val="22"/>
              </w:rPr>
              <w:t>joy the Festivals</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ascii="Times New Roman" w:hAnsi="Times New Roman" w:cs="Times New Roman"/>
                <w:sz w:val="22"/>
              </w:rPr>
              <w:t>Reading and Writing</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i/>
                <w:iCs/>
                <w:sz w:val="22"/>
              </w:rPr>
              <w:t>Unit 8 E</w:t>
            </w:r>
            <w:r>
              <w:rPr>
                <w:rFonts w:hint="eastAsia" w:ascii="Calibri" w:hAnsi="Calibri" w:cs="Calibri"/>
                <w:i/>
                <w:iCs/>
                <w:sz w:val="22"/>
              </w:rPr>
              <w:t>n</w:t>
            </w:r>
            <w:r>
              <w:rPr>
                <w:rFonts w:ascii="Calibri" w:hAnsi="Calibri" w:cs="Calibri"/>
                <w:i/>
                <w:iCs/>
                <w:sz w:val="22"/>
              </w:rPr>
              <w:t>joy the Festivals</w:t>
            </w:r>
          </w:p>
        </w:tc>
        <w:tc>
          <w:tcPr>
            <w:tcW w:w="2453" w:type="dxa"/>
            <w:tcBorders>
              <w:top w:val="nil"/>
              <w:left w:val="nil"/>
              <w:bottom w:val="single" w:color="auto" w:sz="4" w:space="0"/>
              <w:right w:val="single" w:color="auto" w:sz="4" w:space="0"/>
            </w:tcBorders>
            <w:shd w:val="clear" w:color="auto" w:fill="auto"/>
            <w:noWrap/>
            <w:vAlign w:val="bottom"/>
          </w:tcPr>
          <w:p>
            <w:pPr>
              <w:jc w:val="center"/>
              <w:rPr>
                <w:rFonts w:ascii="Calibri" w:hAnsi="Calibri" w:cs="Calibri"/>
                <w:sz w:val="22"/>
              </w:rPr>
            </w:pPr>
            <w:r>
              <w:rPr>
                <w:rFonts w:ascii="Calibri" w:hAnsi="Calibri" w:cs="Calibri"/>
                <w:sz w:val="22"/>
              </w:rPr>
              <w:t>For Better Performance</w:t>
            </w:r>
          </w:p>
          <w:p>
            <w:pPr>
              <w:widowControl/>
              <w:jc w:val="left"/>
              <w:rPr>
                <w:rFonts w:ascii="宋体" w:hAnsi="宋体" w:eastAsia="宋体" w:cs="宋体"/>
                <w:kern w:val="0"/>
                <w:sz w:val="24"/>
                <w:szCs w:val="24"/>
              </w:rPr>
            </w:pPr>
            <w:r>
              <w:rPr>
                <w:rFonts w:ascii="Calibri" w:hAnsi="Calibri" w:cs="Calibri"/>
                <w:sz w:val="22"/>
              </w:rPr>
              <w:t>Around the world</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eastAsia" w:ascii="宋体" w:hAnsi="宋体" w:cs="宋体" w:eastAsiaTheme="minorEastAsia"/>
                <w:kern w:val="0"/>
                <w:sz w:val="24"/>
                <w:szCs w:val="24"/>
                <w:lang w:val="en-US" w:eastAsia="zh-CN"/>
              </w:rPr>
            </w:pPr>
            <w:r>
              <w:rPr>
                <w:rFonts w:hint="eastAsia" w:ascii="宋体" w:hAnsi="宋体" w:eastAsia="宋体" w:cs="宋体"/>
                <w:kern w:val="0"/>
                <w:sz w:val="24"/>
                <w:szCs w:val="24"/>
                <w:lang w:val="en-US" w:eastAsia="zh-CN"/>
              </w:rPr>
              <w:t xml:space="preserve">英语基础模块2  </w:t>
            </w:r>
            <w:r>
              <w:rPr>
                <w:rFonts w:ascii="Calibri" w:hAnsi="Calibri" w:cs="Calibri"/>
                <w:i/>
                <w:iCs/>
                <w:sz w:val="22"/>
              </w:rPr>
              <w:t xml:space="preserve">Unit </w:t>
            </w:r>
            <w:r>
              <w:rPr>
                <w:rFonts w:hint="eastAsia" w:ascii="Calibri" w:hAnsi="Calibri" w:cs="Calibri"/>
                <w:i/>
                <w:iCs/>
                <w:sz w:val="22"/>
                <w:lang w:val="en-US" w:eastAsia="zh-CN"/>
              </w:rPr>
              <w:t>1</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sz w:val="22"/>
              </w:rPr>
              <w:t>Listening and Speaking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lang w:val="en-US" w:eastAsia="zh-CN"/>
              </w:rPr>
              <w:t xml:space="preserve">英语基础模块2  </w:t>
            </w:r>
            <w:r>
              <w:rPr>
                <w:rFonts w:ascii="Calibri" w:hAnsi="Calibri" w:cs="Calibri"/>
                <w:i/>
                <w:iCs/>
                <w:sz w:val="22"/>
              </w:rPr>
              <w:t xml:space="preserve">Unit </w:t>
            </w:r>
            <w:r>
              <w:rPr>
                <w:rFonts w:hint="eastAsia" w:ascii="Calibri" w:hAnsi="Calibri" w:cs="Calibri"/>
                <w:i/>
                <w:iCs/>
                <w:sz w:val="22"/>
                <w:lang w:val="en-US" w:eastAsia="zh-CN"/>
              </w:rPr>
              <w:t>1</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Calibri" w:hAnsi="Calibri" w:cs="Calibri"/>
                <w:sz w:val="22"/>
              </w:rPr>
              <w:t>Listening and Speaking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24"/>
                <w:szCs w:val="24"/>
                <w:lang w:val="en-US" w:eastAsia="zh-CN"/>
              </w:rPr>
              <w:t xml:space="preserve">英语基础模块2  </w:t>
            </w:r>
            <w:r>
              <w:rPr>
                <w:rFonts w:ascii="Calibri" w:hAnsi="Calibri" w:cs="Calibri"/>
                <w:i/>
                <w:iCs/>
                <w:sz w:val="22"/>
              </w:rPr>
              <w:t xml:space="preserve">Unit </w:t>
            </w:r>
            <w:r>
              <w:rPr>
                <w:rFonts w:hint="eastAsia" w:ascii="Calibri" w:hAnsi="Calibri" w:cs="Calibri"/>
                <w:i/>
                <w:iCs/>
                <w:sz w:val="22"/>
                <w:lang w:val="en-US" w:eastAsia="zh-CN"/>
              </w:rPr>
              <w:t>1</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Times New Roman" w:hAnsi="Times New Roman" w:cs="Times New Roman"/>
                <w:sz w:val="22"/>
              </w:rPr>
              <w:t>Reading and Writing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cs="宋体" w:eastAsiaTheme="minorEastAsia"/>
                <w:kern w:val="0"/>
                <w:sz w:val="36"/>
                <w:szCs w:val="36"/>
                <w:lang w:val="en-US" w:eastAsia="zh-CN"/>
              </w:rPr>
            </w:pPr>
            <w:r>
              <w:rPr>
                <w:rFonts w:hint="eastAsia" w:ascii="宋体" w:hAnsi="宋体" w:eastAsia="宋体" w:cs="宋体"/>
                <w:kern w:val="0"/>
                <w:sz w:val="24"/>
                <w:szCs w:val="24"/>
                <w:lang w:val="en-US" w:eastAsia="zh-CN"/>
              </w:rPr>
              <w:t xml:space="preserve">英语基础模块2  </w:t>
            </w:r>
            <w:r>
              <w:rPr>
                <w:rFonts w:ascii="Calibri" w:hAnsi="Calibri" w:cs="Calibri"/>
                <w:i/>
                <w:iCs/>
                <w:sz w:val="22"/>
              </w:rPr>
              <w:t xml:space="preserve">Unit </w:t>
            </w:r>
            <w:r>
              <w:rPr>
                <w:rFonts w:hint="eastAsia" w:ascii="Calibri" w:hAnsi="Calibri" w:cs="Calibri"/>
                <w:i/>
                <w:iCs/>
                <w:sz w:val="22"/>
                <w:lang w:val="en-US" w:eastAsia="zh-CN"/>
              </w:rPr>
              <w:t>2</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Times New Roman" w:hAnsi="Times New Roman" w:cs="Times New Roman"/>
                <w:sz w:val="22"/>
              </w:rPr>
              <w:t>Reading and Writing</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 xml:space="preserve">英语基础模块2  </w:t>
            </w:r>
            <w:r>
              <w:rPr>
                <w:rFonts w:ascii="Calibri" w:hAnsi="Calibri" w:cs="Calibri"/>
                <w:i/>
                <w:iCs/>
                <w:sz w:val="22"/>
              </w:rPr>
              <w:t xml:space="preserve">Unit </w:t>
            </w:r>
            <w:r>
              <w:rPr>
                <w:rFonts w:hint="eastAsia" w:ascii="Calibri" w:hAnsi="Calibri" w:cs="Calibri"/>
                <w:i/>
                <w:iCs/>
                <w:sz w:val="22"/>
                <w:lang w:val="en-US" w:eastAsia="zh-CN"/>
              </w:rPr>
              <w:t>2</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Times New Roman" w:hAnsi="Times New Roman" w:cs="Times New Roman"/>
                <w:sz w:val="22"/>
              </w:rPr>
              <w:t>Reading and Writing</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 xml:space="preserve">英语基础模块2  </w:t>
            </w:r>
            <w:r>
              <w:rPr>
                <w:rFonts w:ascii="Calibri" w:hAnsi="Calibri" w:cs="Calibri"/>
                <w:i/>
                <w:iCs/>
                <w:sz w:val="22"/>
              </w:rPr>
              <w:t xml:space="preserve">Unit </w:t>
            </w:r>
            <w:r>
              <w:rPr>
                <w:rFonts w:hint="eastAsia" w:ascii="Calibri" w:hAnsi="Calibri" w:cs="Calibri"/>
                <w:i/>
                <w:iCs/>
                <w:sz w:val="22"/>
                <w:lang w:val="en-US" w:eastAsia="zh-CN"/>
              </w:rPr>
              <w:t>2</w:t>
            </w:r>
          </w:p>
        </w:tc>
        <w:tc>
          <w:tcPr>
            <w:tcW w:w="2453" w:type="dxa"/>
            <w:tcBorders>
              <w:top w:val="nil"/>
              <w:left w:val="nil"/>
              <w:bottom w:val="single" w:color="auto" w:sz="4" w:space="0"/>
              <w:right w:val="single" w:color="auto" w:sz="4" w:space="0"/>
            </w:tcBorders>
            <w:shd w:val="clear" w:color="auto" w:fill="auto"/>
            <w:noWrap/>
            <w:vAlign w:val="bottom"/>
          </w:tcPr>
          <w:p>
            <w:pPr>
              <w:jc w:val="center"/>
              <w:rPr>
                <w:rFonts w:ascii="Calibri" w:hAnsi="Calibri" w:cs="Calibri"/>
                <w:sz w:val="22"/>
              </w:rPr>
            </w:pPr>
            <w:r>
              <w:rPr>
                <w:rFonts w:ascii="Calibri" w:hAnsi="Calibri" w:cs="Calibri"/>
                <w:sz w:val="22"/>
              </w:rPr>
              <w:t>For Better Performance</w:t>
            </w:r>
          </w:p>
          <w:p>
            <w:pPr>
              <w:widowControl/>
              <w:jc w:val="left"/>
              <w:rPr>
                <w:rFonts w:ascii="宋体" w:hAnsi="宋体" w:eastAsia="宋体" w:cs="宋体"/>
                <w:kern w:val="0"/>
                <w:sz w:val="24"/>
                <w:szCs w:val="24"/>
              </w:rPr>
            </w:pPr>
            <w:r>
              <w:rPr>
                <w:rFonts w:ascii="Calibri" w:hAnsi="Calibri" w:cs="Calibri"/>
                <w:sz w:val="22"/>
              </w:rPr>
              <w:t>Around the world</w:t>
            </w:r>
            <w:bookmarkStart w:id="0" w:name="_GoBack"/>
            <w:bookmarkEnd w:id="0"/>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36"/>
                <w:szCs w:val="36"/>
              </w:rPr>
            </w:pPr>
            <w:r>
              <w:rPr>
                <w:rFonts w:hint="eastAsia" w:ascii="宋体" w:hAnsi="宋体" w:eastAsia="宋体" w:cs="宋体"/>
                <w:kern w:val="0"/>
                <w:sz w:val="24"/>
                <w:szCs w:val="24"/>
                <w:lang w:val="en-US" w:eastAsia="zh-CN"/>
              </w:rPr>
              <w:t xml:space="preserve">英语基础模块2  </w:t>
            </w:r>
            <w:r>
              <w:rPr>
                <w:rFonts w:ascii="Calibri" w:hAnsi="Calibri" w:cs="Calibri"/>
                <w:i/>
                <w:iCs/>
                <w:sz w:val="22"/>
              </w:rPr>
              <w:t xml:space="preserve">Unit </w:t>
            </w:r>
            <w:r>
              <w:rPr>
                <w:rFonts w:hint="eastAsia" w:ascii="Calibri" w:hAnsi="Calibri" w:cs="Calibri"/>
                <w:i/>
                <w:iCs/>
                <w:sz w:val="22"/>
                <w:lang w:val="en-US" w:eastAsia="zh-CN"/>
              </w:rPr>
              <w:t>2</w:t>
            </w:r>
          </w:p>
        </w:tc>
        <w:tc>
          <w:tcPr>
            <w:tcW w:w="2453" w:type="dxa"/>
            <w:tcBorders>
              <w:top w:val="nil"/>
              <w:left w:val="nil"/>
              <w:bottom w:val="single" w:color="auto" w:sz="4" w:space="0"/>
              <w:right w:val="single" w:color="auto" w:sz="4" w:space="0"/>
            </w:tcBorders>
            <w:shd w:val="clear" w:color="auto" w:fill="auto"/>
            <w:noWrap/>
            <w:vAlign w:val="bottom"/>
          </w:tcPr>
          <w:p>
            <w:pPr>
              <w:jc w:val="center"/>
              <w:rPr>
                <w:rFonts w:ascii="Calibri" w:hAnsi="Calibri" w:cs="Calibri"/>
                <w:sz w:val="22"/>
              </w:rPr>
            </w:pPr>
            <w:r>
              <w:rPr>
                <w:rFonts w:ascii="Calibri" w:hAnsi="Calibri" w:cs="Calibri"/>
                <w:sz w:val="22"/>
              </w:rPr>
              <w:t>For Better Performance</w:t>
            </w:r>
          </w:p>
          <w:p>
            <w:pPr>
              <w:widowControl/>
              <w:jc w:val="left"/>
              <w:rPr>
                <w:rFonts w:ascii="宋体" w:hAnsi="宋体" w:eastAsia="宋体" w:cs="宋体"/>
                <w:kern w:val="0"/>
                <w:sz w:val="24"/>
                <w:szCs w:val="24"/>
              </w:rPr>
            </w:pPr>
            <w:r>
              <w:rPr>
                <w:rFonts w:ascii="Calibri" w:hAnsi="Calibri" w:cs="Calibri"/>
                <w:sz w:val="22"/>
              </w:rPr>
              <w:t>Around the world</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ZDU3OWFjOWE5NzA2NDcxYTAwNTgyYWY5ZTQ2YjM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105772C0"/>
    <w:rsid w:val="13D04097"/>
    <w:rsid w:val="175207E1"/>
    <w:rsid w:val="22BD1205"/>
    <w:rsid w:val="295B1778"/>
    <w:rsid w:val="33DC1707"/>
    <w:rsid w:val="3EB47508"/>
    <w:rsid w:val="41345107"/>
    <w:rsid w:val="542D593B"/>
    <w:rsid w:val="56DE534B"/>
    <w:rsid w:val="5AD05272"/>
    <w:rsid w:val="601F1801"/>
    <w:rsid w:val="624F1172"/>
    <w:rsid w:val="681F15E7"/>
    <w:rsid w:val="6FE4739E"/>
    <w:rsid w:val="72AF7DE4"/>
    <w:rsid w:val="736F3E25"/>
    <w:rsid w:val="75644ADD"/>
    <w:rsid w:val="76F854DD"/>
    <w:rsid w:val="77CB0E43"/>
    <w:rsid w:val="78A91184"/>
    <w:rsid w:val="79FC3482"/>
    <w:rsid w:val="7BF10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9"/>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unhideWhenUsed/>
    <w:qFormat/>
    <w:uiPriority w:val="9"/>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0">
    <w:name w:val="Default Paragraph Font"/>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4</TotalTime>
  <ScaleCrop>false</ScaleCrop>
  <LinksUpToDate>false</LinksUpToDate>
  <CharactersWithSpaces>2514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wxx</cp:lastModifiedBy>
  <dcterms:modified xsi:type="dcterms:W3CDTF">2024-02-29T00:47:31Z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32FE4FA7EB1E478BAFDB1D0A011817D4</vt:lpwstr>
  </property>
</Properties>
</file>