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英语</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艺术教育部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21级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林洁肖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1"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32"/>
                <w:szCs w:val="32"/>
              </w:rPr>
            </w:pP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32"/>
                <w:szCs w:val="32"/>
                <w:lang w:val="en-US" w:eastAsia="zh-CN"/>
              </w:rPr>
              <w:t>使学生有较明确的英语学习动机和积极主动的学习态度；能通过阅读课文及练习，掌握英语阅读技巧，提高学生的英语阅读能力，克服生词障碍，理解大意，克服困难；能合理计划和安排学习任务，积极探索适合自己的学习方法。</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2"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50"/>
              <w:jc w:val="left"/>
              <w:rPr>
                <w:rFonts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宋体" w:hAnsi="宋体" w:eastAsia="宋体" w:cs="宋体"/>
                <w:kern w:val="0"/>
                <w:sz w:val="32"/>
                <w:szCs w:val="32"/>
                <w:lang w:val="en-US" w:eastAsia="zh-CN"/>
              </w:rPr>
              <w:t xml:space="preserve"> 学生的英语基础相对偏薄弱，部分学生词汇量不足，对于单词的记忆与语法使用都相对苦难，学习缺乏主动性、自觉性。个人学习计划制定不够合理，没有养成良好的学习习惯。没有做好课前预习、课后复习，学过的知识容易忘，没有计划性、策略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ind w:firstLine="315" w:firstLineChars="150"/>
              <w:jc w:val="left"/>
              <w:rPr>
                <w:rFonts w:hint="eastAsia" w:ascii="宋体" w:hAnsi="宋体" w:eastAsia="宋体" w:cs="宋体"/>
                <w:kern w:val="0"/>
                <w:sz w:val="32"/>
                <w:szCs w:val="32"/>
                <w:lang w:val="en-US" w:eastAsia="zh-CN"/>
              </w:rPr>
            </w:pPr>
            <w:r>
              <w:rPr>
                <w:rFonts w:hint="eastAsia"/>
                <w:lang w:val="en-US" w:eastAsia="zh-CN"/>
              </w:rPr>
              <w:t xml:space="preserve">  </w:t>
            </w:r>
            <w:r>
              <w:rPr>
                <w:rFonts w:hint="eastAsia" w:ascii="宋体" w:hAnsi="宋体" w:eastAsia="宋体" w:cs="宋体"/>
                <w:kern w:val="0"/>
                <w:sz w:val="32"/>
                <w:szCs w:val="32"/>
                <w:lang w:val="en-US" w:eastAsia="zh-CN"/>
              </w:rPr>
              <w:t>教材分两篇，4部分。</w:t>
            </w:r>
          </w:p>
          <w:p>
            <w:pPr>
              <w:widowControl/>
              <w:ind w:firstLine="480" w:firstLineChars="15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第一篇主要涉及考纲解读及题型分析。帮助学生明确考试范围和要求，把握试卷结构及题型分布，从而更加有的放矢的复习。</w:t>
            </w:r>
          </w:p>
          <w:p>
            <w:pPr>
              <w:widowControl/>
              <w:ind w:firstLine="480" w:firstLineChars="15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第二篇，分3部分，着重于基础知识梳理。包括温故知新、词汇精讲、语块深解、句式透析、语法精讲、时时检测等方面方向进行复习。主要帮助学生对英语基础知识的应用和具体语境中理解语法和灵活运用语言的能力等方面进行提升，适合各个层次的学习需求，让同学们为复习打下基础。从而使学生在更下一步复习阶段能够合理配置精力。</w:t>
            </w:r>
          </w:p>
          <w:p>
            <w:pPr>
              <w:spacing w:line="420" w:lineRule="exact"/>
            </w:pPr>
          </w:p>
          <w:p>
            <w:pPr>
              <w:spacing w:line="420" w:lineRule="exact"/>
              <w:ind w:firstLine="420" w:firstLineChars="200"/>
            </w:pPr>
          </w:p>
          <w:p>
            <w:pPr>
              <w:spacing w:line="4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ind w:firstLine="315" w:firstLineChars="150"/>
              <w:jc w:val="left"/>
              <w:rPr>
                <w:rFonts w:hint="eastAsia" w:ascii="宋体" w:hAnsi="宋体" w:eastAsia="宋体" w:cs="宋体"/>
                <w:kern w:val="0"/>
                <w:sz w:val="32"/>
                <w:szCs w:val="32"/>
                <w:lang w:val="en-US" w:eastAsia="zh-CN"/>
              </w:rPr>
            </w:pPr>
            <w:r>
              <w:rPr>
                <w:rFonts w:hint="eastAsia"/>
                <w:lang w:val="en-US" w:eastAsia="zh-CN"/>
              </w:rPr>
              <w:t xml:space="preserve">  </w:t>
            </w:r>
            <w:r>
              <w:rPr>
                <w:rFonts w:hint="eastAsia" w:ascii="宋体" w:hAnsi="宋体" w:eastAsia="宋体" w:cs="宋体"/>
                <w:kern w:val="0"/>
                <w:sz w:val="32"/>
                <w:szCs w:val="32"/>
                <w:lang w:val="en-US" w:eastAsia="zh-CN"/>
              </w:rPr>
              <w:t>本学期的重点——一轮和二轮复习，系统地复习学过的词汇和句型以及语法知识点。根据考试说明的能力要求和考查内容，结合一、二轮复习的教材对必考点、常考点和循环考点的梳理，以及对学生学习情况的掌握。学生须要通过听、说训练和大量的文章阅读，利用各种方法（互联网、查资料、图片等）在学习实践中感受英语学习带来的成就。本学期语法知识是难点，课堂辅导应该是贯彻讲练结合，精讲多练原则，牢固掌握英语语法，提高运用英语的能力。</w:t>
            </w: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4"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2"/>
              </w:numPr>
              <w:ind w:left="642" w:leftChars="0" w:firstLine="0" w:firstLineChars="0"/>
              <w:jc w:val="left"/>
              <w:rPr>
                <w:rFonts w:hint="eastAsia" w:ascii="宋体" w:hAnsi="宋体" w:eastAsia="宋体" w:cs="宋体"/>
                <w:b w:val="0"/>
                <w:bCs w:val="0"/>
                <w:kern w:val="0"/>
                <w:sz w:val="32"/>
                <w:szCs w:val="32"/>
                <w:lang w:val="en-US" w:eastAsia="zh-CN"/>
              </w:rPr>
            </w:pPr>
            <w:r>
              <w:rPr>
                <w:rFonts w:hint="eastAsia"/>
                <w:lang w:val="en-US" w:eastAsia="zh-CN"/>
              </w:rPr>
              <w:t xml:space="preserve">  </w:t>
            </w:r>
            <w:r>
              <w:rPr>
                <w:rFonts w:hint="eastAsia" w:ascii="宋体" w:hAnsi="宋体" w:eastAsia="宋体" w:cs="宋体"/>
                <w:b w:val="0"/>
                <w:bCs w:val="0"/>
                <w:kern w:val="0"/>
                <w:sz w:val="32"/>
                <w:szCs w:val="32"/>
                <w:lang w:val="en-US" w:eastAsia="zh-CN"/>
              </w:rPr>
              <w:t>积极参与课堂改革，将学生充分调动起来。</w:t>
            </w:r>
          </w:p>
          <w:p>
            <w:pPr>
              <w:widowControl/>
              <w:numPr>
                <w:ilvl w:val="0"/>
                <w:numId w:val="2"/>
              </w:numPr>
              <w:ind w:left="642"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作业做到及时批改发现问题及时反馈。</w:t>
            </w:r>
          </w:p>
          <w:p>
            <w:pPr>
              <w:widowControl/>
              <w:numPr>
                <w:ilvl w:val="0"/>
                <w:numId w:val="2"/>
              </w:numPr>
              <w:ind w:left="642"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认真备课、认真指导，尽量提高45分钟的效率</w:t>
            </w:r>
          </w:p>
          <w:p>
            <w:pPr>
              <w:widowControl/>
              <w:numPr>
                <w:ilvl w:val="0"/>
                <w:numId w:val="2"/>
              </w:numPr>
              <w:ind w:left="642"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规定晨读内容，加强监督，保证晨读效果。</w:t>
            </w:r>
          </w:p>
          <w:p>
            <w:pPr>
              <w:widowControl/>
              <w:numPr>
                <w:ilvl w:val="0"/>
                <w:numId w:val="2"/>
              </w:numPr>
              <w:ind w:left="642"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多听课向有经验的老师虚心学习，提高自身业务水平。</w:t>
            </w:r>
          </w:p>
          <w:p>
            <w:pPr>
              <w:spacing w:line="420" w:lineRule="exact"/>
              <w:ind w:left="638" w:leftChars="304" w:firstLine="0" w:firstLineChars="0"/>
              <w:rPr>
                <w:rFonts w:hint="default" w:eastAsiaTheme="minorEastAsia"/>
                <w:lang w:val="en-US" w:eastAsia="zh-CN"/>
              </w:rPr>
            </w:pPr>
            <w:r>
              <w:rPr>
                <w:rFonts w:hint="eastAsia" w:ascii="宋体" w:hAnsi="宋体" w:eastAsia="宋体" w:cs="宋体"/>
                <w:b w:val="0"/>
                <w:bCs w:val="0"/>
                <w:kern w:val="0"/>
                <w:sz w:val="32"/>
                <w:szCs w:val="32"/>
                <w:lang w:val="en-US" w:eastAsia="zh-CN"/>
              </w:rPr>
              <w:t>充分利用现代教育技术，利用计算机和多媒体软件，开发英语教学资源，提高教学质量。</w:t>
            </w:r>
          </w:p>
          <w:p>
            <w:pPr>
              <w:spacing w:line="420" w:lineRule="exact"/>
              <w:ind w:firstLine="420" w:firstLineChars="200"/>
            </w:pPr>
          </w:p>
          <w:p>
            <w:pPr>
              <w:spacing w:line="420" w:lineRule="exact"/>
              <w:ind w:firstLine="420" w:firstLineChars="200"/>
            </w:pPr>
            <w:bookmarkStart w:id="0" w:name="_GoBack"/>
            <w:bookmarkEnd w:id="0"/>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088"/>
        <w:gridCol w:w="2554"/>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088"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554"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088"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4"/>
                <w:szCs w:val="24"/>
                <w:lang w:val="en-US" w:eastAsia="zh-CN"/>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Book2 Unit 9</w:t>
            </w: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Vocabulary</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Book2 Unit9-10</w:t>
            </w: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rPr>
              <w:t>Grammar&amp;Practice</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Book3 Unit1-2</w:t>
            </w: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rPr>
              <w:t>Vocabulary</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Book3 Unit3-4</w:t>
            </w: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rPr>
              <w:t>Grammar&amp;Practice</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The 2nd Review Part1</w:t>
            </w: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b/>
                <w:bCs/>
                <w:kern w:val="0"/>
                <w:sz w:val="28"/>
                <w:szCs w:val="28"/>
                <w:lang w:val="en-US" w:eastAsia="zh-CN"/>
              </w:rPr>
              <w:t>Grammar&amp;Practice</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The 2nd Review Part1</w:t>
            </w: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rPr>
              <w:t>Grammar&amp;Practice</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The 2nd Review Part2</w:t>
            </w: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rPr>
              <w:t>Grammar&amp;Practice</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The 2nd Review Part3</w:t>
            </w: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rPr>
              <w:t>Grammar&amp;Practice</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088"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2554"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08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088"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088"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088"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088"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088"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2554"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0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088"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rPr>
            </w:pPr>
          </w:p>
        </w:tc>
        <w:tc>
          <w:tcPr>
            <w:tcW w:w="255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636B5"/>
    <w:multiLevelType w:val="singleLevel"/>
    <w:tmpl w:val="B4F636B5"/>
    <w:lvl w:ilvl="0" w:tentative="0">
      <w:start w:val="1"/>
      <w:numFmt w:val="decimal"/>
      <w:lvlText w:val="%1."/>
      <w:lvlJc w:val="left"/>
      <w:pPr>
        <w:tabs>
          <w:tab w:val="left" w:pos="312"/>
        </w:tabs>
        <w:ind w:left="642" w:leftChars="0" w:firstLine="0" w:firstLineChars="0"/>
      </w:pPr>
    </w:lvl>
  </w:abstractNum>
  <w:abstractNum w:abstractNumId="1">
    <w:nsid w:val="4A6C5D2F"/>
    <w:multiLevelType w:val="singleLevel"/>
    <w:tmpl w:val="4A6C5D2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zMWFmZDU3YTBmYTk5Mzc2ODc2MmRmMDhmNjEzZW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47F6873"/>
    <w:rsid w:val="175207E1"/>
    <w:rsid w:val="295B1778"/>
    <w:rsid w:val="33DC1707"/>
    <w:rsid w:val="43E07FB3"/>
    <w:rsid w:val="542D593B"/>
    <w:rsid w:val="56DE534B"/>
    <w:rsid w:val="5AD05272"/>
    <w:rsid w:val="601F1801"/>
    <w:rsid w:val="624F1172"/>
    <w:rsid w:val="681F15E7"/>
    <w:rsid w:val="695B073A"/>
    <w:rsid w:val="6FE4739E"/>
    <w:rsid w:val="75644ADD"/>
    <w:rsid w:val="77CB0E43"/>
    <w:rsid w:val="78A91184"/>
    <w:rsid w:val="79FC3482"/>
    <w:rsid w:val="7F6D2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24</TotalTime>
  <ScaleCrop>false</ScaleCrop>
  <LinksUpToDate>false</LinksUpToDate>
  <CharactersWithSpaces>2514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lin</cp:lastModifiedBy>
  <dcterms:modified xsi:type="dcterms:W3CDTF">2024-02-27T06:53:06Z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92CE4DA7EDFF40AFB3304F996538AAAD_13</vt:lpwstr>
  </property>
</Properties>
</file>