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213" w:firstLineChars="800"/>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金属材料与热处理</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机械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23天师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陈奉霞</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640" w:firstLineChars="200"/>
              <w:jc w:val="left"/>
              <w:rPr>
                <w:rFonts w:ascii="宋体" w:hAnsi="宋体" w:eastAsia="宋体" w:cs="宋体"/>
                <w:kern w:val="0"/>
                <w:sz w:val="24"/>
                <w:szCs w:val="24"/>
              </w:rPr>
            </w:pPr>
            <w:r>
              <w:rPr>
                <w:rFonts w:hint="eastAsia" w:ascii="宋体" w:hAnsi="宋体" w:eastAsia="宋体" w:cs="宋体"/>
                <w:kern w:val="0"/>
                <w:sz w:val="32"/>
                <w:szCs w:val="32"/>
              </w:rPr>
              <w:t>通过本阶段学习，使学生能够掌握金属材料的基础知识，理解金属的晶体结构、熟记铁碳合金相图，掌握部分钢的分类及其牌号含义。了解不同类型合金的基本用途。理解掌握金属材料热处理的类型、概念、目的、具体的应用。知道有色金属的相关知识。让学生掌握金属材料的内在规律，了解金属的诸多特性的内因。对学生进行科学的金属观教育，用辩证的眼光来看待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rPr>
              <w:t xml:space="preserve"> 2</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级天师班机械专业的学生基础相对来说比较好，学生已经对</w:t>
            </w:r>
            <w:r>
              <w:rPr>
                <w:rFonts w:hint="eastAsia" w:ascii="宋体" w:hAnsi="宋体" w:eastAsia="宋体" w:cs="宋体"/>
                <w:kern w:val="0"/>
                <w:sz w:val="32"/>
                <w:szCs w:val="32"/>
                <w:lang w:val="en-US" w:eastAsia="zh-CN"/>
              </w:rPr>
              <w:t>专业课</w:t>
            </w:r>
            <w:r>
              <w:rPr>
                <w:rFonts w:hint="eastAsia" w:ascii="宋体" w:hAnsi="宋体" w:eastAsia="宋体" w:cs="宋体"/>
                <w:kern w:val="0"/>
                <w:sz w:val="32"/>
                <w:szCs w:val="32"/>
              </w:rPr>
              <w:t>进行了一个学期的学习，已经进入学习状态，同时上学期也已经开设了一些其他相关的专业课，教学相对上学期而言比较容易。</w:t>
            </w: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640" w:firstLineChars="200"/>
              <w:rPr>
                <w:rFonts w:hint="default" w:eastAsiaTheme="minorEastAsia"/>
                <w:lang w:val="en-US" w:eastAsia="zh-CN"/>
              </w:rPr>
            </w:pPr>
            <w:r>
              <w:rPr>
                <w:rFonts w:hint="eastAsia" w:ascii="宋体" w:hAnsi="宋体" w:eastAsia="宋体" w:cs="宋体"/>
                <w:kern w:val="0"/>
                <w:sz w:val="32"/>
                <w:szCs w:val="32"/>
                <w:lang w:val="en-US" w:eastAsia="zh-CN"/>
              </w:rPr>
              <w:t>教材根据机械类专业毕业生所从事岗位的实际需要和教学实际情况的变化，合理确定学生应具备的能力和知识结构，对部分教材内容及深度、难度做了适当调整；根据相关专业领域的最新发展，在教材中充实新知识。新技术、新设备、新教材等方面的内容，体现教材的先进性；采用最新国家技术标准，使教材更加科学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金属材料常用的力学性能指标的含义、符号</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非合金钢的分类和牌号的命名方法</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常用热处理方法的目的和应用范围</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低合金钢与合金钢的分类、牌号、性能特点和应用</w:t>
            </w:r>
          </w:p>
          <w:p>
            <w:pPr>
              <w:numPr>
                <w:ilvl w:val="0"/>
                <w:numId w:val="2"/>
              </w:numPr>
              <w:spacing w:line="420" w:lineRule="exact"/>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常用铸铁的组织、性能、牌号及应用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jc w:val="left"/>
              <w:rPr>
                <w:rFonts w:ascii="宋体" w:hAnsi="宋体" w:eastAsia="宋体" w:cs="宋体"/>
                <w:kern w:val="0"/>
                <w:sz w:val="32"/>
                <w:szCs w:val="32"/>
              </w:rPr>
            </w:pP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 情境教学法</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(1)通过提问和讨论创设情境，激发创新思维</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(2)利用直观教具创设情境</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2、直观教学法</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(1)实物直观的运用</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(2)语言直观的运用</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3、 多媒体教学法</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金属材料的力学性能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力学性能指标含义</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金属材料的物理性能和化学性能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物理、化学性能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金属材料的工艺性能</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工艺性能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杂质元素对合金钢性能的影响</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钢性能的影响因素</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合金钢的分类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分类和牌号命名方法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非合金钢的牌号与用途</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牌号、成分、组织、性能、用途</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热处理的原理与分类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热处理的定义及分类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钢在加热与冷却时的组织变化</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加热和冷却时的组织转变过程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热处理的基本方法</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常用热处理方法的目的和应用范围</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钢的表面热处理与化学热处理</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热处理的方法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72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合金元素在钢中的作用</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合金元素在钢中的作用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hint="default" w:ascii="楷体_GB2312" w:hAnsi="宋体" w:eastAsia="楷体_GB2312" w:cs="宋体"/>
                <w:kern w:val="0"/>
                <w:sz w:val="36"/>
                <w:szCs w:val="36"/>
                <w:lang w:val="en-US" w:eastAsia="zh-CN"/>
              </w:rPr>
            </w:pPr>
            <w:r>
              <w:rPr>
                <w:rFonts w:hint="eastAsia" w:ascii="宋体" w:hAnsi="宋体" w:eastAsia="宋体" w:cs="宋体"/>
                <w:kern w:val="0"/>
                <w:sz w:val="24"/>
                <w:szCs w:val="24"/>
                <w:lang w:val="en-US" w:eastAsia="zh-CN"/>
              </w:rPr>
              <w:t>低合金钢与合金钢的分类和牌号</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分类、牌号、性能特点和应用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楷体_GB2312" w:hAnsi="宋体" w:eastAsia="楷体_GB2312" w:cs="宋体"/>
                <w:kern w:val="0"/>
                <w:sz w:val="36"/>
                <w:szCs w:val="36"/>
                <w:lang w:val="en-US" w:eastAsia="zh-CN"/>
              </w:rPr>
            </w:pPr>
            <w:r>
              <w:rPr>
                <w:rFonts w:hint="eastAsia" w:ascii="宋体" w:hAnsi="宋体" w:eastAsia="宋体" w:cs="宋体"/>
                <w:kern w:val="0"/>
                <w:sz w:val="24"/>
                <w:szCs w:val="24"/>
                <w:lang w:val="en-US" w:eastAsia="zh-CN"/>
              </w:rPr>
              <w:t>合金结构钢</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牌号、性能</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合金工具钢</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spacing w:before="100" w:beforeAutospacing="1" w:line="72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牌号、性能</w:t>
            </w:r>
            <w:bookmarkStart w:id="0" w:name="_GoBack"/>
            <w:bookmarkEnd w:id="0"/>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铸铁的组织与分类</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600" w:lineRule="auto"/>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铸铁的特点与分类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24"/>
                <w:szCs w:val="24"/>
                <w:lang w:val="en-US" w:eastAsia="zh-CN"/>
              </w:rPr>
              <w:t>常用铸铁</w:t>
            </w:r>
          </w:p>
        </w:tc>
        <w:tc>
          <w:tcPr>
            <w:tcW w:w="2453" w:type="dxa"/>
            <w:tcBorders>
              <w:top w:val="nil"/>
              <w:left w:val="nil"/>
              <w:bottom w:val="single" w:color="auto" w:sz="4" w:space="0"/>
              <w:right w:val="single" w:color="auto" w:sz="4" w:space="0"/>
            </w:tcBorders>
            <w:shd w:val="clear" w:color="auto" w:fill="auto"/>
            <w:noWrap/>
            <w:vAlign w:val="bottom"/>
          </w:tcPr>
          <w:p>
            <w:pPr>
              <w:widowControl/>
              <w:spacing w:line="24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常用铸铁的组织、性能、牌号及应用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6BC36"/>
    <w:multiLevelType w:val="singleLevel"/>
    <w:tmpl w:val="A306BC36"/>
    <w:lvl w:ilvl="0" w:tentative="0">
      <w:start w:val="1"/>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NmUyMzRlZjgzMWU0NDg2Y2RmMDQ0YTZmY2Y1MjU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6BB2D57"/>
    <w:rsid w:val="0AB6302C"/>
    <w:rsid w:val="0D1D3A97"/>
    <w:rsid w:val="0DA16476"/>
    <w:rsid w:val="105772C0"/>
    <w:rsid w:val="108206ED"/>
    <w:rsid w:val="175207E1"/>
    <w:rsid w:val="295B1778"/>
    <w:rsid w:val="2F065E74"/>
    <w:rsid w:val="33DC1707"/>
    <w:rsid w:val="542D593B"/>
    <w:rsid w:val="56DE534B"/>
    <w:rsid w:val="598D4786"/>
    <w:rsid w:val="5AD05272"/>
    <w:rsid w:val="601F1801"/>
    <w:rsid w:val="624F1172"/>
    <w:rsid w:val="681F15E7"/>
    <w:rsid w:val="6A164324"/>
    <w:rsid w:val="6FE4739E"/>
    <w:rsid w:val="7328445D"/>
    <w:rsid w:val="73CB41D9"/>
    <w:rsid w:val="75644ADD"/>
    <w:rsid w:val="777D02DB"/>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7</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依恋</cp:lastModifiedBy>
  <dcterms:modified xsi:type="dcterms:W3CDTF">2024-02-27T02:14:47Z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5E32806F23844389A21FCD1B885CBA59_13</vt:lpwstr>
  </property>
</Properties>
</file>