
<file path=[Content_Types].xml><?xml version="1.0" encoding="utf-8"?>
<Types xmlns="http://schemas.openxmlformats.org/package/2006/content-types">
  <Default Extension="png" ContentType="image/png"/>
  <Default Extension="xml" ContentType="application/xml"/>
  <Default Extension="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media/image1.png" ContentType="image/png"/>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a="http://schemas.openxmlformats.org/drawingml/2006/main" xmlns:wpc="http://schemas.microsoft.com/office/word/2010/wordprocessingCanvas" xmlns:mc="http://schemas.openxmlformats.org/markup-compatibility/2006" xmlns:o="urn:schemas-microsoft-com:office:office" xmlns:w="http://schemas.openxmlformats.org/wordprocessingml/2006/main" xmlns:wpsCustomData="http://www.wps.cn/officeDocument/2013/wpsCustomData" xmlns:m="http://schemas.openxmlformats.org/officeDocument/2006/math" xmlns:wpi="http://schemas.microsoft.com/office/word/2010/wordprocessingInk" xmlns:w10="urn:schemas-microsoft-com:office:word" xmlns:w14="http://schemas.microsoft.com/office/word/2010/wordml" xmlns:wne="http://schemas.microsoft.com/office/word/2006/wordml" xmlns:w15="http://schemas.microsoft.com/office/word/2012/wordml" xmlns:v="urn:schemas-microsoft-com:vml" xmlns:wp14="http://schemas.microsoft.com/office/word/2010/wordprocessingDrawing" xmlns:wp="http://schemas.openxmlformats.org/drawingml/2006/wordprocessingDrawing" xmlns:wpg="http://schemas.microsoft.com/office/word/2010/wordprocessingGroup" xmlns:r="http://schemas.openxmlformats.org/officeDocument/2006/relationships" xmlns:wps="http://schemas.microsoft.com/office/word/2010/wordprocessingShape" xmlns:pic="http://schemas.openxmlformats.org/drawingml/2006/picture" mc:Ignorable="w14 w15 wp14">
  <w:body>
    <w:tbl>
      <w:tblPr>
        <w:tblStyle w:val="2"/>
        <w:tblW w:w="10490" w:type="dxa"/>
        <w:tblInd w:type="dxa" w:w="0"/>
        <w:tblCellMar>
          <w:top w:type="dxa" w:w="0"/>
          <w:bottom w:type="dxa" w:w="0"/>
          <w:left w:type="dxa" w:w="108"/>
          <w:right w:type="dxa" w:w="108"/>
        </w:tblCellMar>
        <w:tblLayout w:type="autofit"/>
      </w:tblPr>
      <w:tblGrid>
        <w:gridCol w:w="10490"/>
      </w:tblGrid>
      <w:tr>
        <w:tblPrEx>
          <w:tblCellMar>
            <w:top w:type="dxa" w:w="0"/>
            <w:bottom w:type="dxa" w:w="0"/>
            <w:left w:type="dxa" w:w="108"/>
            <w:right w:type="dxa" w:w="108"/>
          </w:tblCellMar>
        </w:tblPrEx>
        <w:trPr>
          <w:trHeight w:val="105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4"/>
                <w:szCs w:val="24"/>
                <w:rFonts w:ascii="宋体" w:hAnsi="宋体" w:eastAsia="宋体" w:cs="宋体"/>
              </w:rPr>
              <w:jc w:val="left"/>
            </w:pPr>
            <w:r>
              <w:rPr>
                <w:kern w:val="0"/>
                <w:sz w:val="24"/>
                <w:szCs w:val="24"/>
                <w:rFonts w:ascii="宋体" w:hAnsi="宋体" w:eastAsia="宋体" w:cs="宋体"/>
              </w:rPr>
              <w:drawing>
                <wp:anchor distT="0" distB="0" distL="114300" distR="114300" simplePos="0" relativeHeight="251659264" behindDoc="0" locked="0" layoutInCell="1" allowOverlap="1">
                  <wp:simplePos y="0" x="0"/>
                  <wp:positionH relativeFrom="column">
                    <wp:posOffset>53340</wp:posOffset>
                  </wp:positionH>
                  <wp:positionV relativeFrom="paragraph">
                    <wp:posOffset>30480</wp:posOffset>
                  </wp:positionV>
                  <wp:extent cy="579120" cx="2644140"/>
                  <wp:effectExtent b="0" r="0" t="0" l="0"/>
                  <wp:wrapNone/>
                  <wp:docPr id="1" name="图片 2082"/>
                  <wp:cNvGraphicFramePr>
                    <a:graphicFrameLocks noChangeAspect="1"/>
                  </wp:cNvGraphicFramePr>
                  <a:graphic>
                    <a:graphicData uri="http://schemas.openxmlformats.org/drawingml/2006/picture">
                      <pic:pic>
                        <pic:nvPicPr>
                          <pic:cNvPr id="2" name="图片 2082"/>
                          <pic:cNvPicPr/>
                        </pic:nvPicPr>
                        <pic:blipFill>
                          <a:blip r:embed="rId5"/>
                          <a:stretch>
                            <a:fillRect/>
                          </a:stretch>
                        </pic:blipFill>
                        <pic:spPr>
                          <a:xfrm>
                            <a:off y="0" x="0"/>
                            <a:ext cy="581025" cx="2637790"/>
                          </a:xfrm>
                          <a:prstGeom prst="rect"/>
                          <a:ln w="9525">
                            <a:noFill/>
                          </a:ln>
                        </pic:spPr>
                      </pic:pic>
                    </a:graphicData>
                  </a:graphic>
                </wp:anchor>
              </w:drawing>
            </w:r>
          </w:p>
          <w:tbl>
            <w:tblPr>
              <w:tblStyle w:val="2"/>
              <w:tblW w:w="0" w:type="auto"/>
              <w:tblCellSpacing w:type="dxa" w:w="0"/>
              <w:tblInd w:type="dxa" w:w="0"/>
              <w:tblCellMar>
                <w:top w:type="dxa" w:w="0"/>
                <w:bottom w:type="dxa" w:w="0"/>
                <w:left w:type="dxa" w:w="0"/>
                <w:right w:type="dxa" w:w="0"/>
              </w:tblCellMar>
              <w:tblLayout w:type="autofit"/>
            </w:tblPr>
            <w:tblGrid>
              <w:gridCol w:w="9860"/>
            </w:tblGrid>
            <w:tr>
              <w:tblPrEx>
                <w:tblCellMar>
                  <w:top w:type="dxa" w:w="0"/>
                  <w:bottom w:type="dxa" w:w="0"/>
                  <w:left w:type="dxa" w:w="0"/>
                  <w:right w:type="dxa" w:w="0"/>
                </w:tblCellMar>
              </w:tblPrEx>
              <w:trPr>
                <w:trHeight w:val="1050" w:hRule="atLeast"/>
                <w:tblCellSpacing w:type="dxa" w:w="0"/>
              </w:trPr>
              <w:tc>
                <w:tcPr>
                  <w:tcW w:w="9860" w:type="dxa"/>
                  <w:vAlign w:val="bottom"/>
                  <w:tcBorders>
                    <w:top w:val="nil" w:shadow="off" w:frame="off"/>
                    <w:left w:val="nil" w:shadow="off" w:frame="off"/>
                    <w:bottom w:val="nil" w:shadow="off" w:frame="off"/>
                    <w:right w:val="nil" w:shadow="off" w:frame="off"/>
                  </w:tcBorders>
                  <w:shd w:val="clear" w:color="auto" w:fill="auto"/>
                  <w:noWrap/>
                </w:tcPr>
                <w:p>
                  <w:pPr>
                    <w:rPr>
                      <w:kern w:val="0"/>
                      <w:sz w:val="24"/>
                      <w:szCs w:val="24"/>
                      <w:rFonts w:ascii="宋体" w:hAnsi="宋体" w:eastAsia="宋体" w:cs="宋体"/>
                    </w:rPr>
                    <w:jc w:val="left"/>
                  </w:pPr>
                </w:p>
              </w:tc>
            </w:tr>
          </w:tbl>
          <w:p>
            <w:pPr>
              <w:rPr>
                <w:kern w:val="0"/>
                <w:sz w:val="24"/>
                <w:szCs w:val="24"/>
                <w:rFonts w:ascii="宋体" w:hAnsi="宋体" w:eastAsia="宋体" w:cs="宋体"/>
              </w:rPr>
              <w:jc w:val="left"/>
            </w:pPr>
          </w:p>
        </w:tc>
      </w:tr>
      <w:tr>
        <w:tblPrEx>
          <w:tblCellMar>
            <w:top w:type="dxa" w:w="0"/>
            <w:bottom w:type="dxa" w:w="0"/>
            <w:left w:type="dxa" w:w="108"/>
            <w:right w:type="dxa" w:w="108"/>
          </w:tblCellMar>
        </w:tblPrEx>
        <w:trPr>
          <w:trHeight w:val="31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90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2022 — 2023学年第二学期</w:t>
            </w: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u w:val="single"/>
                <w:rFonts w:ascii="宋体" w:hAnsi="宋体" w:eastAsia="宋体" w:cs="宋体"/>
              </w:rPr>
              <w:jc w:val="center"/>
            </w:pPr>
            <w:r>
              <w:rPr>
                <w:b w:val="1"/>
                <w:bCs w:val="1"/>
                <w:kern w:val="0"/>
                <w:sz w:val="40"/>
                <w:szCs w:val="40"/>
                <w:lang w:eastAsia="zh-CN"/>
                <w:u w:val="single"/>
                <w:rFonts w:ascii="宋体" w:hAnsi="宋体" w:eastAsia="宋体" w:cs="宋体" w:hint="eastAsia"/>
              </w:rPr>
              <w:t>数控车削实训</w:t>
            </w:r>
            <w:r>
              <w:rPr>
                <w:b w:val="1"/>
                <w:bCs w:val="1"/>
                <w:kern w:val="0"/>
                <w:sz w:val="40"/>
                <w:szCs w:val="40"/>
                <w:u w:val="single"/>
                <w:rFonts w:ascii="宋体" w:hAnsi="宋体" w:eastAsia="宋体" w:cs="宋体" w:hint="eastAsia"/>
              </w:rPr>
              <w:t xml:space="preserve">  </w:t>
            </w:r>
            <w:r>
              <w:rPr>
                <w:b w:val="1"/>
                <w:bCs w:val="1"/>
                <w:kern w:val="0"/>
                <w:sz w:val="40"/>
                <w:szCs w:val="40"/>
                <w:rFonts w:ascii="宋体" w:hAnsi="宋体" w:eastAsia="宋体" w:cs="宋体" w:hint="eastAsia"/>
              </w:rPr>
              <w:t>教学计划</w:t>
            </w: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u w:val="single"/>
                <w:rFonts w:ascii="宋体" w:hAnsi="宋体" w:eastAsia="宋体" w:cs="宋体"/>
              </w:rPr>
              <w:jc w:val="center"/>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69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70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w:t>
            </w:r>
            <w:r>
              <w:rPr>
                <w:b w:val="1"/>
                <w:bCs w:val="1"/>
                <w:kern w:val="0"/>
                <w:sz w:val="40"/>
                <w:szCs w:val="40"/>
                <w:lang w:eastAsia="zh-CN"/>
                <w:u w:val="single"/>
                <w:rFonts w:ascii="宋体" w:hAnsi="宋体" w:eastAsia="宋体" w:cs="宋体" w:hint="eastAsia"/>
              </w:rPr>
              <w:t>机械工程</w:t>
            </w:r>
            <w:r>
              <w:rPr>
                <w:b w:val="1"/>
                <w:bCs w:val="1"/>
                <w:kern w:val="0"/>
                <w:sz w:val="40"/>
                <w:szCs w:val="40"/>
                <w:u w:val="single"/>
                <w:rFonts w:ascii="宋体" w:hAnsi="宋体" w:eastAsia="宋体" w:cs="宋体" w:hint="eastAsia"/>
              </w:rPr>
              <w:t xml:space="preserve"> </w:t>
            </w:r>
            <w:r>
              <w:rPr>
                <w:b w:val="1"/>
                <w:bCs w:val="1"/>
                <w:kern w:val="0"/>
                <w:sz w:val="40"/>
                <w:szCs w:val="40"/>
                <w:rFonts w:ascii="宋体" w:hAnsi="宋体" w:eastAsia="宋体" w:cs="宋体" w:hint="eastAsia"/>
              </w:rPr>
              <w:t>教学部</w:t>
            </w:r>
          </w:p>
        </w:tc>
      </w:tr>
      <w:tr>
        <w:tblPrEx>
          <w:tblCellMar>
            <w:top w:type="dxa" w:w="0"/>
            <w:bottom w:type="dxa" w:w="0"/>
            <w:left w:type="dxa" w:w="108"/>
            <w:right w:type="dxa" w:w="108"/>
          </w:tblCellMar>
        </w:tblPrEx>
        <w:trPr>
          <w:trHeight w:val="70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专业</w:t>
            </w:r>
            <w:r>
              <w:rPr>
                <w:b w:val="1"/>
                <w:bCs w:val="1"/>
                <w:kern w:val="0"/>
                <w:sz w:val="40"/>
                <w:szCs w:val="40"/>
                <w:u w:val="single"/>
                <w:rFonts w:ascii="宋体" w:hAnsi="宋体" w:eastAsia="宋体" w:cs="宋体" w:hint="eastAsia"/>
              </w:rPr>
              <w:t xml:space="preserve"> </w:t>
            </w:r>
            <w:r>
              <w:rPr>
                <w:b w:val="1"/>
                <w:bCs w:val="1"/>
                <w:kern w:val="0"/>
                <w:sz w:val="40"/>
                <w:szCs w:val="40"/>
                <w:lang w:eastAsia="zh-CN"/>
                <w:u w:val="single"/>
                <w:rFonts w:ascii="宋体" w:hAnsi="宋体" w:eastAsia="宋体" w:cs="宋体" w:hint="eastAsia"/>
              </w:rPr>
              <w:t>数控</w:t>
            </w:r>
            <w:r>
              <w:rPr>
                <w:b w:val="1"/>
                <w:bCs w:val="1"/>
                <w:kern w:val="0"/>
                <w:sz w:val="40"/>
                <w:szCs w:val="40"/>
                <w:u w:val="single"/>
                <w:rFonts w:ascii="宋体" w:hAnsi="宋体" w:eastAsia="宋体" w:cs="宋体" w:hint="eastAsia"/>
              </w:rPr>
              <w:t xml:space="preserve"> </w:t>
            </w:r>
            <w:r>
              <w:rPr>
                <w:b w:val="1"/>
                <w:bCs w:val="1"/>
                <w:kern w:val="0"/>
                <w:sz w:val="40"/>
                <w:szCs w:val="40"/>
                <w:rFonts w:ascii="宋体" w:hAnsi="宋体" w:eastAsia="宋体" w:cs="宋体" w:hint="eastAsia"/>
              </w:rPr>
              <w:t>班级</w:t>
            </w:r>
            <w:r>
              <w:rPr>
                <w:b w:val="1"/>
                <w:bCs w:val="1"/>
                <w:kern w:val="0"/>
                <w:sz w:val="40"/>
                <w:szCs w:val="40"/>
                <w:u w:val="single"/>
                <w:rFonts w:ascii="宋体" w:hAnsi="宋体" w:eastAsia="宋体" w:cs="宋体" w:hint="eastAsia"/>
              </w:rPr>
              <w:t xml:space="preserve"> </w:t>
            </w:r>
            <w:r>
              <w:rPr>
                <w:b w:val="1"/>
                <w:bCs w:val="1"/>
                <w:kern w:val="0"/>
                <w:sz w:val="40"/>
                <w:szCs w:val="40"/>
                <w:lang w:val="en-US" w:eastAsia="zh-CN"/>
                <w:u w:val="single"/>
                <w:rFonts w:ascii="宋体" w:hAnsi="宋体" w:eastAsia="宋体" w:cs="宋体" w:hint="eastAsia"/>
              </w:rPr>
              <w:t>21数控1</w:t>
            </w:r>
            <w:r>
              <w:rPr>
                <w:b w:val="1"/>
                <w:bCs w:val="1"/>
                <w:kern w:val="0"/>
                <w:sz w:val="40"/>
                <w:szCs w:val="40"/>
                <w:u w:val="single"/>
                <w:rFonts w:ascii="宋体" w:hAnsi="宋体" w:eastAsia="宋体" w:cs="宋体" w:hint="eastAsia"/>
              </w:rPr>
              <w:t xml:space="preserve"> </w:t>
            </w:r>
            <w:r>
              <w:rPr>
                <w:b w:val="1"/>
                <w:bCs w:val="1"/>
                <w:kern w:val="0"/>
                <w:sz w:val="12"/>
                <w:szCs w:val="12"/>
                <w:rFonts w:ascii="宋体" w:hAnsi="宋体" w:eastAsia="宋体" w:cs="宋体" w:hint="eastAsia"/>
              </w:rPr>
              <w:t>.</w:t>
            </w:r>
          </w:p>
        </w:tc>
      </w:tr>
      <w:tr>
        <w:tblPrEx>
          <w:tblCellMar>
            <w:top w:type="dxa" w:w="0"/>
            <w:bottom w:type="dxa" w:w="0"/>
            <w:left w:type="dxa" w:w="108"/>
            <w:right w:type="dxa" w:w="108"/>
          </w:tblCellMar>
        </w:tblPrEx>
        <w:trPr>
          <w:trHeight w:val="72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任课教师</w:t>
            </w:r>
            <w:r>
              <w:rPr>
                <w:b w:val="1"/>
                <w:bCs w:val="1"/>
                <w:kern w:val="0"/>
                <w:sz w:val="40"/>
                <w:szCs w:val="40"/>
                <w:u w:val="single"/>
                <w:rFonts w:ascii="宋体" w:hAnsi="宋体" w:eastAsia="宋体" w:cs="宋体" w:hint="eastAsia"/>
              </w:rPr>
              <w:t xml:space="preserve">  赵厚峰</w:t>
            </w:r>
          </w:p>
        </w:tc>
      </w:tr>
      <w:tr>
        <w:tblPrEx>
          <w:tblCellMar>
            <w:top w:type="dxa" w:w="0"/>
            <w:bottom w:type="dxa" w:w="0"/>
            <w:left w:type="dxa" w:w="108"/>
            <w:right w:type="dxa" w:w="108"/>
          </w:tblCellMar>
        </w:tblPrEx>
        <w:trPr>
          <w:trHeight w:val="31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p>
        </w:tc>
      </w:tr>
      <w:tr>
        <w:tblPrEx>
          <w:tblCellMar>
            <w:top w:type="dxa" w:w="0"/>
            <w:bottom w:type="dxa" w:w="0"/>
            <w:left w:type="dxa" w:w="108"/>
            <w:right w:type="dxa" w:w="108"/>
          </w:tblCellMar>
        </w:tblPrEx>
        <w:trPr>
          <w:trHeight w:val="78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66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1305"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w:t>
            </w:r>
            <w:r>
              <w:rPr>
                <w:b w:val="1"/>
                <w:bCs w:val="1"/>
                <w:kern w:val="0"/>
                <w:sz w:val="40"/>
                <w:szCs w:val="40"/>
                <w:lang w:val="en-US" w:eastAsia="zh-CN"/>
                <w:rFonts w:ascii="宋体" w:hAnsi="宋体" w:eastAsia="宋体" w:cs="宋体" w:hint="eastAsia"/>
              </w:rPr>
              <w:t>2023</w:t>
            </w:r>
            <w:r>
              <w:rPr>
                <w:b w:val="1"/>
                <w:bCs w:val="1"/>
                <w:kern w:val="0"/>
                <w:sz w:val="40"/>
                <w:szCs w:val="40"/>
                <w:rFonts w:ascii="宋体" w:hAnsi="宋体" w:eastAsia="宋体" w:cs="宋体" w:hint="eastAsia"/>
              </w:rPr>
              <w:t>年</w:t>
            </w:r>
            <w:r>
              <w:rPr>
                <w:b w:val="1"/>
                <w:bCs w:val="1"/>
                <w:kern w:val="0"/>
                <w:sz w:val="40"/>
                <w:szCs w:val="40"/>
                <w:lang w:val="en-US" w:eastAsia="zh-CN"/>
                <w:rFonts w:ascii="宋体" w:hAnsi="宋体" w:eastAsia="宋体" w:cs="宋体" w:hint="eastAsia"/>
              </w:rPr>
              <w:t>2</w:t>
            </w:r>
            <w:r>
              <w:rPr>
                <w:b w:val="1"/>
                <w:bCs w:val="1"/>
                <w:kern w:val="0"/>
                <w:sz w:val="40"/>
                <w:szCs w:val="40"/>
                <w:rFonts w:ascii="宋体" w:hAnsi="宋体" w:eastAsia="宋体" w:cs="宋体" w:hint="eastAsia"/>
              </w:rPr>
              <w:t>月</w:t>
            </w:r>
            <w:r>
              <w:rPr>
                <w:b w:val="1"/>
                <w:bCs w:val="1"/>
                <w:kern w:val="0"/>
                <w:sz w:val="40"/>
                <w:szCs w:val="40"/>
                <w:lang w:val="en-US" w:eastAsia="zh-CN"/>
                <w:rFonts w:ascii="宋体" w:hAnsi="宋体" w:eastAsia="宋体" w:cs="宋体" w:hint="eastAsia"/>
              </w:rPr>
              <w:t>7</w:t>
            </w:r>
            <w:r>
              <w:rPr>
                <w:b w:val="1"/>
                <w:bCs w:val="1"/>
                <w:kern w:val="0"/>
                <w:sz w:val="40"/>
                <w:szCs w:val="40"/>
                <w:rFonts w:ascii="宋体" w:hAnsi="宋体" w:eastAsia="宋体" w:cs="宋体" w:hint="eastAsia"/>
              </w:rPr>
              <w:t>日</w:t>
            </w:r>
          </w:p>
        </w:tc>
      </w:tr>
      <w:tr>
        <w:tblPrEx>
          <w:tblCellMar>
            <w:top w:type="dxa" w:w="0"/>
            <w:bottom w:type="dxa" w:w="0"/>
            <w:left w:type="dxa" w:w="108"/>
            <w:right w:type="dxa" w:w="108"/>
          </w:tblCellMar>
        </w:tblPrEx>
        <w:trPr>
          <w:trHeight w:val="1065"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p>
        </w:tc>
      </w:tr>
      <w:tr>
        <w:tblPrEx>
          <w:tblCellMar>
            <w:top w:type="dxa" w:w="0"/>
            <w:bottom w:type="dxa" w:w="0"/>
            <w:left w:type="dxa" w:w="108"/>
            <w:right w:type="dxa" w:w="108"/>
          </w:tblCellMar>
        </w:tblPrEx>
        <w:trPr>
          <w:trHeight w:val="4485" w:hRule="atLeast"/>
        </w:trPr>
        <w:tc>
          <w:tcPr>
            <w:tcW w:w="10490" w:type="dxa"/>
            <w:tcBorders>
              <w:top w:val="single" w:color="auto" w:sz="4" w:space="0"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numPr>
                <w:ilvl w:val="0"/>
                <w:numId w:val="1"/>
              </w:numPr>
              <w:rPr>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教学目标：</w:t>
            </w:r>
            <w:r>
              <w:rPr>
                <w:kern w:val="0"/>
                <w:sz w:val="32"/>
                <w:szCs w:val="32"/>
                <w:rFonts w:ascii="宋体" w:hAnsi="宋体" w:eastAsia="宋体" w:cs="宋体" w:hint="eastAsia"/>
              </w:rPr>
              <w:t>(目的要求、质量标准)</w:t>
            </w:r>
          </w:p>
          <w:p>
            <w:pPr>
              <w:numPr>
                <w:ilvl w:val="0"/>
                <w:numId w:val="0"/>
              </w:numPr>
              <w:rPr>
                <w:kern w:val="0"/>
                <w:sz w:val="32"/>
                <w:szCs w:val="32"/>
                <w:lang w:val="en-US" w:eastAsia="zh-CN"/>
                <w:rFonts w:ascii="宋体" w:hAnsi="宋体" w:eastAsia="宋体" w:cs="宋体" w:hint="eastAsia"/>
              </w:rPr>
              <w:jc w:val="left"/>
            </w:pPr>
            <w:r>
              <w:rPr>
                <w:kern w:val="0"/>
                <w:sz w:val="32"/>
                <w:szCs w:val="32"/>
                <w:lang w:val="en-US" w:eastAsia="zh-CN"/>
                <w:rFonts w:ascii="宋体" w:hAnsi="宋体" w:eastAsia="宋体" w:cs="宋体" w:hint="eastAsia"/>
              </w:rPr>
              <w:t xml:space="preserve">    </w:t>
            </w:r>
          </w:p>
          <w:p>
            <w:pPr>
              <w:numPr>
                <w:ilvl w:val="0"/>
                <w:numId w:val="0"/>
              </w:numPr>
              <w:ind w:firstLine="960" w:firstLineChars="300"/>
              <w:rPr>
                <w:kern w:val="0"/>
                <w:sz w:val="32"/>
                <w:szCs w:val="32"/>
                <w:lang w:val="en-US" w:eastAsia="zh-CN"/>
                <w:rFonts w:ascii="宋体" w:hAnsi="宋体" w:eastAsia="宋体" w:cs="宋体" w:hint="default"/>
              </w:rPr>
              <w:jc w:val="left"/>
            </w:pPr>
            <w:r>
              <w:rPr>
                <w:kern w:val="0"/>
                <w:sz w:val="32"/>
                <w:szCs w:val="32"/>
                <w:lang w:val="en-US" w:eastAsia="zh-CN"/>
                <w:rFonts w:ascii="宋体" w:hAnsi="宋体" w:eastAsia="宋体" w:cs="宋体" w:hint="eastAsia"/>
              </w:rPr>
              <w:t>使学生掌握数控车床加工工艺与编程操作的基本知识和基本技能，培养学生应用相关知识解决在数控车床加工中遇到的实际问题的能力。</w:t>
            </w:r>
          </w:p>
        </w:tc>
      </w:tr>
      <w:tr>
        <w:tblPrEx>
          <w:tblCellMar>
            <w:top w:type="dxa" w:w="0"/>
            <w:bottom w:type="dxa" w:w="0"/>
            <w:left w:type="dxa" w:w="108"/>
            <w:right w:type="dxa" w:w="108"/>
          </w:tblCellMar>
        </w:tblPrEx>
        <w:trPr>
          <w:trHeight w:val="4410" w:hRule="atLeast"/>
        </w:trPr>
        <w:tc>
          <w:tcPr>
            <w:tcW w:w="10490" w:type="dxa"/>
            <w:tcBorders>
              <w:top w:val="nil"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numPr>
                <w:ilvl w:val="0"/>
                <w:numId w:val="1"/>
              </w:numPr>
              <w:ind w:firstLine="0" w:firstLineChars="0" w:left="0" w:leftChars="0"/>
              <w:rPr>
                <w:kern w:val="0"/>
                <w:sz w:val="32"/>
                <w:szCs w:val="32"/>
                <w:rFonts w:ascii="宋体" w:hAnsi="宋体" w:eastAsia="宋体" w:cs="宋体" w:hint="eastAsia"/>
              </w:rPr>
              <w:jc w:val="left"/>
            </w:pPr>
            <w:r>
              <w:rPr>
                <w:b w:val="1"/>
                <w:bCs w:val="1"/>
                <w:kern w:val="0"/>
                <w:sz w:val="32"/>
                <w:szCs w:val="32"/>
                <w:rFonts w:ascii="宋体" w:hAnsi="宋体" w:eastAsia="宋体" w:cs="宋体" w:hint="eastAsia"/>
              </w:rPr>
              <w:t>学情分析</w:t>
            </w:r>
            <w:r>
              <w:rPr>
                <w:kern w:val="0"/>
                <w:sz w:val="32"/>
                <w:szCs w:val="32"/>
                <w:rFonts w:ascii="宋体" w:hAnsi="宋体" w:eastAsia="宋体" w:cs="宋体" w:hint="eastAsia"/>
              </w:rPr>
              <w:t>：</w:t>
            </w:r>
          </w:p>
          <w:p>
            <w:pPr>
              <w:keepNext w:val="0"/>
              <w:keepLines w:val="0"/>
              <w:pageBreakBefore w:val="0"/>
              <w:kinsoku/>
              <w:overflowPunct/>
              <w:topLinePunct w:val="0"/>
              <w:bidi w:val="0"/>
              <w:adjustRightInd/>
              <w:textAlignment w:val="auto"/>
              <w:numPr>
                <w:ilvl w:val="0"/>
                <w:numId w:val="0"/>
              </w:numPr>
              <w:spacing w:afterAutospacing="false" w:beforeAutospacing="false" w:line="500" w:lineRule="exact"/>
              <w:ind w:hanging="960" w:hangingChars="300" w:left="1598" w:leftChars="304" w:right="813" w:rightChars="387"/>
              <w:rPr>
                <w:color w:val="000000" w:themeColor="text1"/>
                <w:kern w:val="0"/>
                <w:sz w:val="32"/>
                <w:szCs w:val="32"/>
                <w:lang w:val="en-US" w:eastAsia="zh-CN"/>
                <w14:textFill>
                  <w14:solidFill>
                    <w14:schemeClr w14:val="tx1"/>
                  </w14:solidFill>
                </w14:textFill>
                <w:shd w:val="clear" w:color="auto" w:fill="auto"/>
                <w:rFonts w:ascii="宋体" w:hAnsi="宋体" w:eastAsia="宋体" w:cs="宋体" w:hint="eastAsia"/>
              </w:rPr>
              <w:jc w:val="left"/>
            </w:pPr>
            <w:r>
              <w:rPr>
                <w:color w:val="000000" w:themeColor="text1"/>
                <w:kern w:val="0"/>
                <w:sz w:val="32"/>
                <w:szCs w:val="32"/>
                <w:lang w:val="en-US" w:eastAsia="zh-CN"/>
                <w14:textFill>
                  <w14:solidFill>
                    <w14:schemeClr w14:val="tx1"/>
                  </w14:solidFill>
                </w14:textFill>
                <w:shd w:val="clear" w:color="auto" w:fill="auto"/>
                <w:rFonts w:ascii="宋体" w:hAnsi="宋体" w:eastAsia="宋体" w:cs="宋体" w:hint="eastAsia"/>
              </w:rPr>
              <w:t xml:space="preserve">优点：易于接受新事物、新观念，适应新环境的能力强；追求品质优良的形象和生活；不肯服输，追求出人头地，不相信永远比同龄人差。    </w:t>
            </w:r>
          </w:p>
          <w:p>
            <w:pPr>
              <w:keepNext w:val="0"/>
              <w:keepLines w:val="0"/>
              <w:pageBreakBefore w:val="0"/>
              <w:kinsoku/>
              <w:overflowPunct/>
              <w:topLinePunct w:val="0"/>
              <w:bidi w:val="0"/>
              <w:adjustRightInd/>
              <w:textAlignment w:val="auto"/>
              <w:numPr>
                <w:ilvl w:val="0"/>
                <w:numId w:val="0"/>
              </w:numPr>
              <w:tabs>
                <w:tab w:val="left" w:pos="9460"/>
              </w:tabs>
              <w:spacing w:afterAutospacing="false" w:beforeAutospacing="false" w:line="500" w:lineRule="exact"/>
              <w:ind w:hanging="960" w:hangingChars="300" w:left="1598" w:leftChars="304" w:right="813" w:rightChars="387"/>
              <w:rPr>
                <w:kern w:val="0"/>
                <w:sz w:val="32"/>
                <w:szCs w:val="32"/>
                <w:lang w:val="en-US" w:eastAsia="zh-CN"/>
                <w:rFonts w:ascii="宋体" w:hAnsi="宋体" w:eastAsia="宋体" w:cs="宋体" w:hint="default"/>
              </w:rPr>
              <w:jc w:val="left"/>
            </w:pPr>
            <w:r>
              <w:rPr>
                <w:color w:val="000000" w:themeColor="text1"/>
                <w:kern w:val="0"/>
                <w:sz w:val="32"/>
                <w:szCs w:val="32"/>
                <w:lang w:val="en-US" w:eastAsia="zh-CN"/>
                <w14:textFill>
                  <w14:solidFill>
                    <w14:schemeClr w14:val="tx1"/>
                  </w14:solidFill>
                </w14:textFill>
                <w:shd w:val="clear" w:color="auto" w:fill="auto"/>
                <w:rFonts w:ascii="宋体" w:hAnsi="宋体" w:eastAsia="宋体" w:cs="宋体" w:hint="eastAsia"/>
              </w:rPr>
              <w:t>缺点：他们一有时间就玩手机，普遍厌学，自制力较差，规矩意识不强，没有养成良好的行为习惯，不少都是屡教不改的问题生。</w:t>
            </w:r>
          </w:p>
        </w:tc>
      </w:tr>
      <w:tr>
        <w:tblPrEx>
          <w:tblCellMar>
            <w:top w:type="dxa" w:w="0"/>
            <w:bottom w:type="dxa" w:w="0"/>
            <w:left w:type="dxa" w:w="108"/>
            <w:right w:type="dxa" w:w="108"/>
          </w:tblCellMar>
        </w:tblPrEx>
        <w:trPr>
          <w:trHeight w:val="4680" w:hRule="atLeast"/>
        </w:trPr>
        <w:tc>
          <w:tcPr>
            <w:tcW w:w="10490" w:type="dxa"/>
            <w:tcBorders>
              <w:top w:val="nil"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numPr>
                <w:ilvl w:val="0"/>
                <w:numId w:val="1"/>
              </w:numPr>
              <w:ind w:firstLine="0" w:firstLineChars="0" w:left="0" w:leftChars="0"/>
              <w:rPr>
                <w:b w:val="1"/>
                <w:bCs w:val="1"/>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教材分析：</w:t>
            </w:r>
          </w:p>
          <w:p>
            <w:pPr>
              <w:keepNext w:val="0"/>
              <w:keepLines w:val="0"/>
              <w:pageBreakBefore w:val="0"/>
              <w:kinsoku/>
              <w:overflowPunct/>
              <w:topLinePunct w:val="0"/>
              <w:bidi w:val="0"/>
              <w:adjustRightInd/>
              <w:textAlignment w:val="auto"/>
              <w:numPr>
                <w:ilvl w:val="0"/>
                <w:numId w:val="0"/>
              </w:numPr>
              <w:spacing w:afterAutospacing="false" w:beforeAutospacing="false" w:line="360" w:lineRule="exact"/>
              <w:ind w:hanging="420" w:hangingChars="150" w:left="840" w:leftChars="200" w:right="613" w:rightChars="292"/>
              <w:rPr>
                <w:b w:val="0"/>
                <w:bCs w:val="0"/>
                <w:color w:val="000000" w:themeColor="text1"/>
                <w:kern w:val="0"/>
                <w:sz w:val="28"/>
                <w:szCs w:val="28"/>
                <w:lang w:val="en-US" w:eastAsia="zh-CN"/>
                <w14:textFill>
                  <w14:solidFill>
                    <w14:schemeClr w14:val="tx1"/>
                  </w14:solidFill>
                </w14:textFill>
                <w:rFonts w:ascii="宋体" w:hAnsi="宋体" w:eastAsia="宋体" w:cs="宋体" w:hint="eastAsia"/>
              </w:rPr>
              <w:jc w:val="both"/>
            </w:pPr>
            <w:r>
              <w:rPr>
                <w:b w:val="0"/>
                <w:bCs w:val="0"/>
                <w:color w:val="000000" w:themeColor="text1"/>
                <w:kern w:val="0"/>
                <w:sz w:val="28"/>
                <w:szCs w:val="28"/>
                <w:lang w:val="en-US" w:eastAsia="zh-CN"/>
                <w14:textFill>
                  <w14:solidFill>
                    <w14:schemeClr w14:val="tx1"/>
                  </w14:solidFill>
                </w14:textFill>
                <w:rFonts w:ascii="宋体" w:hAnsi="宋体" w:eastAsia="宋体" w:cs="宋体" w:hint="eastAsia"/>
              </w:rPr>
              <w:t>1．突破了以往教材编写的传统方式，以项目教学为指导，按系列任务组织知识，整体逻辑思路清晰，层次分明。</w:t>
            </w:r>
          </w:p>
          <w:p>
            <w:pPr>
              <w:keepNext w:val="0"/>
              <w:keepLines w:val="0"/>
              <w:pageBreakBefore w:val="0"/>
              <w:kinsoku/>
              <w:overflowPunct/>
              <w:topLinePunct w:val="0"/>
              <w:bidi w:val="0"/>
              <w:adjustRightInd/>
              <w:textAlignment w:val="auto"/>
              <w:numPr>
                <w:ilvl w:val="0"/>
                <w:numId w:val="0"/>
              </w:numPr>
              <w:spacing w:afterAutospacing="false" w:beforeAutospacing="false" w:line="360" w:lineRule="exact"/>
              <w:ind w:hanging="420" w:hangingChars="150" w:left="840" w:leftChars="200" w:right="613" w:rightChars="292"/>
              <w:rPr>
                <w:b w:val="0"/>
                <w:bCs w:val="0"/>
                <w:color w:val="000000" w:themeColor="text1"/>
                <w:kern w:val="0"/>
                <w:sz w:val="28"/>
                <w:szCs w:val="28"/>
                <w:lang w:val="en-US" w:eastAsia="zh-CN"/>
                <w14:textFill>
                  <w14:solidFill>
                    <w14:schemeClr w14:val="tx1"/>
                  </w14:solidFill>
                </w14:textFill>
                <w:rFonts w:ascii="宋体" w:hAnsi="宋体" w:eastAsia="宋体" w:cs="宋体" w:hint="eastAsia"/>
              </w:rPr>
              <w:jc w:val="both"/>
            </w:pPr>
            <w:r>
              <w:rPr>
                <w:b w:val="0"/>
                <w:bCs w:val="0"/>
                <w:color w:val="000000" w:themeColor="text1"/>
                <w:kern w:val="0"/>
                <w:sz w:val="28"/>
                <w:szCs w:val="28"/>
                <w:lang w:val="en-US" w:eastAsia="zh-CN"/>
                <w14:textFill>
                  <w14:solidFill>
                    <w14:schemeClr w14:val="tx1"/>
                  </w14:solidFill>
                </w14:textFill>
                <w:rFonts w:ascii="宋体" w:hAnsi="宋体" w:eastAsia="宋体" w:cs="宋体" w:hint="eastAsia"/>
              </w:rPr>
              <w:t>2．注重培养数控车床操作者的核心能力，即数控加工工艺分析能力、基本编程和应用能力，以及基本操作能力，有利于操作技巧的综合提高，自始至终贯彻"做中学""做中教"的课改理念。</w:t>
            </w:r>
          </w:p>
          <w:p>
            <w:pPr>
              <w:keepNext w:val="0"/>
              <w:keepLines w:val="0"/>
              <w:pageBreakBefore w:val="0"/>
              <w:kinsoku/>
              <w:overflowPunct/>
              <w:topLinePunct w:val="0"/>
              <w:bidi w:val="0"/>
              <w:adjustRightInd/>
              <w:textAlignment w:val="auto"/>
              <w:numPr>
                <w:ilvl w:val="0"/>
                <w:numId w:val="0"/>
              </w:numPr>
              <w:spacing w:afterAutospacing="false" w:beforeAutospacing="false" w:line="360" w:lineRule="exact"/>
              <w:ind w:hanging="420" w:hangingChars="150" w:left="840" w:leftChars="200" w:right="613" w:rightChars="292"/>
              <w:rPr>
                <w:b w:val="0"/>
                <w:bCs w:val="0"/>
                <w:color w:val="000000" w:themeColor="text1"/>
                <w:kern w:val="0"/>
                <w:sz w:val="28"/>
                <w:szCs w:val="28"/>
                <w:lang w:val="en-US" w:eastAsia="zh-CN"/>
                <w14:textFill>
                  <w14:solidFill>
                    <w14:schemeClr w14:val="tx1"/>
                  </w14:solidFill>
                </w14:textFill>
                <w:rFonts w:ascii="宋体" w:hAnsi="宋体" w:eastAsia="宋体" w:cs="宋体" w:hint="eastAsia"/>
              </w:rPr>
              <w:jc w:val="both"/>
            </w:pPr>
            <w:r>
              <w:rPr>
                <w:b w:val="0"/>
                <w:bCs w:val="0"/>
                <w:color w:val="000000" w:themeColor="text1"/>
                <w:kern w:val="0"/>
                <w:sz w:val="28"/>
                <w:szCs w:val="28"/>
                <w:lang w:val="en-US" w:eastAsia="zh-CN"/>
                <w14:textFill>
                  <w14:solidFill>
                    <w14:schemeClr w14:val="tx1"/>
                  </w14:solidFill>
                </w14:textFill>
                <w:rFonts w:ascii="宋体" w:hAnsi="宋体" w:eastAsia="宋体" w:cs="宋体" w:hint="eastAsia"/>
              </w:rPr>
              <w:t>3．知识由简单到综合，体现出学习知识、运用知识、深化知识的合理过程。知识的掌握通过反复的实践来完成，符合循序渐进的认知规律。</w:t>
            </w:r>
          </w:p>
          <w:p>
            <w:pPr>
              <w:keepNext w:val="0"/>
              <w:keepLines w:val="0"/>
              <w:pageBreakBefore w:val="0"/>
              <w:kinsoku/>
              <w:overflowPunct/>
              <w:topLinePunct w:val="0"/>
              <w:bidi w:val="0"/>
              <w:adjustRightInd/>
              <w:textAlignment w:val="auto"/>
              <w:numPr>
                <w:ilvl w:val="0"/>
                <w:numId w:val="0"/>
              </w:numPr>
              <w:spacing w:afterAutospacing="false" w:beforeAutospacing="false" w:line="360" w:lineRule="exact"/>
              <w:ind w:hanging="420" w:hangingChars="150" w:left="840" w:leftChars="200" w:right="613" w:rightChars="292"/>
              <w:rPr>
                <w:b w:val="0"/>
                <w:bCs w:val="0"/>
                <w:color w:val="000000" w:themeColor="text1"/>
                <w:kern w:val="0"/>
                <w:sz w:val="28"/>
                <w:szCs w:val="28"/>
                <w:lang w:val="en-US" w:eastAsia="zh-CN"/>
                <w14:textFill>
                  <w14:solidFill>
                    <w14:schemeClr w14:val="tx1"/>
                  </w14:solidFill>
                </w14:textFill>
                <w:rFonts w:ascii="宋体" w:hAnsi="宋体" w:eastAsia="宋体" w:cs="宋体" w:hint="eastAsia"/>
              </w:rPr>
              <w:jc w:val="both"/>
            </w:pPr>
            <w:r>
              <w:rPr>
                <w:b w:val="0"/>
                <w:bCs w:val="0"/>
                <w:color w:val="000000" w:themeColor="text1"/>
                <w:kern w:val="0"/>
                <w:sz w:val="28"/>
                <w:szCs w:val="28"/>
                <w:lang w:val="en-US" w:eastAsia="zh-CN"/>
                <w14:textFill>
                  <w14:solidFill>
                    <w14:schemeClr w14:val="tx1"/>
                  </w14:solidFill>
                </w14:textFill>
                <w:rFonts w:ascii="宋体" w:hAnsi="宋体" w:eastAsia="宋体" w:cs="宋体" w:hint="eastAsia"/>
              </w:rPr>
              <w:t>4．在论述相关数控知识的同时，重视由简单到复杂的分层次实践演练，而全部演练都贯穿着严格的考评，做到理论学习有载体，技能训练有实体，体现了"理践一体化"教学理念。</w:t>
            </w:r>
          </w:p>
          <w:p>
            <w:pPr>
              <w:keepNext w:val="0"/>
              <w:keepLines w:val="0"/>
              <w:pageBreakBefore w:val="0"/>
              <w:kinsoku/>
              <w:overflowPunct/>
              <w:topLinePunct w:val="0"/>
              <w:bidi w:val="0"/>
              <w:adjustRightInd/>
              <w:textAlignment w:val="auto"/>
              <w:numPr>
                <w:ilvl w:val="0"/>
                <w:numId w:val="0"/>
              </w:numPr>
              <w:spacing w:afterAutospacing="false" w:beforeAutospacing="false" w:line="360" w:lineRule="exact"/>
              <w:ind w:hanging="420" w:hangingChars="150" w:left="840" w:leftChars="200" w:right="613" w:rightChars="292"/>
              <w:rPr>
                <w:b w:val="0"/>
                <w:bCs w:val="0"/>
                <w:color w:val="000000" w:themeColor="text1"/>
                <w:kern w:val="0"/>
                <w:sz w:val="28"/>
                <w:szCs w:val="28"/>
                <w:lang w:val="en-US" w:eastAsia="zh-CN"/>
                <w14:textFill>
                  <w14:solidFill>
                    <w14:schemeClr w14:val="tx1"/>
                  </w14:solidFill>
                </w14:textFill>
                <w:rFonts w:ascii="宋体" w:hAnsi="宋体" w:eastAsia="宋体" w:cs="宋体" w:hint="eastAsia"/>
              </w:rPr>
              <w:jc w:val="both"/>
            </w:pPr>
            <w:r>
              <w:rPr>
                <w:b w:val="0"/>
                <w:bCs w:val="0"/>
                <w:color w:val="000000" w:themeColor="text1"/>
                <w:kern w:val="0"/>
                <w:sz w:val="28"/>
                <w:szCs w:val="28"/>
                <w:lang w:val="en-US" w:eastAsia="zh-CN"/>
                <w14:textFill>
                  <w14:solidFill>
                    <w14:schemeClr w14:val="tx1"/>
                  </w14:solidFill>
                </w14:textFill>
                <w:rFonts w:ascii="宋体" w:hAnsi="宋体" w:eastAsia="宋体" w:cs="宋体" w:hint="eastAsia"/>
              </w:rPr>
              <w:t>5．手工编程、自动编程和模拟仿真高度结合，互相比照。</w:t>
            </w:r>
          </w:p>
          <w:p>
            <w:pPr>
              <w:keepNext w:val="0"/>
              <w:keepLines w:val="0"/>
              <w:pageBreakBefore w:val="0"/>
              <w:kinsoku/>
              <w:overflowPunct/>
              <w:topLinePunct w:val="0"/>
              <w:bidi w:val="0"/>
              <w:adjustRightInd/>
              <w:textAlignment w:val="auto"/>
              <w:numPr>
                <w:ilvl w:val="0"/>
                <w:numId w:val="0"/>
              </w:numPr>
              <w:spacing w:afterAutospacing="false" w:beforeAutospacing="false" w:line="360" w:lineRule="exact"/>
              <w:ind w:hanging="420" w:hangingChars="150" w:left="840" w:leftChars="200"/>
              <w:rPr>
                <w:b w:val="0"/>
                <w:bCs w:val="0"/>
                <w:color w:val="000000" w:themeColor="text1"/>
                <w:kern w:val="0"/>
                <w:sz w:val="28"/>
                <w:szCs w:val="28"/>
                <w:lang w:val="en-US" w:eastAsia="zh-CN"/>
                <w14:textFill>
                  <w14:solidFill>
                    <w14:schemeClr w14:val="tx1"/>
                  </w14:solidFill>
                </w14:textFill>
                <w:rFonts w:ascii="宋体" w:hAnsi="宋体" w:eastAsia="宋体" w:cs="宋体" w:hint="eastAsia"/>
              </w:rPr>
              <w:jc w:val="left"/>
            </w:pPr>
          </w:p>
          <w:p>
            <w:pPr>
              <w:keepNext w:val="0"/>
              <w:keepLines w:val="0"/>
              <w:pageBreakBefore w:val="0"/>
              <w:kinsoku/>
              <w:overflowPunct/>
              <w:topLinePunct w:val="0"/>
              <w:bidi w:val="0"/>
              <w:adjustRightInd/>
              <w:textAlignment w:val="auto"/>
              <w:numPr>
                <w:ilvl w:val="0"/>
                <w:numId w:val="0"/>
              </w:numPr>
              <w:spacing w:afterAutospacing="false" w:beforeAutospacing="false" w:line="360" w:lineRule="exact"/>
              <w:ind w:leftChars="0"/>
              <w:rPr>
                <w:b w:val="1"/>
                <w:bCs w:val="1"/>
                <w:kern w:val="0"/>
                <w:sz w:val="28"/>
                <w:szCs w:val="28"/>
                <w:lang w:val="en-US" w:eastAsia="zh-CN"/>
                <w:rFonts w:ascii="宋体" w:hAnsi="宋体" w:eastAsia="宋体" w:cs="宋体" w:hint="eastAsia"/>
              </w:rPr>
              <w:jc w:val="left"/>
            </w:pPr>
          </w:p>
          <w:p>
            <w:pPr>
              <w:keepNext w:val="0"/>
              <w:keepLines w:val="0"/>
              <w:pageBreakBefore w:val="0"/>
              <w:kinsoku/>
              <w:overflowPunct/>
              <w:topLinePunct w:val="0"/>
              <w:bidi w:val="0"/>
              <w:adjustRightInd/>
              <w:textAlignment w:val="auto"/>
              <w:numPr>
                <w:ilvl w:val="0"/>
                <w:numId w:val="0"/>
              </w:numPr>
              <w:spacing w:afterAutospacing="false" w:beforeAutospacing="false" w:line="360" w:lineRule="exact"/>
              <w:ind w:leftChars="0"/>
              <w:rPr>
                <w:b w:val="1"/>
                <w:bCs w:val="1"/>
                <w:kern w:val="0"/>
                <w:sz w:val="28"/>
                <w:szCs w:val="28"/>
                <w:lang w:val="en-US" w:eastAsia="zh-CN"/>
                <w:rFonts w:ascii="宋体" w:hAnsi="宋体" w:eastAsia="宋体" w:cs="宋体" w:hint="eastAsia"/>
              </w:rPr>
              <w:jc w:val="left"/>
            </w:pPr>
          </w:p>
          <w:p>
            <w:pPr>
              <w:keepNext w:val="0"/>
              <w:keepLines w:val="0"/>
              <w:pageBreakBefore w:val="0"/>
              <w:kinsoku/>
              <w:overflowPunct/>
              <w:topLinePunct w:val="0"/>
              <w:bidi w:val="0"/>
              <w:adjustRightInd/>
              <w:textAlignment w:val="auto"/>
              <w:numPr>
                <w:ilvl w:val="0"/>
                <w:numId w:val="0"/>
              </w:numPr>
              <w:spacing w:afterAutospacing="false" w:beforeAutospacing="false" w:line="360" w:lineRule="exact"/>
              <w:ind w:leftChars="0"/>
              <w:rPr>
                <w:b w:val="1"/>
                <w:bCs w:val="1"/>
                <w:kern w:val="0"/>
                <w:sz w:val="28"/>
                <w:szCs w:val="28"/>
                <w:lang w:val="en-US" w:eastAsia="zh-CN"/>
                <w:rFonts w:ascii="宋体" w:hAnsi="宋体" w:eastAsia="宋体" w:cs="宋体" w:hint="default"/>
              </w:rPr>
              <w:jc w:val="left"/>
            </w:pPr>
          </w:p>
        </w:tc>
      </w:tr>
    </w:tbl>
    <w:p/>
    <w:tbl>
      <w:tblPr>
        <w:tblStyle w:val="2"/>
        <w:tblW w:w="10485" w:type="dxa"/>
        <w:tblInd w:type="dxa" w:w="0"/>
        <w:tblCellMar>
          <w:top w:type="dxa" w:w="0"/>
          <w:bottom w:type="dxa" w:w="0"/>
          <w:left w:type="dxa" w:w="108"/>
          <w:right w:type="dxa" w:w="108"/>
        </w:tblCellMar>
        <w:tblLayout w:type="autofit"/>
      </w:tblPr>
      <w:tblGrid>
        <w:gridCol w:w="10485"/>
      </w:tblGrid>
      <w:tr>
        <w:tblPrEx>
          <w:tblCellMar>
            <w:top w:type="dxa" w:w="0"/>
            <w:bottom w:type="dxa" w:w="0"/>
            <w:left w:type="dxa" w:w="108"/>
            <w:right w:type="dxa" w:w="108"/>
          </w:tblCellMar>
        </w:tblPrEx>
        <w:trPr>
          <w:trHeight w:val="4635" w:hRule="atLeast"/>
        </w:trPr>
        <w:tc>
          <w:tcPr>
            <w:tcW w:w="10485" w:type="dxa"/>
            <w:tcBorders>
              <w:top w:val="single" w:color="auto" w:sz="4" w:space="0" w:shadow="off" w:frame="off"/>
              <w:left w:val="single" w:color="auto" w:sz="4" w:space="0" w:shadow="off" w:frame="off"/>
              <w:bottom w:val="nil" w:shadow="off" w:frame="off"/>
              <w:right w:val="single" w:color="auto" w:sz="4" w:space="0" w:shadow="off" w:frame="off"/>
            </w:tcBorders>
            <w:shd w:val="clear" w:color="auto" w:fill="auto"/>
            <w:noWrap/>
          </w:tcPr>
          <w:p>
            <w:pPr>
              <w:numPr>
                <w:ilvl w:val="0"/>
                <w:numId w:val="2"/>
              </w:numPr>
              <w:rPr>
                <w:b w:val="1"/>
                <w:bCs w:val="1"/>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教学重点难点：</w:t>
            </w:r>
          </w:p>
          <w:p>
            <w:pPr>
              <w:numPr>
                <w:ilvl w:val="0"/>
                <w:numId w:val="0"/>
              </w:numPr>
              <w:rPr>
                <w:b w:val="1"/>
                <w:bCs w:val="1"/>
                <w:kern w:val="0"/>
                <w:sz w:val="32"/>
                <w:szCs w:val="32"/>
                <w:lang w:val="en-US" w:eastAsia="zh-CN"/>
                <w:rFonts w:ascii="宋体" w:hAnsi="宋体" w:eastAsia="宋体" w:cs="宋体" w:hint="eastAsia"/>
              </w:rPr>
              <w:jc w:val="left"/>
            </w:pPr>
            <w:r>
              <w:rPr>
                <w:b w:val="1"/>
                <w:bCs w:val="1"/>
                <w:kern w:val="0"/>
                <w:sz w:val="32"/>
                <w:szCs w:val="32"/>
                <w:lang w:val="en-US" w:eastAsia="zh-CN"/>
                <w:rFonts w:ascii="宋体" w:hAnsi="宋体" w:eastAsia="宋体" w:cs="宋体" w:hint="eastAsia"/>
              </w:rPr>
              <w:t xml:space="preserve">        1.实训安全文明生产规定</w:t>
            </w:r>
          </w:p>
          <w:p>
            <w:pPr>
              <w:numPr>
                <w:ilvl w:val="0"/>
                <w:numId w:val="0"/>
              </w:numPr>
              <w:ind w:firstLine="1285" w:firstLineChars="400"/>
              <w:rPr>
                <w:b w:val="1"/>
                <w:bCs w:val="1"/>
                <w:kern w:val="0"/>
                <w:sz w:val="32"/>
                <w:szCs w:val="32"/>
                <w:lang w:val="en-US" w:eastAsia="zh-CN"/>
                <w:rFonts w:ascii="宋体" w:hAnsi="宋体" w:eastAsia="宋体" w:cs="宋体" w:hint="eastAsia"/>
              </w:rPr>
              <w:jc w:val="left"/>
            </w:pPr>
            <w:r>
              <w:rPr>
                <w:b w:val="1"/>
                <w:bCs w:val="1"/>
                <w:kern w:val="0"/>
                <w:sz w:val="32"/>
                <w:szCs w:val="32"/>
                <w:lang w:val="en-US" w:eastAsia="zh-CN"/>
                <w:rFonts w:ascii="宋体" w:hAnsi="宋体" w:eastAsia="宋体" w:cs="宋体" w:hint="eastAsia"/>
              </w:rPr>
              <w:t>2.数控车床基本操作</w:t>
            </w:r>
          </w:p>
          <w:p>
            <w:pPr>
              <w:numPr>
                <w:ilvl w:val="0"/>
                <w:numId w:val="0"/>
              </w:numPr>
              <w:ind w:firstLine="1285" w:firstLineChars="400"/>
              <w:rPr>
                <w:b w:val="1"/>
                <w:bCs w:val="1"/>
                <w:kern w:val="0"/>
                <w:sz w:val="32"/>
                <w:szCs w:val="32"/>
                <w:lang w:val="en-US" w:eastAsia="zh-CN"/>
                <w:rFonts w:ascii="宋体" w:hAnsi="宋体" w:eastAsia="宋体" w:cs="宋体" w:hint="eastAsia"/>
              </w:rPr>
              <w:jc w:val="left"/>
            </w:pPr>
            <w:r>
              <w:rPr>
                <w:b w:val="1"/>
                <w:bCs w:val="1"/>
                <w:kern w:val="0"/>
                <w:sz w:val="32"/>
                <w:szCs w:val="32"/>
                <w:lang w:val="en-US" w:eastAsia="zh-CN"/>
                <w:rFonts w:ascii="宋体" w:hAnsi="宋体" w:eastAsia="宋体" w:cs="宋体" w:hint="eastAsia"/>
              </w:rPr>
              <w:t>3.外轮廓加技术</w:t>
            </w:r>
          </w:p>
          <w:p>
            <w:pPr>
              <w:numPr>
                <w:ilvl w:val="0"/>
                <w:numId w:val="0"/>
              </w:numPr>
              <w:ind w:firstLine="1285" w:firstLineChars="400"/>
              <w:rPr>
                <w:b w:val="1"/>
                <w:bCs w:val="1"/>
                <w:kern w:val="0"/>
                <w:sz w:val="32"/>
                <w:szCs w:val="32"/>
                <w:lang w:val="en-US" w:eastAsia="zh-CN"/>
                <w:rFonts w:ascii="宋体" w:hAnsi="宋体" w:eastAsia="宋体" w:cs="宋体" w:hint="eastAsia"/>
              </w:rPr>
              <w:jc w:val="left"/>
            </w:pPr>
            <w:r>
              <w:rPr>
                <w:b w:val="1"/>
                <w:bCs w:val="1"/>
                <w:kern w:val="0"/>
                <w:sz w:val="32"/>
                <w:szCs w:val="32"/>
                <w:lang w:val="en-US" w:eastAsia="zh-CN"/>
                <w:rFonts w:ascii="宋体" w:hAnsi="宋体" w:eastAsia="宋体" w:cs="宋体" w:hint="eastAsia"/>
              </w:rPr>
              <w:t>4.G01、G02\G03、G92指令格式及应用</w:t>
            </w:r>
          </w:p>
          <w:p>
            <w:pPr>
              <w:numPr>
                <w:ilvl w:val="0"/>
                <w:numId w:val="0"/>
              </w:numPr>
              <w:ind w:firstLine="1285" w:firstLineChars="400"/>
              <w:rPr>
                <w:b w:val="1"/>
                <w:bCs w:val="1"/>
                <w:kern w:val="0"/>
                <w:sz w:val="32"/>
                <w:szCs w:val="32"/>
                <w:lang w:val="en-US" w:eastAsia="zh-CN"/>
                <w:rFonts w:ascii="宋体" w:hAnsi="宋体" w:eastAsia="宋体" w:cs="宋体" w:hint="default"/>
              </w:rPr>
              <w:jc w:val="left"/>
            </w:pPr>
            <w:r>
              <w:rPr>
                <w:b w:val="1"/>
                <w:bCs w:val="1"/>
                <w:kern w:val="0"/>
                <w:sz w:val="32"/>
                <w:szCs w:val="32"/>
                <w:lang w:val="en-US" w:eastAsia="zh-CN"/>
                <w:rFonts w:ascii="宋体" w:hAnsi="宋体" w:eastAsia="宋体" w:cs="宋体" w:hint="eastAsia"/>
              </w:rPr>
              <w:t>5.G71复合循环指令格式及应用</w:t>
            </w:r>
          </w:p>
        </w:tc>
      </w:tr>
      <w:tr>
        <w:tblPrEx>
          <w:tblCellMar>
            <w:top w:type="dxa" w:w="0"/>
            <w:bottom w:type="dxa" w:w="0"/>
            <w:left w:type="dxa" w:w="108"/>
            <w:right w:type="dxa" w:w="108"/>
          </w:tblCellMar>
        </w:tblPrEx>
        <w:trPr>
          <w:trHeight w:val="8190" w:hRule="atLeast"/>
        </w:trPr>
        <w:tc>
          <w:tcPr>
            <w:tcW w:w="10485" w:type="dxa"/>
            <w:tcBorders>
              <w:top w:val="single" w:color="auto" w:sz="4" w:space="0"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numPr>
                <w:ilvl w:val="0"/>
                <w:numId w:val="2"/>
              </w:numPr>
              <w:ind w:firstLine="0" w:firstLineChars="0" w:left="0" w:leftChars="0"/>
              <w:rPr>
                <w:b w:val="1"/>
                <w:bCs w:val="1"/>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教学方法及采取措施：</w:t>
            </w:r>
          </w:p>
          <w:p>
            <w:pPr>
              <w:numPr>
                <w:ilvl w:val="0"/>
                <w:numId w:val="0"/>
              </w:numPr>
              <w:ind w:firstLine="643" w:firstLineChars="200" w:left="0" w:leftChars="0"/>
              <w:rPr>
                <w:b w:val="1"/>
                <w:bCs w:val="1"/>
                <w:kern w:val="0"/>
                <w:sz w:val="32"/>
                <w:szCs w:val="32"/>
                <w:lang w:val="en-US" w:eastAsia="zh-CN"/>
                <w:rFonts w:ascii="宋体" w:hAnsi="宋体" w:eastAsia="宋体" w:cs="宋体" w:hint="eastAsia"/>
              </w:rPr>
              <w:jc w:val="left"/>
            </w:pPr>
            <w:r>
              <w:rPr>
                <w:b w:val="1"/>
                <w:bCs w:val="1"/>
                <w:kern w:val="0"/>
                <w:sz w:val="32"/>
                <w:szCs w:val="32"/>
                <w:lang w:val="en-US" w:eastAsia="zh-CN"/>
                <w:rFonts w:ascii="宋体" w:hAnsi="宋体" w:eastAsia="宋体" w:cs="宋体" w:hint="eastAsia"/>
              </w:rPr>
              <w:t>1.精心设计绪论课,激发学生学习兴趣,培养良好的职业素质。</w:t>
            </w:r>
          </w:p>
          <w:p>
            <w:pPr>
              <w:numPr>
                <w:ilvl w:val="0"/>
                <w:numId w:val="0"/>
              </w:numPr>
              <w:ind w:firstLine="643" w:firstLineChars="200" w:left="0" w:leftChars="0"/>
              <w:rPr>
                <w:b w:val="1"/>
                <w:bCs w:val="1"/>
                <w:kern w:val="0"/>
                <w:sz w:val="32"/>
                <w:szCs w:val="32"/>
                <w:lang w:val="en-US" w:eastAsia="zh-CN"/>
                <w:rFonts w:ascii="宋体" w:hAnsi="宋体" w:eastAsia="宋体" w:cs="宋体" w:hint="eastAsia"/>
              </w:rPr>
              <w:jc w:val="left"/>
            </w:pPr>
            <w:r>
              <w:rPr>
                <w:b w:val="1"/>
                <w:bCs w:val="1"/>
                <w:kern w:val="0"/>
                <w:sz w:val="32"/>
                <w:szCs w:val="32"/>
                <w:lang w:val="en-US" w:eastAsia="zh-CN"/>
                <w:rFonts w:ascii="宋体" w:hAnsi="宋体" w:eastAsia="宋体" w:cs="宋体" w:hint="eastAsia"/>
              </w:rPr>
              <w:t>2.利用数控仿真系统，使学生在虚拟不境中了解数控加工技术。</w:t>
            </w:r>
          </w:p>
          <w:p>
            <w:pPr>
              <w:numPr>
                <w:ilvl w:val="0"/>
                <w:numId w:val="0"/>
              </w:numPr>
              <w:ind w:firstLine="643" w:firstLineChars="200" w:left="0" w:leftChars="0"/>
              <w:rPr>
                <w:b w:val="1"/>
                <w:bCs w:val="1"/>
                <w:kern w:val="0"/>
                <w:sz w:val="32"/>
                <w:szCs w:val="32"/>
                <w:lang w:val="en-US" w:eastAsia="zh-CN"/>
                <w:rFonts w:ascii="宋体" w:hAnsi="宋体" w:eastAsia="宋体" w:cs="宋体" w:hint="eastAsia"/>
              </w:rPr>
              <w:jc w:val="left"/>
            </w:pPr>
            <w:r>
              <w:rPr>
                <w:b w:val="1"/>
                <w:bCs w:val="1"/>
                <w:kern w:val="0"/>
                <w:sz w:val="32"/>
                <w:szCs w:val="32"/>
                <w:lang w:val="en-US" w:eastAsia="zh-CN"/>
                <w:rFonts w:ascii="宋体" w:hAnsi="宋体" w:eastAsia="宋体" w:cs="宋体" w:hint="eastAsia"/>
              </w:rPr>
              <w:t>3.贯善安排实训步骤，减少学习弯路</w:t>
            </w:r>
          </w:p>
          <w:p>
            <w:pPr>
              <w:numPr>
                <w:ilvl w:val="0"/>
                <w:numId w:val="0"/>
              </w:numPr>
              <w:ind w:hanging="321" w:hangingChars="100" w:left="959" w:leftChars="304"/>
              <w:rPr>
                <w:b w:val="1"/>
                <w:bCs w:val="1"/>
                <w:kern w:val="0"/>
                <w:sz w:val="32"/>
                <w:szCs w:val="32"/>
                <w:lang w:val="en-US" w:eastAsia="zh-CN"/>
                <w:rFonts w:ascii="宋体" w:hAnsi="宋体" w:eastAsia="宋体" w:cs="宋体" w:hint="eastAsia"/>
              </w:rPr>
              <w:jc w:val="left"/>
            </w:pPr>
            <w:r>
              <w:rPr>
                <w:b w:val="1"/>
                <w:bCs w:val="1"/>
                <w:kern w:val="0"/>
                <w:sz w:val="32"/>
                <w:szCs w:val="32"/>
                <w:lang w:val="en-US" w:eastAsia="zh-CN"/>
                <w:rFonts w:ascii="宋体" w:hAnsi="宋体" w:eastAsia="宋体" w:cs="宋体" w:hint="eastAsia"/>
              </w:rPr>
              <w:t>4.在教师在场的情发下,按照自己所编工之路线上车独自加工完成零件的加工。</w:t>
            </w:r>
          </w:p>
          <w:p>
            <w:pPr>
              <w:numPr>
                <w:ilvl w:val="0"/>
                <w:numId w:val="0"/>
              </w:numPr>
              <w:ind w:hanging="321" w:hangingChars="100" w:left="959" w:leftChars="304"/>
              <w:rPr>
                <w:b w:val="1"/>
                <w:bCs w:val="1"/>
                <w:kern w:val="0"/>
                <w:sz w:val="32"/>
                <w:szCs w:val="32"/>
                <w:lang w:val="en-US" w:eastAsia="zh-CN"/>
                <w:rFonts w:ascii="宋体" w:hAnsi="宋体" w:eastAsia="宋体" w:cs="宋体" w:hint="default"/>
              </w:rPr>
              <w:jc w:val="left"/>
            </w:pPr>
            <w:r>
              <w:rPr>
                <w:b w:val="1"/>
                <w:bCs w:val="1"/>
                <w:kern w:val="0"/>
                <w:sz w:val="32"/>
                <w:szCs w:val="32"/>
                <w:lang w:val="en-US" w:eastAsia="zh-CN"/>
                <w:rFonts w:ascii="宋体" w:hAnsi="宋体" w:eastAsia="宋体" w:cs="宋体" w:hint="eastAsia"/>
              </w:rPr>
              <w:t>5、重视学生个体差异、注香因材施教.申快好指施,使全班学生都能学握好数控车床操作技巧。</w:t>
            </w:r>
          </w:p>
        </w:tc>
      </w:tr>
      <w:tr>
        <w:tblPrEx>
          <w:tblCellMar>
            <w:top w:type="dxa" w:w="0"/>
            <w:bottom w:type="dxa" w:w="0"/>
            <w:left w:type="dxa" w:w="108"/>
            <w:right w:type="dxa" w:w="108"/>
          </w:tblCellMar>
        </w:tblPrEx>
        <w:trPr>
          <w:trHeight w:val="540" w:hRule="atLeast"/>
        </w:trPr>
        <w:tc>
          <w:tcPr>
            <w:tcW w:w="10485" w:type="dxa"/>
            <w:tcBorders>
              <w:top w:val="nil" w:shadow="off" w:frame="off"/>
              <w:left w:val="nil" w:shadow="off" w:frame="off"/>
              <w:bottom w:val="nil" w:shadow="off" w:frame="off"/>
              <w:right w:val="nil" w:shadow="off" w:frame="off"/>
            </w:tcBorders>
            <w:shd w:val="clear" w:color="auto" w:fill="auto"/>
            <w:noWrap/>
          </w:tcPr>
          <w:p>
            <w:pPr>
              <w:rPr>
                <w:b w:val="1"/>
                <w:bCs w:val="1"/>
                <w:kern w:val="0"/>
                <w:sz w:val="32"/>
                <w:szCs w:val="32"/>
                <w:rFonts w:ascii="宋体" w:hAnsi="宋体" w:eastAsia="宋体" w:cs="宋体"/>
              </w:rPr>
              <w:jc w:val="left"/>
            </w:pPr>
            <w:r>
              <w:rPr>
                <w:b w:val="1"/>
                <w:bCs w:val="1"/>
                <w:kern w:val="0"/>
                <w:sz w:val="32"/>
                <w:szCs w:val="32"/>
                <w:rFonts w:ascii="宋体" w:hAnsi="宋体" w:eastAsia="宋体" w:cs="宋体" w:hint="eastAsia"/>
              </w:rPr>
              <w:t>附：学 期 授 课 计 划 表</w:t>
            </w:r>
          </w:p>
        </w:tc>
      </w:tr>
    </w:tbl>
    <w:p/>
    <w:p>
      <w:pPr>
        <w:rPr>
          <w:b w:val="1"/>
          <w:sz w:val="44"/>
          <w:rFonts w:hint="eastAsia"/>
        </w:rPr>
        <w:jc w:val="center"/>
      </w:pPr>
      <w:r>
        <w:rPr>
          <w:b w:val="1"/>
          <w:sz w:val="44"/>
          <w:rFonts w:hint="eastAsia"/>
        </w:rPr>
        <w:t>学</w:t>
      </w:r>
      <w:r>
        <w:rPr>
          <w:b w:val="1"/>
          <w:sz w:val="44"/>
        </w:rPr>
        <w:t xml:space="preserve"> 期 授 课 计 划 表</w:t>
      </w:r>
    </w:p>
    <w:p>
      <w:pPr>
        <w:rPr>
          <w:rFonts w:hint="eastAsia"/>
        </w:rPr>
      </w:pPr>
    </w:p>
    <w:tbl>
      <w:tblPr>
        <w:tblStyle w:val="2"/>
        <w:tblW w:w="10480" w:type="dxa"/>
        <w:tblInd w:type="dxa" w:w="0"/>
        <w:tblCellMar>
          <w:top w:type="dxa" w:w="0"/>
          <w:bottom w:type="dxa" w:w="0"/>
          <w:left w:type="dxa" w:w="108"/>
          <w:right w:type="dxa" w:w="108"/>
        </w:tblCellMar>
        <w:tblLayout w:type="autofit"/>
      </w:tblPr>
      <w:tblGrid>
        <w:gridCol w:w="840"/>
        <w:gridCol w:w="2060"/>
        <w:gridCol w:w="3940"/>
        <w:gridCol w:w="2480"/>
        <w:gridCol w:w="600"/>
        <w:gridCol w:w="560"/>
      </w:tblGrid>
      <w:tr>
        <w:tblPrEx>
          <w:tblCellMar>
            <w:top w:type="dxa" w:w="0"/>
            <w:bottom w:type="dxa" w:w="0"/>
            <w:left w:type="dxa" w:w="108"/>
            <w:right w:type="dxa" w:w="108"/>
          </w:tblCellMar>
        </w:tblPrEx>
        <w:trPr>
          <w:trHeight w:val="801" w:hRule="atLeast"/>
        </w:trPr>
        <w:tc>
          <w:tcPr>
            <w:tcW w:w="840" w:type="dxa"/>
            <w:vAlign w:val="center"/>
            <w:tcBorders>
              <w:top w:val="single" w:color="auto" w:sz="8" w:space="0"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rPr>
              <w:jc w:val="center"/>
            </w:pPr>
            <w:r>
              <w:rPr>
                <w:b w:val="1"/>
                <w:bCs w:val="1"/>
                <w:kern w:val="0"/>
                <w:sz w:val="28"/>
                <w:szCs w:val="28"/>
                <w:rFonts w:ascii="宋体" w:hAnsi="宋体" w:eastAsia="宋体" w:cs="宋体" w:hint="eastAsia"/>
              </w:rPr>
              <w:t>周次</w:t>
            </w:r>
          </w:p>
        </w:tc>
        <w:tc>
          <w:tcPr>
            <w:tcW w:w="206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时间</w:t>
            </w:r>
          </w:p>
        </w:tc>
        <w:tc>
          <w:tcPr>
            <w:tcW w:w="394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授课章节及内容提要</w:t>
            </w:r>
          </w:p>
        </w:tc>
        <w:tc>
          <w:tcPr>
            <w:tcW w:w="248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重点和难点</w:t>
            </w:r>
          </w:p>
        </w:tc>
        <w:tc>
          <w:tcPr>
            <w:tcW w:w="60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课时</w:t>
            </w:r>
          </w:p>
        </w:tc>
        <w:tc>
          <w:tcPr>
            <w:tcW w:w="560" w:type="dxa"/>
            <w:vAlign w:val="center"/>
            <w:tcBorders>
              <w:top w:val="single" w:color="auto" w:sz="8" w:space="0" w:shadow="off" w:frame="off"/>
              <w:left w:val="nil" w:shadow="off" w:frame="off"/>
              <w:bottom w:val="single" w:color="auto" w:sz="4" w:space="0" w:shadow="off" w:frame="off"/>
              <w:right w:val="single" w:color="auto" w:sz="8"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备注</w:t>
            </w: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2.06--2.10</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车间实训要求</w:t>
            </w:r>
            <w:r>
              <w:rPr>
                <w:kern w:val="0"/>
                <w:sz w:val="24"/>
                <w:szCs w:val="24"/>
                <w:lang w:eastAsia="zh-CN"/>
                <w:rFonts w:ascii="宋体" w:hAnsi="宋体" w:eastAsia="宋体" w:cs="宋体" w:hint="eastAsia"/>
              </w:rPr>
              <w:t>“</w:t>
            </w:r>
            <w:r>
              <w:rPr>
                <w:kern w:val="0"/>
                <w:sz w:val="24"/>
                <w:szCs w:val="24"/>
                <w:lang w:val="en-US" w:eastAsia="zh-CN"/>
                <w:rFonts w:ascii="宋体" w:hAnsi="宋体" w:eastAsia="宋体" w:cs="宋体" w:hint="eastAsia"/>
              </w:rPr>
              <w:t>8S</w:t>
            </w:r>
            <w:r>
              <w:rPr>
                <w:kern w:val="0"/>
                <w:sz w:val="24"/>
                <w:szCs w:val="24"/>
                <w:lang w:eastAsia="zh-CN"/>
                <w:rFonts w:ascii="宋体" w:hAnsi="宋体" w:eastAsia="宋体" w:cs="宋体" w:hint="eastAsia"/>
              </w:rPr>
              <w:t>”</w:t>
            </w:r>
            <w:r>
              <w:rPr>
                <w:kern w:val="0"/>
                <w:sz w:val="24"/>
                <w:szCs w:val="24"/>
                <w:rFonts w:ascii="宋体" w:hAnsi="宋体" w:eastAsia="宋体" w:cs="宋体" w:hint="eastAsia"/>
              </w:rPr>
              <w:t xml:space="preserve">目标管理   </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center"/>
            </w:pPr>
            <w:r>
              <w:rPr>
                <w:kern w:val="0"/>
                <w:sz w:val="24"/>
                <w:szCs w:val="24"/>
                <w:rFonts w:ascii="宋体" w:hAnsi="宋体" w:eastAsia="宋体" w:cs="宋体" w:hint="eastAsia"/>
              </w:rPr>
              <w:t>安全</w:t>
            </w:r>
            <w:r>
              <w:rPr>
                <w:kern w:val="0"/>
                <w:sz w:val="24"/>
                <w:szCs w:val="24"/>
                <w:lang w:eastAsia="zh-CN"/>
                <w:rFonts w:ascii="宋体" w:hAnsi="宋体" w:eastAsia="宋体" w:cs="宋体" w:hint="eastAsia"/>
              </w:rPr>
              <w:t>文明生产规定</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2"/>
                <w:szCs w:val="32"/>
                <w:lang w:val="en-US" w:eastAsia="zh-CN"/>
                <w:rFonts w:ascii="宋体" w:hAnsi="宋体" w:eastAsia="宋体" w:cs="宋体" w:hint="default"/>
              </w:rPr>
              <w:jc w:val="center"/>
            </w:pPr>
            <w:r>
              <w:rPr>
                <w:kern w:val="0"/>
                <w:sz w:val="32"/>
                <w:szCs w:val="32"/>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tcPr>
          <w:p>
            <w:pPr>
              <w:rPr>
                <w:kern w:val="0"/>
                <w:sz w:val="18"/>
                <w:szCs w:val="18"/>
                <w:rFonts w:ascii="楷体_GB2312" w:hAnsi="宋体" w:eastAsia="楷体_GB2312"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2.13--2.17</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 xml:space="preserve">数控车削基础   </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 xml:space="preserve">  数控车床结构</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left"/>
            </w:pPr>
            <w:r>
              <w:rPr>
                <w:kern w:val="0"/>
                <w:sz w:val="24"/>
                <w:szCs w:val="24"/>
                <w:lang w:val="en-US" w:eastAsia="zh-CN"/>
                <w:rFonts w:ascii="宋体" w:hAnsi="宋体" w:eastAsia="宋体" w:cs="宋体" w:hint="eastAsia"/>
              </w:rPr>
              <w:t>12</w:t>
            </w:r>
          </w:p>
          <w:p>
            <w:pPr>
              <w:rPr>
                <w:kern w:val="0"/>
                <w:sz w:val="24"/>
                <w:szCs w:val="24"/>
                <w:lang w:val="en-US" w:eastAsia="zh-CN"/>
                <w:rFonts w:ascii="宋体" w:hAnsi="宋体" w:eastAsia="宋体" w:cs="宋体" w:hint="default"/>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3</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2.20--2.24</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 xml:space="preserve">FANUCOi-TC系统操作面板   </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 xml:space="preserve"> 数控车床面板</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4</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2.27--3.03</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 xml:space="preserve">数控车床基本操作   </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 xml:space="preserve">  数控车床坐标</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32"/>
                <w:szCs w:val="32"/>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5</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3.06--3.10</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 xml:space="preserve">数控车床对刀操作 </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 xml:space="preserve">  外圆车刀对刀</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32"/>
                <w:szCs w:val="32"/>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6</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3.13--3.17</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 xml:space="preserve">数控车削输入与编辑  </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 xml:space="preserve">   程序输入</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7</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3.20--3.24</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 xml:space="preserve">圆柱面加工  </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手动加工</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8</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3.27--3.31</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G01，G02，G03指令</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直线指令</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9</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4.03--4.07</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G90，G71指令及应用</w:t>
            </w:r>
          </w:p>
          <w:p>
            <w:pPr>
              <w:rPr>
                <w:kern w:val="0"/>
                <w:sz w:val="24"/>
                <w:szCs w:val="24"/>
                <w:rFonts w:ascii="宋体" w:hAnsi="宋体" w:eastAsia="宋体" w:cs="宋体" w:hint="eastAsia"/>
              </w:rPr>
              <w:jc w:val="center"/>
            </w:pP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G71复合循环指令</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清明节</w:t>
            </w: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10</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4.10--4.14</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圆锥面加工</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G7复合循环指令</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r>
              <w:rPr>
                <w:kern w:val="0"/>
                <w:sz w:val="24"/>
                <w:szCs w:val="24"/>
                <w:rFonts w:ascii="楷体_GB2312" w:hAnsi="宋体" w:eastAsia="楷体_GB2312" w:cs="宋体" w:hint="eastAsia"/>
              </w:rPr>
              <w:t xml:space="preserve"> </w:t>
            </w: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11</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4.17--4.21</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阶梯面加工</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循环指令的应用</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期中考试</w:t>
            </w: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12</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4.24--4.28</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期中考试</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期中考试</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13</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5.01--5.05</w:t>
            </w:r>
          </w:p>
        </w:tc>
        <w:tc>
          <w:tcPr>
            <w:tcW w:w="0" w:type="auto"/>
            <w:gridSpan w:val="4"/>
            <w:vAlign w:val="center"/>
            <w:tcBorders>
              <w:top w:val="single" w:color="auto" w:sz="4" w:space="0" w:shadow="off" w:frame="off"/>
              <w:left w:val="nil" w:shadow="off" w:frame="off"/>
              <w:bottom w:val="single" w:color="auto" w:sz="4" w:space="0" w:shadow="off" w:frame="off"/>
              <w:right w:val="single" w:color="000000" w:sz="8"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5.1假期</w:t>
            </w: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14</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5.08--5.12</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G72指令及应用</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G72指令应用</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15</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5.15--5.19</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G73指令及应用</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G73指令应用</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single" w:color="auto" w:sz="4" w:space="0"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16</w:t>
            </w:r>
          </w:p>
        </w:tc>
        <w:tc>
          <w:tcPr>
            <w:tcW w:w="0" w:type="auto"/>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5.22--5.26</w:t>
            </w:r>
          </w:p>
        </w:tc>
        <w:tc>
          <w:tcPr>
            <w:tcW w:w="0" w:type="auto"/>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简单阶梯轴加工</w:t>
            </w:r>
          </w:p>
        </w:tc>
        <w:tc>
          <w:tcPr>
            <w:tcW w:w="0" w:type="auto"/>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阶梯轴加工</w:t>
            </w:r>
          </w:p>
        </w:tc>
        <w:tc>
          <w:tcPr>
            <w:tcW w:w="0" w:type="auto"/>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bottom"/>
            <w:tcBorders>
              <w:top w:val="single" w:color="auto" w:sz="4" w:space="0"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17</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5.29--6.02</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复杂阶梯轴加工</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复杂阶梯轴加工</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18</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6.05--6.09</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槽加工</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槽刀应用</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19</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6.12--6.16</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螺纹加工</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G92应用</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20</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6.19--6.23</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复杂轴类件加工</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综合应用</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21</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6.26--6.30</w:t>
            </w:r>
          </w:p>
        </w:tc>
        <w:tc>
          <w:tcPr>
            <w:tcW w:w="0" w:type="auto"/>
            <w:gridSpan w:val="2"/>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期末复习</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22</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7.03--7.07</w:t>
            </w:r>
          </w:p>
        </w:tc>
        <w:tc>
          <w:tcPr>
            <w:tcW w:w="0" w:type="auto"/>
            <w:gridSpan w:val="2"/>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期末考试</w:t>
            </w:r>
          </w:p>
        </w:tc>
        <w:tc>
          <w:tcPr>
            <w:tcW w:w="0" w:type="auto"/>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799" w:hRule="atLeast"/>
        </w:trPr>
        <w:tc>
          <w:tcPr>
            <w:tcW w:w="0" w:type="auto"/>
            <w:vAlign w:val="center"/>
            <w:tcBorders>
              <w:top w:val="nil" w:shadow="off" w:frame="off"/>
              <w:left w:val="single" w:color="auto" w:sz="8" w:space="0" w:shadow="off" w:frame="off"/>
              <w:bottom w:val="single" w:color="auto" w:sz="8"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23</w:t>
            </w:r>
          </w:p>
        </w:tc>
        <w:tc>
          <w:tcPr>
            <w:tcW w:w="0" w:type="auto"/>
            <w:vAlign w:val="center"/>
            <w:tcBorders>
              <w:top w:val="nil" w:shadow="off" w:frame="off"/>
              <w:left w:val="nil" w:shadow="off" w:frame="off"/>
              <w:bottom w:val="single" w:color="auto" w:sz="8"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7.10--7.12</w:t>
            </w:r>
          </w:p>
        </w:tc>
        <w:tc>
          <w:tcPr>
            <w:tcW w:w="0" w:type="auto"/>
            <w:gridSpan w:val="2"/>
            <w:vAlign w:val="center"/>
            <w:tcBorders>
              <w:top w:val="single" w:color="auto" w:sz="4" w:space="0" w:shadow="off" w:frame="off"/>
              <w:left w:val="nil" w:shadow="off" w:frame="off"/>
              <w:bottom w:val="single" w:color="auto" w:sz="8" w:space="0" w:shadow="off" w:frame="off"/>
              <w:right w:val="single" w:color="auto" w:sz="4" w:space="0" w:shadow="off" w:frame="off"/>
            </w:tcBorders>
            <w:shd w:val="clear" w:color="auto" w:fill="auto"/>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成绩分析</w:t>
            </w:r>
          </w:p>
        </w:tc>
        <w:tc>
          <w:tcPr>
            <w:tcW w:w="0" w:type="auto"/>
            <w:vAlign w:val="center"/>
            <w:tcBorders>
              <w:top w:val="nil" w:shadow="off" w:frame="off"/>
              <w:left w:val="nil" w:shadow="off" w:frame="off"/>
              <w:bottom w:val="single" w:color="auto" w:sz="8"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12</w:t>
            </w:r>
          </w:p>
        </w:tc>
        <w:tc>
          <w:tcPr>
            <w:tcW w:w="560" w:type="dxa"/>
            <w:vAlign w:val="bottom"/>
            <w:tcBorders>
              <w:top w:val="nil" w:shadow="off" w:frame="off"/>
              <w:left w:val="nil" w:shadow="off" w:frame="off"/>
              <w:bottom w:val="single" w:color="auto" w:sz="8"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bl>
    <w:p>
      <w:pPr>
        <w:rPr>
          <w:lang w:val="en-US" w:eastAsia="zh-CN"/>
          <w:rFonts w:hint="eastAsia" w:eastAsiaTheme="minorEastAsia"/>
        </w:rPr>
      </w:pPr>
      <w:bookmarkStart w:id="0" w:name="_GoBack"/>
      <w:bookmarkEnd w:id="0"/>
      <w:r>
        <w:rPr>
          <w:lang w:val="en-US" w:eastAsia="zh-CN"/>
          <w:rFonts w:hint="eastAsia"/>
        </w:rPr>
        <w:t>1</w:t>
      </w:r>
    </w:p>
    <w:sectPr>
      <w:docGrid w:type="lines" w:linePitch="312" w:charSpace="0"/>
      <w:pgSz w:w="11906" w:h="16838"/>
      <w:pgMar w:top="720" w:right="720" w:bottom="720" w:left="720" w:header="851" w:footer="992" w:gutter="0"/>
      <w:cols w:space="425" w:num="1"/>
    </w:sectPr>
  </w:body>
</w:document>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15="http://schemas.microsoft.com/office/word/2012/wordml" xmlns:wpc="http://schemas.microsoft.com/office/word/2010/wordprocessingCanvas" xmlns:mc="http://schemas.openxmlformats.org/markup-compatibility/2006" xmlns:o="urn:schemas-microsoft-com:office:office" xmlns:w="http://schemas.openxmlformats.org/wordprocessingml/2006/main" xmlns:wpsCustomData="http://www.wps.cn/officeDocument/2013/wpsCustomData" xmlns:wp14="http://schemas.microsoft.com/office/word/2010/wordprocessingDrawing" xmlns:v="urn:schemas-microsoft-com:vml" xmlns:wpi="http://schemas.microsoft.com/office/word/2010/wordprocessingInk" xmlns:w10="urn:schemas-microsoft-com:office:word" xmlns:w14="http://schemas.microsoft.com/office/word/2010/wordml" xmlns:wp="http://schemas.openxmlformats.org/drawingml/2006/wordprocessingDrawing" xmlns:wpg="http://schemas.microsoft.com/office/word/2010/wordprocessingGroup" xmlns:m="http://schemas.openxmlformats.org/officeDocument/2006/math" xmlns:wne="http://schemas.microsoft.com/office/word/2006/wordml" xmlns:r="http://schemas.openxmlformats.org/officeDocument/2006/relationships" xmlns:wps="http://schemas.microsoft.com/office/word/2010/wordprocessingShape" mc:Ignorable="w14 wp14">
  <w:abstractNum w:abstractNumId="0">
    <w:nsid w:val="F8550BED"/>
    <w:multiLevelType w:val="singleLevel"/>
    <w:tmpl w:val="F8550BED"/>
    <w:lvl w:ilvl="0" w:tentative="false">
      <w:start w:val="4"/>
      <w:numFmt w:val="chineseCounting"/>
      <w:suff w:val="nothing"/>
      <w:lvlText w:val="%1、" w:null="false"/>
      <w:lvlJc w:val="left"/>
      <w:rPr>
        <w:rFonts w:hint="eastAsia"/>
      </w:rPr>
    </w:lvl>
  </w:abstractNum>
  <w:abstractNum w:abstractNumId="1">
    <w:nsid w:val="28A2AAE4"/>
    <w:multiLevelType w:val="singleLevel"/>
    <w:tmpl w:val="28A2AAE4"/>
    <w:lvl w:ilvl="0" w:tentative="false">
      <w:start w:val="1"/>
      <w:numFmt w:val="chineseCounting"/>
      <w:suff w:val="nothing"/>
      <w:lvlText w:val="%1、" w:null="false"/>
      <w:lvlJc w:val="left"/>
      <w:rPr>
        <w:rFonts w:hint="eastAsia"/>
      </w:rPr>
    </w:lvl>
  </w:abstractNum>
  <w:num w:numId="1">
    <w:abstractNumId w:val="1"/>
  </w:num>
  <w:num w:numId="2">
    <w:abstractNumId w:val="0"/>
  </w:num>
</w:numbering>
</file>

<file path=word/settings.xml><?xml version="1.0" encoding="utf-8"?>
<w:settings xmlns:w14="http://schemas.microsoft.com/office/word/2010/wordml" xmlns:r="http://schemas.openxmlformats.org/officeDocument/2006/relationships" xmlns:sl="http://schemas.openxmlformats.org/schemaLibrary/2006/main" xmlns:v="urn:schemas-microsoft-com:vml" xmlns:wpsCustomData="http://www.wps.cn/officeDocument/2013/wpsCustomData" xmlns:w10="urn:schemas-microsoft-com:office:word" xmlns:o="urn:schemas-microsoft-com:office:office" xmlns:w="http://schemas.openxmlformats.org/wordprocessingml/2006/main" xmlns:m="http://schemas.openxmlformats.org/officeDocument/2006/math" xmlns:mc="http://schemas.openxmlformats.org/markup-compatibility/2006" mc:Ignorable="w14">
  <w:bordersDoNotSurroundHeader/>
  <w:bordersDoNotSurroundFooter/>
  <w:defaultTabStop w:val="420"/>
  <w:drawingGridVerticalSpacing w:val="156"/>
  <w:drawingGridHorizontalSpacing w:val="105"/>
  <w:displayHorizontalDrawingGridEvery w:val="0"/>
  <w:displayVerticalDrawingGridEvery w:val="2"/>
  <w:characterSpacingControl w:val="compressPunctuation"/>
  <w:zoom w:percent="157"/>
  <w:compat>
    <w:spaceForUL/>
    <w:balanceSingleByteDoubleByteWidth/>
    <w:doNotLeaveBackslashAlone/>
    <w:ulTrailSpace/>
    <w:doNotExpandShiftReturn/>
    <w:adjustLineHeightInTable/>
    <w:useFELayou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C25877"/>
    <w:rsid w:val="00012916"/>
    <w:rsid w:val="003F2302"/>
    <w:rsid w:val="0078646B"/>
    <w:rsid w:val="009E40AD"/>
    <w:rsid w:val="00C25877"/>
    <w:rsid w:val="00E6636F"/>
    <w:rsid w:val="00E90810"/>
    <w:rsid w:val="00EA769F"/>
    <w:rsid w:val="1A607D62"/>
    <w:rsid w:val="1AB71087"/>
    <w:rsid w:val="283214FC"/>
    <w:rsid w:val="3002291B"/>
    <w:rsid w:val="3D3E4A1A"/>
    <w:rsid w:val="43195B8C"/>
    <w:rsid w:val="447828D1"/>
    <w:rsid w:val="52B72CCB"/>
    <w:rsid w:val="728C4029"/>
    <w:rsid w:val="72FA0C86"/>
    <w:rsid w:val="7DDF45B6"/>
    <w:rsid w:val="7EF04603"/>
  </w:rsids>
  <m:mathPr>
    <m:mathFont m:val="Cambria Math"/>
    <m:brkBin m:val="before"/>
    <m:brkBinSub m:val="--"/>
    <m:smallFrac m:val="0"/>
    <m:dispDef/>
    <m:lMargin m:val="0"/>
    <m:rMargin m:val="0"/>
    <m:defJc m:val="centerGroup"/>
    <m:wrapIndent m:val="1440"/>
    <m:intLim m:val="subSup"/>
    <m:naryLim m:val="undOvr"/>
  </m:mathPr>
  <w:themeFontLang w:eastAsia="zh-CN" w:val="en-US"/>
  <w:shapeDefaults>
    <o:shapedefaults spidmax="0" fill="t" fillcolor="#FFFFFF" stroke="t"/>
    <o:shapelayout v:ext="edit">
      <o:idmap v:ext="edit" data="1"/>
    </o:shapelayout>
  </w:shapeDefaults>
  <w:clrSchemeMapping w:bg1="light1" w:t1="dark1" w:bg2="light2" w:t2="dark2" w:accent1="accent1" w:accent2="accent2" w:accent3="accent3" w:accent4="accent4" w:accent5="accent5" w:accent6="accent6" w:hyperlink="hyperlink" w:followedHyperlink="followedHyperlink"/>
  <w:decimalSymbol/>
  <w:listSeparator/>
</w:settings>
</file>

<file path=word/styles.xml><?xml version="1.0" encoding="utf-8"?>
<w:styles xmlns:wpsCustomData="http://www.wps.cn/officeDocument/2013/wpsCustomData" xmlns:w10="urn:schemas-microsoft-com:office:word" xmlns:w14="http://schemas.microsoft.com/office/word/2010/wordml" xmlns:r="http://schemas.openxmlformats.org/officeDocument/2006/relationships" xmlns:o="urn:schemas-microsoft-com:office:office" xmlns:w="http://schemas.openxmlformats.org/wordprocessingml/2006/main" xmlns:sl="http://schemas.openxmlformats.org/schemaLibrary/2006/main" xmlns:v="urn:schemas-microsoft-com:vml" xmlns:m="http://schemas.openxmlformats.org/officeDocument/2006/math" xmlns:mc="http://schemas.openxmlformats.org/markup-compatibility/2006" mc:Ignorable="w14">
  <w:docDefaults>
    <w:pPrDefault>
      <w:rPr>
        <w:rFonts w:asciiTheme="minorHAnsi" w:eastAsiaTheme="minorEastAsia" w:hAnsiTheme="minorHAnsi" w:cstheme="minorBidi"/>
      </w:rPr>
    </w:pPrDefault>
    <w:pPrDefault/>
  </w:docDefaults>
  <w:latentStyles w:defLockedState="0" w:defSemiHidden="1" w:defUnhideWhenUsed="1" w:defQFormat="0" w:defUIPriority="99" w:count="260">
    <w:lsdException w:name="Balloon Text" w:uiPriority="99"/>
    <w:lsdException w:name="Block Text" w:uiPriority="99"/>
    <w:lsdException w:name="Body Text" w:uiPriority="99"/>
    <w:lsdException w:name="Body Text 2" w:uiPriority="99"/>
    <w:lsdException w:name="Body Text 3" w:uiPriority="99"/>
    <w:lsdException w:name="Body Text First Indent" w:uiPriority="99"/>
    <w:lsdException w:name="Body Text First Indent 2" w:uiPriority="99"/>
    <w:lsdException w:name="Body Text Indent" w:uiPriority="99"/>
    <w:lsdException w:name="Body Text Indent 2" w:uiPriority="99"/>
    <w:lsdException w:name="Body Text Indent 3" w:uiPriority="99"/>
    <w:lsdException w:name="Closing" w:uiPriority="99"/>
    <w:lsdException w:name="Colorful Grid" w:uiPriority="73" w:semiHidden="0" w:unhideWhenUsed="0"/>
    <w:lsdException w:name="Colorful Grid Accent 1" w:uiPriority="73" w:semiHidden="0" w:unhideWhenUsed="0"/>
    <w:lsdException w:name="Colorful Grid Accent 2" w:uiPriority="73" w:semiHidden="0" w:unhideWhenUsed="0"/>
    <w:lsdException w:name="Colorful Grid Accent 3" w:uiPriority="73" w:semiHidden="0" w:unhideWhenUsed="0"/>
    <w:lsdException w:name="Colorful Grid Accent 4" w:uiPriority="73" w:semiHidden="0" w:unhideWhenUsed="0"/>
    <w:lsdException w:name="Colorful Grid Accent 5" w:uiPriority="73" w:semiHidden="0" w:unhideWhenUsed="0"/>
    <w:lsdException w:name="Colorful Grid Accent 6" w:uiPriority="73" w:semiHidden="0" w:unhideWhenUsed="0"/>
    <w:lsdException w:name="Colorful List" w:uiPriority="72" w:semiHidden="0" w:unhideWhenUsed="0"/>
    <w:lsdException w:name="Colorful List Accent 1" w:uiPriority="72" w:semiHidden="0" w:unhideWhenUsed="0"/>
    <w:lsdException w:name="Colorful List Accent 2" w:uiPriority="72" w:semiHidden="0" w:unhideWhenUsed="0"/>
    <w:lsdException w:name="Colorful List Accent 3" w:uiPriority="72" w:semiHidden="0" w:unhideWhenUsed="0"/>
    <w:lsdException w:name="Colorful List Accent 4" w:uiPriority="72" w:semiHidden="0" w:unhideWhenUsed="0"/>
    <w:lsdException w:name="Colorful List Accent 5" w:uiPriority="72" w:semiHidden="0" w:unhideWhenUsed="0"/>
    <w:lsdException w:name="Colorful List Accent 6" w:uiPriority="72" w:semiHidden="0" w:unhideWhenUsed="0"/>
    <w:lsdException w:name="Colorful Shading" w:uiPriority="71" w:semiHidden="0" w:unhideWhenUsed="0"/>
    <w:lsdException w:name="Colorful Shading Accent 1" w:uiPriority="71" w:semiHidden="0" w:unhideWhenUsed="0"/>
    <w:lsdException w:name="Colorful Shading Accent 2" w:uiPriority="71" w:semiHidden="0" w:unhideWhenUsed="0"/>
    <w:lsdException w:name="Colorful Shading Accent 3" w:uiPriority="71" w:semiHidden="0" w:unhideWhenUsed="0"/>
    <w:lsdException w:name="Colorful Shading Accent 4" w:uiPriority="71" w:semiHidden="0" w:unhideWhenUsed="0"/>
    <w:lsdException w:name="Colorful Shading Accent 5" w:uiPriority="71" w:semiHidden="0" w:unhideWhenUsed="0"/>
    <w:lsdException w:name="Colorful Shading Accent 6" w:uiPriority="71" w:semiHidden="0" w:unhideWhenUsed="0"/>
    <w:lsdException w:name="Dark List" w:uiPriority="70" w:semiHidden="0" w:unhideWhenUsed="0"/>
    <w:lsdException w:name="Dark List Accent 1" w:uiPriority="70" w:semiHidden="0" w:unhideWhenUsed="0"/>
    <w:lsdException w:name="Dark List Accent 2" w:uiPriority="70" w:semiHidden="0" w:unhideWhenUsed="0"/>
    <w:lsdException w:name="Dark List Accent 3" w:uiPriority="70" w:semiHidden="0" w:unhideWhenUsed="0"/>
    <w:lsdException w:name="Dark List Accent 4" w:uiPriority="70" w:semiHidden="0" w:unhideWhenUsed="0"/>
    <w:lsdException w:name="Dark List Accent 5" w:uiPriority="70" w:semiHidden="0" w:unhideWhenUsed="0"/>
    <w:lsdException w:name="Dark List Accent 6" w:uiPriority="70" w:semiHidden="0" w:unhideWhenUsed="0"/>
    <w:lsdException w:name="Date" w:uiPriority="99"/>
    <w:lsdException w:name="Default Paragraph Font" w:uiPriority="1"/>
    <w:lsdException w:name="Document Map" w:uiPriority="99"/>
    <w:lsdException w:name="E-mail Signature" w:uiPriority="99"/>
    <w:lsdException w:name="Emphasis" w:uiPriority="20" w:semiHidden="0" w:unhideWhenUsed="0" w:qFormat="1"/>
    <w:lsdException w:name="FollowedHyperlink"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Hyperlink" w:uiPriority="99"/>
    <w:lsdException w:name="Light Grid" w:uiPriority="62" w:semiHidden="0" w:unhideWhenUsed="0"/>
    <w:lsdException w:name="Light Grid Accent 1" w:uiPriority="62" w:semiHidden="0" w:unhideWhenUsed="0"/>
    <w:lsdException w:name="Light Grid Accent 2" w:uiPriority="62" w:semiHidden="0" w:unhideWhenUsed="0"/>
    <w:lsdException w:name="Light Grid Accent 3" w:uiPriority="62" w:semiHidden="0" w:unhideWhenUsed="0"/>
    <w:lsdException w:name="Light Grid Accent 4" w:uiPriority="62" w:semiHidden="0" w:unhideWhenUsed="0"/>
    <w:lsdException w:name="Light Grid Accent 5" w:uiPriority="62" w:semiHidden="0" w:unhideWhenUsed="0"/>
    <w:lsdException w:name="Light Grid Accent 6" w:uiPriority="62" w:semiHidden="0" w:unhideWhenUsed="0"/>
    <w:lsdException w:name="Light List" w:uiPriority="61" w:semiHidden="0" w:unhideWhenUsed="0"/>
    <w:lsdException w:name="Light List Accent 1" w:uiPriority="61" w:semiHidden="0" w:unhideWhenUsed="0"/>
    <w:lsdException w:name="Light List Accent 2" w:uiPriority="61" w:semiHidden="0" w:unhideWhenUsed="0"/>
    <w:lsdException w:name="Light List Accent 3" w:uiPriority="61" w:semiHidden="0" w:unhideWhenUsed="0"/>
    <w:lsdException w:name="Light List Accent 4" w:uiPriority="61" w:semiHidden="0" w:unhideWhenUsed="0"/>
    <w:lsdException w:name="Light List Accent 5" w:uiPriority="61" w:semiHidden="0" w:unhideWhenUsed="0"/>
    <w:lsdException w:name="Light List Accent 6" w:uiPriority="61" w:semiHidden="0" w:unhideWhenUsed="0"/>
    <w:lsdException w:name="Light Shading" w:uiPriority="60" w:semiHidden="0" w:unhideWhenUsed="0"/>
    <w:lsdException w:name="Light Shading Accent 1" w:uiPriority="60" w:semiHidden="0" w:unhideWhenUsed="0"/>
    <w:lsdException w:name="Light Shading Accent 2" w:uiPriority="60" w:semiHidden="0" w:unhideWhenUsed="0"/>
    <w:lsdException w:name="Light Shading Accent 3" w:uiPriority="60" w:semiHidden="0" w:unhideWhenUsed="0"/>
    <w:lsdException w:name="Light Shading Accent 4" w:uiPriority="60" w:semiHidden="0" w:unhideWhenUsed="0"/>
    <w:lsdException w:name="Light Shading Accent 5" w:uiPriority="60" w:semiHidden="0" w:unhideWhenUsed="0"/>
    <w:lsdException w:name="Light Shading Accent 6" w:uiPriority="60" w:semiHidden="0" w:unhideWhenUsed="0"/>
    <w:lsdException w:name="List" w:uiPriority="99"/>
    <w:lsdException w:name="List 2" w:uiPriority="99"/>
    <w:lsdException w:name="List 3" w:uiPriority="99"/>
    <w:lsdException w:name="List 4" w:uiPriority="99"/>
    <w:lsdException w:name="List 5" w:uiPriority="99"/>
    <w:lsdException w:name="List Bullet" w:uiPriority="99"/>
    <w:lsdException w:name="List Bullet 2" w:uiPriority="99"/>
    <w:lsdException w:name="List Bullet 3" w:uiPriority="99"/>
    <w:lsdException w:name="List Bullet 4" w:uiPriority="99"/>
    <w:lsdException w:name="List Bullet 5" w:uiPriority="99"/>
    <w:lsdException w:name="List Continue" w:uiPriority="99"/>
    <w:lsdException w:name="List Continue 2" w:uiPriority="99"/>
    <w:lsdException w:name="List Continue 3" w:uiPriority="99"/>
    <w:lsdException w:name="List Continue 4" w:uiPriority="99"/>
    <w:lsdException w:name="List Continue 5" w:uiPriority="99"/>
    <w:lsdException w:name="List Number" w:uiPriority="99"/>
    <w:lsdException w:name="List Number 2" w:uiPriority="99"/>
    <w:lsdException w:name="List Number 3" w:uiPriority="99"/>
    <w:lsdException w:name="List Number 4" w:uiPriority="99"/>
    <w:lsdException w:name="List Number 5" w:uiPriority="99"/>
    <w:lsdException w:name="Medium Grid 1" w:uiPriority="67" w:semiHidden="0" w:unhideWhenUsed="0"/>
    <w:lsdException w:name="Medium Grid 1 Accent 1" w:uiPriority="67" w:semiHidden="0" w:unhideWhenUsed="0"/>
    <w:lsdException w:name="Medium Grid 1 Accent 2" w:uiPriority="67" w:semiHidden="0" w:unhideWhenUsed="0"/>
    <w:lsdException w:name="Medium Grid 1 Accent 3" w:uiPriority="67" w:semiHidden="0" w:unhideWhenUsed="0"/>
    <w:lsdException w:name="Medium Grid 1 Accent 4" w:uiPriority="67" w:semiHidden="0" w:unhideWhenUsed="0"/>
    <w:lsdException w:name="Medium Grid 1 Accent 5" w:uiPriority="67" w:semiHidden="0" w:unhideWhenUsed="0"/>
    <w:lsdException w:name="Medium Grid 1 Accent 6" w:uiPriority="67" w:semiHidden="0" w:unhideWhenUsed="0"/>
    <w:lsdException w:name="Medium Grid 2" w:uiPriority="68" w:semiHidden="0" w:unhideWhenUsed="0"/>
    <w:lsdException w:name="Medium Grid 2 Accent 1" w:uiPriority="68" w:semiHidden="0" w:unhideWhenUsed="0"/>
    <w:lsdException w:name="Medium Grid 2 Accent 2" w:uiPriority="68" w:semiHidden="0" w:unhideWhenUsed="0"/>
    <w:lsdException w:name="Medium Grid 2 Accent 3" w:uiPriority="68" w:semiHidden="0" w:unhideWhenUsed="0"/>
    <w:lsdException w:name="Medium Grid 2 Accent 4" w:uiPriority="68" w:semiHidden="0" w:unhideWhenUsed="0"/>
    <w:lsdException w:name="Medium Grid 2 Accent 5" w:uiPriority="68" w:semiHidden="0" w:unhideWhenUsed="0"/>
    <w:lsdException w:name="Medium Grid 2 Accent 6" w:uiPriority="68" w:semiHidden="0" w:unhideWhenUsed="0"/>
    <w:lsdException w:name="Medium Grid 3" w:uiPriority="69" w:semiHidden="0" w:unhideWhenUsed="0"/>
    <w:lsdException w:name="Medium Grid 3 Accent 1" w:uiPriority="69" w:semiHidden="0" w:unhideWhenUsed="0"/>
    <w:lsdException w:name="Medium Grid 3 Accent 2" w:uiPriority="69" w:semiHidden="0" w:unhideWhenUsed="0"/>
    <w:lsdException w:name="Medium Grid 3 Accent 3" w:uiPriority="69" w:semiHidden="0" w:unhideWhenUsed="0"/>
    <w:lsdException w:name="Medium Grid 3 Accent 4" w:uiPriority="69" w:semiHidden="0" w:unhideWhenUsed="0"/>
    <w:lsdException w:name="Medium Grid 3 Accent 5" w:uiPriority="69" w:semiHidden="0" w:unhideWhenUsed="0"/>
    <w:lsdException w:name="Medium Grid 3 Accent 6" w:uiPriority="69" w:semiHidden="0" w:unhideWhenUsed="0"/>
    <w:lsdException w:name="Medium List 1" w:uiPriority="65" w:semiHidden="0" w:unhideWhenUsed="0"/>
    <w:lsdException w:name="Medium List 1 Accent 1" w:uiPriority="65" w:semiHidden="0" w:unhideWhenUsed="0"/>
    <w:lsdException w:name="Medium List 1 Accent 2" w:uiPriority="65" w:semiHidden="0" w:unhideWhenUsed="0"/>
    <w:lsdException w:name="Medium List 1 Accent 3" w:uiPriority="65" w:semiHidden="0" w:unhideWhenUsed="0"/>
    <w:lsdException w:name="Medium List 1 Accent 4" w:uiPriority="65" w:semiHidden="0" w:unhideWhenUsed="0"/>
    <w:lsdException w:name="Medium List 1 Accent 5" w:uiPriority="65" w:semiHidden="0" w:unhideWhenUsed="0"/>
    <w:lsdException w:name="Medium List 1 Accent 6" w:uiPriority="65" w:semiHidden="0" w:unhideWhenUsed="0"/>
    <w:lsdException w:name="Medium List 2" w:uiPriority="66" w:semiHidden="0" w:unhideWhenUsed="0"/>
    <w:lsdException w:name="Medium List 2 Accent 1" w:uiPriority="66" w:semiHidden="0" w:unhideWhenUsed="0"/>
    <w:lsdException w:name="Medium List 2 Accent 2" w:uiPriority="66" w:semiHidden="0" w:unhideWhenUsed="0"/>
    <w:lsdException w:name="Medium List 2 Accent 3" w:uiPriority="66" w:semiHidden="0" w:unhideWhenUsed="0"/>
    <w:lsdException w:name="Medium List 2 Accent 4" w:uiPriority="66" w:semiHidden="0" w:unhideWhenUsed="0"/>
    <w:lsdException w:name="Medium List 2 Accent 5" w:uiPriority="66" w:semiHidden="0" w:unhideWhenUsed="0"/>
    <w:lsdException w:name="Medium List 2 Accent 6" w:uiPriority="66" w:semiHidden="0" w:unhideWhenUsed="0"/>
    <w:lsdException w:name="Medium Shading 1" w:uiPriority="63" w:semiHidden="0" w:unhideWhenUsed="0"/>
    <w:lsdException w:name="Medium Shading 1 Accent 1" w:uiPriority="63" w:semiHidden="0" w:unhideWhenUsed="0"/>
    <w:lsdException w:name="Medium Shading 1 Accent 2" w:uiPriority="63" w:semiHidden="0" w:unhideWhenUsed="0"/>
    <w:lsdException w:name="Medium Shading 1 Accent 3" w:uiPriority="63" w:semiHidden="0" w:unhideWhenUsed="0"/>
    <w:lsdException w:name="Medium Shading 1 Accent 4" w:uiPriority="63" w:semiHidden="0" w:unhideWhenUsed="0"/>
    <w:lsdException w:name="Medium Shading 1 Accent 5" w:uiPriority="63" w:semiHidden="0" w:unhideWhenUsed="0"/>
    <w:lsdException w:name="Medium Shading 1 Accent 6" w:uiPriority="63" w:semiHidden="0" w:unhideWhenUsed="0"/>
    <w:lsdException w:name="Medium Shading 2" w:uiPriority="64" w:semiHidden="0" w:unhideWhenUsed="0"/>
    <w:lsdException w:name="Medium Shading 2 Accent 1" w:uiPriority="64" w:semiHidden="0" w:unhideWhenUsed="0"/>
    <w:lsdException w:name="Medium Shading 2 Accent 2" w:uiPriority="64" w:semiHidden="0" w:unhideWhenUsed="0"/>
    <w:lsdException w:name="Medium Shading 2 Accent 3" w:uiPriority="64" w:semiHidden="0" w:unhideWhenUsed="0"/>
    <w:lsdException w:name="Medium Shading 2 Accent 4" w:uiPriority="64" w:semiHidden="0" w:unhideWhenUsed="0"/>
    <w:lsdException w:name="Medium Shading 2 Accent 5" w:uiPriority="64" w:semiHidden="0" w:unhideWhenUsed="0"/>
    <w:lsdException w:name="Medium Shading 2 Accent 6" w:uiPriority="64" w:semiHidden="0" w:unhideWhenUsed="0"/>
    <w:lsdException w:name="Message Header" w:uiPriority="99"/>
    <w:lsdException w:name="Normal" w:uiPriority="0" w:semiHidden="0" w:unhideWhenUsed="0" w:qFormat="1"/>
    <w:lsdException w:name="Normal (Web)" w:uiPriority="99"/>
    <w:lsdException w:name="Normal Indent" w:uiPriority="99"/>
    <w:lsdException w:name="Normal Table" w:uiPriority="99"/>
    <w:lsdException w:name="Note Heading" w:uiPriority="99"/>
    <w:lsdException w:name="Plain Text" w:uiPriority="99"/>
    <w:lsdException w:name="Salutation" w:uiPriority="99"/>
    <w:lsdException w:name="Signature" w:uiPriority="99"/>
    <w:lsdException w:name="Strong" w:uiPriority="22" w:semiHidden="0" w:unhideWhenUsed="0" w:qFormat="1"/>
    <w:lsdException w:name="Subtitle" w:uiPriority="11" w:semiHidden="0" w:unhideWhenUsed="0" w:qFormat="1"/>
    <w:lsdException w:name="Table 3D effects 1" w:uiPriority="99"/>
    <w:lsdException w:name="Table 3D effects 2" w:uiPriority="99"/>
    <w:lsdException w:name="Table 3D effects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Contemporary" w:uiPriority="99"/>
    <w:lsdException w:name="Table Elegant" w:uiPriority="99"/>
    <w:lsdException w:name="Table Grid" w:uiPriority="39" w:semiHidden="0" w:unhideWhenUsed="0"/>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Professional" w:uiPriority="99"/>
    <w:lsdException w:name="Table Simple 1" w:uiPriority="99"/>
    <w:lsdException w:name="Table Simple 2" w:uiPriority="99"/>
    <w:lsdException w:name="Table Simple 3" w:uiPriority="99"/>
    <w:lsdException w:name="Table Subtle 1" w:uiPriority="99"/>
    <w:lsdException w:name="Table Subtle 2" w:uiPriority="99"/>
    <w:lsdException w:name="Table Theme" w:uiPriority="99"/>
    <w:lsdException w:name="Table Web 1" w:uiPriority="99"/>
    <w:lsdException w:name="Table Web 2" w:uiPriority="99"/>
    <w:lsdException w:name="Table Web 3" w:uiPriority="99"/>
    <w:lsdException w:name="Title" w:uiPriority="10" w:semiHidden="0" w:unhideWhenUsed="0" w:qFormat="1"/>
    <w:lsdException w:name="annotation reference" w:uiPriority="99"/>
    <w:lsdException w:name="annotation subject" w:uiPriority="99"/>
    <w:lsdException w:name="annotation text" w:uiPriority="99"/>
    <w:lsdException w:name="caption" w:uiPriority="35" w:qFormat="1"/>
    <w:lsdException w:name="endnote reference" w:uiPriority="99"/>
    <w:lsdException w:name="endnote text" w:uiPriority="99"/>
    <w:lsdException w:name="envelope address" w:uiPriority="99"/>
    <w:lsdException w:name="envelope return" w:uiPriority="99"/>
    <w:lsdException w:name="footer" w:uiPriority="99"/>
    <w:lsdException w:name="footnote reference" w:uiPriority="99"/>
    <w:lsdException w:name="footnote text" w:uiPriority="99"/>
    <w:lsdException w:name="header" w:uiPriority="99"/>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line number" w:uiPriority="99"/>
    <w:lsdException w:name="macro" w:uiPriority="99"/>
    <w:lsdException w:name="page number" w:uiPriority="99"/>
    <w:lsdException w:name="table of authorities" w:uiPriority="99"/>
    <w:lsdException w:name="table of figures" w:uiPriority="99"/>
    <w:lsdException w:name="toa heading"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atentStyles>
  <w:style w:type="paragraph" w:styleId="1" w:default="1">
    <w:name w:val="Normal"/>
    <w:uiPriority w:val="0"/>
    <w:qFormat/>
    <w:pPr>
      <w:widowControl w:val="0"/>
      <w:jc w:val="both"/>
    </w:pPr>
    <w:rPr>
      <w:kern w:val="2"/>
      <w:sz w:val="21"/>
      <w:szCs w:val="22"/>
      <w:lang w:val="en-US" w:eastAsia="zh-CN" w:bidi="ar-SA"/>
      <w:rFonts w:asciiTheme="minorHAnsi" w:hAnsiTheme="minorHAnsi" w:eastAsiaTheme="minorEastAsia" w:cstheme="minorBidi"/>
    </w:rPr>
  </w:style>
  <w:style w:type="character" w:styleId="3" w:default="1">
    <w:name w:val="Default Paragraph Font"/>
    <w:uiPriority w:val="1"/>
    <w:semiHidden/>
    <w:unhideWhenUsed/>
  </w:style>
  <w:style w:type="table" w:styleId="2" w:default="1">
    <w:name w:val="Normal Table"/>
    <w:uiPriority w:val="99"/>
    <w:semiHidden/>
    <w:unhideWhenUsed/>
    <w:tblPr>
      <w:tblCellMar>
        <w:top w:type="dxa" w:w="0"/>
        <w:bottom w:type="dxa" w:w="0"/>
        <w:left w:type="dxa" w:w="108"/>
        <w:right w:type="dxa" w:w="108"/>
      </w:tblCellMar>
    </w:tblPr>
  </w:style>
</w:styles>
</file>

<file path=word/_rels/document.xml.rels><?xml version="1.0" encoding="UTF-8" standalone="yes"?><Relationships xmlns="http://schemas.openxmlformats.org/package/2006/relationships"><Relationship Id="rId5" Type="http://schemas.openxmlformats.org/officeDocument/2006/relationships/image" Target="media/image1.png" /><Relationship Id="rId4" Type="http://schemas.openxmlformats.org/officeDocument/2006/relationships/numbering" Target="numbering.xml" /><Relationship Id="rId3" Type="http://schemas.openxmlformats.org/officeDocument/2006/relationships/theme" Target="theme/theme1.xml" /><Relationship Id="rId2" Type="http://schemas.openxmlformats.org/officeDocument/2006/relationships/fontTable" Target="fontTable.xml" /><Relationship Id="rId1" Type="http://schemas.openxmlformats.org/officeDocument/2006/relationships/settings" Target="settings.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typeface="Times New Roman" script="Viet"/>
        <a:font typeface="Sylfaen" script="Geor"/>
        <a:font typeface="Iskoola Pota" script="Sinh"/>
        <a:font typeface="DokChampa" script="Laoo"/>
        <a:font typeface="Kalinga" script="Orya"/>
        <a:font typeface="Mongolian Baiti" script="Mong"/>
        <a:font typeface="Kartika" script="Mlym"/>
        <a:font typeface="맑은 고딕" script="Hang"/>
        <a:font typeface="Gautami" script="Telu"/>
        <a:font typeface="Mangal" script="Deva"/>
        <a:font typeface="Microsoft Himalaya" script="Tibt"/>
        <a:font typeface="Euphemia" script="Cans"/>
        <a:font typeface="MoolBoran" script="Khmr"/>
        <a:font typeface="Estrangelo Edessa" script="Syrc"/>
        <a:font typeface="Angsana New" script="Thai"/>
        <a:font typeface="Shruti" script="Gujr"/>
        <a:font typeface="Microsoft Uighur" script="Uigh"/>
        <a:font typeface="Vrinda" script="Beng"/>
        <a:font typeface="游ゴシック Light" script="Jpan"/>
        <a:font typeface="MV Boli" script="Thaa"/>
        <a:font typeface="Plantagenet Cherokee" script="Cher"/>
        <a:font typeface="Times New Roman" script="Hebr"/>
        <a:font typeface="Microsoft Yi Baiti" script="Yiii"/>
        <a:font typeface="Raavi" script="Guru"/>
        <a:font typeface="等线 Light" script="Hans"/>
        <a:font typeface="Nyala" script="Ethi"/>
        <a:font typeface="Latha" script="Taml"/>
        <a:font typeface="Tunga" script="Knda"/>
        <a:font typeface="Times New Roman" script="Arab"/>
        <a:font typeface="新細明體" script="Hant"/>
      </a:majorFont>
      <a:minorFont>
        <a:latin typeface="等线"/>
        <a:ea typeface=""/>
        <a:cs typeface=""/>
        <a:font typeface="Arial" script="Viet"/>
        <a:font typeface="Sylfaen" script="Geor"/>
        <a:font typeface="Iskoola Pota" script="Sinh"/>
        <a:font typeface="DokChampa" script="Laoo"/>
        <a:font typeface="Kalinga" script="Orya"/>
        <a:font typeface="Mongolian Baiti" script="Mong"/>
        <a:font typeface="Kartika" script="Mlym"/>
        <a:font typeface="맑은 고딕" script="Hang"/>
        <a:font typeface="Gautami" script="Telu"/>
        <a:font typeface="Mangal" script="Deva"/>
        <a:font typeface="Microsoft Himalaya" script="Tibt"/>
        <a:font typeface="Euphemia" script="Cans"/>
        <a:font typeface="DaunPenh" script="Khmr"/>
        <a:font typeface="Estrangelo Edessa" script="Syrc"/>
        <a:font typeface="Cordia New" script="Thai"/>
        <a:font typeface="Shruti" script="Gujr"/>
        <a:font typeface="Microsoft Uighur" script="Uigh"/>
        <a:font typeface="Vrinda" script="Beng"/>
        <a:font typeface="游明朝" script="Jpan"/>
        <a:font typeface="MV Boli" script="Thaa"/>
        <a:font typeface="Plantagenet Cherokee" script="Cher"/>
        <a:font typeface="Arial" script="Hebr"/>
        <a:font typeface="Microsoft Yi Baiti" script="Yiii"/>
        <a:font typeface="Raavi" script="Guru"/>
        <a:font typeface="等线" script="Hans"/>
        <a:font typeface="Nyala" script="Ethi"/>
        <a:font typeface="Latha" script="Taml"/>
        <a:font typeface="Tunga" script="Knda"/>
        <a:font typeface="Arial" script="Arab"/>
        <a:font typeface="新細明體" script="Han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0" ang="540000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scaled="0" ang="540000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scaled="0" ang="5400000"/>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Template>Normal</Template>
  <TotalTime>2</TotalTime>
  <Pages>5</Pages>
  <Words>903</Words>
  <Characters>1162</Characters>
  <Application>WPS Office_11.1.0.12980_F1E327BC-269C-435d-A152-05C5408002CA</Application>
  <DocSecurity>0</DocSecurity>
  <Lines>5</Lines>
  <Paragraphs>1</Paragraphs>
  <ScaleCrop>false</ScaleCrop>
  <Company/>
  <LinksUpToDate>false</LinksUpToDate>
  <CharactersWithSpaces>1216</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
  <dc:subject/>
  <dc:creator>DELL</dc:creator>
  <cp:keywords/>
  <dc:description/>
  <cp:lastModifiedBy>双双</cp:lastModifiedBy>
  <cp:revision>6</cp:revision>
  <dcterms:created xsi:type="dcterms:W3CDTF">2023-02-07T07:05:00Z</dcterms:created>
  <dcterms:modified xsi:type="dcterms:W3CDTF">2023-02-08T01:33:05Z</dcterms:modified>
</cp:core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lang w:eastAsia="zh-CN"/>
              </w:rPr>
              <w:t>数控车削实训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lang w:eastAsia="zh-CN"/>
              </w:rPr>
              <w:t>机械工程</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数控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21数控1</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任双双</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年</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numId w:val="0"/>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w:t>
            </w:r>
          </w:p>
          <w:p>
            <w:pPr>
              <w:widowControl/>
              <w:numPr>
                <w:numId w:val="0"/>
              </w:numPr>
              <w:ind w:firstLine="960" w:firstLineChars="30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使学生掌握数控车床加工工艺与编程操作的基本知识和基本技能，培养学生应用相关知识解决在数控车床加工中遇到的实际问题的能力。</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keepNext w:val="0"/>
              <w:keepLines w:val="0"/>
              <w:pageBreakBefore w:val="0"/>
              <w:widowControl/>
              <w:numPr>
                <w:numId w:val="0"/>
              </w:numPr>
              <w:kinsoku/>
              <w:wordWrap/>
              <w:overflowPunct/>
              <w:topLinePunct w:val="0"/>
              <w:autoSpaceDE/>
              <w:autoSpaceDN/>
              <w:bidi w:val="0"/>
              <w:adjustRightInd/>
              <w:snapToGrid/>
              <w:spacing w:line="500" w:lineRule="exact"/>
              <w:ind w:left="1598" w:leftChars="304" w:right="813" w:rightChars="387" w:hanging="960" w:hangingChars="300"/>
              <w:jc w:val="left"/>
              <w:textAlignment w:val="auto"/>
              <w:rPr>
                <w:rFonts w:hint="eastAsia" w:ascii="宋体" w:hAnsi="宋体" w:eastAsia="宋体" w:cs="宋体"/>
                <w:color w:val="000000" w:themeColor="text1"/>
                <w:kern w:val="0"/>
                <w:sz w:val="32"/>
                <w:szCs w:val="32"/>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32"/>
                <w:szCs w:val="32"/>
                <w:shd w:val="clear" w:color="auto" w:fill="auto"/>
                <w:lang w:val="en-US" w:eastAsia="zh-CN"/>
                <w14:textFill>
                  <w14:solidFill>
                    <w14:schemeClr w14:val="tx1"/>
                  </w14:solidFill>
                </w14:textFill>
              </w:rPr>
              <w:t xml:space="preserve">优点：易于接受新事物、新观念，适应新环境的能力强；追求品质优良的形象和生活；不肯服输，追求出人头地，不相信永远比同龄人差。    </w:t>
            </w:r>
          </w:p>
          <w:p>
            <w:pPr>
              <w:keepNext w:val="0"/>
              <w:keepLines w:val="0"/>
              <w:pageBreakBefore w:val="0"/>
              <w:widowControl/>
              <w:numPr>
                <w:numId w:val="0"/>
              </w:numPr>
              <w:tabs>
                <w:tab w:val="left" w:pos="9460"/>
              </w:tabs>
              <w:kinsoku/>
              <w:wordWrap/>
              <w:overflowPunct/>
              <w:topLinePunct w:val="0"/>
              <w:autoSpaceDE/>
              <w:autoSpaceDN/>
              <w:bidi w:val="0"/>
              <w:adjustRightInd/>
              <w:snapToGrid/>
              <w:spacing w:line="500" w:lineRule="exact"/>
              <w:ind w:left="1598" w:leftChars="304" w:right="813" w:rightChars="387" w:hanging="960" w:hangingChars="300"/>
              <w:jc w:val="left"/>
              <w:textAlignment w:val="auto"/>
              <w:rPr>
                <w:rFonts w:hint="default" w:ascii="宋体" w:hAnsi="宋体" w:eastAsia="宋体" w:cs="宋体"/>
                <w:kern w:val="0"/>
                <w:sz w:val="32"/>
                <w:szCs w:val="32"/>
                <w:lang w:val="en-US" w:eastAsia="zh-CN"/>
              </w:rPr>
            </w:pPr>
            <w:r>
              <w:rPr>
                <w:rFonts w:hint="eastAsia" w:ascii="宋体" w:hAnsi="宋体" w:eastAsia="宋体" w:cs="宋体"/>
                <w:color w:val="000000" w:themeColor="text1"/>
                <w:kern w:val="0"/>
                <w:sz w:val="32"/>
                <w:szCs w:val="32"/>
                <w:shd w:val="clear" w:color="auto" w:fill="auto"/>
                <w:lang w:val="en-US" w:eastAsia="zh-CN"/>
                <w14:textFill>
                  <w14:solidFill>
                    <w14:schemeClr w14:val="tx1"/>
                  </w14:solidFill>
                </w14:textFill>
              </w:rPr>
              <w:t>缺点：他们一有时间就玩手机，普遍厌学，自制力较差，规矩意识不强，没有养成良好的行为习惯，不少都是屡教不改的问题生。</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keepNext w:val="0"/>
              <w:keepLines w:val="0"/>
              <w:pageBreakBefore w:val="0"/>
              <w:widowControl/>
              <w:numPr>
                <w:numId w:val="0"/>
              </w:numPr>
              <w:kinsoku/>
              <w:wordWrap/>
              <w:overflowPunct/>
              <w:topLinePunct w:val="0"/>
              <w:autoSpaceDE/>
              <w:autoSpaceDN/>
              <w:bidi w:val="0"/>
              <w:adjustRightInd/>
              <w:snapToGrid/>
              <w:spacing w:line="360" w:lineRule="exact"/>
              <w:ind w:left="840" w:leftChars="200" w:right="613" w:rightChars="292" w:hanging="420" w:hangingChars="150"/>
              <w:jc w:val="both"/>
              <w:textAlignment w:val="auto"/>
              <w:rPr>
                <w:rFonts w:hint="eastAsia" w:ascii="宋体" w:hAnsi="宋体" w:eastAsia="宋体" w:cs="宋体"/>
                <w:b w:val="0"/>
                <w:bCs w:val="0"/>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14:textFill>
                  <w14:solidFill>
                    <w14:schemeClr w14:val="tx1"/>
                  </w14:solidFill>
                </w14:textFill>
              </w:rPr>
              <w:t>1．突破了以往教材编写的传统方式，以项目教学为指导，按系列任务组织知识，整体逻辑思路清晰，层次分明。</w:t>
            </w:r>
          </w:p>
          <w:p>
            <w:pPr>
              <w:keepNext w:val="0"/>
              <w:keepLines w:val="0"/>
              <w:pageBreakBefore w:val="0"/>
              <w:widowControl/>
              <w:numPr>
                <w:numId w:val="0"/>
              </w:numPr>
              <w:kinsoku/>
              <w:wordWrap/>
              <w:overflowPunct/>
              <w:topLinePunct w:val="0"/>
              <w:autoSpaceDE/>
              <w:autoSpaceDN/>
              <w:bidi w:val="0"/>
              <w:adjustRightInd/>
              <w:snapToGrid/>
              <w:spacing w:line="360" w:lineRule="exact"/>
              <w:ind w:left="840" w:leftChars="200" w:right="613" w:rightChars="292" w:hanging="420" w:hangingChars="150"/>
              <w:jc w:val="both"/>
              <w:textAlignment w:val="auto"/>
              <w:rPr>
                <w:rFonts w:hint="eastAsia" w:ascii="宋体" w:hAnsi="宋体" w:eastAsia="宋体" w:cs="宋体"/>
                <w:b w:val="0"/>
                <w:bCs w:val="0"/>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14:textFill>
                  <w14:solidFill>
                    <w14:schemeClr w14:val="tx1"/>
                  </w14:solidFill>
                </w14:textFill>
              </w:rPr>
              <w:t>2．注重培养数控车床操作者的核心能力，即数控加工工艺分析能力、基本编程和应用能力，以及基本操作能力，有利于操作技巧的综合提高，自始至终贯彻"做中学""做中教"的课改理念。</w:t>
            </w:r>
          </w:p>
          <w:p>
            <w:pPr>
              <w:keepNext w:val="0"/>
              <w:keepLines w:val="0"/>
              <w:pageBreakBefore w:val="0"/>
              <w:widowControl/>
              <w:numPr>
                <w:numId w:val="0"/>
              </w:numPr>
              <w:kinsoku/>
              <w:wordWrap/>
              <w:overflowPunct/>
              <w:topLinePunct w:val="0"/>
              <w:autoSpaceDE/>
              <w:autoSpaceDN/>
              <w:bidi w:val="0"/>
              <w:adjustRightInd/>
              <w:snapToGrid/>
              <w:spacing w:line="360" w:lineRule="exact"/>
              <w:ind w:left="840" w:leftChars="200" w:right="613" w:rightChars="292" w:hanging="420" w:hangingChars="150"/>
              <w:jc w:val="both"/>
              <w:textAlignment w:val="auto"/>
              <w:rPr>
                <w:rFonts w:hint="eastAsia" w:ascii="宋体" w:hAnsi="宋体" w:eastAsia="宋体" w:cs="宋体"/>
                <w:b w:val="0"/>
                <w:bCs w:val="0"/>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14:textFill>
                  <w14:solidFill>
                    <w14:schemeClr w14:val="tx1"/>
                  </w14:solidFill>
                </w14:textFill>
              </w:rPr>
              <w:t>3．知识由简单到综合，体现出学习知识、运用知识、深化知识的合理过程。知识的掌握通过反复的实践来完成，符合循序渐进的认知规律。</w:t>
            </w:r>
          </w:p>
          <w:p>
            <w:pPr>
              <w:keepNext w:val="0"/>
              <w:keepLines w:val="0"/>
              <w:pageBreakBefore w:val="0"/>
              <w:widowControl/>
              <w:numPr>
                <w:numId w:val="0"/>
              </w:numPr>
              <w:kinsoku/>
              <w:wordWrap/>
              <w:overflowPunct/>
              <w:topLinePunct w:val="0"/>
              <w:autoSpaceDE/>
              <w:autoSpaceDN/>
              <w:bidi w:val="0"/>
              <w:adjustRightInd/>
              <w:snapToGrid/>
              <w:spacing w:line="360" w:lineRule="exact"/>
              <w:ind w:left="840" w:leftChars="200" w:right="613" w:rightChars="292" w:hanging="420" w:hangingChars="150"/>
              <w:jc w:val="both"/>
              <w:textAlignment w:val="auto"/>
              <w:rPr>
                <w:rFonts w:hint="eastAsia" w:ascii="宋体" w:hAnsi="宋体" w:eastAsia="宋体" w:cs="宋体"/>
                <w:b w:val="0"/>
                <w:bCs w:val="0"/>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14:textFill>
                  <w14:solidFill>
                    <w14:schemeClr w14:val="tx1"/>
                  </w14:solidFill>
                </w14:textFill>
              </w:rPr>
              <w:t>4．在论述相关数控知识的同时，重视由简单到复杂的分层次实践演练，而全部演练都贯穿着严格的考评，做到理论学习有载体，技能训练有实体，体现了"理践一体化"教学理念。</w:t>
            </w:r>
          </w:p>
          <w:p>
            <w:pPr>
              <w:keepNext w:val="0"/>
              <w:keepLines w:val="0"/>
              <w:pageBreakBefore w:val="0"/>
              <w:widowControl/>
              <w:numPr>
                <w:numId w:val="0"/>
              </w:numPr>
              <w:kinsoku/>
              <w:wordWrap/>
              <w:overflowPunct/>
              <w:topLinePunct w:val="0"/>
              <w:autoSpaceDE/>
              <w:autoSpaceDN/>
              <w:bidi w:val="0"/>
              <w:adjustRightInd/>
              <w:snapToGrid/>
              <w:spacing w:line="360" w:lineRule="exact"/>
              <w:ind w:left="840" w:leftChars="200" w:right="613" w:rightChars="292" w:hanging="420" w:hangingChars="150"/>
              <w:jc w:val="both"/>
              <w:textAlignment w:val="auto"/>
              <w:rPr>
                <w:rFonts w:hint="eastAsia" w:ascii="宋体" w:hAnsi="宋体" w:eastAsia="宋体" w:cs="宋体"/>
                <w:b w:val="0"/>
                <w:bCs w:val="0"/>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14:textFill>
                  <w14:solidFill>
                    <w14:schemeClr w14:val="tx1"/>
                  </w14:solidFill>
                </w14:textFill>
              </w:rPr>
              <w:t>5．手工编程、自动编程和模拟仿真高度结合，互相比照。</w:t>
            </w:r>
          </w:p>
          <w:p>
            <w:pPr>
              <w:keepNext w:val="0"/>
              <w:keepLines w:val="0"/>
              <w:pageBreakBefore w:val="0"/>
              <w:widowControl/>
              <w:numPr>
                <w:numId w:val="0"/>
              </w:numPr>
              <w:kinsoku/>
              <w:wordWrap/>
              <w:overflowPunct/>
              <w:topLinePunct w:val="0"/>
              <w:autoSpaceDE/>
              <w:autoSpaceDN/>
              <w:bidi w:val="0"/>
              <w:adjustRightInd/>
              <w:snapToGrid/>
              <w:spacing w:line="360" w:lineRule="exact"/>
              <w:ind w:left="840" w:leftChars="200" w:hanging="420" w:hangingChars="150"/>
              <w:jc w:val="left"/>
              <w:textAlignment w:val="auto"/>
              <w:rPr>
                <w:rFonts w:hint="eastAsia" w:ascii="宋体" w:hAnsi="宋体" w:eastAsia="宋体" w:cs="宋体"/>
                <w:b w:val="0"/>
                <w:bCs w:val="0"/>
                <w:color w:val="000000" w:themeColor="text1"/>
                <w:kern w:val="0"/>
                <w:sz w:val="28"/>
                <w:szCs w:val="28"/>
                <w:lang w:val="en-US" w:eastAsia="zh-CN"/>
                <w14:textFill>
                  <w14:solidFill>
                    <w14:schemeClr w14:val="tx1"/>
                  </w14:solidFill>
                </w14:textFill>
              </w:rPr>
            </w:pPr>
          </w:p>
          <w:p>
            <w:pPr>
              <w:keepNext w:val="0"/>
              <w:keepLines w:val="0"/>
              <w:pageBreakBefore w:val="0"/>
              <w:widowControl/>
              <w:numPr>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b/>
                <w:bCs/>
                <w:kern w:val="0"/>
                <w:sz w:val="28"/>
                <w:szCs w:val="28"/>
                <w:lang w:val="en-US" w:eastAsia="zh-CN"/>
              </w:rPr>
            </w:pPr>
          </w:p>
          <w:p>
            <w:pPr>
              <w:keepNext w:val="0"/>
              <w:keepLines w:val="0"/>
              <w:pageBreakBefore w:val="0"/>
              <w:widowControl/>
              <w:numPr>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b/>
                <w:bCs/>
                <w:kern w:val="0"/>
                <w:sz w:val="28"/>
                <w:szCs w:val="28"/>
                <w:lang w:val="en-US" w:eastAsia="zh-CN"/>
              </w:rPr>
            </w:pPr>
          </w:p>
          <w:p>
            <w:pPr>
              <w:keepNext w:val="0"/>
              <w:keepLines w:val="0"/>
              <w:pageBreakBefore w:val="0"/>
              <w:widowControl/>
              <w:numPr>
                <w:numId w:val="0"/>
              </w:numPr>
              <w:kinsoku/>
              <w:wordWrap/>
              <w:overflowPunct/>
              <w:topLinePunct w:val="0"/>
              <w:autoSpaceDE/>
              <w:autoSpaceDN/>
              <w:bidi w:val="0"/>
              <w:adjustRightInd/>
              <w:snapToGrid/>
              <w:spacing w:line="360" w:lineRule="exact"/>
              <w:ind w:leftChars="0"/>
              <w:jc w:val="left"/>
              <w:textAlignment w:val="auto"/>
              <w:rPr>
                <w:rFonts w:hint="default" w:ascii="宋体" w:hAnsi="宋体" w:eastAsia="宋体" w:cs="宋体"/>
                <w:b/>
                <w:bCs/>
                <w:kern w:val="0"/>
                <w:sz w:val="28"/>
                <w:szCs w:val="28"/>
                <w:lang w:val="en-US" w:eastAsia="zh-CN"/>
              </w:rPr>
            </w:pPr>
          </w:p>
        </w:tc>
      </w:tr>
    </w:tbl>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2"/>
              </w:numPr>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numId w:val="0"/>
              </w:numPr>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1.实训安全文明生产规定</w:t>
            </w:r>
          </w:p>
          <w:p>
            <w:pPr>
              <w:widowControl/>
              <w:numPr>
                <w:numId w:val="0"/>
              </w:numPr>
              <w:ind w:firstLine="1285" w:firstLineChars="4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2.数控车床基本操作</w:t>
            </w:r>
          </w:p>
          <w:p>
            <w:pPr>
              <w:widowControl/>
              <w:numPr>
                <w:numId w:val="0"/>
              </w:numPr>
              <w:ind w:firstLine="1285" w:firstLineChars="4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3.外轮廓加技术</w:t>
            </w:r>
          </w:p>
          <w:p>
            <w:pPr>
              <w:widowControl/>
              <w:numPr>
                <w:numId w:val="0"/>
              </w:numPr>
              <w:ind w:firstLine="1285" w:firstLineChars="4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4.G01、G02\G03、G92指令格式及应用</w:t>
            </w:r>
          </w:p>
          <w:p>
            <w:pPr>
              <w:widowControl/>
              <w:numPr>
                <w:numId w:val="0"/>
              </w:numPr>
              <w:ind w:firstLine="1285" w:firstLineChars="40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5.G71复合循环指令格式及应用</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2"/>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numId w:val="0"/>
              </w:numPr>
              <w:ind w:left="0" w:leftChars="0" w:firstLine="643" w:firstLineChars="2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1.精心设计绪论课,激发学生学习兴趣,培养良好的职业素质。</w:t>
            </w:r>
          </w:p>
          <w:p>
            <w:pPr>
              <w:widowControl/>
              <w:numPr>
                <w:numId w:val="0"/>
              </w:numPr>
              <w:ind w:left="0" w:leftChars="0" w:firstLine="643" w:firstLineChars="2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2.利用数控仿真系统，使学生在虚拟不境中了解数控加工技术。</w:t>
            </w:r>
          </w:p>
          <w:p>
            <w:pPr>
              <w:widowControl/>
              <w:numPr>
                <w:numId w:val="0"/>
              </w:numPr>
              <w:ind w:left="0" w:leftChars="0" w:firstLine="643" w:firstLineChars="2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3.贯善安排实训步骤，减少学习弯路</w:t>
            </w:r>
          </w:p>
          <w:p>
            <w:pPr>
              <w:widowControl/>
              <w:numPr>
                <w:numId w:val="0"/>
              </w:numPr>
              <w:ind w:left="959" w:leftChars="304" w:hanging="321" w:hangingChars="1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4.在教师在场的情发下,按照自己所编工之路线上车独自加工完成零件的加工。</w:t>
            </w:r>
          </w:p>
          <w:p>
            <w:pPr>
              <w:widowControl/>
              <w:numPr>
                <w:numId w:val="0"/>
              </w:numPr>
              <w:ind w:left="959" w:leftChars="304" w:hanging="321" w:hangingChars="10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5、重视学生个体差异、注香因材施教.申快好指施,使全班学生都能学握好数控车床操作技巧。</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车间实训要求</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8S</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目标管理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安全</w:t>
            </w:r>
            <w:r>
              <w:rPr>
                <w:rFonts w:hint="eastAsia" w:ascii="宋体" w:hAnsi="宋体" w:eastAsia="宋体" w:cs="宋体"/>
                <w:kern w:val="0"/>
                <w:sz w:val="24"/>
                <w:szCs w:val="24"/>
                <w:lang w:eastAsia="zh-CN"/>
              </w:rPr>
              <w:t>文明生产规定</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12</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数控车削基础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数控车床结构</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p>
            <w:pPr>
              <w:widowControl/>
              <w:jc w:val="left"/>
              <w:rPr>
                <w:rFonts w:hint="default"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FANUCOi-TC系统操作面板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数控车床面板</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数控车床基本操作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数控车床坐标</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数控车床对刀操作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外圆车刀对刀</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数控车削输入与编辑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程序输入</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圆柱面加工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手动加工</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G01，G02，G03指令</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直线指令</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G90，G71指令及应用</w:t>
            </w:r>
          </w:p>
          <w:p>
            <w:pPr>
              <w:widowControl/>
              <w:jc w:val="center"/>
              <w:rPr>
                <w:rFonts w:hint="eastAsia" w:ascii="宋体" w:hAnsi="宋体" w:eastAsia="宋体" w:cs="宋体"/>
                <w:kern w:val="0"/>
                <w:sz w:val="24"/>
                <w:szCs w:val="24"/>
              </w:rPr>
            </w:pP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G71复合循环指令</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圆锥面加工</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G7复合循环指令</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阶梯面加工</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循环指令的应用</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期中考试</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期中考试</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0" w:type="auto"/>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G72指令及应用</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G72指令应用</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G73指令及应用</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G73指令应用</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简单阶梯轴加工</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阶梯轴加工</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复杂阶梯轴加工</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复杂阶梯轴加工</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槽加工</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槽刀应用</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螺纹加工</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G92应用</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复杂轴类件加工</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综合应用</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0" w:type="auto"/>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0" w:type="auto"/>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0" w:type="auto"/>
            <w:tcBorders>
              <w:top w:val="nil"/>
              <w:left w:val="nil"/>
              <w:bottom w:val="single" w:color="auto" w:sz="8"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eastAsiaTheme="minorEastAsia"/>
          <w:lang w:val="en-US" w:eastAsia="zh-CN"/>
        </w:rPr>
      </w:pPr>
      <w:r>
        <w:rPr>
          <w:rFonts w:hint="eastAsia"/>
          <w:lang w:val="en-US" w:eastAsia="zh-CN"/>
        </w:rPr>
        <w:t>1</w:t>
      </w:r>
      <w:bookmarkStart w:id="0" w:name="_GoBack"/>
      <w:bookmarkEnd w:id="0"/>
    </w:p>
    <w:sectPr>
      <w:pgSz w:w="11906" w:h="16838"/>
      <w:pgMar w:top="720" w:right="720" w:bottom="720" w:left="720" w:header="851" w:footer="992" w:gutter="0"/>
      <w:cols w:space="425" w:num="1"/>
      <w:docGrid w:type="lines" w:linePitch="312" w:charSpace="0"/>
    </w:sectPr>
  </w:body>
</w:document>
</file>