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i="http://schemas.microsoft.com/office/word/2010/wordprocessingInk" xmlns:w10="urn:schemas-microsoft-com:office:word" xmlns:w14="http://schemas.microsoft.com/office/word/2010/wordml" xmlns:wne="http://schemas.microsoft.com/office/word/2006/wordml" xmlns:w15="http://schemas.microsoft.com/office/word/2012/wordml" xmlns:v="urn:schemas-microsoft-com:vml" xmlns:wp14="http://schemas.microsoft.com/office/word/2010/wordprocessingDrawing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xmlns:pic="http://schemas.openxmlformats.org/drawingml/2006/picture" mc:Ignorable="w14 w15 wp14">
  <w:body>
    <w:tbl>
      <w:tblPr>
        <w:tblStyle w:val="2"/>
        <w:tblW w:w="10490" w:type="dxa"/>
        <w:tblInd w:type="dxa" w:w="0"/>
        <w:tblCellMar>
          <w:top w:type="dxa" w:w="0"/>
          <w:bottom w:type="dxa" w:w="0"/>
          <w:left w:type="dxa" w:w="108"/>
          <w:right w:type="dxa" w:w="108"/>
        </w:tblCellMar>
        <w:tblLayout w:type="autofit"/>
      </w:tblPr>
      <w:tblGrid>
        <w:gridCol w:w="10490"/>
      </w:tblGrid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114300" distR="114300" simplePos="0" relativeHeight="251659264" behindDoc="0" locked="0" layoutInCell="1" allowOverlap="1">
                  <wp:simplePos y="0" x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图片 208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581025" cx="2637790"/>
                          </a:xfrm>
                          <a:prstGeom prst="rect"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ayout w:type="autofit"/>
            </w:tblPr>
            <w:tblGrid>
              <w:gridCol w:w="9860"/>
            </w:tblGrid>
            <w:tr>
              <w:tblPrEx>
                <w:tblCellMar>
                  <w:top w:type="dxa" w:w="0"/>
                  <w:bottom w:type="dxa" w:w="0"/>
                  <w:left w:type="dxa" w:w="0"/>
                  <w:right w:type="dxa" w:w="0"/>
                </w:tblCellMar>
              </w:tblPrEx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</w:tcPr>
                <w:p>
                  <w:pPr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</w:t>
            </w:r>
            <w:r>
              <w:rPr>
                <w:b w:val="1"/>
                <w:bCs w:val="1"/>
                <w:kern w:val="0"/>
                <w:sz w:val="40"/>
                <w:szCs w:val="40"/>
                <w:lang w:eastAsia="zh-CN"/>
                <w:u w:val="single"/>
                <w:rFonts w:ascii="宋体" w:hAnsi="宋体" w:eastAsia="宋体" w:cs="宋体" w:hint="eastAsia"/>
              </w:rPr>
              <w:t>数学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</w:t>
            </w:r>
            <w:r>
              <w:rPr>
                <w:b w:val="1"/>
                <w:bCs w:val="1"/>
                <w:kern w:val="0"/>
                <w:sz w:val="40"/>
                <w:szCs w:val="40"/>
                <w:lang w:eastAsia="zh-CN"/>
                <w:u w:val="single"/>
                <w:rFonts w:ascii="宋体" w:hAnsi="宋体" w:eastAsia="宋体" w:cs="宋体" w:hint="eastAsia"/>
              </w:rPr>
              <w:t>信息工程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</w:t>
            </w:r>
            <w:r>
              <w:rPr>
                <w:b w:val="1"/>
                <w:bCs w:val="1"/>
                <w:kern w:val="0"/>
                <w:sz w:val="40"/>
                <w:szCs w:val="40"/>
                <w:lang w:eastAsia="zh-CN"/>
                <w:u w:val="single"/>
                <w:rFonts w:ascii="宋体" w:hAnsi="宋体" w:eastAsia="宋体" w:cs="宋体" w:hint="eastAsia"/>
              </w:rPr>
              <w:t>旅游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</w:t>
            </w:r>
            <w:r>
              <w:rPr>
                <w:b w:val="1"/>
                <w:bCs w:val="1"/>
                <w:kern w:val="0"/>
                <w:sz w:val="40"/>
                <w:szCs w:val="40"/>
                <w:lang w:val="en-US" w:eastAsia="zh-CN"/>
                <w:u w:val="single"/>
                <w:rFonts w:ascii="宋体" w:hAnsi="宋体" w:eastAsia="宋体" w:cs="宋体" w:hint="eastAsia"/>
              </w:rPr>
              <w:t>21旅游2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</w:t>
            </w:r>
            <w:r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樊春涛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</w:t>
            </w:r>
            <w:r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</w:t>
            </w:r>
            <w:r>
              <w:rPr>
                <w:b w:val="1"/>
                <w:bCs w:val="1"/>
                <w:kern w:val="0"/>
                <w:sz w:val="40"/>
                <w:szCs w:val="40"/>
                <w:lang w:val="en-US" w:eastAsia="zh-CN"/>
                <w:rFonts w:ascii="宋体" w:hAnsi="宋体" w:eastAsia="宋体" w:cs="宋体" w:hint="eastAsia"/>
              </w:rPr>
              <w:t>2023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年 </w:t>
            </w:r>
            <w:r>
              <w:rPr>
                <w:b w:val="1"/>
                <w:bCs w:val="1"/>
                <w:kern w:val="0"/>
                <w:sz w:val="40"/>
                <w:szCs w:val="40"/>
                <w:lang w:val="en-US" w:eastAsia="zh-CN"/>
                <w:rFonts w:ascii="宋体" w:hAnsi="宋体" w:eastAsia="宋体" w:cs="宋体" w:hint="eastAsia"/>
              </w:rPr>
              <w:t>2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月 </w:t>
            </w:r>
            <w:r>
              <w:rPr>
                <w:b w:val="1"/>
                <w:bCs w:val="1"/>
                <w:kern w:val="0"/>
                <w:sz w:val="40"/>
                <w:szCs w:val="40"/>
                <w:lang w:val="en-US" w:eastAsia="zh-CN"/>
                <w:rFonts w:ascii="宋体" w:hAnsi="宋体" w:eastAsia="宋体" w:cs="宋体" w:hint="eastAsia"/>
              </w:rPr>
              <w:t>6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日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numPr>
                <w:ilvl w:val="0"/>
                <w:numId w:val="1"/>
              </w:num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教学目标：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</w:t>
            </w:r>
          </w:p>
          <w:p>
            <w:pPr>
              <w:numPr>
                <w:ilvl w:val="0"/>
                <w:numId w:val="2"/>
              </w:numPr>
              <w:rPr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掌握本学期新授课：线性规划、排列组合、二项式定理、立体几何章节中的有关公式、定理，算法、解法；</w:t>
            </w:r>
          </w:p>
          <w:p>
            <w:pPr>
              <w:numPr>
                <w:ilvl w:val="0"/>
                <w:numId w:val="2"/>
              </w:numPr>
              <w:rPr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通过一轮复习，夯实学生基础知识点和重点题型的掌握；</w:t>
            </w:r>
          </w:p>
          <w:p>
            <w:pPr>
              <w:numPr>
                <w:ilvl w:val="0"/>
                <w:numId w:val="2"/>
              </w:numPr>
              <w:rPr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培养学生解题步骤的规范性，提高学生利用转化、数形结合等解决问题的意识和数学素养。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numPr>
                <w:ilvl w:val="0"/>
                <w:numId w:val="1"/>
              </w:numPr>
              <w:ind w:firstLine="0" w:firstLineChars="0" w:left="0" w:leftChars="0"/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学情分析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kern w:val="0"/>
                <w:sz w:val="32"/>
                <w:szCs w:val="32"/>
                <w:lang w:val="en-US" w:eastAsia="zh-CN"/>
                <w:rFonts w:ascii="宋体" w:hAnsi="宋体" w:eastAsia="宋体" w:cs="宋体" w:hint="default"/>
              </w:rPr>
              <w:jc w:val="left"/>
            </w:pPr>
            <w:r>
              <w:rPr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 xml:space="preserve">    本班有小部分同学学习认真，大部分同学学习还是缺乏积极性，由于基础知识的掌握还是比较薄弱，解题的灵活性不高，使得他们缺乏学习数学的兴趣，本学期继续调动起学生学习的积极性，培养学习的自主性和主动性，挺高总结和反思的能力。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numPr>
                <w:ilvl w:val="0"/>
                <w:numId w:val="1"/>
              </w:numPr>
              <w:ind w:firstLine="0" w:firstLineChars="0" w:left="0" w:leftChars="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教材分析：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default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 xml:space="preserve">    本教材立足于中职生的实际情况，贴近生产生活实际，不仅让学生掌握实际生活所用到的基础知识，例如计算、概率等，更渗透了转化、数形结合、逻辑推理等数学意识，真正培养了解决实际问题的能力和数学素养，为适应社会打下了良好的基础。</w:t>
            </w:r>
          </w:p>
        </w:tc>
      </w:tr>
    </w:tbl>
    <w:p/>
    <w:p/>
    <w:p/>
    <w:p/>
    <w:p/>
    <w:tbl>
      <w:tblPr>
        <w:tblStyle w:val="2"/>
        <w:tblW w:w="10485" w:type="dxa"/>
        <w:tblInd w:type="dxa" w:w="0"/>
        <w:tblCellMar>
          <w:top w:type="dxa" w:w="0"/>
          <w:bottom w:type="dxa" w:w="0"/>
          <w:left w:type="dxa" w:w="108"/>
          <w:right w:type="dxa" w:w="108"/>
        </w:tblCellMar>
        <w:tblLayout w:type="autofit"/>
      </w:tblPr>
      <w:tblGrid>
        <w:gridCol w:w="10485"/>
      </w:tblGrid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numPr>
                <w:ilvl w:val="0"/>
                <w:numId w:val="1"/>
              </w:numPr>
              <w:ind w:firstLine="0" w:firstLineChars="0" w:left="0" w:leftChars="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教学重点难点：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lang w:eastAsia="zh-CN"/>
                <w:rFonts w:ascii="宋体" w:hAnsi="宋体" w:eastAsia="宋体" w:cs="宋体" w:hint="eastAsia"/>
              </w:rPr>
              <w:t>重点：</w:t>
            </w:r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1.基础知识点的记忆、理解和灵活掌握；</w:t>
            </w:r>
          </w:p>
          <w:p>
            <w:pPr>
              <w:numPr>
                <w:ilvl w:val="0"/>
                <w:numId w:val="0"/>
              </w:numP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 xml:space="preserve">      2.重点题型的解题方法；</w:t>
            </w:r>
          </w:p>
          <w:p>
            <w:pPr>
              <w:numPr>
                <w:ilvl w:val="0"/>
                <w:numId w:val="0"/>
              </w:numPr>
              <w:ind w:firstLine="964" w:firstLineChars="300"/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3.解题步骤的规范性。</w:t>
            </w:r>
          </w:p>
          <w:p>
            <w:pPr>
              <w:numPr>
                <w:ilvl w:val="0"/>
                <w:numId w:val="0"/>
              </w:numP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难点：1.熟练应用知识解题；</w:t>
            </w:r>
          </w:p>
          <w:p>
            <w:pPr>
              <w:numPr>
                <w:ilvl w:val="0"/>
                <w:numId w:val="0"/>
              </w:numPr>
              <w:ind w:firstLine="964" w:firstLineChars="300"/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default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2.做好重点题目的总结和反思。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numPr>
                <w:ilvl w:val="0"/>
                <w:numId w:val="1"/>
              </w:numPr>
              <w:ind w:firstLine="0" w:firstLineChars="0" w:left="0" w:leftChars="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教学方法及采取措施：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教学方法：主要采用多听写检查，多回顾，限时训练，重点题目反复练，定期模拟练习。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教学措施：1.紧扣教材，吃透大纲，把握重难点；</w:t>
            </w:r>
          </w:p>
          <w:p>
            <w:pPr>
              <w:numPr>
                <w:ilvl w:val="0"/>
                <w:numId w:val="0"/>
              </w:numP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 xml:space="preserve">          2.从基础抓起，循序渐进；</w:t>
            </w:r>
          </w:p>
          <w:p>
            <w:pPr>
              <w:numPr>
                <w:ilvl w:val="0"/>
                <w:numId w:val="0"/>
              </w:numP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default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 xml:space="preserve">          3.举一反三，多学、多问、多思、多做，做到熟练灵活掌握；</w:t>
            </w:r>
          </w:p>
          <w:p>
            <w:pPr>
              <w:numPr>
                <w:ilvl w:val="0"/>
                <w:numId w:val="0"/>
              </w:numPr>
              <w:ind w:firstLine="1606" w:firstLineChars="500"/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default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4.精讲细练；</w:t>
            </w:r>
          </w:p>
          <w:p>
            <w:pPr>
              <w:numPr>
                <w:ilvl w:val="0"/>
                <w:numId w:val="0"/>
              </w:numPr>
              <w:ind w:firstLine="1606" w:firstLineChars="500"/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default"/>
              </w:rPr>
              <w:jc w:val="left"/>
            </w:pPr>
            <w:bookmarkStart w:id="0" w:name="_GoBack"/>
            <w:bookmarkEnd w:id="0"/>
            <w:r>
              <w:rPr>
                <w:b w:val="1"/>
                <w:bCs w:val="1"/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5.重视实战演练，总结好的经验和方法。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/>
    <w:p/>
    <w:p/>
    <w:p/>
    <w:p/>
    <w:p/>
    <w:p>
      <w:pPr>
        <w:rPr>
          <w:b w:val="1"/>
          <w:sz w:val="44"/>
          <w:rFonts w:hint="eastAsia"/>
        </w:rPr>
        <w:jc w:val="center"/>
      </w:pPr>
      <w:r>
        <w:rPr>
          <w:b w:val="1"/>
          <w:sz w:val="44"/>
          <w:rFonts w:hint="eastAsia"/>
        </w:rPr>
        <w:t>学</w:t>
      </w:r>
      <w:r>
        <w:rPr>
          <w:b w:val="1"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type="dxa" w:w="0"/>
        <w:tblCellMar>
          <w:top w:type="dxa" w:w="0"/>
          <w:bottom w:type="dxa" w:w="0"/>
          <w:left w:type="dxa" w:w="108"/>
          <w:right w:type="dxa" w:w="108"/>
        </w:tblCellMar>
        <w:tblLayout w:type="autofit"/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numPr>
                <w:ilvl w:val="0"/>
                <w:numId w:val="0"/>
              </w:numPr>
              <w:ind w:leftChars="0"/>
              <w:rPr>
                <w:kern w:val="0"/>
                <w:sz w:val="32"/>
                <w:szCs w:val="32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第十一章三角计算，第十二章逻辑用语，第十三章圆锥曲线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8"/>
                <w:szCs w:val="28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回顾公式、定理，重点题目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2"/>
                <w:szCs w:val="32"/>
                <w:lang w:val="en-US" w:eastAsia="zh-CN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</w:tcPr>
          <w:p>
            <w:pPr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第十四章线性规划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紧扣高考题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第十五章排列组合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排列数公式、组合数公式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第十五章二项式定理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二项式定理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default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第十六章立体几何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平面的基本性质、空间两条直线的位置关系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第十六章立体几何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直线与平面的位置关系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第十六章立体几何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平面与平面的位置关系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第十六章立体几何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单元复习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一轮复习第一章集合、逻辑用语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集合、逻辑用语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一轮复习第二章方程与不等式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方程与不等式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一轮复习第三专题函数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函数的概念、性质、一元二次函数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一轮复习第三专题函数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函数的概念、性质、一元二次函数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一轮复习第三专题函数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指数函数与对数函数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lang w:eastAsia="zh-CN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楷体_GB2312" w:hAnsi="宋体" w:eastAsia="楷体_GB2312" w:cs="宋体" w:hint="eastAsia"/>
              </w:rPr>
              <w:t>一轮复习第四专题三角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三角函数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楷体_GB2312" w:hAnsi="宋体" w:eastAsia="楷体_GB2312" w:cs="宋体" w:hint="eastAsia"/>
              </w:rPr>
              <w:t>一轮复习第四专题三角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三角函数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楷体_GB2312" w:hAnsi="宋体" w:eastAsia="楷体_GB2312" w:cs="宋体" w:hint="eastAsia"/>
              </w:rPr>
              <w:t>一轮复习第四专题三角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三角计算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24"/>
                <w:szCs w:val="24"/>
                <w:lang w:eastAsia="zh-CN"/>
                <w:rFonts w:ascii="楷体_GB2312" w:hAnsi="宋体" w:eastAsia="楷体_GB2312" w:cs="宋体" w:hint="eastAsia"/>
              </w:rPr>
              <w:t>一轮复习第四专题三角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三角计算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一轮复习第五专题平面向量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平面向量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lang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lang w:eastAsia="zh-CN"/>
                <w:rFonts w:ascii="宋体" w:hAnsi="宋体" w:eastAsia="宋体" w:cs="宋体" w:hint="eastAsia"/>
              </w:rPr>
              <w:t>一</w:t>
            </w: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轮复习第五专题平面向量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default"/>
              </w:rPr>
              <w:jc w:val="left"/>
            </w:pPr>
            <w:r>
              <w:rPr>
                <w:kern w:val="0"/>
                <w:sz w:val="24"/>
                <w:szCs w:val="24"/>
                <w:lang w:eastAsia="zh-CN"/>
                <w:rFonts w:ascii="宋体" w:hAnsi="宋体" w:eastAsia="宋体" w:cs="宋体" w:hint="eastAsia"/>
              </w:rPr>
              <w:t>平面向量</w:t>
            </w: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 w:eastAsia="zh-CN"/>
                <w:rFonts w:ascii="宋体" w:hAnsi="宋体" w:eastAsia="宋体" w:cs="宋体" w:hint="eastAsia"/>
              </w:rPr>
              <w:t>5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>
      <w:pPr>
        <w:rPr>
          <w:rFonts w:hint="eastAsia"/>
        </w:rPr>
      </w:pPr>
    </w:p>
    <w:sectPr>
      <w:docGrid w:type="lines" w:linePitch="312" w:charSpace="0"/>
      <w:pgSz w:w="11906" w:h="16838"/>
      <w:pgMar w:top="720" w:right="720" w:bottom="720" w:left="72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15="http://schemas.microsoft.com/office/word/2012/wordml"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wp14="http://schemas.microsoft.com/office/word/2010/wordprocessingDrawing" xmlns:v="urn:schemas-microsoft-com:v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g="http://schemas.microsoft.com/office/word/2010/wordprocessingGroup" xmlns:m="http://schemas.openxmlformats.org/officeDocument/2006/math" xmlns:wne="http://schemas.microsoft.com/office/word/2006/wordml" xmlns:r="http://schemas.openxmlformats.org/officeDocument/2006/relationships" xmlns:wps="http://schemas.microsoft.com/office/word/2010/wordprocessingShape" mc:Ignorable="w14 wp14">
  <w:abstractNum w:abstractNumId="0">
    <w:nsid w:val="269BDA08"/>
    <w:multiLevelType w:val="singleLevel"/>
    <w:tmpl w:val="269BDA08"/>
    <w:lvl w:ilvl="0" w:tentative="false">
      <w:start w:val="1"/>
      <w:numFmt w:val="decimal"/>
      <w:suff w:val="nothing"/>
      <w:lvlText w:val="%1、" w:null="false"/>
      <w:lvlJc w:val="left"/>
    </w:lvl>
  </w:abstractNum>
  <w:abstractNum w:abstractNumId="1">
    <w:nsid w:val="3CF68AD0"/>
    <w:multiLevelType w:val="singleLevel"/>
    <w:tmpl w:val="3CF68AD0"/>
    <w:lvl w:ilvl="0" w:tentative="false">
      <w:start w:val="1"/>
      <w:numFmt w:val="chineseCounting"/>
      <w:suff w:val="nothing"/>
      <w:lvlText w:val="%1、" w:null="false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14="http://schemas.microsoft.com/office/word/2010/wordml" xmlns:r="http://schemas.openxmlformats.org/officeDocument/2006/relationships" xmlns:sl="http://schemas.openxmlformats.org/schemaLibrary/2006/main" xmlns:v="urn:schemas-microsoft-com:vml" xmlns:wpsCustomData="http://www.wps.cn/officeDocument/2013/wpsCustomData" xmlns:w10="urn:schemas-microsoft-com:office:word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">
  <w:bordersDoNotSurroundHeader/>
  <w:bordersDoNotSurroundFooter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9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4F63474"/>
    <w:rsid w:val="15604521"/>
    <w:rsid w:val="160B040E"/>
    <w:rsid w:val="1D09302A"/>
    <w:rsid w:val="1E493CDA"/>
    <w:rsid w:val="23FF584D"/>
    <w:rsid w:val="25C96113"/>
    <w:rsid w:val="2C5E157C"/>
    <w:rsid w:val="2D53514E"/>
    <w:rsid w:val="3ED819A5"/>
    <w:rsid w:val="3FFB78C8"/>
    <w:rsid w:val="40EF4827"/>
    <w:rsid w:val="4249440B"/>
    <w:rsid w:val="54A14038"/>
    <w:rsid w:val="589F1AC7"/>
    <w:rsid w:val="59044790"/>
    <w:rsid w:val="66393956"/>
    <w:rsid w:val="69EB1780"/>
    <w:rsid w:val="71DD0AEE"/>
    <w:rsid w:val="7CFA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spidmax="0" fill="t" fillcolor="#FFFFFF" stroke="t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o="urn:schemas-microsoft-com:office:office" xmlns:w="http://schemas.openxmlformats.org/wordprocessingml/2006/main" xmlns:sl="http://schemas.openxmlformats.org/schemaLibrary/2006/main" xmlns:v="urn:schemas-microsoft-com:vml" xmlns:m="http://schemas.openxmlformats.org/officeDocument/2006/math" xmlns:mc="http://schemas.openxmlformats.org/markup-compatibility/2006" mc:Ignorable="w14">
  <w:docDefaults>
    <w:pPrDefault>
      <w:rPr>
        <w:rFonts w:asciiTheme="minorHAnsi" w:eastAsiaTheme="minorEastAsia" w:hAnsiTheme="minorHAnsi" w:cstheme="minorBidi"/>
      </w:rPr>
    </w:pPrDefault>
    <w:pPrDefault/>
  </w:docDefaults>
  <w:latentStyles w:defLockedState="0" w:defSemiHidden="1" w:defUnhideWhenUsed="1" w:defQFormat="0" w:defUIPriority="99" w:count="260">
    <w:lsdException w:name="Balloon Text" w:uiPriority="99"/>
    <w:lsdException w:name="Block Text" w:uiPriority="99"/>
    <w:lsdException w:name="Body Text" w:uiPriority="99"/>
    <w:lsdException w:name="Body Text 2" w:uiPriority="99"/>
    <w:lsdException w:name="Body Text 3" w:uiPriority="99"/>
    <w:lsdException w:name="Body Text First Indent" w:uiPriority="99"/>
    <w:lsdException w:name="Body Text First Indent 2" w:uiPriority="99"/>
    <w:lsdException w:name="Body Text Indent" w:uiPriority="99"/>
    <w:lsdException w:name="Body Text Indent 2" w:uiPriority="99"/>
    <w:lsdException w:name="Body Text Indent 3" w:uiPriority="99"/>
    <w:lsdException w:name="Closing" w:uiPriority="99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99"/>
    <w:lsdException w:name="Default Paragraph Font" w:uiPriority="1"/>
    <w:lsdException w:name="Document Map" w:uiPriority="99"/>
    <w:lsdException w:name="E-mail Signature" w:uiPriority="99"/>
    <w:lsdException w:name="Emphasis" w:uiPriority="20" w:semiHidden="0" w:unhideWhenUsed="0" w:qFormat="1"/>
    <w:lsdException w:name="FollowedHyperlink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Hyperlink" w:uiPriority="99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List Number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99"/>
    <w:lsdException w:name="Normal" w:uiPriority="0" w:semiHidden="0" w:unhideWhenUsed="0" w:qFormat="1"/>
    <w:lsdException w:name="Normal (Web)" w:uiPriority="99"/>
    <w:lsdException w:name="Normal Indent" w:uiPriority="99"/>
    <w:lsdException w:name="Normal Table" w:uiPriority="99"/>
    <w:lsdException w:name="Note Heading" w:uiPriority="99"/>
    <w:lsdException w:name="Plain Text" w:uiPriority="99"/>
    <w:lsdException w:name="Salutation" w:uiPriority="99"/>
    <w:lsdException w:name="Signature" w:uiPriority="99"/>
    <w:lsdException w:name="Strong" w:uiPriority="22" w:semiHidden="0" w:unhideWhenUsed="0" w:qFormat="1"/>
    <w:lsdException w:name="Subtitle" w:uiPriority="11" w:semiHidden="0" w:unhideWhenUsed="0" w:qFormat="1"/>
    <w:lsdException w:name="Table 3D effects 1" w:uiPriority="99"/>
    <w:lsdException w:name="Table 3D effects 2" w:uiPriority="99"/>
    <w:lsdException w:name="Table 3D effects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Contemporary" w:uiPriority="99"/>
    <w:lsdException w:name="Table Elegant" w:uiPriority="99"/>
    <w:lsdException w:name="Table Grid" w:uiPriority="39" w:semiHidden="0" w:unhideWhenUsed="0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Professional" w:uiPriority="99"/>
    <w:lsdException w:name="Table Simple 1" w:uiPriority="99"/>
    <w:lsdException w:name="Table Simple 2" w:uiPriority="99"/>
    <w:lsdException w:name="Table Simple 3" w:uiPriority="99"/>
    <w:lsdException w:name="Table Subtle 1" w:uiPriority="99"/>
    <w:lsdException w:name="Table Subtle 2" w:uiPriority="99"/>
    <w:lsdException w:name="Table Theme" w:uiPriority="99"/>
    <w:lsdException w:name="Table Web 1" w:uiPriority="99"/>
    <w:lsdException w:name="Table Web 2" w:uiPriority="99"/>
    <w:lsdException w:name="Table Web 3" w:uiPriority="99"/>
    <w:lsdException w:name="Title" w:uiPriority="10" w:semiHidden="0" w:unhideWhenUsed="0" w:qFormat="1"/>
    <w:lsdException w:name="annotation reference" w:uiPriority="99"/>
    <w:lsdException w:name="annotation subject" w:uiPriority="99"/>
    <w:lsdException w:name="annotation text" w:uiPriority="99"/>
    <w:lsdException w:name="caption" w:uiPriority="35" w:qFormat="1"/>
    <w:lsdException w:name="endnote reference" w:uiPriority="99"/>
    <w:lsdException w:name="endnote text" w:uiPriority="99"/>
    <w:lsdException w:name="envelope address" w:uiPriority="99"/>
    <w:lsdException w:name="envelope return" w:uiPriority="99"/>
    <w:lsdException w:name="footer" w:uiPriority="99"/>
    <w:lsdException w:name="footnote reference" w:uiPriority="99"/>
    <w:lsdException w:name="footnote text" w:uiPriority="99"/>
    <w:lsdException w:name="header" w:uiPriority="99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index heading" w:uiPriority="99"/>
    <w:lsdException w:name="line number" w:uiPriority="99"/>
    <w:lsdException w:name="macro" w:uiPriority="99"/>
    <w:lsdException w:name="page number" w:uiPriority="99"/>
    <w:lsdException w:name="table of authorities" w:uiPriority="99"/>
    <w:lsdException w:name="table of figures" w:uiPriority="99"/>
    <w:lsdException w:name="toa heading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</w:latentStyles>
  <w:style w:type="paragraph" w:styleId="1" w:default="1">
    <w:name w:val="Normal"/>
    <w:uiPriority w:val="0"/>
    <w:qFormat/>
    <w:pPr>
      <w:widowControl w:val="0"/>
      <w:jc w:val="both"/>
    </w:pPr>
    <w:rPr>
      <w:kern w:val="2"/>
      <w:sz w:val="21"/>
      <w:szCs w:val="22"/>
      <w:lang w:val="en-US" w:eastAsia="zh-CN" w:bidi="ar-SA"/>
      <w:rFonts w:asciiTheme="minorHAnsi" w:hAnsiTheme="minorHAnsi" w:eastAsiaTheme="minorEastAsia" w:cstheme="minorBidi"/>
    </w:rPr>
  </w:style>
  <w:style w:type="character" w:styleId="3" w:default="1">
    <w:name w:val="Default Paragraph Font"/>
    <w:uiPriority w:val="1"/>
    <w:semiHidden/>
    <w:unhideWhenUsed/>
  </w:style>
  <w:style w:type="table" w:styleId="2" w:default="1">
    <w:name w:val="Normal Table"/>
    <w:uiPriority w:val="99"/>
    <w:semiHidden/>
    <w:unhideWhenUsed/>
    <w:tblPr>
      <w:tblCellMar>
        <w:top w:type="dxa" w:w="0"/>
        <w:bottom w:type="dxa" w:w="0"/>
        <w:left w:type="dxa" w:w="108"/>
        <w:right w:type="dxa" w:w="108"/>
      </w:tblCellMar>
    </w:tbl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5" Type="http://schemas.openxmlformats.org/officeDocument/2006/relationships/image" Target="media/image1.png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MoolBoran" script="Khmr"/>
        <a:font typeface="Estrangelo Edessa" script="Syrc"/>
        <a:font typeface="Angsana New" script="Thai"/>
        <a:font typeface="Shruti" script="Gujr"/>
        <a:font typeface="Microsoft Uighur" script="Uigh"/>
        <a:font typeface="Vrinda" script="Beng"/>
        <a:font typeface="游ゴシック Light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Raavi" script="Guru"/>
        <a:font typeface="等线 Light" script="Hans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等线"/>
        <a:ea typeface=""/>
        <a:cs typeface="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DaunPenh" script="Khmr"/>
        <a:font typeface="Estrangelo Edessa" script="Syrc"/>
        <a:font typeface="Cordia New" script="Thai"/>
        <a:font typeface="Shruti" script="Gujr"/>
        <a:font typeface="Microsoft Uighur" script="Uigh"/>
        <a:font typeface="Vrinda" script="Beng"/>
        <a:font typeface="游明朝" script="Jpan"/>
        <a:font typeface="MV Boli" script="Thaa"/>
        <a:font typeface="Plantagenet Cherokee" script="Cher"/>
        <a:font typeface="Arial" script="Hebr"/>
        <a:font typeface="Microsoft Yi Baiti" script="Yiii"/>
        <a:font typeface="Raavi" script="Guru"/>
        <a:font typeface="等线" script="Hans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12</TotalTime>
  <Pages>5</Pages>
  <Words>1094</Words>
  <Characters>1332</Characters>
  <Application>WPS Office_11.1.0.13703_F1E327BC-269C-435d-A152-05C5408002CA</Application>
  <DocSecurity>0</DocSecurity>
  <Lines>5</Lines>
  <Paragraphs>1</Paragraphs>
  <ScaleCrop>false</ScaleCrop>
  <Company/>
  <LinksUpToDate>false</LinksUpToDate>
  <CharactersWithSpaces>1425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DELL</dc:creator>
  <cp:keywords/>
  <dc:description/>
  <cp:lastModifiedBy>娟娟</cp:lastModifiedBy>
  <cp:revision>6</cp:revision>
  <dcterms:created xsi:type="dcterms:W3CDTF">2023-02-07T07:05:00Z</dcterms:created>
  <dcterms:modified xsi:type="dcterms:W3CDTF">2023-02-09T10:48:46Z</dcterms:modified>
</cp:core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旅游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21旅游1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冯义娟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掌握本学期新授课：线性规划、排列组合、二巷式定理、立体几何章节中的有关公式、定理，算法、解法；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通过一轮复习，夯实学生基础知识点和重点题型的掌握；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培养学生解题步骤的规范性，提高学生利用转化、数形结合等解决问题的意识和数学素养。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本班有三十二名学生，小部分同学学习认真，大部分同学学习还是缺乏积极性，由于基础知识的掌握还是比较薄弱，解题的灵活性不高，使得他们缺乏学习数学的兴趣，本学期继续调动起学生学习的积极性，培养学习的自主性和主动性，挺高总结和反思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本教材立足于中职生的实际情况，贴近生产生活实际，不仅让学生掌握实际生活所用到的基础知识，例如计算、概率等，更渗透了转化、数形结合、逻辑推理等数学意识，真正培养了解决实际问题的能力和数学素养，为适应社会打下了良好的基础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1.基础知识点的记忆、理解和灵活掌握；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2.重点题型的解题方法；</w:t>
            </w:r>
          </w:p>
          <w:p>
            <w:pPr>
              <w:widowControl/>
              <w:numPr>
                <w:numId w:val="0"/>
              </w:numPr>
              <w:ind w:firstLine="964" w:firstLineChars="3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3.解题步骤的规范性。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难点：1.熟练应用知识解题；</w:t>
            </w:r>
          </w:p>
          <w:p>
            <w:pPr>
              <w:widowControl/>
              <w:numPr>
                <w:ilvl w:val="0"/>
                <w:numId w:val="0"/>
              </w:numPr>
              <w:ind w:firstLine="964" w:firstLineChars="3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2.做好重点题目的总结和反思。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教学方法：主要采用多听写检查，多回顾，限时训练，重点题目反复练，定期模拟练习。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教学措施：1.紧扣教材，吃透大纲，把握重难点；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    2.从基础抓起，循序渐进；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    3.举一反三，多学、多问、多思、多做，做到熟练灵活掌握；</w:t>
            </w:r>
          </w:p>
          <w:p>
            <w:pPr>
              <w:widowControl/>
              <w:numPr>
                <w:numId w:val="0"/>
              </w:numPr>
              <w:ind w:firstLine="1606" w:firstLineChars="5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4.精讲细练；</w:t>
            </w:r>
          </w:p>
          <w:p>
            <w:pPr>
              <w:widowControl/>
              <w:numPr>
                <w:numId w:val="0"/>
              </w:numPr>
              <w:ind w:firstLine="1606" w:firstLineChars="5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5.重视实战演练，总结好的经验和方法。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第十一章三角计算，第十二章逻辑用语，第十三章圆锥曲线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回顾公式、定理，重点题目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第十四章线性规划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紧扣高考题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第十五章排列组合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排列数公式、组合数公式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第十五章二项式定理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二项式定理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平面的基本性质、空间两条直线的位置关系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第十六章立体几何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单元复习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一轮复习第一章集合、逻辑用语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集合、逻辑用语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一轮复习第二章方程与不等式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方程与不等式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函数的概念、性质、一元二次函数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函数的概念、性质、一元二次函数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一轮复习第三专题函数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指数函数与对数函数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三角函数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一轮复习第四专题三角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三角计算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一轮复习第五专题平面向量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平面向量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轮复习第五专题平面向量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平面向量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