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00" w:after="100"/>
        <w:ind w:left="0" w:right="0"/>
        <w:jc w:val="center"/>
        <w:rPr>
          <w:rFonts w:hint="eastAsia" w:ascii="Verdana" w:hAnsi="Verdana" w:eastAsia="宋体" w:cs="宋体"/>
          <w:b/>
          <w:bCs/>
          <w:sz w:val="32"/>
          <w:szCs w:val="32"/>
          <w:lang w:eastAsia="zh-CN" w:bidi="ar-SA"/>
        </w:rPr>
      </w:pPr>
      <w:r>
        <w:rPr>
          <w:rFonts w:hint="eastAsia" w:ascii="Verdana" w:hAnsi="Verdana" w:eastAsia="宋体" w:cs="宋体"/>
          <w:b/>
          <w:bCs/>
          <w:sz w:val="32"/>
          <w:szCs w:val="32"/>
          <w:lang w:val="en-US" w:eastAsia="zh-CN" w:bidi="ar-SA"/>
        </w:rPr>
        <w:t>水北小学</w:t>
      </w:r>
      <w:bookmarkStart w:id="0" w:name="_GoBack"/>
      <w:bookmarkEnd w:id="0"/>
      <w:r>
        <w:rPr>
          <w:rFonts w:hint="eastAsia" w:ascii="Verdana" w:hAnsi="Verdana" w:eastAsia="宋体" w:cs="宋体"/>
          <w:b/>
          <w:bCs/>
          <w:sz w:val="32"/>
          <w:szCs w:val="32"/>
          <w:lang w:eastAsia="zh-CN" w:bidi="ar-SA"/>
        </w:rPr>
        <w:t>实验室安全管理制度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一、实验室安全管理工作要坚持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8"/>
          <w:szCs w:val="28"/>
        </w:rPr>
        <w:t>安全第一，预防为主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8"/>
          <w:szCs w:val="28"/>
        </w:rPr>
        <w:t>，按照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8"/>
          <w:szCs w:val="28"/>
        </w:rPr>
        <w:t>谁使用，谁负责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8"/>
          <w:szCs w:val="28"/>
        </w:rPr>
        <w:t>的原则，建立以实验室负责人为主体的安全责任制和各种安全制度，加强安全管理。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二、严格遵守学校制定的各项安全管理规定，对进入实验室的师生开展安全教育，切实保障人身和财产安全。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三、严格遵守环境保护的相关规定，妥善处理废气、废液、废物，不得随意排放。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四、实验室要保持文明整洁，仪器设备、材料、工具等物品摆放整齐，布局合理。不准存放与实验工作无关的一切物品，保障安全通道畅通。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五、实验员、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任课教师</w:t>
      </w:r>
      <w:r>
        <w:rPr>
          <w:rFonts w:hint="default" w:ascii="Times New Roman" w:hAnsi="Times New Roman" w:eastAsia="宋体" w:cs="Times New Roman"/>
          <w:sz w:val="28"/>
          <w:szCs w:val="28"/>
        </w:rPr>
        <w:t>、学生做实验时，根据需要，正确穿戴、使用劳动防护用品。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六、实验室应制定防火、防爆、防盗、防放射性污染、防事故等方面安全预案，落实安全措施，并定期检查。用电必须保证安全，严禁乱接乱拉电线。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七、对剧毒、放射性物品及其他危险品，必须指定专人管理，做到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8"/>
          <w:szCs w:val="28"/>
        </w:rPr>
        <w:t>四无一保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8"/>
          <w:szCs w:val="28"/>
        </w:rPr>
        <w:t>（无被盗、无事故、无丢失、无违章、保安全）和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8"/>
          <w:szCs w:val="28"/>
        </w:rPr>
        <w:t>五双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28"/>
          <w:szCs w:val="28"/>
        </w:rPr>
        <w:t>（双人保管、双人领取、双人使用、双把锁、双本帐），危险品管理人和使用人必须掌握有关安全知识，严格履行领用手续，剩余物品及时交还，对废弃物妥善处理。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八、实验开始前，指导教师要讲清操作规程和安全注意事项，操作过程中，指导教师不得擅离现场。具有危险性的实验，须有两人以上在场方可操作。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九、实验结束后，必须关闭实验室电源（确因特殊需要不能关闭的必须做好安全防范）、水源、气源、门窗等。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十、对于违反安全规定造成事故的，将严肃追究相关负责人的责任。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560" w:firstLineChars="200"/>
        <w:jc w:val="right"/>
        <w:textAlignment w:val="auto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560" w:firstLineChars="200"/>
        <w:jc w:val="right"/>
        <w:textAlignment w:val="auto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560" w:firstLineChars="200"/>
        <w:jc w:val="center"/>
        <w:textAlignment w:val="auto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                              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560" w:firstLineChars="200"/>
        <w:jc w:val="righ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2022年9月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MTFjNGY4MTJlYWFlMzVmZTlkOTRlM2NlNGUzNDQifQ=="/>
  </w:docVars>
  <w:rsids>
    <w:rsidRoot w:val="00000000"/>
    <w:rsid w:val="27324441"/>
    <w:rsid w:val="4091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252525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sunfe</cp:lastModifiedBy>
  <dcterms:modified xsi:type="dcterms:W3CDTF">2022-10-01T14:48:16Z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059A6151F89A4D489912F9C9C988F68A</vt:lpwstr>
  </property>
</Properties>
</file>