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9"/>
      </w:tblGrid>
      <w:tr w14:paraId="7E8BD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10769" w:type="dxa"/>
            <w:vAlign w:val="center"/>
          </w:tcPr>
          <w:p w14:paraId="497895B4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FF0000"/>
                <w:sz w:val="8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pacing w:val="-6"/>
                <w:sz w:val="112"/>
                <w:szCs w:val="112"/>
              </w:rPr>
              <w:t>沂源县燕崖中学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112"/>
                <w:szCs w:val="112"/>
              </w:rPr>
              <w:t>文件</w:t>
            </w:r>
          </w:p>
        </w:tc>
      </w:tr>
      <w:tr w14:paraId="3BFD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769" w:type="dxa"/>
            <w:tcMar>
              <w:left w:w="0" w:type="dxa"/>
              <w:right w:w="0" w:type="dxa"/>
            </w:tcMar>
            <w:vAlign w:val="bottom"/>
          </w:tcPr>
          <w:p w14:paraId="7D9B28DF"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　</w:t>
            </w:r>
            <w:r>
              <w:rPr>
                <w:rFonts w:hint="eastAsia" w:ascii="仿宋_GB2312" w:hAnsi="仿宋_GB2312" w:eastAsia="仿宋_GB2312"/>
                <w:b/>
                <w:bCs/>
                <w:spacing w:val="-6"/>
                <w:sz w:val="32"/>
              </w:rPr>
              <w:t>燕</w:t>
            </w:r>
            <w:r>
              <w:rPr>
                <w:rFonts w:hint="eastAsia" w:ascii="仿宋_GB2312" w:hAnsi="仿宋_GB2312" w:eastAsia="仿宋_GB2312"/>
                <w:b/>
                <w:bCs/>
                <w:spacing w:val="-6"/>
                <w:sz w:val="32"/>
                <w:lang w:eastAsia="zh-CN"/>
              </w:rPr>
              <w:t>中</w:t>
            </w:r>
            <w:r>
              <w:rPr>
                <w:rFonts w:hint="eastAsia" w:ascii="仿宋_GB2312" w:hAnsi="仿宋_GB2312" w:eastAsia="仿宋_GB2312"/>
                <w:b/>
                <w:bCs/>
                <w:spacing w:val="-6"/>
                <w:sz w:val="32"/>
              </w:rPr>
              <w:t>发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〔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〕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  <w:lang w:eastAsia="zh-CN"/>
              </w:rPr>
              <w:t>安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  <w:lang w:val="en-US" w:eastAsia="zh-CN"/>
              </w:rPr>
              <w:t xml:space="preserve">54 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号</w:t>
            </w:r>
          </w:p>
        </w:tc>
      </w:tr>
      <w:tr w14:paraId="25B25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10769" w:type="dxa"/>
            <w:tcBorders>
              <w:bottom w:val="nil"/>
            </w:tcBorders>
            <w:vAlign w:val="center"/>
          </w:tcPr>
          <w:p w14:paraId="2CF46A88">
            <w:pPr>
              <w:jc w:val="center"/>
              <w:rPr>
                <w:rFonts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 xml:space="preserve"> </w:t>
            </w:r>
          </w:p>
        </w:tc>
      </w:tr>
      <w:tr w14:paraId="3B6F3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0769" w:type="dxa"/>
            <w:tcBorders>
              <w:top w:val="single" w:color="FF0000" w:sz="24" w:space="0"/>
            </w:tcBorders>
            <w:vAlign w:val="center"/>
          </w:tcPr>
          <w:p w14:paraId="4562E0DC">
            <w:pPr>
              <w:jc w:val="center"/>
              <w:rPr>
                <w:rFonts w:ascii="仿宋_GB2312" w:hAnsi="仿宋_GB2312" w:eastAsia="仿宋_GB2312"/>
                <w:b/>
                <w:sz w:val="32"/>
              </w:rPr>
            </w:pPr>
          </w:p>
        </w:tc>
      </w:tr>
    </w:tbl>
    <w:p w14:paraId="200CA007"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实验课安全管理制度</w:t>
      </w:r>
    </w:p>
    <w:p w14:paraId="5C68178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一、实验室准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入制度</w:t>
      </w:r>
    </w:p>
    <w:p w14:paraId="6814309B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1.学生进入实验室前，必须进行实验室安全知识培训，了解实验室安全规则和紧急情况的处理方法。</w:t>
      </w:r>
    </w:p>
    <w:p w14:paraId="3DFEC0FA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2.学生要在任课教师或实验管理员带领下有秩序地进入实验室内，并在指定座位就座，任课老师需填写实验室使用记录表等台账作为记录。</w:t>
      </w:r>
    </w:p>
    <w:p w14:paraId="349C539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3.未经实验室负责人许可，无关人员不得进入实验室。</w:t>
      </w:r>
    </w:p>
    <w:p w14:paraId="48BDF6F4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二、实验室使用制度</w:t>
      </w:r>
    </w:p>
    <w:p w14:paraId="232CF76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1.实验管理员或教师应提前检查实验仪器、设备和药品的完好性和安全性，确保实验的顺利进行。</w:t>
      </w:r>
    </w:p>
    <w:p w14:paraId="727722C4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2.教师应提前制定详细的实验教学计划和实验指导方案，明确实验目的、步骤、要求和安全注意事项，并向学生详细讲解。</w:t>
      </w:r>
    </w:p>
    <w:p w14:paraId="6D26646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学生要认真聆听教师讲解实验目的、步骤、仪器性能，实验操作方法和注意事项。实验时必须持严谨的科学态度，严格遵守实验操作规程，要仔细观察现象，如实做好记录，积极思考，分析实验结果，不得随意更改实验步骤和方法。</w:t>
      </w:r>
    </w:p>
    <w:p w14:paraId="672548E4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实验仪器、试剂和设备，未经教师允许，学生不得随意动用。进行实验前，学生应检查实验所需的仪器、药品、器材是否齐全、完好，如有缺漏、损坏应报告老师。室内一切物品，未经教师允许，一律不得私自带出。</w:t>
      </w:r>
    </w:p>
    <w:p w14:paraId="1392B51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5.未经教师允许，不得私自增减实验药品的用量或随意混合药品。实验中碰到疑难问题，应向老师请教。</w:t>
      </w:r>
    </w:p>
    <w:p w14:paraId="338058F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6.共用仪器用完后立即放回原处，各组仪器未经老师许可，不得随意移动。</w:t>
      </w:r>
    </w:p>
    <w:p w14:paraId="714DC28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7.在实验过程中，要集中精力，如发现异常现象或事故，应立即停止实验，并及时报告教师或实验管理员。</w:t>
      </w:r>
    </w:p>
    <w:p w14:paraId="5E05DB7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8.严禁在实验室嬉戏、打闹、大声喧哗，保持实验室的安静和秩序。</w:t>
      </w:r>
    </w:p>
    <w:p w14:paraId="43AB383C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实验过程中要爱护仪器设备，爱惜药品、材料，不得随意损坏或丢失。如因操作不当造成仪器设备损坏，应及时报告，凡不按操作规程而损坏的仪器均应赔偿；对故意损坏仪器的，除照价赔偿外，还要视情节轻重，给予必要的处分。</w:t>
      </w:r>
    </w:p>
    <w:p w14:paraId="489A3A2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10.实验完毕，应整理仪器装置，清洗器皿，打扫卫生，关闭电源、水源，经老师检查同意后，才能离开实验室。</w:t>
      </w:r>
    </w:p>
    <w:p w14:paraId="7A44538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三、危险化学品管理制度</w:t>
      </w:r>
    </w:p>
    <w:p w14:paraId="50CB558A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1.危化品的采购、储存、使用和处置必须严格遵守国家有关法律法规和学校的相关规定。</w:t>
      </w:r>
    </w:p>
    <w:p w14:paraId="2B7784E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2.危化品应存放在专用的储存柜中，分类存放，严禁混放。储存柜应设置明显的警示标志，并采取防火、防爆、防潮、防晒、通风等安全措施。</w:t>
      </w:r>
    </w:p>
    <w:p w14:paraId="296540B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3.危化品的使用必须由教师或实验管理员进行，学生不得私自取用。使用过程中要严格控制用量，防止发生意外事故。</w:t>
      </w:r>
    </w:p>
    <w:p w14:paraId="26750A9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4.实验产生的危化品废弃物应分类收集，妥善存放，定期交由有资质的单位或按照国家规定进行处理，严禁随意丢弃或随意排放。</w:t>
      </w:r>
    </w:p>
    <w:p w14:paraId="0F6F4E0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四、实验室日常维护制度</w:t>
      </w:r>
    </w:p>
    <w:p w14:paraId="1C2A33D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1.实验室的水、电、气设施必须符合安全标准，定期进行检查和维护，确保其正常运行。</w:t>
      </w:r>
    </w:p>
    <w:p w14:paraId="7B72B6DE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2.学生在使用电器设备时，应先检查设备的完好性和安全性，不得私自拆卸或修理电器设备。</w:t>
      </w:r>
    </w:p>
    <w:p w14:paraId="09C7B30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3.实验结束后，学生应及时清理实验台、仪器设备和地面上的废弃物和污渍，保持实验室的清洁卫生。及时关闭水、电、气阀门，防止发生漏水、漏电、漏气等事故。</w:t>
      </w:r>
    </w:p>
    <w:p w14:paraId="0F1EDC0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4.实验管理员应定期对实验室进行消毒和通风，保持实验室的环境良好。</w:t>
      </w:r>
    </w:p>
    <w:p w14:paraId="3BB4DDF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5.实验室应配备必要的消防器材，如灭火器、灭火沙、消防栓等，并定期进行检查和维护，确保其处于良好状态。</w:t>
      </w:r>
    </w:p>
    <w:p w14:paraId="0ADA7C10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6.学生和教师应熟悉消防器材的使用方法和存放位置，一旦发生火灾，应立即采取有效的灭火措施，并及时报告学校保卫部门。</w:t>
      </w:r>
    </w:p>
    <w:p w14:paraId="199CF7D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7.实验室严禁吸烟、使用明火或私拉乱接电线。</w:t>
      </w:r>
    </w:p>
    <w:p w14:paraId="332218A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五、仪器设备管理制度</w:t>
      </w:r>
    </w:p>
    <w:p w14:paraId="7418948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1.各种仪器设备必须建立专人负责制，实行档案管理制度，建档建卡，做到技术档案资料齐全、完整。每半年对全部设备进行一次核查，确保帐物相符。 </w:t>
      </w:r>
    </w:p>
    <w:p w14:paraId="798FBFB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2.新进设备在使用前必须熟读说明书，严格按操作规程使用。 </w:t>
      </w:r>
    </w:p>
    <w:p w14:paraId="16432B3F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3.定期对设备进行保养，平时进行小保养，学期末进行一次中保养，年终进行一次大保养。 </w:t>
      </w:r>
    </w:p>
    <w:p w14:paraId="55225064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4.设备发生故障或损坏时要及时报告，及时修理，保持高标准的设备完好率。</w:t>
      </w:r>
    </w:p>
    <w:p w14:paraId="313186F1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5.精密贵重仪器发生故障，需由两人或两人以上共同研究分析后，方可采取措施。</w:t>
      </w:r>
    </w:p>
    <w:p w14:paraId="5ABD5B1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6.精密贵重设备一般不外借，特殊情况外借其他单位使用时，需由领导批准。 </w:t>
      </w:r>
    </w:p>
    <w:p w14:paraId="5D28769F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六、事故应急处理制度</w:t>
      </w:r>
    </w:p>
    <w:p w14:paraId="796C58A5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1.实验室应制定详细的事故应急预案，明确事故发生后的应急处理程序和措施。</w:t>
      </w:r>
    </w:p>
    <w:p w14:paraId="090443CA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2.一旦发生事故，应立即启动应急预案，组织人员进行救援和处理，并及时报告学校领导和相关部门。</w:t>
      </w:r>
    </w:p>
    <w:p w14:paraId="12EDDE6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3.事故处理结束后，应及时对事故原因进行调查和分析，总结经验教训，提出改进措施，防止类似事故的再次发生。</w:t>
      </w:r>
    </w:p>
    <w:p w14:paraId="553C5607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安全无小事，每一位师生都要做到“人人讲安全，个个会应急”，真正从源头上确保实验的安全性，杜绝事故的发生，有效防范和消除安全隐患。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35DA"/>
    <w:rsid w:val="13D22600"/>
    <w:rsid w:val="1CEA6E7C"/>
    <w:rsid w:val="20CB53F8"/>
    <w:rsid w:val="41462326"/>
    <w:rsid w:val="560819F5"/>
    <w:rsid w:val="66CD08B8"/>
    <w:rsid w:val="6C8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2024-12-26T02:40:36Z</dcterms:created>
  <dc:creator>Administrator</dc:creator>
  <cp:lastModifiedBy>快乐的梦</cp:lastModifiedBy>
  <dcterms:modified xsi:type="dcterms:W3CDTF">2024-12-26T03:19:18Z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eyJoZGlkIjoiMzI0ODk2YTA3ZmYzMzEzMzgzNTU5YzBhNGM5ZjgxNGMiLCJ1c2VySWQiOiI2NDg5Nzc3OTUifQ==</vt:lpwstr>
  </property>
  <property fmtid="{D5CDD505-2E9C-101B-9397-08002B2CF9AE}" pid="4" name="ICV">
    <vt:lpwstr>9F3E971EE60E4B229CA6CF77A94C268E_13</vt:lpwstr>
  </property>
</Properties>
</file>