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沂源县交通运输局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880" w:firstLineChars="200"/>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2020年度政府信息公开工作年度报告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880" w:firstLineChars="200"/>
        <w:textAlignment w:val="auto"/>
        <w:rPr>
          <w:rFonts w:hint="eastAsia" w:ascii="方正小标宋简体" w:hAnsi="方正小标宋简体" w:eastAsia="方正小标宋简体" w:cs="方正小标宋简体"/>
          <w:sz w:val="44"/>
          <w:szCs w:val="44"/>
          <w:lang w:val="en-US" w:eastAsia="zh-CN"/>
        </w:rPr>
      </w:pPr>
    </w:p>
    <w:p>
      <w:pPr>
        <w:pStyle w:val="3"/>
        <w:keepNext w:val="0"/>
        <w:keepLines w:val="0"/>
        <w:widowControl/>
        <w:suppressLineNumbers w:val="0"/>
        <w:spacing w:before="0" w:beforeAutospacing="0" w:after="0" w:afterAutospacing="0" w:line="560" w:lineRule="atLeast"/>
        <w:ind w:left="0" w:right="0" w:firstLine="640"/>
        <w:rPr>
          <w:rFonts w:hint="eastAsia" w:ascii="仿宋_GB2312" w:eastAsia="仿宋_GB2312" w:cs="仿宋_GB2312"/>
          <w:sz w:val="32"/>
          <w:szCs w:val="32"/>
        </w:rPr>
      </w:pPr>
      <w:r>
        <w:rPr>
          <w:rFonts w:hint="eastAsia" w:ascii="仿宋_GB2312" w:eastAsia="仿宋_GB2312" w:cs="仿宋_GB2312"/>
          <w:sz w:val="32"/>
          <w:szCs w:val="32"/>
        </w:rPr>
        <w:t>本报告按照新修订的《中华人民共和国政府信息公开条例》（以下简称《条例》）和《山东省政府信息公开办法》（以下简称《办法》）规定，由沂源县</w:t>
      </w:r>
      <w:r>
        <w:rPr>
          <w:rFonts w:hint="eastAsia" w:ascii="仿宋_GB2312" w:eastAsia="仿宋_GB2312" w:cs="仿宋_GB2312"/>
          <w:sz w:val="32"/>
          <w:szCs w:val="32"/>
          <w:lang w:val="en-US" w:eastAsia="zh-CN"/>
        </w:rPr>
        <w:t>交通运输局</w:t>
      </w:r>
      <w:r>
        <w:rPr>
          <w:rFonts w:hint="eastAsia" w:ascii="仿宋_GB2312" w:eastAsia="仿宋_GB2312" w:cs="仿宋_GB2312"/>
          <w:sz w:val="32"/>
          <w:szCs w:val="32"/>
        </w:rPr>
        <w:t>综合本部门各科室信息公开工作情况</w:t>
      </w:r>
      <w:r>
        <w:rPr>
          <w:rFonts w:hint="eastAsia" w:ascii="仿宋_GB2312" w:eastAsia="仿宋_GB2312" w:cs="仿宋_GB2312"/>
          <w:sz w:val="32"/>
          <w:szCs w:val="32"/>
          <w:lang w:val="en-US" w:eastAsia="zh-CN"/>
        </w:rPr>
        <w:t>进行</w:t>
      </w:r>
      <w:r>
        <w:rPr>
          <w:rFonts w:hint="eastAsia" w:ascii="仿宋_GB2312" w:eastAsia="仿宋_GB2312" w:cs="仿宋_GB2312"/>
          <w:sz w:val="32"/>
          <w:szCs w:val="32"/>
        </w:rPr>
        <w:t>编制。</w:t>
      </w:r>
    </w:p>
    <w:p>
      <w:pPr>
        <w:pStyle w:val="3"/>
        <w:keepNext w:val="0"/>
        <w:keepLines w:val="0"/>
        <w:widowControl/>
        <w:suppressLineNumbers w:val="0"/>
        <w:spacing w:before="0" w:beforeAutospacing="0" w:after="0" w:afterAutospacing="0" w:line="560" w:lineRule="atLeast"/>
        <w:ind w:left="0" w:right="0" w:firstLine="640"/>
        <w:rPr>
          <w:rFonts w:hint="eastAsia" w:ascii="仿宋_GB2312" w:eastAsia="仿宋_GB2312" w:cs="仿宋_GB2312"/>
          <w:sz w:val="32"/>
          <w:szCs w:val="32"/>
        </w:rPr>
      </w:pPr>
      <w:r>
        <w:rPr>
          <w:rFonts w:hint="eastAsia" w:ascii="仿宋_GB2312" w:eastAsia="仿宋_GB2312" w:cs="仿宋_GB2312"/>
          <w:sz w:val="32"/>
          <w:szCs w:val="32"/>
        </w:rPr>
        <w:t>报告全文由总体情况、主动公开政府信息情况、收到和处理政府信息公开申请情况、政府信息公开行政复议和行政诉讼情况、政府信息公开工作存在的主要问题及改进情况、其他需要报告的事项等六部分组成。</w:t>
      </w:r>
    </w:p>
    <w:p>
      <w:pPr>
        <w:pStyle w:val="3"/>
        <w:keepNext w:val="0"/>
        <w:keepLines w:val="0"/>
        <w:widowControl/>
        <w:suppressLineNumbers w:val="0"/>
        <w:spacing w:before="0" w:beforeAutospacing="0" w:after="0" w:afterAutospacing="0" w:line="560" w:lineRule="atLeast"/>
        <w:ind w:left="0" w:right="0" w:firstLine="640"/>
        <w:rPr>
          <w:rFonts w:hint="default" w:ascii="方正小标宋简体" w:hAnsi="方正小标宋简体" w:eastAsia="方正小标宋简体" w:cs="方正小标宋简体"/>
          <w:b w:val="0"/>
          <w:bCs w:val="0"/>
          <w:sz w:val="32"/>
          <w:szCs w:val="32"/>
          <w:lang w:val="en-US" w:eastAsia="zh-CN"/>
        </w:rPr>
      </w:pPr>
      <w:r>
        <w:rPr>
          <w:rFonts w:hint="eastAsia" w:ascii="仿宋_GB2312" w:eastAsia="仿宋_GB2312" w:cs="仿宋_GB2312"/>
          <w:sz w:val="32"/>
          <w:szCs w:val="32"/>
        </w:rPr>
        <w:t>报告中所列数据统计期限自2020年1月1日始，至2020年12月31日止。报告电子版可从沂源县人民政府门户网站（www.yiyuan.gov.cn）下载。如对报告内容有疑问，请与沂源县</w:t>
      </w:r>
      <w:r>
        <w:rPr>
          <w:rFonts w:hint="eastAsia" w:ascii="仿宋_GB2312" w:eastAsia="仿宋_GB2312" w:cs="仿宋_GB2312"/>
          <w:sz w:val="32"/>
          <w:szCs w:val="32"/>
          <w:lang w:val="en-US" w:eastAsia="zh-CN"/>
        </w:rPr>
        <w:t>交通运输局</w:t>
      </w:r>
      <w:r>
        <w:rPr>
          <w:rFonts w:hint="eastAsia" w:ascii="仿宋_GB2312" w:eastAsia="仿宋_GB2312" w:cs="仿宋_GB2312"/>
          <w:sz w:val="32"/>
          <w:szCs w:val="32"/>
        </w:rPr>
        <w:t>联系（地址：</w:t>
      </w:r>
      <w:r>
        <w:rPr>
          <w:rFonts w:hint="eastAsia" w:ascii="仿宋_GB2312" w:eastAsia="仿宋_GB2312" w:cs="仿宋_GB2312"/>
          <w:sz w:val="32"/>
          <w:szCs w:val="32"/>
          <w:lang w:val="en-US" w:eastAsia="zh-CN"/>
        </w:rPr>
        <w:t>沂源县新城路与祥源路交叉路口东办公楼</w:t>
      </w:r>
      <w:r>
        <w:rPr>
          <w:rFonts w:hint="eastAsia" w:ascii="仿宋_GB2312" w:eastAsia="仿宋_GB2312" w:cs="仿宋_GB2312"/>
          <w:sz w:val="32"/>
          <w:szCs w:val="32"/>
        </w:rPr>
        <w:t>；邮编：256100；</w:t>
      </w:r>
      <w:r>
        <w:rPr>
          <w:rFonts w:hint="eastAsia" w:ascii="仿宋_GB2312" w:eastAsia="仿宋_GB2312" w:cs="仿宋_GB2312"/>
          <w:sz w:val="32"/>
          <w:szCs w:val="32"/>
          <w:lang w:val="en-US" w:eastAsia="zh-CN"/>
        </w:rPr>
        <w:t>联系</w:t>
      </w:r>
      <w:r>
        <w:rPr>
          <w:rFonts w:hint="eastAsia" w:ascii="仿宋_GB2312" w:eastAsia="仿宋_GB2312" w:cs="仿宋_GB2312"/>
          <w:sz w:val="32"/>
          <w:szCs w:val="32"/>
        </w:rPr>
        <w:t>电话：0533-</w:t>
      </w:r>
      <w:r>
        <w:rPr>
          <w:rFonts w:hint="eastAsia" w:ascii="仿宋_GB2312" w:eastAsia="仿宋_GB2312" w:cs="仿宋_GB2312"/>
          <w:sz w:val="32"/>
          <w:szCs w:val="32"/>
          <w:lang w:val="en-US" w:eastAsia="zh-CN"/>
        </w:rPr>
        <w:t>2343800</w:t>
      </w:r>
      <w:r>
        <w:rPr>
          <w:rFonts w:hint="eastAsia" w:ascii="仿宋_GB2312" w:eastAsia="仿宋_GB2312" w:cs="仿宋_GB2312"/>
          <w:sz w:val="32"/>
          <w:szCs w:val="32"/>
        </w:rPr>
        <w:t>；邮箱:yyx</w:t>
      </w:r>
      <w:r>
        <w:rPr>
          <w:rFonts w:hint="eastAsia" w:ascii="仿宋_GB2312" w:eastAsia="仿宋_GB2312" w:cs="仿宋_GB2312"/>
          <w:sz w:val="32"/>
          <w:szCs w:val="32"/>
          <w:lang w:val="en-US" w:eastAsia="zh-CN"/>
        </w:rPr>
        <w:t>jtj</w:t>
      </w:r>
      <w:r>
        <w:rPr>
          <w:rFonts w:hint="eastAsia" w:ascii="仿宋_GB2312" w:eastAsia="仿宋_GB2312" w:cs="仿宋_GB2312"/>
          <w:sz w:val="32"/>
          <w:szCs w:val="32"/>
        </w:rPr>
        <w:t>bgs@zb.shandong.cn）。</w:t>
      </w:r>
    </w:p>
    <w:p>
      <w:pPr>
        <w:pStyle w:val="3"/>
        <w:keepNext w:val="0"/>
        <w:keepLines w:val="0"/>
        <w:widowControl/>
        <w:suppressLineNumbers w:val="0"/>
        <w:spacing w:line="555" w:lineRule="atLeast"/>
        <w:ind w:left="0" w:firstLine="705"/>
        <w:rPr>
          <w:b w:val="0"/>
          <w:bCs w:val="0"/>
          <w:sz w:val="32"/>
          <w:szCs w:val="32"/>
        </w:rPr>
      </w:pPr>
      <w:r>
        <w:rPr>
          <w:rStyle w:val="6"/>
          <w:rFonts w:ascii="黑体" w:hAnsi="宋体" w:eastAsia="黑体" w:cs="黑体"/>
          <w:b w:val="0"/>
          <w:bCs w:val="0"/>
          <w:sz w:val="32"/>
          <w:szCs w:val="32"/>
        </w:rPr>
        <w:t>一、总体情况</w:t>
      </w:r>
    </w:p>
    <w:p>
      <w:pPr>
        <w:pStyle w:val="3"/>
        <w:keepNext w:val="0"/>
        <w:keepLines w:val="0"/>
        <w:widowControl/>
        <w:suppressLineNumbers w:val="0"/>
        <w:spacing w:line="555" w:lineRule="atLeast"/>
        <w:ind w:left="0" w:firstLine="705"/>
        <w:rPr>
          <w:rStyle w:val="6"/>
          <w:rFonts w:hint="default"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2020</w:t>
      </w:r>
      <w:r>
        <w:rPr>
          <w:rStyle w:val="6"/>
          <w:rFonts w:hint="eastAsia" w:ascii="仿宋_GB2312" w:eastAsia="仿宋_GB2312" w:cs="仿宋_GB2312"/>
          <w:b w:val="0"/>
          <w:sz w:val="32"/>
          <w:szCs w:val="32"/>
        </w:rPr>
        <w:t>年，我局在县委、县政府的正确领导下，认真贯彻《中华人民共和国政府信息公开条例》和《关于印发2020年沂源县政务公开工作考核方案的通知》（源政办字〔2020〕89号）文件精神，</w:t>
      </w:r>
      <w:r>
        <w:rPr>
          <w:rStyle w:val="6"/>
          <w:rFonts w:hint="eastAsia" w:ascii="仿宋_GB2312" w:eastAsia="仿宋_GB2312" w:cs="仿宋_GB2312"/>
          <w:b w:val="0"/>
          <w:sz w:val="32"/>
          <w:szCs w:val="32"/>
          <w:lang w:val="en-US" w:eastAsia="zh-CN"/>
        </w:rPr>
        <w:t>做好本单位政务公开落实情况，不断完善政务公开机制，在机构改革中摸索新的工作方式方法，切实做到关切回应，保障公众知情权、参与权、表达权和监督权，推进行政权力公开透明运行，加大行政审批公开力度。</w:t>
      </w:r>
    </w:p>
    <w:p>
      <w:pPr>
        <w:pStyle w:val="3"/>
        <w:keepNext w:val="0"/>
        <w:keepLines w:val="0"/>
        <w:widowControl/>
        <w:suppressLineNumbers w:val="0"/>
        <w:spacing w:line="555" w:lineRule="atLeast"/>
        <w:ind w:left="0" w:firstLine="705"/>
        <w:rPr>
          <w:b w:val="0"/>
          <w:bCs/>
          <w:sz w:val="32"/>
          <w:szCs w:val="32"/>
        </w:rPr>
      </w:pPr>
      <w:r>
        <w:rPr>
          <w:rStyle w:val="6"/>
          <w:rFonts w:ascii="楷体_GB2312" w:eastAsia="楷体_GB2312" w:cs="楷体_GB2312"/>
          <w:b w:val="0"/>
          <w:bCs/>
          <w:sz w:val="32"/>
          <w:szCs w:val="32"/>
        </w:rPr>
        <w:t>（一）主动公开内容</w:t>
      </w:r>
    </w:p>
    <w:p>
      <w:pPr>
        <w:pStyle w:val="3"/>
        <w:keepNext w:val="0"/>
        <w:keepLines w:val="0"/>
        <w:widowControl/>
        <w:suppressLineNumbers w:val="0"/>
        <w:spacing w:line="555" w:lineRule="atLeast"/>
        <w:ind w:left="0" w:firstLine="705"/>
        <w:rPr>
          <w:rStyle w:val="6"/>
          <w:rFonts w:hint="eastAsia" w:ascii="仿宋_GB2312" w:eastAsia="仿宋_GB2312" w:cs="仿宋_GB2312"/>
          <w:b w:val="0"/>
          <w:sz w:val="32"/>
          <w:szCs w:val="32"/>
        </w:rPr>
      </w:pPr>
      <w:r>
        <w:rPr>
          <w:rStyle w:val="6"/>
          <w:rFonts w:hint="eastAsia" w:ascii="仿宋_GB2312" w:eastAsia="仿宋_GB2312" w:cs="仿宋_GB2312"/>
          <w:b w:val="0"/>
          <w:sz w:val="32"/>
          <w:szCs w:val="32"/>
        </w:rPr>
        <w:t>根据《政府信息公开条例》</w:t>
      </w:r>
      <w:r>
        <w:rPr>
          <w:rStyle w:val="6"/>
          <w:rFonts w:hint="eastAsia" w:ascii="仿宋_GB2312" w:eastAsia="仿宋_GB2312" w:cs="仿宋_GB2312"/>
          <w:b w:val="0"/>
          <w:sz w:val="32"/>
          <w:szCs w:val="32"/>
          <w:lang w:eastAsia="zh-CN"/>
        </w:rPr>
        <w:t>，</w:t>
      </w:r>
      <w:r>
        <w:rPr>
          <w:rStyle w:val="6"/>
          <w:rFonts w:hint="eastAsia" w:ascii="仿宋_GB2312" w:eastAsia="仿宋_GB2312" w:cs="仿宋_GB2312"/>
          <w:b w:val="0"/>
          <w:sz w:val="32"/>
          <w:szCs w:val="32"/>
          <w:lang w:val="en-US" w:eastAsia="zh-CN"/>
        </w:rPr>
        <w:t>结合我县政务公开机制调整，</w:t>
      </w:r>
      <w:r>
        <w:rPr>
          <w:rStyle w:val="6"/>
          <w:rFonts w:hint="eastAsia" w:ascii="仿宋_GB2312" w:eastAsia="仿宋_GB2312" w:cs="仿宋_GB2312"/>
          <w:b w:val="0"/>
          <w:sz w:val="32"/>
          <w:szCs w:val="32"/>
        </w:rPr>
        <w:t>我局法定主动公开的内容包括机构职能（</w:t>
      </w:r>
      <w:r>
        <w:rPr>
          <w:rStyle w:val="6"/>
          <w:rFonts w:hint="eastAsia" w:ascii="仿宋_GB2312" w:eastAsia="仿宋_GB2312" w:cs="仿宋_GB2312"/>
          <w:b w:val="0"/>
          <w:sz w:val="32"/>
          <w:szCs w:val="32"/>
          <w:lang w:val="en-US" w:eastAsia="zh-CN"/>
        </w:rPr>
        <w:t>基本信息、法定职责、领导分工、内设机构、直属单位、权责清单</w:t>
      </w:r>
      <w:r>
        <w:rPr>
          <w:rStyle w:val="6"/>
          <w:rFonts w:hint="eastAsia" w:ascii="仿宋_GB2312" w:eastAsia="仿宋_GB2312" w:cs="仿宋_GB2312"/>
          <w:b w:val="0"/>
          <w:sz w:val="32"/>
          <w:szCs w:val="32"/>
        </w:rPr>
        <w:t>）、</w:t>
      </w:r>
      <w:r>
        <w:rPr>
          <w:rStyle w:val="6"/>
          <w:rFonts w:hint="eastAsia" w:ascii="仿宋_GB2312" w:eastAsia="仿宋_GB2312" w:cs="仿宋_GB2312"/>
          <w:b w:val="0"/>
          <w:sz w:val="32"/>
          <w:szCs w:val="32"/>
          <w:lang w:val="en-US" w:eastAsia="zh-CN"/>
        </w:rPr>
        <w:t>政策法规（县政府部门文件、规范性文件、政策解读）</w:t>
      </w:r>
      <w:r>
        <w:rPr>
          <w:rStyle w:val="6"/>
          <w:rFonts w:hint="eastAsia" w:ascii="仿宋_GB2312" w:eastAsia="仿宋_GB2312" w:cs="仿宋_GB2312"/>
          <w:b w:val="0"/>
          <w:sz w:val="32"/>
          <w:szCs w:val="32"/>
        </w:rPr>
        <w:t>、重大决策公开（</w:t>
      </w:r>
      <w:r>
        <w:rPr>
          <w:rStyle w:val="6"/>
          <w:rFonts w:hint="eastAsia" w:ascii="仿宋_GB2312" w:eastAsia="仿宋_GB2312" w:cs="仿宋_GB2312"/>
          <w:b w:val="0"/>
          <w:sz w:val="32"/>
          <w:szCs w:val="32"/>
          <w:lang w:val="en-US" w:eastAsia="zh-CN"/>
        </w:rPr>
        <w:t>决策事项目录、意见征集、结果反馈</w:t>
      </w:r>
      <w:r>
        <w:rPr>
          <w:rStyle w:val="6"/>
          <w:rFonts w:hint="eastAsia" w:ascii="仿宋_GB2312" w:eastAsia="仿宋_GB2312" w:cs="仿宋_GB2312"/>
          <w:b w:val="0"/>
          <w:sz w:val="32"/>
          <w:szCs w:val="32"/>
        </w:rPr>
        <w:t>）、</w:t>
      </w:r>
      <w:r>
        <w:rPr>
          <w:rStyle w:val="6"/>
          <w:rFonts w:hint="eastAsia" w:ascii="仿宋_GB2312" w:eastAsia="仿宋_GB2312" w:cs="仿宋_GB2312"/>
          <w:b w:val="0"/>
          <w:sz w:val="32"/>
          <w:szCs w:val="32"/>
          <w:lang w:val="en-US" w:eastAsia="zh-CN"/>
        </w:rPr>
        <w:t>政府部门会议、规划计划、重大建设项目批准和实施、重点民生、精准脱贫、重要部署执行公开、建议提案办理、财政信息、管理和服务公开（“双随机一公开”、行政执法信息、优化服务）、应急预案、人事信息、政务公开领导组织、信息公开指南、信息公开年度报告、政务公开培训、政务公开工作推进、信息公开制度、主动公开基本目录、基层政务公开事项标准目录、优化营商环境、新旧动能转换等</w:t>
      </w:r>
      <w:r>
        <w:rPr>
          <w:rStyle w:val="6"/>
          <w:rFonts w:hint="eastAsia" w:ascii="仿宋_GB2312" w:eastAsia="仿宋_GB2312" w:cs="仿宋_GB2312"/>
          <w:b w:val="0"/>
          <w:sz w:val="32"/>
          <w:szCs w:val="32"/>
        </w:rPr>
        <w:t>。</w:t>
      </w:r>
    </w:p>
    <w:p>
      <w:pPr>
        <w:pStyle w:val="3"/>
        <w:keepNext w:val="0"/>
        <w:keepLines w:val="0"/>
        <w:widowControl/>
        <w:numPr>
          <w:numId w:val="0"/>
        </w:numPr>
        <w:suppressLineNumbers w:val="0"/>
        <w:spacing w:line="555" w:lineRule="atLeast"/>
        <w:ind w:left="705" w:leftChars="0" w:right="0" w:rightChars="0"/>
        <w:rPr>
          <w:rStyle w:val="6"/>
          <w:rFonts w:hint="eastAsia"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1.常规信息公开总体情况</w:t>
      </w:r>
    </w:p>
    <w:p>
      <w:pPr>
        <w:pStyle w:val="3"/>
        <w:keepNext w:val="0"/>
        <w:keepLines w:val="0"/>
        <w:widowControl/>
        <w:numPr>
          <w:numId w:val="0"/>
        </w:numPr>
        <w:suppressLineNumbers w:val="0"/>
        <w:spacing w:line="555" w:lineRule="atLeast"/>
        <w:ind w:right="0" w:rightChars="0" w:firstLine="640" w:firstLineChars="200"/>
        <w:rPr>
          <w:rStyle w:val="6"/>
          <w:rFonts w:hint="eastAsia"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2020年1月1日至12月31日，县交通运输局共主动公开了193条信息，其中包括在政府网站上142条，其他媒体网站上发布51篇。</w:t>
      </w:r>
    </w:p>
    <w:p>
      <w:pPr>
        <w:pStyle w:val="3"/>
        <w:keepNext w:val="0"/>
        <w:keepLines w:val="0"/>
        <w:widowControl/>
        <w:suppressLineNumbers w:val="0"/>
        <w:spacing w:line="555" w:lineRule="atLeast"/>
        <w:ind w:left="0" w:firstLine="705"/>
        <w:rPr>
          <w:rStyle w:val="6"/>
          <w:rFonts w:hint="default"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2.部门文件、部门会议公开情况</w:t>
      </w:r>
    </w:p>
    <w:p>
      <w:pPr>
        <w:pStyle w:val="3"/>
        <w:keepNext w:val="0"/>
        <w:keepLines w:val="0"/>
        <w:widowControl/>
        <w:suppressLineNumbers w:val="0"/>
        <w:spacing w:line="555" w:lineRule="atLeast"/>
        <w:ind w:left="0" w:firstLine="705"/>
        <w:rPr>
          <w:rStyle w:val="6"/>
          <w:rFonts w:hint="eastAsia"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2020年主要对于29件政府部门文件进行公开发布，并对相关民生热点部分进行政策解读；对6次部门会议进行公开发布并解读。</w:t>
      </w:r>
    </w:p>
    <w:p>
      <w:pPr>
        <w:pStyle w:val="3"/>
        <w:keepNext w:val="0"/>
        <w:keepLines w:val="0"/>
        <w:widowControl/>
        <w:suppressLineNumbers w:val="0"/>
        <w:spacing w:line="555" w:lineRule="atLeast"/>
        <w:ind w:left="0" w:firstLine="705"/>
        <w:rPr>
          <w:rStyle w:val="6"/>
          <w:rFonts w:hint="default"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3.政务公开工作推进公开情况</w:t>
      </w:r>
    </w:p>
    <w:p>
      <w:pPr>
        <w:pStyle w:val="3"/>
        <w:keepNext w:val="0"/>
        <w:keepLines w:val="0"/>
        <w:widowControl/>
        <w:suppressLineNumbers w:val="0"/>
        <w:spacing w:line="555" w:lineRule="atLeast"/>
        <w:ind w:left="0" w:firstLine="705"/>
        <w:rPr>
          <w:rStyle w:val="6"/>
          <w:rFonts w:hint="eastAsia"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重点对于政务公开推进方面编制更新了政务公开领导小组，并发布了政务公开培训、政务公开部署推进会议各1次并进行解读链接。</w:t>
      </w:r>
    </w:p>
    <w:p>
      <w:pPr>
        <w:pStyle w:val="3"/>
        <w:keepNext w:val="0"/>
        <w:keepLines w:val="0"/>
        <w:widowControl/>
        <w:numPr>
          <w:numId w:val="0"/>
        </w:numPr>
        <w:suppressLineNumbers w:val="0"/>
        <w:spacing w:line="555" w:lineRule="atLeast"/>
        <w:ind w:left="705" w:leftChars="0" w:right="0" w:rightChars="0"/>
        <w:rPr>
          <w:rStyle w:val="6"/>
          <w:rFonts w:hint="eastAsia"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4.其他重点工作公开情况</w:t>
      </w:r>
    </w:p>
    <w:p>
      <w:pPr>
        <w:pStyle w:val="3"/>
        <w:keepNext w:val="0"/>
        <w:keepLines w:val="0"/>
        <w:widowControl/>
        <w:numPr>
          <w:numId w:val="0"/>
        </w:numPr>
        <w:suppressLineNumbers w:val="0"/>
        <w:spacing w:line="555" w:lineRule="atLeast"/>
        <w:ind w:right="0" w:rightChars="0" w:firstLine="640" w:firstLineChars="200"/>
        <w:rPr>
          <w:rStyle w:val="6"/>
          <w:rFonts w:hint="default" w:ascii="仿宋_GB2312" w:eastAsia="仿宋_GB2312" w:cs="仿宋_GB2312"/>
          <w:b w:val="0"/>
          <w:sz w:val="32"/>
          <w:szCs w:val="32"/>
          <w:lang w:val="en-US" w:eastAsia="zh-CN"/>
        </w:rPr>
      </w:pPr>
      <w:r>
        <w:rPr>
          <w:rStyle w:val="6"/>
          <w:rFonts w:hint="eastAsia" w:ascii="仿宋_GB2312" w:eastAsia="仿宋_GB2312" w:cs="仿宋_GB2312"/>
          <w:b w:val="0"/>
          <w:sz w:val="32"/>
          <w:szCs w:val="32"/>
          <w:lang w:val="en-US" w:eastAsia="zh-CN"/>
        </w:rPr>
        <w:t>重新编制了，在重点民生的市政服务及公共企事业单位栏目中发布了县公交公司及长途客运站的基本情况，在政务公开方面结合便民、惠民工作同步落实。上传了经济和社会发展年度计划及落实情况，向社会“递交了一份工作述职报告”。</w:t>
      </w:r>
    </w:p>
    <w:p>
      <w:pPr>
        <w:pStyle w:val="3"/>
        <w:keepNext w:val="0"/>
        <w:keepLines w:val="0"/>
        <w:widowControl/>
        <w:numPr>
          <w:ilvl w:val="0"/>
          <w:numId w:val="0"/>
        </w:numPr>
        <w:suppressLineNumbers w:val="0"/>
        <w:spacing w:line="555" w:lineRule="atLeast"/>
        <w:ind w:left="705" w:leftChars="0" w:right="0" w:rightChars="0"/>
        <w:rPr>
          <w:rStyle w:val="6"/>
          <w:rFonts w:hint="default" w:ascii="楷体_GB2312" w:eastAsia="楷体_GB2312" w:cs="楷体_GB2312"/>
          <w:b w:val="0"/>
          <w:bCs/>
          <w:sz w:val="32"/>
          <w:szCs w:val="32"/>
        </w:rPr>
      </w:pPr>
      <w:r>
        <w:rPr>
          <w:rStyle w:val="6"/>
          <w:rFonts w:hint="eastAsia" w:ascii="楷体_GB2312" w:eastAsia="楷体_GB2312" w:cs="楷体_GB2312"/>
          <w:b w:val="0"/>
          <w:bCs/>
          <w:sz w:val="32"/>
          <w:szCs w:val="32"/>
          <w:lang w:eastAsia="zh-CN"/>
        </w:rPr>
        <w:t>（</w:t>
      </w:r>
      <w:r>
        <w:rPr>
          <w:rStyle w:val="6"/>
          <w:rFonts w:hint="eastAsia" w:ascii="楷体_GB2312" w:eastAsia="楷体_GB2312" w:cs="楷体_GB2312"/>
          <w:b w:val="0"/>
          <w:bCs/>
          <w:sz w:val="32"/>
          <w:szCs w:val="32"/>
          <w:lang w:val="en-US" w:eastAsia="zh-CN"/>
        </w:rPr>
        <w:t>二</w:t>
      </w:r>
      <w:r>
        <w:rPr>
          <w:rStyle w:val="6"/>
          <w:rFonts w:hint="eastAsia" w:ascii="楷体_GB2312" w:eastAsia="楷体_GB2312" w:cs="楷体_GB2312"/>
          <w:b w:val="0"/>
          <w:bCs/>
          <w:sz w:val="32"/>
          <w:szCs w:val="32"/>
          <w:lang w:eastAsia="zh-CN"/>
        </w:rPr>
        <w:t>）</w:t>
      </w:r>
      <w:r>
        <w:rPr>
          <w:rStyle w:val="6"/>
          <w:rFonts w:hint="default" w:ascii="楷体_GB2312" w:eastAsia="楷体_GB2312" w:cs="楷体_GB2312"/>
          <w:b w:val="0"/>
          <w:bCs/>
          <w:sz w:val="32"/>
          <w:szCs w:val="32"/>
        </w:rPr>
        <w:t>依申请公开情况</w:t>
      </w:r>
    </w:p>
    <w:p>
      <w:pPr>
        <w:pStyle w:val="3"/>
        <w:keepNext w:val="0"/>
        <w:keepLines w:val="0"/>
        <w:widowControl/>
        <w:numPr>
          <w:ilvl w:val="0"/>
          <w:numId w:val="0"/>
        </w:numPr>
        <w:suppressLineNumbers w:val="0"/>
        <w:spacing w:line="555" w:lineRule="atLeast"/>
        <w:ind w:right="0" w:rightChars="0" w:firstLine="620" w:firstLineChars="200"/>
        <w:jc w:val="left"/>
        <w:rPr>
          <w:rStyle w:val="6"/>
          <w:rFonts w:hint="default" w:ascii="楷体_GB2312" w:eastAsia="仿宋_GB2312" w:cs="楷体_GB2312"/>
          <w:sz w:val="31"/>
          <w:szCs w:val="31"/>
          <w:lang w:val="en-US" w:eastAsia="zh-CN"/>
        </w:rPr>
      </w:pPr>
      <w:r>
        <w:rPr>
          <w:rStyle w:val="6"/>
          <w:rFonts w:hint="eastAsia" w:ascii="仿宋_GB2312" w:eastAsia="仿宋_GB2312" w:cs="仿宋_GB2312"/>
          <w:b w:val="0"/>
          <w:sz w:val="31"/>
          <w:szCs w:val="31"/>
          <w:lang w:val="en-US" w:eastAsia="zh-CN"/>
        </w:rPr>
        <w:t>2020年我局共收到2件政务公开事项，均为自然人申请，已全部按期回复，无行政复议情况。</w:t>
      </w:r>
    </w:p>
    <w:p>
      <w:pPr>
        <w:pStyle w:val="3"/>
        <w:keepNext w:val="0"/>
        <w:keepLines w:val="0"/>
        <w:widowControl/>
        <w:suppressLineNumbers w:val="0"/>
        <w:spacing w:line="555" w:lineRule="atLeast"/>
        <w:ind w:left="0" w:firstLine="705"/>
        <w:rPr>
          <w:b w:val="0"/>
          <w:bCs/>
          <w:sz w:val="32"/>
          <w:szCs w:val="32"/>
        </w:rPr>
      </w:pPr>
      <w:r>
        <w:rPr>
          <w:rStyle w:val="6"/>
          <w:rFonts w:hint="default" w:ascii="楷体_GB2312" w:eastAsia="楷体_GB2312" w:cs="楷体_GB2312"/>
          <w:b w:val="0"/>
          <w:bCs/>
          <w:sz w:val="32"/>
          <w:szCs w:val="32"/>
        </w:rPr>
        <w:t>（三）政府信息管理情况</w:t>
      </w:r>
    </w:p>
    <w:p>
      <w:pPr>
        <w:pStyle w:val="3"/>
        <w:keepNext w:val="0"/>
        <w:keepLines w:val="0"/>
        <w:widowControl/>
        <w:suppressLineNumbers w:val="0"/>
        <w:spacing w:line="555" w:lineRule="atLeast"/>
        <w:ind w:left="0" w:firstLine="705"/>
        <w:rPr>
          <w:rStyle w:val="6"/>
          <w:rFonts w:hint="default" w:ascii="仿宋_GB2312" w:eastAsia="仿宋_GB2312" w:cs="仿宋_GB2312"/>
          <w:b w:val="0"/>
          <w:sz w:val="31"/>
          <w:szCs w:val="31"/>
          <w:lang w:val="en-US" w:eastAsia="zh-CN"/>
        </w:rPr>
      </w:pPr>
      <w:r>
        <w:rPr>
          <w:rStyle w:val="6"/>
          <w:rFonts w:hint="eastAsia" w:ascii="仿宋_GB2312" w:eastAsia="仿宋_GB2312" w:cs="仿宋_GB2312"/>
          <w:b w:val="0"/>
          <w:sz w:val="31"/>
          <w:szCs w:val="31"/>
        </w:rPr>
        <w:t>一是强化组织领导。我局领导高度重视政府信息公开工作，召开信息公开工作专题会议，</w:t>
      </w:r>
      <w:r>
        <w:rPr>
          <w:rStyle w:val="6"/>
          <w:rFonts w:hint="eastAsia" w:ascii="仿宋_GB2312" w:eastAsia="仿宋_GB2312" w:cs="仿宋_GB2312"/>
          <w:b w:val="0"/>
          <w:sz w:val="31"/>
          <w:szCs w:val="31"/>
          <w:lang w:val="en-US" w:eastAsia="zh-CN"/>
        </w:rPr>
        <w:t>及时调整了政务公开领导小组成员，形成以主要负责人总牵头、科室负责人具体负责落实、办公室汇总上报的工作制度。</w:t>
      </w:r>
      <w:r>
        <w:rPr>
          <w:rStyle w:val="6"/>
          <w:rFonts w:hint="eastAsia" w:ascii="仿宋_GB2312" w:eastAsia="仿宋_GB2312" w:cs="仿宋_GB2312"/>
          <w:b w:val="0"/>
          <w:sz w:val="31"/>
          <w:szCs w:val="31"/>
        </w:rPr>
        <w:t>二是加强制度建设。</w:t>
      </w:r>
      <w:r>
        <w:rPr>
          <w:rStyle w:val="6"/>
          <w:rFonts w:hint="eastAsia" w:ascii="仿宋_GB2312" w:eastAsia="仿宋_GB2312" w:cs="仿宋_GB2312"/>
          <w:b w:val="0"/>
          <w:sz w:val="31"/>
          <w:szCs w:val="31"/>
          <w:lang w:val="en-US" w:eastAsia="zh-CN"/>
        </w:rPr>
        <w:t>强化组织机制、严格落实政务公开制度做到公开透明、规范严谨。三是严格落实政府信息发布审查制度，对本单位拟公开政府信息进行保密审查，并对政府信息发布保密审查工作进行统计、分析和报告。</w:t>
      </w:r>
    </w:p>
    <w:p>
      <w:pPr>
        <w:pStyle w:val="3"/>
        <w:keepNext w:val="0"/>
        <w:keepLines w:val="0"/>
        <w:widowControl/>
        <w:suppressLineNumbers w:val="0"/>
        <w:spacing w:line="555" w:lineRule="atLeast"/>
        <w:ind w:left="0" w:firstLine="705"/>
        <w:rPr>
          <w:b w:val="0"/>
          <w:bCs/>
          <w:sz w:val="32"/>
          <w:szCs w:val="32"/>
        </w:rPr>
      </w:pPr>
      <w:r>
        <w:rPr>
          <w:rStyle w:val="6"/>
          <w:rFonts w:hint="default" w:ascii="楷体_GB2312" w:eastAsia="楷体_GB2312" w:cs="楷体_GB2312"/>
          <w:b w:val="0"/>
          <w:bCs/>
          <w:sz w:val="32"/>
          <w:szCs w:val="32"/>
        </w:rPr>
        <w:t>（四）政府信息公开平台、机构建设和人员情况</w:t>
      </w:r>
    </w:p>
    <w:p>
      <w:pPr>
        <w:pStyle w:val="3"/>
        <w:keepNext w:val="0"/>
        <w:keepLines w:val="0"/>
        <w:widowControl/>
        <w:suppressLineNumbers w:val="0"/>
        <w:spacing w:line="555" w:lineRule="atLeast"/>
        <w:ind w:left="0" w:firstLine="705"/>
        <w:rPr>
          <w:rFonts w:hint="default" w:eastAsia="仿宋_GB2312"/>
          <w:lang w:val="en-US" w:eastAsia="zh-CN"/>
        </w:rPr>
      </w:pPr>
      <w:r>
        <w:rPr>
          <w:rStyle w:val="6"/>
          <w:rFonts w:hint="eastAsia" w:ascii="仿宋_GB2312" w:eastAsia="仿宋_GB2312" w:cs="仿宋_GB2312"/>
          <w:b w:val="0"/>
          <w:sz w:val="31"/>
          <w:szCs w:val="31"/>
        </w:rPr>
        <w:t>我局按照上级工作要求，明确了沂源县交通局办公室为政务公开工作负责机构，并配备了政务公开工作兼职人员</w:t>
      </w:r>
      <w:r>
        <w:rPr>
          <w:rStyle w:val="6"/>
          <w:rFonts w:hint="eastAsia" w:ascii="仿宋_GB2312" w:eastAsia="仿宋_GB2312" w:cs="仿宋_GB2312"/>
          <w:b w:val="0"/>
          <w:sz w:val="36"/>
          <w:szCs w:val="36"/>
          <w:lang w:val="en-US" w:eastAsia="zh-CN"/>
        </w:rPr>
        <w:t>2</w:t>
      </w:r>
      <w:r>
        <w:rPr>
          <w:rStyle w:val="6"/>
          <w:rFonts w:hint="eastAsia" w:ascii="仿宋_GB2312" w:eastAsia="仿宋_GB2312" w:cs="仿宋_GB2312"/>
          <w:b w:val="0"/>
          <w:sz w:val="31"/>
          <w:szCs w:val="31"/>
        </w:rPr>
        <w:t>名，负责指导、协调、推进、监督政府信息公开工作，承办沂源县交通运输局政府信息主动公开工作，组织协调拟公开政府信息的保密审查工作。</w:t>
      </w:r>
      <w:r>
        <w:rPr>
          <w:rStyle w:val="6"/>
          <w:rFonts w:hint="eastAsia" w:ascii="仿宋_GB2312" w:eastAsia="仿宋_GB2312" w:cs="仿宋_GB2312"/>
          <w:b w:val="0"/>
          <w:sz w:val="31"/>
          <w:szCs w:val="31"/>
          <w:lang w:val="en-US" w:eastAsia="zh-CN"/>
        </w:rPr>
        <w:t>对于主动公开事项按时按规定公开。</w:t>
      </w:r>
    </w:p>
    <w:p>
      <w:pPr>
        <w:pStyle w:val="3"/>
        <w:keepNext w:val="0"/>
        <w:keepLines w:val="0"/>
        <w:widowControl/>
        <w:suppressLineNumbers w:val="0"/>
        <w:spacing w:line="555" w:lineRule="atLeast"/>
        <w:ind w:left="0" w:firstLine="705"/>
        <w:rPr>
          <w:b w:val="0"/>
          <w:bCs/>
          <w:sz w:val="32"/>
          <w:szCs w:val="32"/>
        </w:rPr>
      </w:pPr>
      <w:r>
        <w:rPr>
          <w:rStyle w:val="6"/>
          <w:rFonts w:hint="default" w:ascii="楷体_GB2312" w:eastAsia="楷体_GB2312" w:cs="楷体_GB2312"/>
          <w:b w:val="0"/>
          <w:bCs/>
          <w:sz w:val="32"/>
          <w:szCs w:val="32"/>
        </w:rPr>
        <w:t>（五）监督保障情况</w:t>
      </w:r>
    </w:p>
    <w:p>
      <w:pPr>
        <w:pStyle w:val="3"/>
        <w:keepNext w:val="0"/>
        <w:keepLines w:val="0"/>
        <w:widowControl/>
        <w:suppressLineNumbers w:val="0"/>
        <w:spacing w:line="555" w:lineRule="atLeast"/>
        <w:ind w:left="0" w:firstLine="705"/>
      </w:pPr>
      <w:r>
        <w:rPr>
          <w:rStyle w:val="6"/>
          <w:rFonts w:hint="eastAsia" w:ascii="仿宋_GB2312" w:eastAsia="仿宋_GB2312" w:cs="仿宋_GB2312"/>
          <w:b w:val="0"/>
          <w:sz w:val="31"/>
          <w:szCs w:val="31"/>
        </w:rPr>
        <w:t>一是加强安全防护，严格执行网络安全法等法律法规，提高安全防护能力。强化用户信息安全保护，保障用户权益，采取严格的防范措施，确保政府网络安全运行。二是建立健全监督制度，强化督导落实。进一步完善政府信息公开保密审查制度、政府信息公开责任追究制度，并抓好各项制度的督查落实。</w:t>
      </w:r>
    </w:p>
    <w:p>
      <w:pPr>
        <w:pStyle w:val="3"/>
        <w:keepNext w:val="0"/>
        <w:keepLines w:val="0"/>
        <w:widowControl/>
        <w:suppressLineNumbers w:val="0"/>
        <w:spacing w:line="555" w:lineRule="atLeast"/>
        <w:ind w:left="0" w:firstLine="705"/>
        <w:rPr>
          <w:b w:val="0"/>
          <w:bCs/>
          <w:sz w:val="32"/>
          <w:szCs w:val="32"/>
        </w:rPr>
      </w:pPr>
      <w:r>
        <w:rPr>
          <w:rStyle w:val="6"/>
          <w:rFonts w:hint="default" w:ascii="楷体_GB2312" w:eastAsia="楷体_GB2312" w:cs="楷体_GB2312"/>
          <w:b w:val="0"/>
          <w:bCs/>
          <w:sz w:val="32"/>
          <w:szCs w:val="32"/>
        </w:rPr>
        <w:t xml:space="preserve">（六）建议提案办理结果公开情况 </w:t>
      </w:r>
    </w:p>
    <w:p>
      <w:pPr>
        <w:pStyle w:val="3"/>
        <w:keepNext w:val="0"/>
        <w:keepLines w:val="0"/>
        <w:widowControl/>
        <w:suppressLineNumbers w:val="0"/>
        <w:ind w:left="0" w:firstLine="705"/>
        <w:rPr>
          <w:rStyle w:val="6"/>
          <w:rFonts w:hint="eastAsia" w:ascii="仿宋_GB2312" w:eastAsia="仿宋_GB2312" w:cs="仿宋_GB2312"/>
          <w:b w:val="0"/>
          <w:sz w:val="31"/>
          <w:szCs w:val="31"/>
          <w:lang w:val="en-US" w:eastAsia="zh-CN"/>
        </w:rPr>
      </w:pPr>
      <w:r>
        <w:rPr>
          <w:rStyle w:val="6"/>
          <w:rFonts w:hint="eastAsia" w:ascii="仿宋_GB2312" w:eastAsia="仿宋_GB2312" w:cs="仿宋_GB2312"/>
          <w:b w:val="0"/>
          <w:sz w:val="31"/>
          <w:szCs w:val="31"/>
          <w:lang w:val="en-US" w:eastAsia="zh-CN"/>
        </w:rPr>
        <w:t>2020</w:t>
      </w:r>
      <w:r>
        <w:rPr>
          <w:rStyle w:val="6"/>
          <w:rFonts w:hint="eastAsia" w:ascii="仿宋_GB2312" w:eastAsia="仿宋_GB2312" w:cs="仿宋_GB2312"/>
          <w:b w:val="0"/>
          <w:sz w:val="31"/>
          <w:szCs w:val="31"/>
        </w:rPr>
        <w:t>年我局承办建议提案办理共</w:t>
      </w:r>
      <w:r>
        <w:rPr>
          <w:rStyle w:val="6"/>
          <w:rFonts w:hint="eastAsia" w:ascii="仿宋_GB2312" w:eastAsia="仿宋_GB2312" w:cs="仿宋_GB2312"/>
          <w:b w:val="0"/>
          <w:sz w:val="36"/>
          <w:szCs w:val="36"/>
          <w:lang w:val="en-US" w:eastAsia="zh-CN"/>
        </w:rPr>
        <w:t>22</w:t>
      </w:r>
      <w:r>
        <w:rPr>
          <w:rStyle w:val="6"/>
          <w:rFonts w:hint="eastAsia" w:ascii="仿宋_GB2312" w:eastAsia="仿宋_GB2312" w:cs="仿宋_GB2312"/>
          <w:b w:val="0"/>
          <w:sz w:val="31"/>
          <w:szCs w:val="31"/>
        </w:rPr>
        <w:t>项，其中人大建议</w:t>
      </w:r>
      <w:r>
        <w:rPr>
          <w:rStyle w:val="6"/>
          <w:rFonts w:hint="eastAsia" w:ascii="仿宋_GB2312" w:eastAsia="仿宋_GB2312" w:cs="仿宋_GB2312"/>
          <w:b w:val="0"/>
          <w:sz w:val="36"/>
          <w:szCs w:val="36"/>
        </w:rPr>
        <w:t>1</w:t>
      </w:r>
      <w:r>
        <w:rPr>
          <w:rStyle w:val="6"/>
          <w:rFonts w:hint="eastAsia" w:ascii="仿宋_GB2312" w:eastAsia="仿宋_GB2312" w:cs="仿宋_GB2312"/>
          <w:b w:val="0"/>
          <w:sz w:val="36"/>
          <w:szCs w:val="36"/>
          <w:lang w:val="en-US" w:eastAsia="zh-CN"/>
        </w:rPr>
        <w:t>4</w:t>
      </w:r>
      <w:r>
        <w:rPr>
          <w:rStyle w:val="6"/>
          <w:rFonts w:hint="eastAsia" w:ascii="仿宋_GB2312" w:eastAsia="仿宋_GB2312" w:cs="仿宋_GB2312"/>
          <w:b w:val="0"/>
          <w:sz w:val="31"/>
          <w:szCs w:val="31"/>
        </w:rPr>
        <w:t>项，政协提案</w:t>
      </w:r>
      <w:r>
        <w:rPr>
          <w:rStyle w:val="6"/>
          <w:rFonts w:hint="eastAsia" w:ascii="仿宋_GB2312" w:eastAsia="仿宋_GB2312" w:cs="仿宋_GB2312"/>
          <w:b w:val="0"/>
          <w:sz w:val="36"/>
          <w:szCs w:val="36"/>
          <w:lang w:val="en-US" w:eastAsia="zh-CN"/>
        </w:rPr>
        <w:t>8</w:t>
      </w:r>
      <w:r>
        <w:rPr>
          <w:rStyle w:val="6"/>
          <w:rFonts w:hint="eastAsia" w:ascii="仿宋_GB2312" w:eastAsia="仿宋_GB2312" w:cs="仿宋_GB2312"/>
          <w:b w:val="0"/>
          <w:sz w:val="31"/>
          <w:szCs w:val="31"/>
        </w:rPr>
        <w:t>项，目前已全部按照信息公开要求进行公开。</w:t>
      </w:r>
    </w:p>
    <w:p>
      <w:pPr>
        <w:pStyle w:val="3"/>
        <w:keepNext w:val="0"/>
        <w:keepLines w:val="0"/>
        <w:widowControl/>
        <w:suppressLineNumbers w:val="0"/>
        <w:spacing w:line="555" w:lineRule="atLeast"/>
        <w:ind w:left="0" w:firstLine="705"/>
        <w:rPr>
          <w:rFonts w:hint="default" w:eastAsia="黑体"/>
          <w:b w:val="0"/>
          <w:bCs w:val="0"/>
          <w:sz w:val="32"/>
          <w:szCs w:val="32"/>
          <w:lang w:val="en-US" w:eastAsia="zh-CN"/>
        </w:rPr>
      </w:pPr>
      <w:r>
        <w:rPr>
          <w:rStyle w:val="6"/>
          <w:rFonts w:hint="eastAsia" w:ascii="黑体" w:hAnsi="宋体" w:eastAsia="黑体" w:cs="黑体"/>
          <w:b w:val="0"/>
          <w:bCs w:val="0"/>
          <w:sz w:val="32"/>
          <w:szCs w:val="32"/>
          <w:lang w:val="en-US" w:eastAsia="zh-CN"/>
        </w:rPr>
        <w:t>二</w:t>
      </w:r>
      <w:r>
        <w:rPr>
          <w:rStyle w:val="6"/>
          <w:rFonts w:ascii="黑体" w:hAnsi="宋体" w:eastAsia="黑体" w:cs="黑体"/>
          <w:b w:val="0"/>
          <w:bCs w:val="0"/>
          <w:sz w:val="32"/>
          <w:szCs w:val="32"/>
        </w:rPr>
        <w:t>、</w:t>
      </w:r>
      <w:r>
        <w:rPr>
          <w:rStyle w:val="6"/>
          <w:rFonts w:hint="eastAsia" w:ascii="黑体" w:hAnsi="宋体" w:eastAsia="黑体" w:cs="黑体"/>
          <w:b w:val="0"/>
          <w:bCs w:val="0"/>
          <w:sz w:val="32"/>
          <w:szCs w:val="32"/>
          <w:lang w:val="en-US" w:eastAsia="zh-CN"/>
        </w:rPr>
        <w:t>主动公开政府信息情况</w:t>
      </w:r>
    </w:p>
    <w:tbl>
      <w:tblPr>
        <w:tblStyle w:val="4"/>
        <w:tblW w:w="8145" w:type="dxa"/>
        <w:tblInd w:w="0" w:type="dxa"/>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20"/>
        <w:gridCol w:w="1875"/>
        <w:gridCol w:w="1275"/>
        <w:gridCol w:w="1875"/>
      </w:tblGrid>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第二十条第（一）项</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本年新</w:t>
            </w:r>
          </w:p>
          <w:p>
            <w:pPr>
              <w:pStyle w:val="3"/>
              <w:keepNext w:val="0"/>
              <w:keepLines w:val="0"/>
              <w:widowControl/>
              <w:suppressLineNumbers w:val="0"/>
              <w:wordWrap w:val="0"/>
              <w:spacing w:line="21" w:lineRule="atLeast"/>
            </w:pPr>
            <w:r>
              <w:rPr>
                <w:rFonts w:ascii="Segoe UI" w:hAnsi="Segoe UI" w:eastAsia="Segoe UI" w:cs="Segoe UI"/>
                <w:color w:val="000000"/>
              </w:rPr>
              <w:t>制作数量</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本年新</w:t>
            </w:r>
          </w:p>
          <w:p>
            <w:pPr>
              <w:pStyle w:val="3"/>
              <w:keepNext w:val="0"/>
              <w:keepLines w:val="0"/>
              <w:widowControl/>
              <w:suppressLineNumbers w:val="0"/>
              <w:wordWrap w:val="0"/>
              <w:spacing w:line="21" w:lineRule="atLeast"/>
            </w:pPr>
            <w:r>
              <w:rPr>
                <w:rFonts w:hint="default" w:ascii="Segoe UI" w:hAnsi="Segoe UI" w:eastAsia="Segoe UI" w:cs="Segoe UI"/>
                <w:color w:val="000000"/>
              </w:rPr>
              <w:t>公开数量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对外公开总数量</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规章</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sz w:val="19"/>
                <w:szCs w:val="19"/>
                <w:lang w:val="en-US" w:eastAsia="zh-CN"/>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sz w:val="19"/>
                <w:szCs w:val="19"/>
                <w:lang w:val="en-US" w:eastAsia="zh-CN"/>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规范性文件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sz w:val="19"/>
                <w:szCs w:val="19"/>
                <w:lang w:val="en-US" w:eastAsia="zh-CN"/>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sz w:val="19"/>
                <w:szCs w:val="19"/>
                <w:lang w:val="en-US" w:eastAsia="zh-CN"/>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第二十条第（五）项</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上一年项目数量</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本年增</w:t>
            </w:r>
            <w:r>
              <w:rPr>
                <w:rFonts w:hint="eastAsia" w:ascii="宋体" w:hAnsi="宋体" w:eastAsia="宋体" w:cs="宋体"/>
                <w:color w:val="000000"/>
                <w:sz w:val="18"/>
                <w:szCs w:val="18"/>
              </w:rPr>
              <w:t>/</w:t>
            </w:r>
            <w:r>
              <w:rPr>
                <w:rFonts w:hint="eastAsia" w:ascii="宋体" w:hAnsi="宋体" w:eastAsia="宋体" w:cs="宋体"/>
                <w:color w:val="000000"/>
                <w:sz w:val="19"/>
                <w:szCs w:val="19"/>
              </w:rPr>
              <w:t>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处理决定数量</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行政许可</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12</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11</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其他对外管理服务事项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第二十条第（六）项</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上一年项目数量</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本年增</w:t>
            </w:r>
            <w:r>
              <w:rPr>
                <w:rFonts w:hint="eastAsia" w:ascii="宋体" w:hAnsi="宋体" w:eastAsia="宋体" w:cs="宋体"/>
                <w:color w:val="000000"/>
                <w:sz w:val="18"/>
                <w:szCs w:val="18"/>
              </w:rPr>
              <w:t>/</w:t>
            </w:r>
            <w:r>
              <w:rPr>
                <w:rFonts w:hint="eastAsia" w:ascii="宋体" w:hAnsi="宋体" w:eastAsia="宋体" w:cs="宋体"/>
                <w:color w:val="000000"/>
                <w:sz w:val="19"/>
                <w:szCs w:val="19"/>
              </w:rPr>
              <w:t>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处理决定数量</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行政处罚</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eastAsiaTheme="minorEastAsia"/>
                <w:lang w:val="en-US" w:eastAsia="zh-CN"/>
              </w:rPr>
            </w:pPr>
            <w:r>
              <w:rPr>
                <w:rFonts w:hint="eastAsia" w:ascii="宋体" w:hAnsi="宋体" w:eastAsia="宋体" w:cs="宋体"/>
                <w:color w:val="000000"/>
                <w:sz w:val="19"/>
                <w:szCs w:val="19"/>
                <w:lang w:val="en-US" w:eastAsia="zh-CN"/>
              </w:rPr>
              <w:t>235</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eastAsiaTheme="minorEastAsia"/>
                <w:lang w:val="en-US" w:eastAsia="zh-CN"/>
              </w:rPr>
            </w:pPr>
            <w:r>
              <w:rPr>
                <w:rFonts w:hint="eastAsia" w:ascii="宋体" w:hAnsi="宋体" w:eastAsia="宋体" w:cs="宋体"/>
                <w:color w:val="000000"/>
                <w:sz w:val="19"/>
                <w:szCs w:val="19"/>
                <w:lang w:val="en-US" w:eastAsia="zh-CN"/>
              </w:rPr>
              <w:t>-68</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eastAsiaTheme="minorEastAsia"/>
                <w:lang w:val="en-US" w:eastAsia="zh-CN"/>
              </w:rPr>
            </w:pPr>
            <w:r>
              <w:rPr>
                <w:rFonts w:hint="eastAsia" w:ascii="宋体" w:hAnsi="宋体" w:eastAsia="宋体" w:cs="宋体"/>
                <w:color w:val="000000"/>
                <w:sz w:val="19"/>
                <w:szCs w:val="19"/>
                <w:lang w:val="en-US" w:eastAsia="zh-CN"/>
              </w:rPr>
              <w:t>167</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行政强制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eastAsiaTheme="minorEastAsia"/>
                <w:lang w:val="en-US" w:eastAsia="zh-CN"/>
              </w:rPr>
            </w:pPr>
            <w:r>
              <w:rPr>
                <w:rFonts w:hint="eastAsia" w:ascii="宋体" w:hAnsi="宋体" w:eastAsia="宋体" w:cs="宋体"/>
                <w:color w:val="000000"/>
                <w:sz w:val="19"/>
                <w:szCs w:val="19"/>
                <w:lang w:val="en-US" w:eastAsia="zh-CN"/>
              </w:rPr>
              <w:t>149</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eastAsiaTheme="minorEastAsia"/>
                <w:lang w:val="en-US" w:eastAsia="zh-CN"/>
              </w:rPr>
            </w:pPr>
            <w:r>
              <w:rPr>
                <w:rFonts w:hint="eastAsia" w:ascii="宋体" w:hAnsi="宋体" w:eastAsia="宋体" w:cs="宋体"/>
                <w:color w:val="000000"/>
                <w:sz w:val="19"/>
                <w:szCs w:val="19"/>
                <w:lang w:val="en-US" w:eastAsia="zh-CN"/>
              </w:rPr>
              <w:t>-100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eastAsiaTheme="minorEastAsia"/>
                <w:lang w:val="en-US" w:eastAsia="zh-CN"/>
              </w:rPr>
            </w:pPr>
            <w:r>
              <w:rPr>
                <w:rFonts w:hint="eastAsia" w:ascii="宋体" w:hAnsi="宋体" w:eastAsia="宋体" w:cs="宋体"/>
                <w:color w:val="000000"/>
                <w:sz w:val="19"/>
                <w:szCs w:val="19"/>
                <w:lang w:val="en-US" w:eastAsia="zh-CN"/>
              </w:rPr>
              <w:t>49</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第二十条第（八）项</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上一年项目数量</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本年增</w:t>
            </w:r>
            <w:r>
              <w:rPr>
                <w:rFonts w:hint="eastAsia" w:ascii="宋体" w:hAnsi="宋体" w:eastAsia="宋体" w:cs="宋体"/>
                <w:color w:val="000000"/>
                <w:sz w:val="18"/>
                <w:szCs w:val="18"/>
              </w:rPr>
              <w:t>/</w:t>
            </w:r>
            <w:r>
              <w:rPr>
                <w:rFonts w:hint="eastAsia" w:ascii="宋体" w:hAnsi="宋体" w:eastAsia="宋体" w:cs="宋体"/>
                <w:color w:val="000000"/>
                <w:sz w:val="19"/>
                <w:szCs w:val="19"/>
              </w:rPr>
              <w:t>减</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行政事业性收费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8"/>
                <w:szCs w:val="18"/>
              </w:rPr>
              <w:t>0</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第二十条第（九）项</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采购项目数量</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采购总金额</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政府集中采购</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eastAsiaTheme="minorEastAsia"/>
                <w:lang w:eastAsia="zh-CN"/>
              </w:rPr>
            </w:pPr>
            <w:r>
              <w:rPr>
                <w:rFonts w:hint="eastAsia" w:ascii="宋体" w:hAnsi="宋体" w:eastAsia="宋体" w:cs="宋体"/>
                <w:color w:val="000000"/>
                <w:sz w:val="18"/>
                <w:szCs w:val="18"/>
                <w:lang w:val="en-US" w:eastAsia="zh-CN"/>
              </w:rPr>
              <w:t>0</w:t>
            </w:r>
          </w:p>
        </w:tc>
        <w:tc>
          <w:tcPr>
            <w:tcW w:w="315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rPr>
                <w:rFonts w:hint="eastAsia" w:eastAsiaTheme="minorEastAsia"/>
                <w:lang w:eastAsia="zh-CN"/>
              </w:rPr>
            </w:pPr>
            <w:r>
              <w:rPr>
                <w:rFonts w:hint="eastAsia" w:ascii="宋体" w:hAnsi="宋体" w:eastAsia="宋体" w:cs="宋体"/>
                <w:color w:val="000000"/>
                <w:sz w:val="18"/>
                <w:szCs w:val="18"/>
                <w:lang w:val="en-US" w:eastAsia="zh-CN"/>
              </w:rPr>
              <w:t>0</w:t>
            </w:r>
          </w:p>
        </w:tc>
      </w:tr>
    </w:tbl>
    <w:p>
      <w:pPr>
        <w:pStyle w:val="3"/>
        <w:keepNext w:val="0"/>
        <w:keepLines w:val="0"/>
        <w:widowControl/>
        <w:suppressLineNumbers w:val="0"/>
        <w:spacing w:line="555" w:lineRule="atLeast"/>
        <w:ind w:left="0" w:firstLine="705"/>
        <w:rPr>
          <w:rFonts w:hint="default" w:eastAsia="黑体"/>
          <w:b w:val="0"/>
          <w:bCs w:val="0"/>
          <w:sz w:val="32"/>
          <w:szCs w:val="32"/>
          <w:lang w:val="en-US" w:eastAsia="zh-CN"/>
        </w:rPr>
      </w:pPr>
      <w:r>
        <w:rPr>
          <w:rStyle w:val="6"/>
          <w:rFonts w:hint="eastAsia" w:ascii="黑体" w:hAnsi="宋体" w:eastAsia="黑体" w:cs="黑体"/>
          <w:b w:val="0"/>
          <w:bCs w:val="0"/>
          <w:sz w:val="32"/>
          <w:szCs w:val="32"/>
          <w:lang w:val="en-US" w:eastAsia="zh-CN"/>
        </w:rPr>
        <w:t>三</w:t>
      </w:r>
      <w:r>
        <w:rPr>
          <w:rStyle w:val="6"/>
          <w:rFonts w:ascii="黑体" w:hAnsi="宋体" w:eastAsia="黑体" w:cs="黑体"/>
          <w:b w:val="0"/>
          <w:bCs w:val="0"/>
          <w:sz w:val="32"/>
          <w:szCs w:val="32"/>
        </w:rPr>
        <w:t>、</w:t>
      </w:r>
      <w:r>
        <w:rPr>
          <w:rStyle w:val="6"/>
          <w:rFonts w:hint="eastAsia" w:ascii="黑体" w:hAnsi="宋体" w:eastAsia="黑体" w:cs="黑体"/>
          <w:b w:val="0"/>
          <w:bCs w:val="0"/>
          <w:sz w:val="32"/>
          <w:szCs w:val="32"/>
          <w:lang w:val="en-US" w:eastAsia="zh-CN"/>
        </w:rPr>
        <w:t>收到和处理政府信息公开申请情况</w:t>
      </w:r>
    </w:p>
    <w:tbl>
      <w:tblPr>
        <w:tblStyle w:val="4"/>
        <w:tblW w:w="9075" w:type="dxa"/>
        <w:tblInd w:w="0" w:type="dxa"/>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4"/>
        <w:gridCol w:w="854"/>
        <w:gridCol w:w="2080"/>
        <w:gridCol w:w="809"/>
        <w:gridCol w:w="749"/>
        <w:gridCol w:w="749"/>
        <w:gridCol w:w="809"/>
        <w:gridCol w:w="973"/>
        <w:gridCol w:w="719"/>
        <w:gridCol w:w="719"/>
      </w:tblGrid>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3548"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（本列数据的勾稽关系为：第一项加第二项之和，等于第三项加第四项之和）</w:t>
            </w:r>
          </w:p>
        </w:tc>
        <w:tc>
          <w:tcPr>
            <w:tcW w:w="5527"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申请人情况</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3548"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0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自然人</w:t>
            </w:r>
          </w:p>
        </w:tc>
        <w:tc>
          <w:tcPr>
            <w:tcW w:w="3999"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法人或其他组织</w:t>
            </w:r>
          </w:p>
        </w:tc>
        <w:tc>
          <w:tcPr>
            <w:tcW w:w="71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总计</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3548"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09"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商业企业</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科研机构</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社会公益组织</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法律服务机构</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其他</w:t>
            </w:r>
          </w:p>
        </w:tc>
        <w:tc>
          <w:tcPr>
            <w:tcW w:w="719"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3548"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一、本年新收政府信息公开申请数量</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2</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2</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3548"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pPr>
            <w:r>
              <w:rPr>
                <w:rFonts w:hint="eastAsia" w:ascii="宋体" w:hAnsi="宋体" w:eastAsia="宋体" w:cs="宋体"/>
                <w:color w:val="000000"/>
                <w:sz w:val="19"/>
                <w:szCs w:val="19"/>
              </w:rPr>
              <w:t>二、上年结转政府信息公开申请数量</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三、本年度办理结果</w:t>
            </w:r>
          </w:p>
        </w:tc>
        <w:tc>
          <w:tcPr>
            <w:tcW w:w="293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rPr>
              <w:t>（一）予以公开</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293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rPr>
              <w:t>（二）部分公开（区分处理的，只计这一情形，不计其他情形）</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rPr>
              <w:t>（三）不予公开</w:t>
            </w: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rPr>
              <w:t>1.属于国家秘密</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2.其他法律行政法规禁止公开</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3.危及“三安全一稳定”</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4.保护第三方合法权益</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5.属于三类内部事务信息</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6.属于四类过程性信息</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7.属于行政执法案卷</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8.属于行政查询事项</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（四）无法提供</w:t>
            </w: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1.本机关不掌握相关政府信息</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2.没有现成信息需要另行制作</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3.补正后申请内容仍不明确</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（五）不予处理</w:t>
            </w: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1.信访举报投诉类申请</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2.重复申请</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3.要求提供公开出版物</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宋体" w:hAnsi="宋体" w:eastAsia="宋体" w:cs="宋体"/>
                <w:color w:val="000000"/>
                <w:kern w:val="0"/>
                <w:sz w:val="19"/>
                <w:szCs w:val="19"/>
                <w:lang w:val="en-US" w:eastAsia="zh-CN" w:bidi="ar"/>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4.无正当理由大量反复申请</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20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5.要求行政机关确认或重新出具已获取信息</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293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（六）其他处理</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614"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293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（七）总计</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3548"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四、结转下年度继续办理</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4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80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97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71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4"/>
        <w:tblW w:w="9075" w:type="dxa"/>
        <w:tblInd w:w="0" w:type="dxa"/>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行政诉讼</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结果纠正</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其他结果</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尚未审结</w:t>
            </w:r>
          </w:p>
        </w:tc>
        <w:tc>
          <w:tcPr>
            <w:tcW w:w="6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总计</w:t>
            </w:r>
          </w:p>
        </w:tc>
        <w:tc>
          <w:tcPr>
            <w:tcW w:w="2970"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未经复议直接起诉</w:t>
            </w:r>
          </w:p>
        </w:tc>
        <w:tc>
          <w:tcPr>
            <w:tcW w:w="3030"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复议后起诉</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6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Segoe UI" w:hAnsi="Segoe UI" w:eastAsia="Segoe UI" w:cs="Segoe UI"/>
                <w:sz w:val="24"/>
                <w:szCs w:val="24"/>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结果纠正</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其他结果</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尚未审结</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总计</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结果纠正</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其他结果</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尚未审结</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jc w:val="center"/>
            </w:pPr>
            <w:r>
              <w:rPr>
                <w:rFonts w:hint="eastAsia" w:ascii="宋体" w:hAnsi="宋体" w:eastAsia="宋体" w:cs="宋体"/>
                <w:color w:val="000000"/>
                <w:sz w:val="19"/>
                <w:szCs w:val="19"/>
              </w:rPr>
              <w:t>总计</w:t>
            </w:r>
          </w:p>
        </w:tc>
      </w:tr>
      <w:tr>
        <w:tblPrEx>
          <w:tblBorders>
            <w:top w:val="none" w:color="999999" w:sz="0" w:space="0"/>
            <w:left w:val="none" w:color="999999" w:sz="0" w:space="0"/>
            <w:bottom w:val="none" w:color="999999" w:sz="0" w:space="0"/>
            <w:right w:val="none" w:color="999999" w:sz="0" w:space="0"/>
            <w:insideH w:val="none" w:color="auto" w:sz="0" w:space="0"/>
            <w:insideV w:val="none" w:color="auto" w:sz="0" w:space="0"/>
          </w:tblBorders>
          <w:shd w:val="clear" w:color="auto" w:fill="auto"/>
          <w:tblCellMar>
            <w:top w:w="15" w:type="dxa"/>
            <w:left w:w="15" w:type="dxa"/>
            <w:bottom w:w="15" w:type="dxa"/>
            <w:right w:w="15" w:type="dxa"/>
          </w:tblCellMar>
        </w:tblPrEx>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default"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wordWrap w:val="0"/>
              <w:spacing w:line="21"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wordWrap w:val="0"/>
              <w:spacing w:line="21" w:lineRule="atLeas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pPr>
        <w:pStyle w:val="3"/>
        <w:keepNext w:val="0"/>
        <w:keepLines w:val="0"/>
        <w:widowControl/>
        <w:suppressLineNumbers w:val="0"/>
        <w:spacing w:line="405" w:lineRule="atLeast"/>
        <w:ind w:left="0" w:firstLine="480"/>
        <w:rPr>
          <w:rFonts w:hint="default" w:eastAsia="仿宋_GB2312"/>
          <w:sz w:val="32"/>
          <w:szCs w:val="32"/>
          <w:lang w:val="en-US" w:eastAsia="zh-CN"/>
        </w:rPr>
      </w:pPr>
      <w:r>
        <w:rPr>
          <w:rFonts w:hint="eastAsia" w:ascii="仿宋_GB2312" w:eastAsia="仿宋_GB2312" w:cs="仿宋_GB2312"/>
          <w:color w:val="3D3D3D"/>
          <w:sz w:val="32"/>
          <w:szCs w:val="32"/>
        </w:rPr>
        <w:t>（一）存在的主要问题。</w:t>
      </w:r>
      <w:r>
        <w:rPr>
          <w:rFonts w:hint="eastAsia" w:ascii="仿宋_GB2312" w:eastAsia="仿宋_GB2312" w:cs="仿宋_GB2312"/>
          <w:color w:val="3D3D3D"/>
          <w:sz w:val="32"/>
          <w:szCs w:val="32"/>
          <w:lang w:val="en-US" w:eastAsia="zh-CN"/>
        </w:rPr>
        <w:t>一是由于新系统的推行和工作机制的改革，政务公开相关工作开展不规范，出现了有些文件公开不够及时等问题。二是有些局属单位部门政务公开意识不够强，对于会议、部门文件及解读等公开不够重视，缺乏相关政务公开专业培训，导致存在部分工作只开展、不公开的情况。三是政务公开领导机制不健全，存在流程不简洁，公</w:t>
      </w:r>
      <w:bookmarkStart w:id="0" w:name="_GoBack"/>
      <w:bookmarkEnd w:id="0"/>
      <w:r>
        <w:rPr>
          <w:rFonts w:hint="eastAsia" w:ascii="仿宋_GB2312" w:eastAsia="仿宋_GB2312" w:cs="仿宋_GB2312"/>
          <w:color w:val="3D3D3D"/>
          <w:sz w:val="32"/>
          <w:szCs w:val="32"/>
          <w:lang w:val="en-US" w:eastAsia="zh-CN"/>
        </w:rPr>
        <w:t>开进度较慢等问题。</w:t>
      </w:r>
    </w:p>
    <w:p>
      <w:pPr>
        <w:pStyle w:val="3"/>
        <w:keepNext w:val="0"/>
        <w:keepLines w:val="0"/>
        <w:widowControl/>
        <w:suppressLineNumbers w:val="0"/>
        <w:spacing w:line="405" w:lineRule="atLeast"/>
        <w:ind w:left="0" w:firstLine="465"/>
        <w:rPr>
          <w:rFonts w:hint="default" w:ascii="仿宋_GB2312" w:eastAsia="仿宋_GB2312" w:cs="仿宋_GB2312"/>
          <w:color w:val="3D3D3D"/>
          <w:sz w:val="32"/>
          <w:szCs w:val="32"/>
          <w:lang w:val="en-US" w:eastAsia="zh-CN"/>
        </w:rPr>
      </w:pPr>
      <w:r>
        <w:rPr>
          <w:rFonts w:hint="eastAsia" w:ascii="仿宋_GB2312" w:eastAsia="仿宋_GB2312" w:cs="仿宋_GB2312"/>
          <w:color w:val="3D3D3D"/>
          <w:sz w:val="32"/>
          <w:szCs w:val="32"/>
        </w:rPr>
        <w:t>（二）改进情况。</w:t>
      </w:r>
      <w:r>
        <w:rPr>
          <w:rFonts w:hint="eastAsia" w:ascii="仿宋_GB2312" w:eastAsia="仿宋_GB2312" w:cs="仿宋_GB2312"/>
          <w:color w:val="3D3D3D"/>
          <w:sz w:val="32"/>
          <w:szCs w:val="32"/>
          <w:lang w:val="en-US" w:eastAsia="zh-CN"/>
        </w:rPr>
        <w:t>一是根据上级要求及单位工作实际，对于政务公开工作领导小组同时进行调整，定期研究部署政务公开相关工作，办公室做好汇总存档工作，并进行保密性审查。二是不断完善局内政务公开流程，定期召开政务公开专题会议、培训会议，配齐政务公开专职及兼职工作人员，做好宣传和公开工作。三是优化政务公开工作方案，对于相关工作力求及时严谨，对于该公开的事项不避讳，不推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rPr>
        <w:t>、</w:t>
      </w:r>
      <w:r>
        <w:rPr>
          <w:rFonts w:hint="eastAsia" w:ascii="黑体" w:hAnsi="黑体" w:eastAsia="黑体" w:cs="黑体"/>
          <w:sz w:val="32"/>
          <w:szCs w:val="32"/>
          <w:lang w:val="en-US" w:eastAsia="zh-CN"/>
        </w:rPr>
        <w:t>其他需要报告的事项</w:t>
      </w:r>
    </w:p>
    <w:p>
      <w:pPr>
        <w:pStyle w:val="3"/>
        <w:keepNext w:val="0"/>
        <w:keepLines w:val="0"/>
        <w:widowControl/>
        <w:suppressLineNumbers w:val="0"/>
        <w:spacing w:line="405" w:lineRule="atLeast"/>
        <w:ind w:left="0" w:firstLine="465"/>
        <w:rPr>
          <w:rFonts w:hint="default" w:ascii="仿宋_GB2312" w:eastAsia="仿宋_GB2312" w:cs="仿宋_GB2312"/>
          <w:color w:val="3D3D3D"/>
          <w:sz w:val="32"/>
          <w:szCs w:val="32"/>
          <w:lang w:val="en-US" w:eastAsia="zh-CN"/>
        </w:rPr>
      </w:pPr>
      <w:r>
        <w:rPr>
          <w:rFonts w:hint="eastAsia" w:ascii="仿宋_GB2312" w:eastAsia="仿宋_GB2312" w:cs="仿宋_GB2312"/>
          <w:color w:val="3D3D3D"/>
          <w:sz w:val="32"/>
          <w:szCs w:val="32"/>
          <w:lang w:val="en-US" w:eastAsia="zh-CN"/>
        </w:rPr>
        <w:t>无</w:t>
      </w:r>
    </w:p>
    <w:sectPr>
      <w:footerReference r:id="rId3" w:type="default"/>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2B7D2C"/>
    <w:rsid w:val="01034E98"/>
    <w:rsid w:val="021A60C5"/>
    <w:rsid w:val="09086143"/>
    <w:rsid w:val="106C7F22"/>
    <w:rsid w:val="198A6011"/>
    <w:rsid w:val="1F7228BA"/>
    <w:rsid w:val="220F5036"/>
    <w:rsid w:val="2BDD1141"/>
    <w:rsid w:val="33BC1336"/>
    <w:rsid w:val="33EA71B9"/>
    <w:rsid w:val="33EB419A"/>
    <w:rsid w:val="3CBC55E6"/>
    <w:rsid w:val="3F6C4506"/>
    <w:rsid w:val="44846AE9"/>
    <w:rsid w:val="55A3174D"/>
    <w:rsid w:val="5CA274B7"/>
    <w:rsid w:val="6BA97680"/>
    <w:rsid w:val="6C2B7D2C"/>
    <w:rsid w:val="790C6D2A"/>
    <w:rsid w:val="7CFE4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0" w:after="0" w:afterAutospacing="0" w:line="24" w:lineRule="atLeast"/>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800080"/>
      <w:u w:val="none"/>
    </w:rPr>
  </w:style>
  <w:style w:type="character" w:styleId="8">
    <w:name w:val="Emphasis"/>
    <w:basedOn w:val="5"/>
    <w:qFormat/>
    <w:uiPriority w:val="0"/>
    <w:rPr>
      <w:b/>
    </w:rPr>
  </w:style>
  <w:style w:type="character" w:styleId="9">
    <w:name w:val="HTML Definition"/>
    <w:basedOn w:val="5"/>
    <w:qFormat/>
    <w:uiPriority w:val="0"/>
  </w:style>
  <w:style w:type="character" w:styleId="10">
    <w:name w:val="HTML Variable"/>
    <w:basedOn w:val="5"/>
    <w:qFormat/>
    <w:uiPriority w:val="0"/>
  </w:style>
  <w:style w:type="character" w:styleId="11">
    <w:name w:val="Hyperlink"/>
    <w:basedOn w:val="5"/>
    <w:uiPriority w:val="0"/>
    <w:rPr>
      <w:color w:val="0000FF"/>
      <w:u w:val="none"/>
    </w:rPr>
  </w:style>
  <w:style w:type="character" w:styleId="12">
    <w:name w:val="HTML Code"/>
    <w:basedOn w:val="5"/>
    <w:qFormat/>
    <w:uiPriority w:val="0"/>
    <w:rPr>
      <w:rFonts w:ascii="Courier New" w:hAnsi="Courier New"/>
      <w:sz w:val="20"/>
      <w:shd w:val="clear" w:fill="E8E8E8"/>
    </w:rPr>
  </w:style>
  <w:style w:type="character" w:styleId="13">
    <w:name w:val="HTML Cite"/>
    <w:basedOn w:val="5"/>
    <w:qFormat/>
    <w:uiPriority w:val="0"/>
  </w:style>
  <w:style w:type="character" w:styleId="14">
    <w:name w:val="HTML Keyboard"/>
    <w:basedOn w:val="5"/>
    <w:qFormat/>
    <w:uiPriority w:val="0"/>
    <w:rPr>
      <w:rFonts w:ascii="Courier New" w:hAnsi="Courier New"/>
      <w:sz w:val="20"/>
    </w:rPr>
  </w:style>
  <w:style w:type="character" w:styleId="15">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2021-01-25T06:50:00Z</dcterms:created>
  <dc:creator>二O一七</dc:creator>
  <cp:lastModifiedBy>二O一七</cp:lastModifiedBy>
  <cp:lastPrinted>2021-01-28T01:46:00Z</cp:lastPrinted>
  <dcterms:modified xsi:type="dcterms:W3CDTF">2021-02-05T09:39:01Z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