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  <w:t>源交政字〔202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印发《沂源县交通运输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局落实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“五个进位攀高”行动方案》的通知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局属各单位、机关各科室：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为深入贯彻落实市委江敦涛书记在沂源代表团审议讨论的讲话精神，以及《中共沂源县委办公室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沂源县人民政府办公室印发&lt;沂源县“五个进位攀高”行动方案&gt;的通知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》部署要求，结合我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局工作实际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制定《沂源县交通运输局落实“五个进位攀高”行动方案》，现印发给你们，请按照责任分工，全力抓好任务落实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2022年2月26日      </w:t>
      </w:r>
    </w:p>
    <w:p>
      <w:pPr>
        <w:keepNext w:val="0"/>
        <w:keepLines w:val="0"/>
        <w:pageBreakBefore w:val="0"/>
        <w:widowControl w:val="0"/>
        <w:tabs>
          <w:tab w:val="left" w:pos="7268"/>
          <w:tab w:val="left" w:pos="7742"/>
        </w:tabs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沂源县交通运输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落实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“五个进位攀高”行动方案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为全面贯彻落实县委、县政府提出的产业提升、城市能级活力提升、农旅文旅融合发展、乡村振兴、民生事业提升五个方面“进位攀高”要求，现对交通运输领域重点任务分工如下。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奋力在提升城市能级活力上进位攀高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工作要求：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发挥后发优势，强化品质理念，加大县城基础实施和公共服务配套力度，尤其是提高规划和建设水平，不断提升城市能级活力。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具体措施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1、全力做好鲁中高铁、潍坊经临朐至沂源城际高铁、沂源通用机场项目的对上争取、推进落地。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责任领导：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苏江海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局规划建设科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2、加快推进临临高速沂源段工程。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责任领导：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娄燕德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沾淄临高速公路沂源段工程建设指挥部办公室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3、加快推进G341黄海线沂源鱼台至钢城界段改建工程。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责任领导：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苏江海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局规划建设科、县交通建设发展中心干线公路科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4、加快推进草齐路草埠至钢城界段改造提升工程。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责任领导：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祁学军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县交通建设发展中心农村公路科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5、组织实施一批补短板项目，深化“四好农村路”建设，推进县乡路改造提升和农村路网延伸，年内完成道路通达及路网提升20公里、路面状况改善工程133公里、重要村道及三级路以上村道安防20公里、危桥改造1座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责任领导：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祁学军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县交通建设发展中心农村公路科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〕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03D46"/>
    <w:multiLevelType w:val="singleLevel"/>
    <w:tmpl w:val="A3303D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30F073"/>
    <w:multiLevelType w:val="singleLevel"/>
    <w:tmpl w:val="3930F0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C3600"/>
    <w:rsid w:val="34FB4D5E"/>
    <w:rsid w:val="3B2C6B30"/>
    <w:rsid w:val="747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Body Text First Indent1"/>
    <w:qFormat/>
    <w:uiPriority w:val="0"/>
    <w:pPr>
      <w:widowControl w:val="0"/>
      <w:ind w:left="120" w:firstLine="420" w:firstLineChars="100"/>
      <w:jc w:val="both"/>
    </w:pPr>
    <w:rPr>
      <w:rFonts w:ascii="Arial Unicode MS" w:hAnsi="Arial Unicode MS" w:eastAsia="宋体" w:cs="Arial Unicode MS"/>
      <w:kern w:val="2"/>
      <w:sz w:val="30"/>
      <w:szCs w:val="3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2022-02-26T00:47:00Z</dcterms:created>
  <dc:creator>Administrator</dc:creator>
  <cp:lastModifiedBy>萌萌哒传宇</cp:lastModifiedBy>
  <cp:lastPrinted>2022-03-01T09:13:04Z</cp:lastPrinted>
  <dcterms:modified xsi:type="dcterms:W3CDTF">2022-03-01T09:13:31Z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67BAC861F32D49C0B33FE871B7512831</vt:lpwstr>
  </property>
</Properties>
</file>