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640"/>
        <w:jc w:val="center"/>
        <w:rPr>
          <w:rFonts w:ascii="黑体" w:hAnsi="宋体" w:eastAsia="黑体" w:cs="黑体"/>
          <w:color w:val="333333"/>
          <w:sz w:val="32"/>
          <w:szCs w:val="32"/>
          <w:shd w:val="clear" w:fill="FFFFFF"/>
        </w:rPr>
      </w:pPr>
      <w:r>
        <w:rPr>
          <w:rFonts w:hint="eastAsia" w:ascii="黑体" w:hAnsi="宋体" w:eastAsia="黑体" w:cs="黑体"/>
          <w:color w:val="333333"/>
          <w:sz w:val="36"/>
          <w:szCs w:val="36"/>
          <w:shd w:val="clear" w:fill="FFFFFF"/>
        </w:rPr>
        <w:t>沂源县金融证券工作服务中心2020年政府信息公开工作年度报告</w:t>
      </w:r>
    </w:p>
    <w:p>
      <w:pPr>
        <w:pStyle w:val="2"/>
        <w:keepNext w:val="0"/>
        <w:keepLines w:val="0"/>
        <w:widowControl/>
        <w:suppressLineNumbers w:val="0"/>
        <w:shd w:val="clear" w:fill="FFFFFF"/>
        <w:ind w:left="0" w:firstLine="640"/>
        <w:jc w:val="both"/>
      </w:pPr>
      <w:r>
        <w:rPr>
          <w:rFonts w:ascii="黑体" w:hAnsi="宋体" w:eastAsia="黑体" w:cs="黑体"/>
          <w:color w:val="333333"/>
          <w:sz w:val="32"/>
          <w:szCs w:val="32"/>
          <w:shd w:val="clear" w:fill="FFFFFF"/>
        </w:rPr>
        <w:t>一、</w:t>
      </w:r>
      <w:r>
        <w:rPr>
          <w:rFonts w:hint="eastAsia" w:ascii="黑体" w:hAnsi="宋体" w:eastAsia="黑体" w:cs="黑体"/>
          <w:color w:val="333333"/>
          <w:sz w:val="32"/>
          <w:szCs w:val="32"/>
          <w:shd w:val="clear" w:fill="FFFFFF"/>
        </w:rPr>
        <w:t>总体情况</w:t>
      </w:r>
    </w:p>
    <w:p>
      <w:pPr>
        <w:pStyle w:val="2"/>
        <w:keepNext w:val="0"/>
        <w:keepLines w:val="0"/>
        <w:widowControl/>
        <w:suppressLineNumbers w:val="0"/>
        <w:spacing w:line="560" w:lineRule="atLeast"/>
        <w:ind w:left="0" w:firstLine="627"/>
      </w:pPr>
      <w:r>
        <w:rPr>
          <w:rFonts w:ascii="仿宋_GB2312" w:eastAsia="仿宋_GB2312" w:cs="仿宋_GB2312"/>
          <w:sz w:val="32"/>
          <w:szCs w:val="32"/>
        </w:rPr>
        <w:t>县</w:t>
      </w:r>
      <w:r>
        <w:rPr>
          <w:rFonts w:hint="default" w:ascii="仿宋_GB2312" w:eastAsia="仿宋_GB2312" w:cs="仿宋_GB2312"/>
          <w:sz w:val="32"/>
          <w:szCs w:val="32"/>
        </w:rPr>
        <w:t>金融证券工作服务中心以“依法实施、全面真实、注重实效、方便群众、便于监督”为原则，以主动公开为核心，以拓宽公开渠道为重点，以完善公开制度为保障，全面提升公开水平，政府信息公开工作得到规范和加强，按照修订后的《中华人民共和国政府信息公开条例》和《山东省政府信息公开办法》要求，特编制本报告。本报告的统计数据时限为2020年1月1日至2020年12月31日。本报告将在沂源县人民政府网站上公布。如对本报告有任何疑问，请联系：沂源县人民政府金融证券工作办公室，电子邮箱：yyxjrbzhk@zb.shandong.cn，联系电话：0533－3242632。</w:t>
      </w:r>
    </w:p>
    <w:p>
      <w:pPr>
        <w:pStyle w:val="2"/>
        <w:keepNext w:val="0"/>
        <w:keepLines w:val="0"/>
        <w:widowControl/>
        <w:suppressLineNumbers w:val="0"/>
        <w:spacing w:line="560" w:lineRule="atLeast"/>
        <w:ind w:left="0" w:firstLine="645"/>
      </w:pPr>
      <w:r>
        <w:rPr>
          <w:rFonts w:ascii="楷体" w:hAnsi="楷体" w:eastAsia="楷体" w:cs="楷体"/>
          <w:sz w:val="32"/>
          <w:szCs w:val="32"/>
        </w:rPr>
        <w:t>（一）</w:t>
      </w:r>
      <w:r>
        <w:rPr>
          <w:rFonts w:hint="eastAsia" w:ascii="楷体" w:hAnsi="楷体" w:eastAsia="楷体" w:cs="楷体"/>
          <w:sz w:val="32"/>
          <w:szCs w:val="32"/>
        </w:rPr>
        <w:t>政府信息公开工作概述</w:t>
      </w:r>
    </w:p>
    <w:p>
      <w:pPr>
        <w:pStyle w:val="2"/>
        <w:keepNext w:val="0"/>
        <w:keepLines w:val="0"/>
        <w:widowControl/>
        <w:suppressLineNumbers w:val="0"/>
        <w:spacing w:line="560" w:lineRule="atLeast"/>
        <w:ind w:left="0" w:firstLine="645"/>
      </w:pPr>
      <w:r>
        <w:rPr>
          <w:rFonts w:hint="default" w:ascii="仿宋_GB2312" w:eastAsia="仿宋_GB2312" w:cs="仿宋_GB2312"/>
          <w:sz w:val="32"/>
          <w:szCs w:val="32"/>
        </w:rPr>
        <w:t>推进政府信息公开是转变政府职能、提高服务效率、提升政府形象的重要举措。2020年，在县委、县政府的正确领导下，县金融证券工作服务中心提高认识，加大宣传力度，完善各项制度，着力加强政府信息公开工作的组织实施工作，不断扩展政府信息公开内容，规范政府信息公开申请处理程序，丰富政府信息公开形式，增强了工作的透明度，在全社会树立了良好的部门形象。</w:t>
      </w:r>
    </w:p>
    <w:p>
      <w:pPr>
        <w:pStyle w:val="2"/>
        <w:keepNext w:val="0"/>
        <w:keepLines w:val="0"/>
        <w:widowControl/>
        <w:suppressLineNumbers w:val="0"/>
        <w:spacing w:line="560" w:lineRule="atLeast"/>
      </w:pPr>
      <w:r>
        <w:rPr>
          <w:rFonts w:hint="eastAsia" w:ascii="楷体" w:hAnsi="楷体" w:eastAsia="楷体" w:cs="楷体"/>
          <w:sz w:val="32"/>
          <w:szCs w:val="32"/>
        </w:rPr>
        <w:t>    （二）政府信息公开的组织领导和制度建设情况</w:t>
      </w:r>
    </w:p>
    <w:p>
      <w:pPr>
        <w:pStyle w:val="2"/>
        <w:keepNext w:val="0"/>
        <w:keepLines w:val="0"/>
        <w:widowControl/>
        <w:suppressLineNumbers w:val="0"/>
        <w:spacing w:line="560" w:lineRule="atLeast"/>
        <w:ind w:left="0" w:firstLine="640"/>
      </w:pPr>
      <w:r>
        <w:rPr>
          <w:rFonts w:hint="default" w:ascii="仿宋_GB2312" w:eastAsia="仿宋_GB2312" w:cs="仿宋_GB2312"/>
          <w:sz w:val="32"/>
          <w:szCs w:val="32"/>
        </w:rPr>
        <w:t>为了加强对政府信息公开工作的领导，县金融证券工作服务中心成立了由主任任组长，副主任任副组长，科室负责人为成员的县金融证券工作服务中心政府信息公开工作领导小组，坚持“主要领导亲自抓，分管领导靠上抓，职能部门抓落实”的原则，明确工作人员责任，细化各项工作措施，确保政府信息及时主动公开。按照“公开为原则，不公开为例外</w:t>
      </w:r>
      <w:r>
        <w:rPr>
          <w:rFonts w:ascii="Calibri" w:hAnsi="Calibri" w:eastAsia="仿宋_GB2312" w:cs="Calibri"/>
          <w:sz w:val="32"/>
          <w:szCs w:val="32"/>
        </w:rPr>
        <w:t>”</w:t>
      </w:r>
      <w:r>
        <w:rPr>
          <w:rFonts w:hint="default" w:ascii="仿宋_GB2312" w:eastAsia="仿宋_GB2312" w:cs="仿宋_GB2312"/>
          <w:sz w:val="32"/>
          <w:szCs w:val="32"/>
        </w:rPr>
        <w:t>的总体要求，妥善处理公开与保密的关系，要求在规范性文件生成过程中即明确是否需要公开，最大限度地保障人民群众的知情权和监督权，形成了良好的舆论监督氛围。</w:t>
      </w:r>
    </w:p>
    <w:p>
      <w:pPr>
        <w:pStyle w:val="2"/>
        <w:keepNext w:val="0"/>
        <w:keepLines w:val="0"/>
        <w:widowControl/>
        <w:suppressLineNumbers w:val="0"/>
        <w:spacing w:line="560" w:lineRule="atLeast"/>
        <w:ind w:left="0" w:firstLine="645"/>
      </w:pPr>
      <w:r>
        <w:rPr>
          <w:rFonts w:hint="eastAsia" w:ascii="楷体" w:hAnsi="楷体" w:eastAsia="楷体" w:cs="楷体"/>
          <w:sz w:val="32"/>
          <w:szCs w:val="32"/>
        </w:rPr>
        <w:t>（三）主动公开政府信息以及公开平台建设情况</w:t>
      </w:r>
    </w:p>
    <w:p>
      <w:pPr>
        <w:pStyle w:val="2"/>
        <w:keepNext w:val="0"/>
        <w:keepLines w:val="0"/>
        <w:widowControl/>
        <w:suppressLineNumbers w:val="0"/>
        <w:spacing w:line="560" w:lineRule="atLeast"/>
      </w:pPr>
      <w:r>
        <w:rPr>
          <w:rFonts w:hint="default" w:ascii="仿宋_GB2312" w:eastAsia="仿宋_GB2312" w:cs="仿宋_GB2312"/>
          <w:sz w:val="32"/>
          <w:szCs w:val="32"/>
        </w:rPr>
        <w:t xml:space="preserve">　　截止2020年12月31日，县金融证券工作服务中心累计主动公开政府信息42条,主要包括公告公示、工作动态、政策解读以及非法集资专栏等方面。一是认真做好沂源县人民政府门户网站内容保障工作。按照县政府的有关要求，按时将相关信息发布到政府信息网，及时充实更新，加强信息管理。及时向政府网站报送部门动态，做到了经常性工作定期公开，阶段性工作按时公开，临时性工作随时公开。二是及时向县委信息科、县政府信息科报送业务工作信息和工作动态，进行信息公开。三是在单位设立了公示栏，公开工作人员及其工作职权、职责，公布服务承诺和政务公开内容，凡是关系干部群众切身利益，不涉及保密范围内的都实行了上墙公示，提高了工作的透明度。 </w:t>
      </w:r>
    </w:p>
    <w:p>
      <w:pPr>
        <w:pStyle w:val="2"/>
        <w:keepNext w:val="0"/>
        <w:keepLines w:val="0"/>
        <w:widowControl/>
        <w:suppressLineNumbers w:val="0"/>
        <w:spacing w:line="560" w:lineRule="atLeast"/>
      </w:pPr>
      <w:r>
        <w:rPr>
          <w:rFonts w:hint="eastAsia" w:ascii="楷体" w:hAnsi="楷体" w:eastAsia="楷体" w:cs="楷体"/>
          <w:sz w:val="32"/>
          <w:szCs w:val="32"/>
        </w:rPr>
        <w:t>    （四）政府信息公开申请的办理及收费情况</w:t>
      </w:r>
    </w:p>
    <w:p>
      <w:pPr>
        <w:pStyle w:val="2"/>
        <w:keepNext w:val="0"/>
        <w:keepLines w:val="0"/>
        <w:widowControl/>
        <w:suppressLineNumbers w:val="0"/>
        <w:spacing w:line="560" w:lineRule="atLeast"/>
        <w:ind w:left="0" w:firstLine="660"/>
      </w:pPr>
      <w:r>
        <w:rPr>
          <w:rFonts w:hint="default" w:ascii="仿宋_GB2312" w:eastAsia="仿宋_GB2312" w:cs="仿宋_GB2312"/>
          <w:sz w:val="32"/>
          <w:szCs w:val="32"/>
        </w:rPr>
        <w:t>2020年，县金融证券工作服务中心没有收到书面或其它形式要求公开政府信息的申请，没有政府信息公开收费项目和收费。</w:t>
      </w:r>
    </w:p>
    <w:p>
      <w:pPr>
        <w:pStyle w:val="2"/>
        <w:keepNext w:val="0"/>
        <w:keepLines w:val="0"/>
        <w:widowControl/>
        <w:suppressLineNumbers w:val="0"/>
        <w:spacing w:line="560" w:lineRule="atLeast"/>
        <w:ind w:left="0" w:firstLine="627"/>
      </w:pPr>
      <w:r>
        <w:rPr>
          <w:rFonts w:hint="eastAsia" w:ascii="楷体" w:hAnsi="楷体" w:eastAsia="楷体" w:cs="楷体"/>
          <w:sz w:val="32"/>
          <w:szCs w:val="32"/>
        </w:rPr>
        <w:t>（五）因政府信息公开申请提起行政复议、行政诉讼的情况</w:t>
      </w:r>
    </w:p>
    <w:p>
      <w:pPr>
        <w:pStyle w:val="2"/>
        <w:keepNext w:val="0"/>
        <w:keepLines w:val="0"/>
        <w:widowControl/>
        <w:suppressLineNumbers w:val="0"/>
        <w:spacing w:line="560" w:lineRule="atLeast"/>
        <w:ind w:left="0" w:firstLine="660"/>
      </w:pPr>
      <w:r>
        <w:rPr>
          <w:rFonts w:hint="default" w:ascii="仿宋_GB2312" w:eastAsia="仿宋_GB2312" w:cs="仿宋_GB2312"/>
          <w:sz w:val="32"/>
          <w:szCs w:val="32"/>
        </w:rPr>
        <w:t>2020年，县金融证券工作服务中心未发生因违反政府信息公开工作规定而被申请行政复议、提起行政诉讼、申诉的情况。</w:t>
      </w:r>
    </w:p>
    <w:p>
      <w:pPr>
        <w:pStyle w:val="2"/>
        <w:keepNext w:val="0"/>
        <w:keepLines w:val="0"/>
        <w:widowControl/>
        <w:suppressLineNumbers w:val="0"/>
        <w:spacing w:line="560" w:lineRule="atLeast"/>
        <w:ind w:left="0" w:firstLine="645"/>
      </w:pPr>
      <w:r>
        <w:rPr>
          <w:rFonts w:hint="eastAsia" w:ascii="楷体" w:hAnsi="楷体" w:eastAsia="楷体" w:cs="楷体"/>
          <w:sz w:val="32"/>
          <w:szCs w:val="32"/>
        </w:rPr>
        <w:t>（六）政府信息公开保密审查及监督检查情况</w:t>
      </w:r>
    </w:p>
    <w:p>
      <w:pPr>
        <w:pStyle w:val="2"/>
        <w:keepNext w:val="0"/>
        <w:keepLines w:val="0"/>
        <w:widowControl/>
        <w:suppressLineNumbers w:val="0"/>
        <w:spacing w:line="560" w:lineRule="atLeast"/>
        <w:ind w:left="0" w:firstLine="660"/>
      </w:pPr>
      <w:r>
        <w:rPr>
          <w:rFonts w:hint="default" w:ascii="仿宋_GB2312" w:eastAsia="仿宋_GB2312" w:cs="仿宋_GB2312"/>
          <w:sz w:val="32"/>
          <w:szCs w:val="32"/>
        </w:rPr>
        <w:t>为规范县金融证券工作服务中心政府信息公开保密审查工作，根据《中华人民共和国保守国家秘密法》、《中华人民共和国政府信息公开条例》以及国家有关法律法规的规定，结合单位实际，将信息发布保密审查纳入本单位保密管理工作的重要内容。在政府信息公开保密审查工作中遵循“谁公开谁审查、谁审查谁负责”和“先审查后公开”的原则，加强政务信息公开监督检查，严肃工作纪律，应该公开的政务信息及时、准确公开，涉及国家秘密、商业秘密、个人隐私的政府信息绝不公开。一年来单位政务信息公开保密审查和监督检查工作到位，没有发生违反保密审查办法的情况。　　</w:t>
      </w:r>
    </w:p>
    <w:p>
      <w:pPr>
        <w:pStyle w:val="2"/>
        <w:keepNext w:val="0"/>
        <w:keepLines w:val="0"/>
        <w:widowControl/>
        <w:suppressLineNumbers w:val="0"/>
        <w:shd w:val="clear" w:fill="FFFFFF"/>
        <w:spacing w:after="240" w:afterAutospacing="0"/>
        <w:ind w:left="0" w:firstLine="640"/>
        <w:jc w:val="both"/>
      </w:pPr>
      <w:r>
        <w:rPr>
          <w:rFonts w:hint="eastAsia" w:ascii="黑体" w:hAnsi="宋体" w:eastAsia="黑体" w:cs="黑体"/>
          <w:color w:val="333333"/>
          <w:sz w:val="32"/>
          <w:szCs w:val="32"/>
          <w:shd w:val="clear" w:fill="FFFFFF"/>
        </w:rPr>
        <w:t>二、主动公开政府信息情况</w:t>
      </w:r>
    </w:p>
    <w:tbl>
      <w:tblPr>
        <w:tblStyle w:val="3"/>
        <w:tblW w:w="0" w:type="auto"/>
        <w:jc w:val="center"/>
        <w:shd w:val="clear" w:color="auto" w:fill="auto"/>
        <w:tblLayout w:type="autofit"/>
        <w:tblCellMar>
          <w:top w:w="15" w:type="dxa"/>
          <w:left w:w="15" w:type="dxa"/>
          <w:bottom w:w="15" w:type="dxa"/>
          <w:right w:w="15" w:type="dxa"/>
        </w:tblCellMar>
      </w:tblPr>
      <w:tblGrid>
        <w:gridCol w:w="2996"/>
        <w:gridCol w:w="16"/>
        <w:gridCol w:w="2046"/>
        <w:gridCol w:w="1492"/>
        <w:gridCol w:w="1972"/>
      </w:tblGrid>
      <w:tr>
        <w:tblPrEx>
          <w:shd w:val="clear" w:color="auto" w:fill="auto"/>
          <w:tblCellMar>
            <w:top w:w="15" w:type="dxa"/>
            <w:left w:w="15" w:type="dxa"/>
            <w:bottom w:w="15" w:type="dxa"/>
            <w:right w:w="15"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第二十条第（一）项</w:t>
            </w:r>
          </w:p>
        </w:tc>
      </w:tr>
      <w:tr>
        <w:tblPrEx>
          <w:tblCellMar>
            <w:top w:w="15" w:type="dxa"/>
            <w:left w:w="15" w:type="dxa"/>
            <w:bottom w:w="15" w:type="dxa"/>
            <w:right w:w="15"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本年新制作数量</w:t>
            </w:r>
          </w:p>
        </w:tc>
        <w:tc>
          <w:tcPr>
            <w:tcW w:w="15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本年新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公开数量</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对外公开</w:t>
            </w:r>
          </w:p>
          <w:p>
            <w:pPr>
              <w:pStyle w:val="2"/>
              <w:keepNext w:val="0"/>
              <w:keepLines w:val="0"/>
              <w:widowControl/>
              <w:suppressLineNumbers w:val="0"/>
              <w:jc w:val="center"/>
            </w:pPr>
            <w:r>
              <w:rPr>
                <w:rFonts w:hint="eastAsia" w:ascii="宋体" w:hAnsi="宋体" w:eastAsia="宋体" w:cs="宋体"/>
                <w:color w:val="000000"/>
                <w:sz w:val="24"/>
                <w:szCs w:val="24"/>
              </w:rPr>
              <w:t>总数量</w:t>
            </w:r>
          </w:p>
        </w:tc>
      </w:tr>
      <w:tr>
        <w:tblPrEx>
          <w:tblCellMar>
            <w:top w:w="15" w:type="dxa"/>
            <w:left w:w="15" w:type="dxa"/>
            <w:bottom w:w="15" w:type="dxa"/>
            <w:right w:w="15"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left"/>
            </w:pPr>
            <w:r>
              <w:rPr>
                <w:rFonts w:hint="eastAsia" w:ascii="宋体" w:hAnsi="宋体" w:eastAsia="宋体" w:cs="宋体"/>
                <w:color w:val="000000"/>
                <w:sz w:val="24"/>
                <w:szCs w:val="24"/>
              </w:rPr>
              <w:t>规章</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ind w:left="0" w:right="0" w:firstLine="0"/>
              <w:jc w:val="center"/>
            </w:pPr>
            <w:r>
              <w:rPr>
                <w:rFonts w:hint="eastAsia" w:ascii="宋体" w:hAnsi="宋体" w:eastAsia="宋体" w:cs="宋体"/>
                <w:color w:val="000000"/>
                <w:sz w:val="24"/>
                <w:szCs w:val="24"/>
              </w:rPr>
              <w:t>0</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w:t>
            </w:r>
          </w:p>
        </w:tc>
      </w:tr>
      <w:tr>
        <w:tblPrEx>
          <w:tblCellMar>
            <w:top w:w="15" w:type="dxa"/>
            <w:left w:w="15" w:type="dxa"/>
            <w:bottom w:w="15" w:type="dxa"/>
            <w:right w:w="15"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left"/>
            </w:pPr>
            <w:r>
              <w:rPr>
                <w:rFonts w:hint="eastAsia" w:ascii="宋体" w:hAnsi="宋体" w:eastAsia="宋体" w:cs="宋体"/>
                <w:color w:val="000000"/>
                <w:sz w:val="24"/>
                <w:szCs w:val="24"/>
              </w:rPr>
              <w:t>规范性文件</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  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r>
      <w:tr>
        <w:tblPrEx>
          <w:tblCellMar>
            <w:top w:w="15" w:type="dxa"/>
            <w:left w:w="15" w:type="dxa"/>
            <w:bottom w:w="15" w:type="dxa"/>
            <w:right w:w="15"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第二十条第（五）项</w:t>
            </w:r>
          </w:p>
        </w:tc>
      </w:tr>
      <w:tr>
        <w:tblPrEx>
          <w:tblCellMar>
            <w:top w:w="15" w:type="dxa"/>
            <w:left w:w="15" w:type="dxa"/>
            <w:bottom w:w="15" w:type="dxa"/>
            <w:right w:w="15"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上一年项目数量</w:t>
            </w:r>
          </w:p>
        </w:tc>
        <w:tc>
          <w:tcPr>
            <w:tcW w:w="15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本年增/减</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处理决定数量</w:t>
            </w:r>
          </w:p>
        </w:tc>
      </w:tr>
      <w:tr>
        <w:tblPrEx>
          <w:tblCellMar>
            <w:top w:w="15" w:type="dxa"/>
            <w:left w:w="15" w:type="dxa"/>
            <w:bottom w:w="15" w:type="dxa"/>
            <w:right w:w="15"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left"/>
            </w:pPr>
            <w:r>
              <w:rPr>
                <w:rFonts w:hint="eastAsia" w:ascii="宋体" w:hAnsi="宋体" w:eastAsia="宋体" w:cs="宋体"/>
                <w:color w:val="000000"/>
                <w:sz w:val="24"/>
                <w:szCs w:val="24"/>
              </w:rPr>
              <w:t>行政许可</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r>
      <w:tr>
        <w:tblPrEx>
          <w:tblCellMar>
            <w:top w:w="15" w:type="dxa"/>
            <w:left w:w="15" w:type="dxa"/>
            <w:bottom w:w="15" w:type="dxa"/>
            <w:right w:w="15"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left"/>
            </w:pPr>
            <w:r>
              <w:rPr>
                <w:rFonts w:hint="eastAsia" w:ascii="宋体" w:hAnsi="宋体" w:eastAsia="宋体" w:cs="宋体"/>
                <w:color w:val="000000"/>
                <w:sz w:val="24"/>
                <w:szCs w:val="24"/>
              </w:rPr>
              <w:t>其他对外管理服务事项</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r>
      <w:tr>
        <w:tblPrEx>
          <w:tblCellMar>
            <w:top w:w="15" w:type="dxa"/>
            <w:left w:w="15" w:type="dxa"/>
            <w:bottom w:w="15" w:type="dxa"/>
            <w:right w:w="15"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第二十条第（六）项</w:t>
            </w:r>
          </w:p>
        </w:tc>
      </w:tr>
      <w:tr>
        <w:tblPrEx>
          <w:tblCellMar>
            <w:top w:w="15" w:type="dxa"/>
            <w:left w:w="15" w:type="dxa"/>
            <w:bottom w:w="15" w:type="dxa"/>
            <w:right w:w="15"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信息内容</w:t>
            </w:r>
          </w:p>
        </w:tc>
        <w:tc>
          <w:tcPr>
            <w:tcW w:w="2112"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上一年项目数量</w:t>
            </w:r>
          </w:p>
        </w:tc>
        <w:tc>
          <w:tcPr>
            <w:tcW w:w="15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本年增/减</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处理决定数量</w:t>
            </w:r>
          </w:p>
        </w:tc>
      </w:tr>
      <w:tr>
        <w:tblPrEx>
          <w:tblCellMar>
            <w:top w:w="15" w:type="dxa"/>
            <w:left w:w="15" w:type="dxa"/>
            <w:bottom w:w="15" w:type="dxa"/>
            <w:right w:w="15"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left"/>
            </w:pPr>
            <w:r>
              <w:rPr>
                <w:rFonts w:hint="eastAsia" w:ascii="宋体" w:hAnsi="宋体" w:eastAsia="宋体" w:cs="宋体"/>
                <w:color w:val="000000"/>
                <w:sz w:val="24"/>
                <w:szCs w:val="24"/>
              </w:rPr>
              <w:t>行政处罚</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r>
      <w:tr>
        <w:tblPrEx>
          <w:tblCellMar>
            <w:top w:w="15" w:type="dxa"/>
            <w:left w:w="15" w:type="dxa"/>
            <w:bottom w:w="15" w:type="dxa"/>
            <w:right w:w="15"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left"/>
            </w:pPr>
            <w:r>
              <w:rPr>
                <w:rFonts w:hint="eastAsia" w:ascii="宋体" w:hAnsi="宋体" w:eastAsia="宋体" w:cs="宋体"/>
                <w:color w:val="000000"/>
                <w:sz w:val="24"/>
                <w:szCs w:val="24"/>
              </w:rPr>
              <w:t>行政强制</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15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r>
      <w:tr>
        <w:tblPrEx>
          <w:tblCellMar>
            <w:top w:w="15" w:type="dxa"/>
            <w:left w:w="15" w:type="dxa"/>
            <w:bottom w:w="15" w:type="dxa"/>
            <w:right w:w="15"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第二十条第（八）项</w:t>
            </w:r>
          </w:p>
        </w:tc>
      </w:tr>
      <w:tr>
        <w:tblPrEx>
          <w:tblCellMar>
            <w:top w:w="15" w:type="dxa"/>
            <w:left w:w="15" w:type="dxa"/>
            <w:bottom w:w="15" w:type="dxa"/>
            <w:right w:w="15"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信息内容</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left"/>
            </w:pPr>
            <w:r>
              <w:rPr>
                <w:rFonts w:hint="eastAsia" w:ascii="宋体" w:hAnsi="宋体" w:eastAsia="宋体" w:cs="宋体"/>
                <w:color w:val="000000"/>
                <w:sz w:val="24"/>
                <w:szCs w:val="24"/>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本年增/减</w:t>
            </w:r>
          </w:p>
        </w:tc>
      </w:tr>
      <w:tr>
        <w:tblPrEx>
          <w:tblCellMar>
            <w:top w:w="15" w:type="dxa"/>
            <w:left w:w="15" w:type="dxa"/>
            <w:bottom w:w="15" w:type="dxa"/>
            <w:right w:w="15"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left"/>
            </w:pPr>
            <w:r>
              <w:rPr>
                <w:rFonts w:hint="eastAsia" w:ascii="宋体" w:hAnsi="宋体" w:eastAsia="宋体" w:cs="宋体"/>
                <w:color w:val="000000"/>
                <w:sz w:val="24"/>
                <w:szCs w:val="24"/>
              </w:rPr>
              <w:t>行政事业性收费</w:t>
            </w:r>
          </w:p>
        </w:tc>
        <w:tc>
          <w:tcPr>
            <w:tcW w:w="211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3523"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 0 </w:t>
            </w:r>
          </w:p>
        </w:tc>
      </w:tr>
      <w:tr>
        <w:tblPrEx>
          <w:tblCellMar>
            <w:top w:w="15" w:type="dxa"/>
            <w:left w:w="15" w:type="dxa"/>
            <w:bottom w:w="15" w:type="dxa"/>
            <w:right w:w="15"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第二十条第（九）项</w:t>
            </w:r>
          </w:p>
        </w:tc>
      </w:tr>
      <w:tr>
        <w:tblPrEx>
          <w:tblCellMar>
            <w:top w:w="15" w:type="dxa"/>
            <w:left w:w="15" w:type="dxa"/>
            <w:bottom w:w="15" w:type="dxa"/>
            <w:right w:w="15"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信息内容</w:t>
            </w:r>
          </w:p>
        </w:tc>
        <w:tc>
          <w:tcPr>
            <w:tcW w:w="2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采购总金额</w:t>
            </w:r>
          </w:p>
        </w:tc>
      </w:tr>
      <w:tr>
        <w:tblPrEx>
          <w:tblCellMar>
            <w:top w:w="15" w:type="dxa"/>
            <w:left w:w="15" w:type="dxa"/>
            <w:bottom w:w="15" w:type="dxa"/>
            <w:right w:w="15"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left"/>
            </w:pPr>
            <w:r>
              <w:rPr>
                <w:rFonts w:hint="eastAsia" w:ascii="宋体" w:hAnsi="宋体" w:eastAsia="宋体" w:cs="宋体"/>
                <w:color w:val="000000"/>
                <w:sz w:val="24"/>
                <w:szCs w:val="24"/>
              </w:rPr>
              <w:t>政府集中采购</w:t>
            </w:r>
          </w:p>
        </w:tc>
        <w:tc>
          <w:tcPr>
            <w:tcW w:w="2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　</w:t>
            </w:r>
          </w:p>
        </w:tc>
        <w:tc>
          <w:tcPr>
            <w:tcW w:w="3523"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4"/>
                <w:szCs w:val="24"/>
              </w:rPr>
              <w:t>0</w:t>
            </w:r>
          </w:p>
        </w:tc>
      </w:tr>
    </w:tbl>
    <w:p>
      <w:pPr>
        <w:pStyle w:val="2"/>
        <w:keepNext w:val="0"/>
        <w:keepLines w:val="0"/>
        <w:widowControl/>
        <w:suppressLineNumbers w:val="0"/>
        <w:shd w:val="clear" w:fill="FFFFFF"/>
        <w:ind w:left="0" w:firstLine="420"/>
        <w:jc w:val="both"/>
      </w:pPr>
      <w:r>
        <w:rPr>
          <w:rFonts w:hint="eastAsia" w:ascii="宋体" w:hAnsi="宋体" w:eastAsia="宋体" w:cs="宋体"/>
          <w:color w:val="333333"/>
          <w:sz w:val="24"/>
          <w:szCs w:val="24"/>
          <w:shd w:val="clear" w:fill="FFFFFF"/>
        </w:rPr>
        <w:t> </w:t>
      </w:r>
    </w:p>
    <w:p>
      <w:pPr>
        <w:pStyle w:val="2"/>
        <w:keepNext w:val="0"/>
        <w:keepLines w:val="0"/>
        <w:widowControl/>
        <w:suppressLineNumbers w:val="0"/>
        <w:shd w:val="clear" w:fill="FFFFFF"/>
        <w:spacing w:after="240" w:afterAutospacing="0"/>
        <w:ind w:left="-199" w:firstLine="620"/>
        <w:jc w:val="both"/>
      </w:pPr>
      <w:r>
        <w:rPr>
          <w:rStyle w:val="5"/>
          <w:rFonts w:hint="eastAsia" w:ascii="黑体" w:hAnsi="宋体" w:eastAsia="黑体" w:cs="黑体"/>
          <w:color w:val="333333"/>
          <w:sz w:val="32"/>
          <w:szCs w:val="32"/>
          <w:shd w:val="clear" w:fill="FFFFFF"/>
        </w:rPr>
        <w:t>三、收到和处理政府信息公开申请情况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1302"/>
        <w:gridCol w:w="2424"/>
        <w:gridCol w:w="779"/>
        <w:gridCol w:w="561"/>
        <w:gridCol w:w="561"/>
        <w:gridCol w:w="561"/>
        <w:gridCol w:w="561"/>
        <w:gridCol w:w="539"/>
        <w:gridCol w:w="6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0"/>
                <w:szCs w:val="20"/>
              </w:rPr>
              <w:t>（本列数据的勾稽关系为：第一项加第二项之和，</w:t>
            </w:r>
          </w:p>
          <w:p>
            <w:pPr>
              <w:pStyle w:val="2"/>
              <w:keepNext w:val="0"/>
              <w:keepLines w:val="0"/>
              <w:widowControl/>
              <w:suppressLineNumbers w:val="0"/>
              <w:jc w:val="center"/>
            </w:pPr>
            <w:r>
              <w:rPr>
                <w:rFonts w:hint="eastAsia" w:ascii="宋体" w:hAnsi="宋体" w:eastAsia="宋体" w:cs="宋体"/>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320" w:lineRule="atLeast"/>
              <w:jc w:val="center"/>
            </w:pPr>
            <w:r>
              <w:rPr>
                <w:rFonts w:hint="eastAsia" w:ascii="宋体" w:hAnsi="宋体" w:eastAsia="宋体" w:cs="宋体"/>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5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0"/>
                <w:szCs w:val="20"/>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320" w:lineRule="atLeast"/>
              <w:jc w:val="center"/>
            </w:pPr>
            <w:r>
              <w:rPr>
                <w:rFonts w:hint="eastAsia" w:ascii="宋体" w:hAnsi="宋体" w:eastAsia="宋体" w:cs="宋体"/>
                <w:sz w:val="20"/>
                <w:szCs w:val="20"/>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5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320" w:lineRule="atLeast"/>
              <w:ind w:left="-106" w:right="-107" w:hanging="1"/>
              <w:jc w:val="center"/>
            </w:pPr>
            <w:r>
              <w:rPr>
                <w:rFonts w:hint="eastAsia" w:ascii="宋体" w:hAnsi="宋体" w:eastAsia="宋体" w:cs="宋体"/>
                <w:sz w:val="20"/>
                <w:szCs w:val="20"/>
              </w:rPr>
              <w:t>商业企业</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320" w:lineRule="atLeast"/>
              <w:ind w:left="-107" w:right="-107"/>
              <w:jc w:val="center"/>
            </w:pPr>
            <w:r>
              <w:rPr>
                <w:rFonts w:hint="eastAsia" w:ascii="宋体" w:hAnsi="宋体" w:eastAsia="宋体" w:cs="宋体"/>
                <w:sz w:val="20"/>
                <w:szCs w:val="20"/>
              </w:rPr>
              <w:t>科研机构</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320" w:lineRule="atLeast"/>
              <w:ind w:left="-107" w:right="-107"/>
              <w:jc w:val="center"/>
            </w:pPr>
            <w:r>
              <w:rPr>
                <w:rFonts w:hint="eastAsia" w:ascii="宋体" w:hAnsi="宋体" w:eastAsia="宋体" w:cs="宋体"/>
                <w:sz w:val="20"/>
                <w:szCs w:val="20"/>
              </w:rPr>
              <w:t>社会公益组织</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320" w:lineRule="atLeast"/>
              <w:ind w:left="-106" w:right="-107" w:hanging="1"/>
              <w:jc w:val="center"/>
            </w:pPr>
            <w:r>
              <w:rPr>
                <w:rFonts w:hint="eastAsia" w:ascii="宋体" w:hAnsi="宋体" w:eastAsia="宋体" w:cs="宋体"/>
                <w:sz w:val="20"/>
                <w:szCs w:val="20"/>
              </w:rPr>
              <w:t>法律服务机构</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360" w:lineRule="atLeast"/>
              <w:ind w:left="-63" w:right="-134"/>
              <w:jc w:val="center"/>
            </w:pPr>
            <w:r>
              <w:rPr>
                <w:rFonts w:hint="eastAsia" w:ascii="宋体" w:hAnsi="宋体" w:eastAsia="宋体" w:cs="宋体"/>
                <w:sz w:val="20"/>
                <w:szCs w:val="20"/>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0"/>
                <w:szCs w:val="20"/>
              </w:rPr>
              <w:t>一、本年新收政府信息公开申请数量</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0"/>
                <w:szCs w:val="20"/>
              </w:rPr>
              <w:t>二、上年结转政府信息公开申请数量</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default" w:ascii="宋体" w:hAnsi="宋体" w:eastAsia="宋体" w:cs="宋体"/>
                <w:sz w:val="21"/>
                <w:szCs w:val="21"/>
              </w:rPr>
              <w:t> </w:t>
            </w:r>
            <w:r>
              <w:rPr>
                <w:rFonts w:hint="eastAsia" w:ascii="宋体" w:hAnsi="宋体" w:eastAsia="宋体" w:cs="宋体"/>
                <w:sz w:val="21"/>
                <w:szCs w:val="21"/>
                <w:lang w:val="en-US" w:eastAsia="zh-CN"/>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pPr>
            <w:r>
              <w:rPr>
                <w:rFonts w:hint="eastAsia" w:ascii="宋体" w:hAnsi="宋体" w:eastAsia="宋体" w:cs="宋体"/>
                <w:sz w:val="20"/>
                <w:szCs w:val="20"/>
              </w:rPr>
              <w:t>三、本年度办理结果</w:t>
            </w: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Pr>
            <w:r>
              <w:rPr>
                <w:rFonts w:hint="eastAsia" w:ascii="楷体" w:hAnsi="楷体" w:eastAsia="楷体" w:cs="楷体"/>
                <w:sz w:val="20"/>
                <w:szCs w:val="20"/>
              </w:rPr>
              <w:t>（一）予以公开</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Pr>
            <w:r>
              <w:rPr>
                <w:rFonts w:hint="eastAsia" w:ascii="楷体" w:hAnsi="楷体" w:eastAsia="楷体" w:cs="楷体"/>
                <w:sz w:val="20"/>
                <w:szCs w:val="20"/>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200" w:lineRule="atLeast"/>
              <w:ind w:left="-107"/>
            </w:pPr>
            <w:r>
              <w:rPr>
                <w:rFonts w:hint="eastAsia" w:ascii="楷体" w:hAnsi="楷体" w:eastAsia="楷体" w:cs="楷体"/>
                <w:sz w:val="20"/>
                <w:szCs w:val="20"/>
              </w:rPr>
              <w:t>（三）不予公开</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200" w:lineRule="atLeast"/>
              <w:ind w:left="-107"/>
            </w:pPr>
            <w:r>
              <w:rPr>
                <w:rFonts w:hint="eastAsia" w:ascii="楷体" w:hAnsi="楷体" w:eastAsia="楷体" w:cs="楷体"/>
                <w:sz w:val="20"/>
                <w:szCs w:val="20"/>
              </w:rPr>
              <w:t>（四）无法提供</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200" w:lineRule="atLeast"/>
              <w:ind w:left="-107"/>
            </w:pPr>
            <w:r>
              <w:rPr>
                <w:rFonts w:hint="eastAsia" w:ascii="楷体" w:hAnsi="楷体" w:eastAsia="楷体" w:cs="楷体"/>
                <w:sz w:val="20"/>
                <w:szCs w:val="20"/>
              </w:rPr>
              <w:t>（五）不予处理</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2"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bookmarkStart w:id="0" w:name="_GoBack"/>
            <w:bookmarkEnd w:id="0"/>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200" w:lineRule="atLeast"/>
            </w:pPr>
            <w:r>
              <w:rPr>
                <w:rFonts w:hint="eastAsia" w:ascii="楷体" w:hAnsi="楷体" w:eastAsia="楷体" w:cs="楷体"/>
                <w:sz w:val="20"/>
                <w:szCs w:val="20"/>
              </w:rPr>
              <w:t>（六）其他处理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200" w:lineRule="atLeast"/>
            </w:pPr>
            <w:r>
              <w:rPr>
                <w:rFonts w:hint="eastAsia" w:ascii="楷体" w:hAnsi="楷体" w:eastAsia="楷体" w:cs="楷体"/>
                <w:sz w:val="20"/>
                <w:szCs w:val="20"/>
              </w:rPr>
              <w:t>（七）总计</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line="200" w:lineRule="atLeast"/>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Pr>
            <w:r>
              <w:rPr>
                <w:rFonts w:hint="eastAsia" w:ascii="宋体" w:hAnsi="宋体" w:eastAsia="宋体" w:cs="宋体"/>
                <w:sz w:val="20"/>
                <w:szCs w:val="20"/>
              </w:rPr>
              <w:t>四、结转下年度继续办理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 </w:t>
            </w: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bl>
    <w:p>
      <w:pPr>
        <w:pStyle w:val="2"/>
        <w:keepNext w:val="0"/>
        <w:keepLines w:val="0"/>
        <w:widowControl/>
        <w:suppressLineNumbers w:val="0"/>
        <w:shd w:val="clear" w:fill="FFFFFF"/>
        <w:ind w:left="0" w:firstLine="420"/>
        <w:jc w:val="both"/>
      </w:pPr>
      <w:r>
        <w:rPr>
          <w:rFonts w:hint="eastAsia" w:ascii="宋体" w:hAnsi="宋体" w:eastAsia="宋体" w:cs="宋体"/>
          <w:color w:val="333333"/>
          <w:sz w:val="24"/>
          <w:szCs w:val="24"/>
          <w:shd w:val="clear" w:fill="FFFFFF"/>
        </w:rPr>
        <w:t> </w:t>
      </w:r>
    </w:p>
    <w:p>
      <w:pPr>
        <w:pStyle w:val="2"/>
        <w:keepNext w:val="0"/>
        <w:keepLines w:val="0"/>
        <w:widowControl/>
        <w:suppressLineNumbers w:val="0"/>
        <w:shd w:val="clear" w:fill="FFFFFF"/>
        <w:ind w:left="0" w:firstLine="420"/>
        <w:jc w:val="both"/>
      </w:pPr>
      <w:r>
        <w:rPr>
          <w:rFonts w:hint="eastAsia" w:ascii="黑体" w:hAnsi="宋体" w:eastAsia="黑体" w:cs="黑体"/>
          <w:color w:val="333333"/>
          <w:sz w:val="32"/>
          <w:szCs w:val="32"/>
          <w:shd w:val="clear" w:fill="FFFFFF"/>
        </w:rPr>
        <w:t>四、政府信息公开行政复议、行政诉讼情况</w:t>
      </w:r>
    </w:p>
    <w:p>
      <w:pPr>
        <w:pStyle w:val="2"/>
        <w:keepNext w:val="0"/>
        <w:keepLines w:val="0"/>
        <w:widowControl/>
        <w:suppressLineNumbers w:val="0"/>
        <w:shd w:val="clear" w:fill="FFFFFF"/>
        <w:ind w:left="0" w:firstLine="420"/>
        <w:jc w:val="both"/>
      </w:pPr>
      <w:r>
        <w:rPr>
          <w:rFonts w:hint="eastAsia" w:ascii="宋体" w:hAnsi="宋体" w:eastAsia="宋体" w:cs="宋体"/>
          <w:color w:val="333333"/>
          <w:sz w:val="24"/>
          <w:szCs w:val="24"/>
          <w:shd w:val="clear" w:fill="FFFFFF"/>
        </w:rPr>
        <w:t> </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70"/>
        <w:gridCol w:w="570"/>
        <w:gridCol w:w="570"/>
        <w:gridCol w:w="570"/>
        <w:gridCol w:w="604"/>
        <w:gridCol w:w="537"/>
        <w:gridCol w:w="571"/>
        <w:gridCol w:w="571"/>
        <w:gridCol w:w="571"/>
        <w:gridCol w:w="571"/>
        <w:gridCol w:w="571"/>
        <w:gridCol w:w="571"/>
        <w:gridCol w:w="571"/>
        <w:gridCol w:w="571"/>
        <w:gridCol w:w="5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149" w:right="-170"/>
              <w:jc w:val="center"/>
            </w:pPr>
            <w:r>
              <w:rPr>
                <w:rFonts w:hint="eastAsia" w:ascii="宋体" w:hAnsi="宋体" w:eastAsia="宋体" w:cs="宋体"/>
                <w:sz w:val="20"/>
                <w:szCs w:val="20"/>
              </w:rPr>
              <w:t>结果</w:t>
            </w:r>
          </w:p>
          <w:p>
            <w:pPr>
              <w:pStyle w:val="2"/>
              <w:keepNext w:val="0"/>
              <w:keepLines w:val="0"/>
              <w:widowControl/>
              <w:suppressLineNumbers w:val="0"/>
              <w:ind w:left="-149" w:right="-170"/>
              <w:jc w:val="center"/>
            </w:pPr>
            <w:r>
              <w:rPr>
                <w:rFonts w:hint="eastAsia" w:ascii="宋体" w:hAnsi="宋体" w:eastAsia="宋体" w:cs="宋体"/>
                <w:sz w:val="20"/>
                <w:szCs w:val="20"/>
              </w:rPr>
              <w:t>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43" w:right="-132" w:hanging="1"/>
              <w:jc w:val="center"/>
            </w:pPr>
            <w:r>
              <w:rPr>
                <w:rFonts w:hint="eastAsia" w:ascii="宋体" w:hAnsi="宋体" w:eastAsia="宋体" w:cs="宋体"/>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82" w:right="-97"/>
              <w:jc w:val="center"/>
            </w:pPr>
            <w:r>
              <w:rPr>
                <w:rFonts w:hint="eastAsia" w:ascii="宋体" w:hAnsi="宋体" w:eastAsia="宋体" w:cs="宋体"/>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118" w:right="-118"/>
              <w:jc w:val="center"/>
            </w:pPr>
            <w:r>
              <w:rPr>
                <w:rFonts w:hint="eastAsia" w:ascii="宋体" w:hAnsi="宋体" w:eastAsia="宋体" w:cs="宋体"/>
                <w:sz w:val="20"/>
                <w:szCs w:val="20"/>
              </w:rPr>
              <w:t>尚未</w:t>
            </w:r>
          </w:p>
          <w:p>
            <w:pPr>
              <w:pStyle w:val="2"/>
              <w:keepNext w:val="0"/>
              <w:keepLines w:val="0"/>
              <w:widowControl/>
              <w:suppressLineNumbers w:val="0"/>
              <w:ind w:left="-118" w:right="-118"/>
              <w:jc w:val="center"/>
            </w:pPr>
            <w:r>
              <w:rPr>
                <w:rFonts w:hint="eastAsia" w:ascii="宋体" w:hAnsi="宋体" w:eastAsia="宋体" w:cs="宋体"/>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line="320" w:lineRule="atLeast"/>
              <w:jc w:val="center"/>
            </w:pPr>
            <w:r>
              <w:rPr>
                <w:rFonts w:hint="eastAsia" w:ascii="宋体" w:hAnsi="宋体" w:eastAsia="宋体" w:cs="宋体"/>
                <w:sz w:val="20"/>
                <w:szCs w:val="20"/>
              </w:rPr>
              <w:t>总</w:t>
            </w:r>
          </w:p>
          <w:p>
            <w:pPr>
              <w:pStyle w:val="2"/>
              <w:keepNext w:val="0"/>
              <w:keepLines w:val="0"/>
              <w:widowControl/>
              <w:suppressLineNumbers w:val="0"/>
              <w:spacing w:line="320" w:lineRule="atLeast"/>
              <w:jc w:val="center"/>
            </w:pPr>
            <w:r>
              <w:rPr>
                <w:rFonts w:hint="eastAsia" w:ascii="宋体" w:hAnsi="宋体" w:eastAsia="宋体" w:cs="宋体"/>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105" w:right="-126"/>
              <w:jc w:val="center"/>
            </w:pPr>
            <w:r>
              <w:rPr>
                <w:rFonts w:hint="eastAsia" w:ascii="宋体" w:hAnsi="宋体" w:eastAsia="宋体" w:cs="宋体"/>
                <w:sz w:val="20"/>
                <w:szCs w:val="20"/>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86" w:right="-88"/>
              <w:jc w:val="center"/>
            </w:pPr>
            <w:r>
              <w:rPr>
                <w:rFonts w:hint="eastAsia" w:ascii="宋体" w:hAnsi="宋体" w:eastAsia="宋体" w:cs="宋体"/>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126" w:right="-136"/>
              <w:jc w:val="center"/>
            </w:pPr>
            <w:r>
              <w:rPr>
                <w:rFonts w:hint="eastAsia" w:ascii="宋体" w:hAnsi="宋体" w:eastAsia="宋体" w:cs="宋体"/>
                <w:sz w:val="20"/>
                <w:szCs w:val="20"/>
              </w:rPr>
              <w:t>其他</w:t>
            </w:r>
          </w:p>
          <w:p>
            <w:pPr>
              <w:pStyle w:val="2"/>
              <w:keepNext w:val="0"/>
              <w:keepLines w:val="0"/>
              <w:widowControl/>
              <w:suppressLineNumbers w:val="0"/>
              <w:ind w:left="-126" w:right="-136"/>
              <w:jc w:val="center"/>
            </w:pPr>
            <w:r>
              <w:rPr>
                <w:rFonts w:hint="eastAsia" w:ascii="宋体" w:hAnsi="宋体" w:eastAsia="宋体" w:cs="宋体"/>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164" w:right="-153"/>
              <w:jc w:val="center"/>
            </w:pPr>
            <w:r>
              <w:rPr>
                <w:rFonts w:hint="eastAsia" w:ascii="宋体" w:hAnsi="宋体" w:eastAsia="宋体" w:cs="宋体"/>
                <w:sz w:val="20"/>
                <w:szCs w:val="20"/>
              </w:rPr>
              <w:t>尚未</w:t>
            </w:r>
          </w:p>
          <w:p>
            <w:pPr>
              <w:pStyle w:val="2"/>
              <w:keepNext w:val="0"/>
              <w:keepLines w:val="0"/>
              <w:widowControl/>
              <w:suppressLineNumbers w:val="0"/>
              <w:ind w:left="-164" w:right="-153"/>
              <w:jc w:val="center"/>
            </w:pPr>
            <w:r>
              <w:rPr>
                <w:rFonts w:hint="eastAsia" w:ascii="宋体" w:hAnsi="宋体" w:eastAsia="宋体" w:cs="宋体"/>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99" w:right="-78"/>
              <w:jc w:val="center"/>
            </w:pPr>
            <w:r>
              <w:rPr>
                <w:rFonts w:hint="eastAsia" w:ascii="宋体" w:hAnsi="宋体" w:eastAsia="宋体" w:cs="宋体"/>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136" w:right="-124"/>
              <w:jc w:val="center"/>
            </w:pPr>
            <w:r>
              <w:rPr>
                <w:rFonts w:hint="eastAsia" w:ascii="宋体" w:hAnsi="宋体" w:eastAsia="宋体" w:cs="宋体"/>
                <w:sz w:val="20"/>
                <w:szCs w:val="20"/>
              </w:rPr>
              <w:t>结果</w:t>
            </w:r>
          </w:p>
          <w:p>
            <w:pPr>
              <w:pStyle w:val="2"/>
              <w:keepNext w:val="0"/>
              <w:keepLines w:val="0"/>
              <w:widowControl/>
              <w:suppressLineNumbers w:val="0"/>
              <w:ind w:left="-136" w:right="-124"/>
              <w:jc w:val="center"/>
            </w:pPr>
            <w:r>
              <w:rPr>
                <w:rFonts w:hint="eastAsia" w:ascii="宋体" w:hAnsi="宋体" w:eastAsia="宋体" w:cs="宋体"/>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173" w:right="-134" w:hanging="1"/>
              <w:jc w:val="center"/>
            </w:pPr>
            <w:r>
              <w:rPr>
                <w:rFonts w:hint="eastAsia" w:ascii="宋体" w:hAnsi="宋体" w:eastAsia="宋体" w:cs="宋体"/>
                <w:color w:val="000000"/>
                <w:sz w:val="20"/>
                <w:szCs w:val="20"/>
              </w:rPr>
              <w:t>其他</w:t>
            </w:r>
          </w:p>
          <w:p>
            <w:pPr>
              <w:pStyle w:val="2"/>
              <w:keepNext w:val="0"/>
              <w:keepLines w:val="0"/>
              <w:widowControl/>
              <w:suppressLineNumbers w:val="0"/>
              <w:ind w:left="-173" w:right="-134" w:hanging="1"/>
              <w:jc w:val="center"/>
            </w:pPr>
            <w:r>
              <w:rPr>
                <w:rFonts w:hint="eastAsia" w:ascii="宋体" w:hAnsi="宋体" w:eastAsia="宋体" w:cs="宋体"/>
                <w:color w:val="00000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ind w:left="-67" w:right="-105" w:hanging="2"/>
              <w:jc w:val="center"/>
            </w:pPr>
            <w:r>
              <w:rPr>
                <w:rFonts w:hint="eastAsia" w:ascii="宋体" w:hAnsi="宋体" w:eastAsia="宋体" w:cs="宋体"/>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jc w:val="center"/>
            </w:pPr>
            <w:r>
              <w:rPr>
                <w:rFonts w:hint="eastAsia" w:ascii="宋体" w:hAnsi="宋体" w:eastAsia="宋体" w:cs="宋体"/>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 </w:t>
            </w:r>
            <w:r>
              <w:rPr>
                <w:rFonts w:hint="eastAsia" w:ascii="宋体" w:hAnsi="宋体" w:eastAsia="宋体" w:cs="宋体"/>
                <w:color w:val="00000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r>
              <w:rPr>
                <w:rFonts w:hint="default" w:ascii="宋体" w:hAnsi="宋体" w:eastAsia="宋体" w:cs="宋体"/>
                <w:color w:val="000000"/>
                <w:sz w:val="20"/>
                <w:szCs w:val="20"/>
                <w:lang w:val="en-US" w:eastAsia="zh-CN"/>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 </w:t>
            </w:r>
            <w:r>
              <w:rPr>
                <w:rFonts w:hint="eastAsia" w:ascii="宋体" w:hAnsi="宋体" w:eastAsia="宋体" w:cs="宋体"/>
                <w:color w:val="00000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 </w:t>
            </w:r>
            <w:r>
              <w:rPr>
                <w:rFonts w:hint="eastAsia" w:ascii="宋体" w:hAnsi="宋体" w:eastAsia="宋体" w:cs="宋体"/>
                <w:color w:val="000000"/>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 </w:t>
            </w:r>
            <w:r>
              <w:rPr>
                <w:rFonts w:hint="eastAsia" w:ascii="宋体" w:hAnsi="宋体" w:eastAsia="宋体" w:cs="宋体"/>
                <w:color w:val="000000"/>
                <w:sz w:val="20"/>
                <w:szCs w:val="20"/>
                <w:lang w:val="en-US" w:eastAsia="zh-CN"/>
              </w:rPr>
              <w:t>0</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after="180" w:afterAutospacing="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w:t>
            </w:r>
          </w:p>
        </w:tc>
      </w:tr>
    </w:tbl>
    <w:p>
      <w:pPr>
        <w:pStyle w:val="2"/>
        <w:keepNext w:val="0"/>
        <w:keepLines w:val="0"/>
        <w:widowControl/>
        <w:suppressLineNumbers w:val="0"/>
        <w:shd w:val="clear" w:fill="FFFFFF"/>
        <w:jc w:val="both"/>
      </w:pPr>
      <w:r>
        <w:rPr>
          <w:rFonts w:hint="eastAsia" w:ascii="黑体" w:hAnsi="宋体" w:eastAsia="黑体" w:cs="黑体"/>
          <w:color w:val="333333"/>
          <w:sz w:val="32"/>
          <w:szCs w:val="32"/>
          <w:shd w:val="clear" w:fill="FFFFFF"/>
        </w:rPr>
        <w:t>    五、存在的主要问题及改进情况</w:t>
      </w:r>
    </w:p>
    <w:p>
      <w:pPr>
        <w:pStyle w:val="2"/>
        <w:keepNext w:val="0"/>
        <w:keepLines w:val="0"/>
        <w:widowControl/>
        <w:suppressLineNumbers w:val="0"/>
        <w:shd w:val="clear" w:fill="FFFFFF"/>
        <w:jc w:val="both"/>
      </w:pPr>
      <w:r>
        <w:rPr>
          <w:rFonts w:hint="eastAsia" w:ascii="黑体" w:hAnsi="宋体" w:eastAsia="黑体" w:cs="黑体"/>
          <w:color w:val="333333"/>
          <w:sz w:val="32"/>
          <w:szCs w:val="32"/>
          <w:shd w:val="clear" w:fill="FFFFFF"/>
        </w:rPr>
        <w:t>    </w:t>
      </w:r>
      <w:r>
        <w:rPr>
          <w:rFonts w:hint="default" w:ascii="仿宋_GB2312" w:eastAsia="仿宋_GB2312" w:cs="仿宋_GB2312"/>
          <w:sz w:val="32"/>
          <w:szCs w:val="32"/>
          <w:shd w:val="clear" w:fill="FFFFFF"/>
        </w:rPr>
        <w:t>2020年，县金融证券工作服务中心通过积极努力、认真细致、扎实负责的工作，政府信息公开工作有了新的进展。2021年，我们将继续按照各项规定要求，进一步规范信息公开制度，提高信息公开时效，不断加大信息公开力度。一是加强对信息共知识的学习，更好地完成政府信息公开工作任务。二是完善信息公开发布机制，理顺业务科室和发布信息科室的连接，提供更为便捷的查询服务，保证公开信息的完整性和准确性。</w:t>
      </w:r>
    </w:p>
    <w:p>
      <w:pPr>
        <w:pStyle w:val="2"/>
        <w:keepNext w:val="0"/>
        <w:keepLines w:val="0"/>
        <w:widowControl/>
        <w:suppressLineNumbers w:val="0"/>
        <w:shd w:val="clear" w:fill="FFFFFF"/>
        <w:jc w:val="both"/>
      </w:pPr>
      <w:r>
        <w:rPr>
          <w:rFonts w:hint="eastAsia" w:ascii="黑体" w:hAnsi="宋体" w:eastAsia="黑体" w:cs="黑体"/>
          <w:color w:val="333333"/>
          <w:sz w:val="32"/>
          <w:szCs w:val="32"/>
          <w:shd w:val="clear" w:fill="FFFFFF"/>
        </w:rPr>
        <w:t>    六、其他需要报告的事项</w:t>
      </w:r>
    </w:p>
    <w:p>
      <w:pPr>
        <w:pStyle w:val="2"/>
        <w:keepNext w:val="0"/>
        <w:keepLines w:val="0"/>
        <w:widowControl/>
        <w:suppressLineNumbers w:val="0"/>
        <w:shd w:val="clear" w:fill="FFFFFF"/>
        <w:jc w:val="both"/>
      </w:pPr>
      <w:r>
        <w:rPr>
          <w:rFonts w:hint="default" w:ascii="仿宋_GB2312" w:eastAsia="仿宋_GB2312" w:cs="仿宋_GB2312"/>
          <w:sz w:val="32"/>
          <w:szCs w:val="32"/>
          <w:shd w:val="clear" w:fill="FFFFFF"/>
        </w:rPr>
        <w:t>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D5647"/>
    <w:rsid w:val="5ACC4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2021-02-05T09:35:00Z</dcterms:created>
  <dc:creator>Dell</dc:creator>
  <cp:lastModifiedBy>Dell</cp:lastModifiedBy>
  <dcterms:modified xsi:type="dcterms:W3CDTF">2021-02-08T03:14:26Z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