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沂源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经济开发区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20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20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年政府信息公开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Style w:val="7"/>
          <w:rFonts w:ascii="仿宋" w:hAnsi="仿宋" w:eastAsia="仿宋" w:cs="仿宋"/>
          <w:b/>
          <w:bCs w:val="0"/>
          <w:sz w:val="31"/>
          <w:szCs w:val="31"/>
        </w:rPr>
      </w:pPr>
      <w:r>
        <w:rPr>
          <w:rStyle w:val="7"/>
          <w:rFonts w:ascii="仿宋" w:hAnsi="仿宋" w:eastAsia="仿宋" w:cs="仿宋"/>
          <w:b/>
          <w:bCs w:val="0"/>
          <w:sz w:val="31"/>
          <w:szCs w:val="31"/>
        </w:rPr>
        <w:t>    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本报告按照新修订的《中华人民共和国政府信息公开条例》（以下简称《条例》）和《山东省政府信息公开办法》（以下简称《办法》）规定，</w:t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全文由总体情况、主动公开政府信息情况、收到和处理政府信息公开申请情况、因政府信息公开工作被申请行政复议与提起行政诉讼情况、政府信息公开工作存在的主要问题及改进情况、其他需要报告的事项等六个部分组成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报告中所列数据统计期限自20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年1月1日始，至20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年12月31日止。报告电子版可从沂源县人民政府门户网站（www.yiyuan.gov.cn）下载。如对报告内容有疑问，请与沂源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经济开发区管理委员会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联系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。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（地址：沂源县振兴路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东首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；邮编：256100；电话：0533-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3233585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；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邮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箱: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kfq3233585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@zb.shandong.cn）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 xml:space="preserve">    </w:t>
      </w:r>
      <w:r>
        <w:rPr>
          <w:rStyle w:val="7"/>
          <w:rFonts w:hint="eastAsia" w:ascii="黑体" w:hAnsi="黑体" w:eastAsia="黑体" w:cs="黑体"/>
          <w:b/>
          <w:bCs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Style w:val="7"/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    （一）主动公开内容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年度，沂源经济开发区按照《中华人民共和国政府信息公开条例》和《关于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</w:rPr>
        <w:t>印发2020年沂源县政务公开工作考核方案的通知》（源政办字〔2020〕89号）要求，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在开发区体制机制改革的背景下，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结合工作实际，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制定符合我区现状的政务公开制度，专人负责，明确措施，严格执行，不断加大政务公开工作力度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。 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本年度共公开各类信息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64条，其中转发及制定文件6条，部门会议10条，公示公告2条，业务及其他相关信息46条。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（二）依申请公开情况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自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</w:rPr>
        <w:t>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年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</w:rPr>
        <w:t>1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月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</w:rPr>
        <w:t>1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日起至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</w:rPr>
        <w:t>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年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</w:rPr>
        <w:t>12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月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</w:rPr>
        <w:t>31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日止，未接到政府信息公开的申请。  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（三）政府信息管理情况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</w:rPr>
        <w:t>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年，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开发区以体制机制改革为契机，创新管理方式，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加强政务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信息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数据资源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扩容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在信息发布数量和质量上较往年有大幅度的提升，同时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规范和推进政务数据汇聚共享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进一步提升政府公信力和透明度。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（四）机构建设、人员配备和信息维护情况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一是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优化政务公开领导小组。根据领导工作调整，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成立政务公开领导小组，明确了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以班子成员为组长和副组长，以各部门负责同志为成员的领导小组，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党政办公室为政务公开工作负责机构，并配备了政务公开工作专职人员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名，负责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信息采集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、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工作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协调、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信息把关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和政务公开工作，承办信息主动公开工作。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jc w:val="center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drawing>
          <wp:inline distT="0" distB="0" distL="114300" distR="114300">
            <wp:extent cx="4220210" cy="3695700"/>
            <wp:effectExtent l="0" t="0" r="8890" b="0"/>
            <wp:docPr id="2" name="图片 2" descr="微信截图_20210205110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205110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是做好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政务公开信息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维护工作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。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2020年，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因我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市新政务公开平台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建设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开发区派专业技术人员对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数据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进行了备份、迁移和维护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，在县政府的指导下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短时间内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实现了新老平台的平稳过渡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。同时根据2020年疫情情况，增设疫情防控专栏，将制定的疫情防控信息及时公布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jc w:val="center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drawing>
          <wp:inline distT="0" distB="0" distL="114300" distR="114300">
            <wp:extent cx="4352925" cy="3698875"/>
            <wp:effectExtent l="0" t="0" r="9525" b="15875"/>
            <wp:docPr id="3" name="图片 3" descr="微信截图_2021020511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102051107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三是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严格落实网络意识形态责任制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。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加强对网络舆情的监管把控，维护网络政治生态，牢牢掌握意识形态话语权。同时，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加强网站内容建设和信息发布审核，把好政治关、政策关、文字关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营造良好网络环境。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（五）监督保障情况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一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是加强安全防护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。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严格执行法律法规，提高网络安全法等安全防护能力。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是加大考核评估力度。严格按照《关于</w:t>
      </w:r>
      <w:r>
        <w:rPr>
          <w:rStyle w:val="7"/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</w:rPr>
        <w:t>印发2020年沂源县政务公开工作考核方案的通知》（源政办字〔2020〕89号）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要求认真做好每一项工作，确保政务公开评估考核各项工作任务落实到位。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三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是建立健全监督制度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。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加强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督导落实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进一步完善政府信息公开保密审查制度、政府信息公开责任追究制度和依申请政府信息按时公开制度，并抓好各项制度的督查落实。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</w:t>
      </w:r>
      <w:r>
        <w:rPr>
          <w:rStyle w:val="7"/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六</w:t>
      </w:r>
      <w:r>
        <w:rPr>
          <w:rStyle w:val="7"/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）</w:t>
      </w:r>
      <w:r>
        <w:rPr>
          <w:rStyle w:val="7"/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建议提案办理结果公开情</w:t>
      </w:r>
      <w:r>
        <w:rPr>
          <w:rStyle w:val="7"/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200" w:right="0" w:rightChars="0" w:firstLine="321" w:firstLineChars="1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年，收到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政协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提案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1件，按照规定及时进行办理，办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结率100%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13" w:leftChars="0" w:right="0" w:rightChars="0" w:firstLine="321" w:firstLineChars="100"/>
        <w:textAlignment w:val="auto"/>
        <w:rPr>
          <w:rFonts w:asci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宋体" w:eastAsia="黑体" w:cs="黑体"/>
          <w:b/>
          <w:bCs w:val="0"/>
          <w:sz w:val="32"/>
          <w:szCs w:val="32"/>
        </w:rPr>
        <w:t>二、主动公开政府信息情况</w:t>
      </w:r>
    </w:p>
    <w:tbl>
      <w:tblPr>
        <w:tblStyle w:val="5"/>
        <w:tblW w:w="9090" w:type="dxa"/>
        <w:tblInd w:w="-30" w:type="dxa"/>
        <w:shd w:val="clear" w:color="auto" w:fill="E6F4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6"/>
        <w:gridCol w:w="2134"/>
        <w:gridCol w:w="1425"/>
        <w:gridCol w:w="2295"/>
      </w:tblGrid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0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default" w:ascii="Segoe UI" w:hAnsi="Segoe UI" w:eastAsia="Segoe UI" w:cs="Segoe UI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0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90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90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3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default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Segoe UI" w:hAnsi="Segoe UI" w:eastAsia="宋体" w:cs="Segoe UI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996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jc w:val="both"/>
        <w:textAlignment w:val="auto"/>
        <w:rPr>
          <w:rStyle w:val="7"/>
          <w:rFonts w:hint="eastAsia" w:ascii="黑体" w:hAnsi="宋体" w:eastAsia="黑体" w:cs="黑体"/>
          <w:b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黑体" w:hAnsi="宋体" w:eastAsia="黑体" w:cs="黑体"/>
          <w:b/>
          <w:bCs w:val="0"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520" w:tblpY="680"/>
        <w:tblOverlap w:val="never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744"/>
        <w:gridCol w:w="2175"/>
        <w:gridCol w:w="832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3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firstLine="615"/>
        <w:jc w:val="both"/>
        <w:textAlignment w:val="auto"/>
        <w:rPr>
          <w:rStyle w:val="7"/>
          <w:rFonts w:hint="eastAsia" w:ascii="黑体" w:hAnsi="宋体" w:eastAsia="黑体" w:cs="黑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宋体" w:eastAsia="黑体" w:cs="黑体"/>
          <w:b/>
          <w:bCs w:val="0"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090" w:type="dxa"/>
        <w:tblInd w:w="-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6F4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5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0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3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egoe UI" w:hAnsi="Segoe UI" w:eastAsia="Segoe UI" w:cs="Segoe UI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egoe UI" w:hAnsi="Segoe UI" w:eastAsia="Segoe UI" w:cs="Segoe UI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egoe UI" w:hAnsi="Segoe UI" w:eastAsia="Segoe UI" w:cs="Segoe UI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egoe UI" w:hAnsi="Segoe UI" w:eastAsia="Segoe UI" w:cs="Segoe UI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Segoe UI" w:hAnsi="Segoe UI" w:eastAsia="Segoe UI" w:cs="Segoe UI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b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Segoe UI" w:hAnsi="Segoe UI" w:eastAsia="宋体" w:cs="Segoe UI"/>
                <w:b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left"/>
        <w:textAlignment w:val="auto"/>
        <w:rPr>
          <w:rStyle w:val="7"/>
          <w:rFonts w:hint="eastAsia" w:ascii="黑体" w:hAnsi="宋体" w:eastAsia="黑体" w:cs="黑体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b/>
          <w:bCs w:val="0"/>
          <w:shd w:val="clear" w:color="auto" w:fill="FFFFFF"/>
        </w:rPr>
        <w:t>       </w:t>
      </w:r>
      <w:r>
        <w:rPr>
          <w:rStyle w:val="7"/>
          <w:rFonts w:hint="eastAsia" w:ascii="黑体" w:hAnsi="宋体" w:eastAsia="黑体" w:cs="黑体"/>
          <w:b/>
          <w:bCs w:val="0"/>
          <w:color w:val="auto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一是政务信息公开的内容层次不够深,表面事项公开多,深层次问题公开少；公开的内容不全面，事后公开多，事前、事中公开少。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二是政府信息公开创新意识不强，参与度不够，个别信息更新不够及时，公开资料管理不够规范，信息公开制度有待进一步健全完善。在今后的工作中，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开发区将对照问题，认真整改，争取推动政务公开工作上升到新的高度。</w:t>
      </w: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一是进一步完善本单位的政府信息公开制度，完善公开、审查、依申请办理等制度。二是将信息公开纳入到日常的动态工作中，确保信息的及时、准确，促进本单位政府信息公开工作不断完善。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textAlignment w:val="auto"/>
        <w:rPr>
          <w:rStyle w:val="7"/>
          <w:rFonts w:hint="eastAsia" w:ascii="黑体" w:hAnsi="宋体" w:eastAsia="黑体" w:cs="黑体"/>
          <w:b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 w:val="0"/>
          <w:sz w:val="31"/>
          <w:szCs w:val="31"/>
        </w:rPr>
        <w:t> </w:t>
      </w:r>
      <w:r>
        <w:rPr>
          <w:rStyle w:val="7"/>
          <w:rFonts w:hint="eastAsia" w:ascii="仿宋" w:hAnsi="仿宋" w:eastAsia="仿宋" w:cs="仿宋"/>
          <w:b/>
          <w:bCs w:val="0"/>
          <w:sz w:val="31"/>
          <w:szCs w:val="31"/>
          <w:lang w:val="en-US" w:eastAsia="zh-CN"/>
        </w:rPr>
        <w:t xml:space="preserve"> </w:t>
      </w:r>
      <w:r>
        <w:rPr>
          <w:rStyle w:val="7"/>
          <w:rFonts w:hint="eastAsia" w:ascii="仿宋" w:hAnsi="仿宋" w:eastAsia="仿宋" w:cs="仿宋"/>
          <w:b/>
          <w:bCs w:val="0"/>
          <w:sz w:val="31"/>
          <w:szCs w:val="31"/>
        </w:rPr>
        <w:t xml:space="preserve"> </w:t>
      </w:r>
      <w:r>
        <w:rPr>
          <w:rStyle w:val="7"/>
          <w:rFonts w:hint="eastAsia" w:ascii="黑体" w:hAnsi="宋体" w:eastAsia="黑体" w:cs="黑体"/>
          <w:b/>
          <w:bCs w:val="0"/>
          <w:sz w:val="31"/>
          <w:szCs w:val="31"/>
        </w:rPr>
        <w:t xml:space="preserve"> </w:t>
      </w:r>
      <w:r>
        <w:rPr>
          <w:rStyle w:val="7"/>
          <w:rFonts w:hint="eastAsia" w:ascii="黑体" w:hAnsi="宋体" w:eastAsia="黑体" w:cs="黑体"/>
          <w:b/>
          <w:bCs w:val="0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643" w:firstLineChars="200"/>
        <w:textAlignment w:val="auto"/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6224" w:hanging="6425" w:hangingChars="20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</w:rPr>
        <w:t> </w:t>
      </w: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沂源经济开发区管理委员会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5913" w:hanging="6104" w:hangingChars="19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</w:rPr>
        <w:t>                                     202</w:t>
      </w: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</w:rPr>
        <w:t>年</w:t>
      </w: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</w:rPr>
        <w:t>月</w:t>
      </w: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29</w:t>
      </w:r>
      <w:r>
        <w:rPr>
          <w:rStyle w:val="7"/>
          <w:rFonts w:hint="eastAsia" w:ascii="仿宋_GB2312" w:hAnsi="仿宋_GB2312" w:eastAsia="仿宋_GB2312" w:cs="仿宋_GB2312"/>
          <w:b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2023110</wp:posOffset>
              </wp:positionH>
              <wp:positionV relativeFrom="paragraph">
                <wp:posOffset>-200025</wp:posOffset>
              </wp:positionV>
              <wp:extent cx="1654810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810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9.3pt;margin-top:-15.75pt;height:27.25pt;width:130.3pt;mso-position-horizontal-relative:margin;z-index:251658240;mso-width-relative:page;mso-height-relative:page;" filled="f" stroked="f" coordsize="21600,21600" o:gfxdata="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tWNXNoAAAAKAQAADwAAAAAAAAABACAAAAAiAAAAZHJzL2Rv&#10;d25yZXYueG1sUEsBAhQAFAAAAAgAh07iQO6mb8Q4AgAAYg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102F"/>
    <w:rsid w:val="0506102F"/>
    <w:rsid w:val="06DA7F3A"/>
    <w:rsid w:val="0C0055B6"/>
    <w:rsid w:val="0E4A3335"/>
    <w:rsid w:val="0F99618F"/>
    <w:rsid w:val="10E740E6"/>
    <w:rsid w:val="12550A6B"/>
    <w:rsid w:val="16B7095B"/>
    <w:rsid w:val="1C3C557C"/>
    <w:rsid w:val="1EF0082A"/>
    <w:rsid w:val="1F1F6A94"/>
    <w:rsid w:val="21065554"/>
    <w:rsid w:val="223521BD"/>
    <w:rsid w:val="280F23EE"/>
    <w:rsid w:val="2A921B7F"/>
    <w:rsid w:val="2C6E1913"/>
    <w:rsid w:val="3528637D"/>
    <w:rsid w:val="36525AE1"/>
    <w:rsid w:val="3C9C5FE7"/>
    <w:rsid w:val="3E9A7B06"/>
    <w:rsid w:val="42674D55"/>
    <w:rsid w:val="464C0445"/>
    <w:rsid w:val="486C010C"/>
    <w:rsid w:val="4BCE7D47"/>
    <w:rsid w:val="4D3B2C23"/>
    <w:rsid w:val="4E595CE9"/>
    <w:rsid w:val="50E26662"/>
    <w:rsid w:val="5570062B"/>
    <w:rsid w:val="572F722A"/>
    <w:rsid w:val="57864558"/>
    <w:rsid w:val="5D142B5F"/>
    <w:rsid w:val="5E0047CC"/>
    <w:rsid w:val="5F7621AA"/>
    <w:rsid w:val="62D430FC"/>
    <w:rsid w:val="657D39B7"/>
    <w:rsid w:val="66CC4243"/>
    <w:rsid w:val="69C20429"/>
    <w:rsid w:val="6A5F35E7"/>
    <w:rsid w:val="6CAF0059"/>
    <w:rsid w:val="6D3630B9"/>
    <w:rsid w:val="6E5568A7"/>
    <w:rsid w:val="703E5C32"/>
    <w:rsid w:val="72024478"/>
    <w:rsid w:val="736853D2"/>
    <w:rsid w:val="743124CC"/>
    <w:rsid w:val="753A5898"/>
    <w:rsid w:val="775F5482"/>
    <w:rsid w:val="7827595B"/>
    <w:rsid w:val="7A872CE5"/>
    <w:rsid w:val="7B4E56FA"/>
    <w:rsid w:val="7F93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2020-07-07T07:52:00Z</dcterms:created>
  <dc:creator>Darren</dc:creator>
  <cp:lastModifiedBy>Administrator</cp:lastModifiedBy>
  <cp:lastPrinted>2021-01-28T02:37:00Z</cp:lastPrinted>
  <dcterms:modified xsi:type="dcterms:W3CDTF">2021-02-05T05:47:36Z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