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C5C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auto"/>
          <w:spacing w:val="0"/>
          <w:sz w:val="44"/>
          <w:szCs w:val="44"/>
          <w:shd w:val="clear" w:color="auto" w:fill="FFFFFF"/>
          <w:lang w:eastAsia="zh-CN"/>
        </w:rPr>
      </w:pPr>
    </w:p>
    <w:p w14:paraId="0655AE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auto"/>
          <w:spacing w:val="-17"/>
          <w:sz w:val="44"/>
          <w:szCs w:val="44"/>
          <w:shd w:val="clear" w:color="auto" w:fill="FFFFFF"/>
          <w:lang w:val="en-US" w:eastAsia="zh-CN"/>
        </w:rPr>
      </w:pPr>
      <w:r>
        <w:rPr>
          <w:rFonts w:hint="default" w:ascii="Times New Roman" w:hAnsi="Times New Roman" w:eastAsia="方正小标宋简体" w:cs="Times New Roman"/>
          <w:b w:val="0"/>
          <w:bCs/>
          <w:i w:val="0"/>
          <w:caps w:val="0"/>
          <w:color w:val="auto"/>
          <w:spacing w:val="-17"/>
          <w:sz w:val="44"/>
          <w:szCs w:val="44"/>
          <w:shd w:val="clear" w:color="auto" w:fill="FFFFFF"/>
          <w:lang w:val="en-US" w:eastAsia="zh-CN"/>
        </w:rPr>
        <w:t>沂源经济开发区管理委员会</w:t>
      </w:r>
    </w:p>
    <w:p w14:paraId="57A335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auto"/>
          <w:spacing w:val="-17"/>
          <w:sz w:val="44"/>
          <w:szCs w:val="44"/>
          <w:shd w:val="clear" w:color="auto" w:fill="FFFFFF"/>
        </w:rPr>
      </w:pPr>
      <w:r>
        <w:rPr>
          <w:rFonts w:hint="default" w:ascii="Times New Roman" w:hAnsi="Times New Roman" w:eastAsia="方正小标宋简体" w:cs="Times New Roman"/>
          <w:b w:val="0"/>
          <w:bCs/>
          <w:i w:val="0"/>
          <w:caps w:val="0"/>
          <w:color w:val="auto"/>
          <w:spacing w:val="-17"/>
          <w:sz w:val="44"/>
          <w:szCs w:val="44"/>
          <w:shd w:val="clear" w:color="auto" w:fill="FFFFFF"/>
          <w:lang w:val="en-US" w:eastAsia="zh-CN"/>
        </w:rPr>
        <w:t>2024年</w:t>
      </w:r>
      <w:r>
        <w:rPr>
          <w:rFonts w:hint="default" w:ascii="Times New Roman" w:hAnsi="Times New Roman" w:eastAsia="方正小标宋简体" w:cs="Times New Roman"/>
          <w:b w:val="0"/>
          <w:bCs/>
          <w:i w:val="0"/>
          <w:caps w:val="0"/>
          <w:color w:val="auto"/>
          <w:spacing w:val="-17"/>
          <w:sz w:val="44"/>
          <w:szCs w:val="44"/>
          <w:shd w:val="clear" w:color="auto" w:fill="FFFFFF"/>
        </w:rPr>
        <w:t>政府信息公开工作</w:t>
      </w:r>
    </w:p>
    <w:p w14:paraId="030271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auto"/>
          <w:spacing w:val="0"/>
          <w:sz w:val="44"/>
          <w:szCs w:val="44"/>
          <w:shd w:val="clear" w:color="auto" w:fill="FFFFFF"/>
          <w:lang w:val="en-US" w:eastAsia="zh-CN"/>
        </w:rPr>
      </w:pPr>
      <w:r>
        <w:rPr>
          <w:rFonts w:hint="default" w:ascii="Times New Roman" w:hAnsi="Times New Roman" w:eastAsia="方正小标宋简体" w:cs="Times New Roman"/>
          <w:b w:val="0"/>
          <w:bCs/>
          <w:i w:val="0"/>
          <w:caps w:val="0"/>
          <w:color w:val="auto"/>
          <w:spacing w:val="0"/>
          <w:sz w:val="44"/>
          <w:szCs w:val="44"/>
          <w:shd w:val="clear" w:color="auto" w:fill="FFFFFF"/>
        </w:rPr>
        <w:t>年度报告</w:t>
      </w:r>
    </w:p>
    <w:p w14:paraId="592AB9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b w:val="0"/>
          <w:bCs/>
          <w:i w:val="0"/>
          <w:caps w:val="0"/>
          <w:color w:val="auto"/>
          <w:spacing w:val="0"/>
          <w:sz w:val="24"/>
          <w:szCs w:val="24"/>
        </w:rPr>
      </w:pPr>
    </w:p>
    <w:p w14:paraId="6813A7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b w:val="0"/>
          <w:bCs/>
          <w:i w:val="0"/>
          <w:caps w:val="0"/>
          <w:color w:val="auto"/>
          <w:spacing w:val="0"/>
          <w:sz w:val="24"/>
          <w:szCs w:val="24"/>
        </w:rPr>
      </w:pPr>
    </w:p>
    <w:p w14:paraId="7E9233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i w:val="0"/>
          <w:caps w:val="0"/>
          <w:color w:val="auto"/>
          <w:spacing w:val="0"/>
          <w:sz w:val="32"/>
          <w:szCs w:val="32"/>
          <w:lang w:eastAsia="zh-CN"/>
        </w:rPr>
      </w:pPr>
      <w:r>
        <w:rPr>
          <w:rFonts w:hint="default" w:ascii="Times New Roman" w:hAnsi="Times New Roman" w:eastAsia="仿宋_GB2312" w:cs="Times New Roman"/>
          <w:b w:val="0"/>
          <w:bCs/>
          <w:i w:val="0"/>
          <w:caps w:val="0"/>
          <w:color w:val="auto"/>
          <w:spacing w:val="0"/>
          <w:sz w:val="32"/>
          <w:szCs w:val="32"/>
          <w:lang w:eastAsia="zh-CN"/>
        </w:rPr>
        <w:t>本报告依据《中华人民共和国政府信息公开条例》（以下简称《条例》）及省市有关政府信息公开年报编制的要求，结合我</w:t>
      </w:r>
      <w:r>
        <w:rPr>
          <w:rFonts w:hint="eastAsia" w:ascii="Times New Roman" w:hAnsi="Times New Roman" w:eastAsia="仿宋_GB2312" w:cs="Times New Roman"/>
          <w:b w:val="0"/>
          <w:bCs/>
          <w:i w:val="0"/>
          <w:caps w:val="0"/>
          <w:color w:val="auto"/>
          <w:spacing w:val="0"/>
          <w:sz w:val="32"/>
          <w:szCs w:val="32"/>
          <w:lang w:val="en-US" w:eastAsia="zh-CN"/>
        </w:rPr>
        <w:t>单位</w:t>
      </w:r>
      <w:r>
        <w:rPr>
          <w:rFonts w:hint="default" w:ascii="Times New Roman" w:hAnsi="Times New Roman" w:eastAsia="仿宋_GB2312" w:cs="Times New Roman"/>
          <w:b w:val="0"/>
          <w:bCs/>
          <w:i w:val="0"/>
          <w:caps w:val="0"/>
          <w:color w:val="auto"/>
          <w:spacing w:val="0"/>
          <w:sz w:val="32"/>
          <w:szCs w:val="32"/>
          <w:lang w:eastAsia="zh-CN"/>
        </w:rPr>
        <w:t>政府信息公开工作实际，现向社会公开</w:t>
      </w:r>
      <w:r>
        <w:rPr>
          <w:rFonts w:hint="eastAsia" w:ascii="Times New Roman" w:hAnsi="Times New Roman" w:eastAsia="仿宋_GB2312" w:cs="Times New Roman"/>
          <w:b w:val="0"/>
          <w:bCs/>
          <w:i w:val="0"/>
          <w:caps w:val="0"/>
          <w:color w:val="auto"/>
          <w:spacing w:val="0"/>
          <w:sz w:val="32"/>
          <w:szCs w:val="32"/>
          <w:lang w:val="en-US" w:eastAsia="zh-CN"/>
        </w:rPr>
        <w:t>沂源经济开发区管理委员会</w:t>
      </w:r>
      <w:r>
        <w:rPr>
          <w:rFonts w:hint="default" w:ascii="Times New Roman" w:hAnsi="Times New Roman" w:eastAsia="仿宋_GB2312" w:cs="Times New Roman"/>
          <w:b w:val="0"/>
          <w:bCs/>
          <w:i w:val="0"/>
          <w:caps w:val="0"/>
          <w:color w:val="auto"/>
          <w:spacing w:val="0"/>
          <w:sz w:val="32"/>
          <w:szCs w:val="32"/>
          <w:lang w:eastAsia="zh-CN"/>
        </w:rPr>
        <w:t>2024年政府信息公开年度报告。</w:t>
      </w:r>
    </w:p>
    <w:p w14:paraId="6F7FA0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i w:val="0"/>
          <w:caps w:val="0"/>
          <w:color w:val="auto"/>
          <w:spacing w:val="0"/>
          <w:sz w:val="32"/>
          <w:szCs w:val="32"/>
          <w:lang w:val="en-US" w:eastAsia="zh-CN"/>
        </w:rPr>
      </w:pPr>
      <w:r>
        <w:rPr>
          <w:rFonts w:hint="default" w:ascii="Times New Roman" w:hAnsi="Times New Roman" w:eastAsia="仿宋_GB2312" w:cs="Times New Roman"/>
          <w:b w:val="0"/>
          <w:bCs/>
          <w:i w:val="0"/>
          <w:caps w:val="0"/>
          <w:color w:val="auto"/>
          <w:spacing w:val="0"/>
          <w:sz w:val="32"/>
          <w:szCs w:val="32"/>
          <w:lang w:eastAsia="zh-CN"/>
        </w:rPr>
        <w:t>本年度报告中所列数据的统计期限自202</w:t>
      </w:r>
      <w:r>
        <w:rPr>
          <w:rFonts w:hint="default" w:ascii="Times New Roman" w:hAnsi="Times New Roman" w:eastAsia="仿宋_GB2312" w:cs="Times New Roman"/>
          <w:b w:val="0"/>
          <w:bCs/>
          <w:i w:val="0"/>
          <w:caps w:val="0"/>
          <w:color w:val="auto"/>
          <w:spacing w:val="0"/>
          <w:sz w:val="32"/>
          <w:szCs w:val="32"/>
          <w:lang w:val="en-US" w:eastAsia="zh-CN"/>
        </w:rPr>
        <w:t>4</w:t>
      </w:r>
      <w:r>
        <w:rPr>
          <w:rFonts w:hint="default" w:ascii="Times New Roman" w:hAnsi="Times New Roman" w:eastAsia="仿宋_GB2312" w:cs="Times New Roman"/>
          <w:b w:val="0"/>
          <w:bCs/>
          <w:i w:val="0"/>
          <w:caps w:val="0"/>
          <w:color w:val="auto"/>
          <w:spacing w:val="0"/>
          <w:sz w:val="32"/>
          <w:szCs w:val="32"/>
          <w:lang w:eastAsia="zh-CN"/>
        </w:rPr>
        <w:t>年1月1日起，至202</w:t>
      </w:r>
      <w:r>
        <w:rPr>
          <w:rFonts w:hint="default" w:ascii="Times New Roman" w:hAnsi="Times New Roman" w:eastAsia="仿宋_GB2312" w:cs="Times New Roman"/>
          <w:b w:val="0"/>
          <w:bCs/>
          <w:i w:val="0"/>
          <w:caps w:val="0"/>
          <w:color w:val="auto"/>
          <w:spacing w:val="0"/>
          <w:sz w:val="32"/>
          <w:szCs w:val="32"/>
          <w:lang w:val="en-US" w:eastAsia="zh-CN"/>
        </w:rPr>
        <w:t>4</w:t>
      </w:r>
      <w:r>
        <w:rPr>
          <w:rFonts w:hint="default" w:ascii="Times New Roman" w:hAnsi="Times New Roman" w:eastAsia="仿宋_GB2312" w:cs="Times New Roman"/>
          <w:b w:val="0"/>
          <w:bCs/>
          <w:i w:val="0"/>
          <w:caps w:val="0"/>
          <w:color w:val="auto"/>
          <w:spacing w:val="0"/>
          <w:sz w:val="32"/>
          <w:szCs w:val="32"/>
          <w:lang w:eastAsia="zh-CN"/>
        </w:rPr>
        <w:t>年12月31日止。如对报告内容有疑问，</w:t>
      </w:r>
      <w:r>
        <w:rPr>
          <w:rFonts w:hint="default" w:ascii="Times New Roman" w:hAnsi="Times New Roman" w:eastAsia="仿宋_GB2312" w:cs="Times New Roman"/>
          <w:b w:val="0"/>
          <w:bCs/>
          <w:i w:val="0"/>
          <w:caps w:val="0"/>
          <w:color w:val="auto"/>
          <w:spacing w:val="0"/>
          <w:sz w:val="32"/>
          <w:szCs w:val="32"/>
          <w:lang w:val="en-US" w:eastAsia="zh-CN"/>
        </w:rPr>
        <w:t>请与沂源经济开发区管理委员会联系。（地址：沂源县荆山路217号瑞阳科技大厦；邮编：256100；电话：0533-3233585；邮箱:kfq3233585@zb.shandong.cn）</w:t>
      </w:r>
    </w:p>
    <w:p w14:paraId="2440F0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i w:val="0"/>
          <w:caps w:val="0"/>
          <w:color w:val="auto"/>
          <w:spacing w:val="0"/>
          <w:sz w:val="32"/>
          <w:szCs w:val="32"/>
        </w:rPr>
      </w:pPr>
      <w:r>
        <w:rPr>
          <w:rFonts w:hint="default" w:ascii="Times New Roman" w:hAnsi="Times New Roman" w:eastAsia="黑体" w:cs="Times New Roman"/>
          <w:b w:val="0"/>
          <w:bCs/>
          <w:i w:val="0"/>
          <w:caps w:val="0"/>
          <w:color w:val="auto"/>
          <w:spacing w:val="0"/>
          <w:sz w:val="32"/>
          <w:szCs w:val="32"/>
          <w:shd w:val="clear" w:color="auto" w:fill="FFFFFF"/>
        </w:rPr>
        <w:t>一、总体情况</w:t>
      </w:r>
    </w:p>
    <w:p w14:paraId="5AFB66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i w:val="0"/>
          <w:caps w:val="0"/>
          <w:color w:val="auto"/>
          <w:spacing w:val="0"/>
          <w:sz w:val="32"/>
          <w:szCs w:val="32"/>
          <w:lang w:eastAsia="zh-CN"/>
        </w:rPr>
      </w:pPr>
      <w:r>
        <w:rPr>
          <w:rFonts w:hint="default" w:ascii="Times New Roman" w:hAnsi="Times New Roman" w:eastAsia="仿宋_GB2312" w:cs="Times New Roman"/>
          <w:b w:val="0"/>
          <w:bCs/>
          <w:i w:val="0"/>
          <w:caps w:val="0"/>
          <w:color w:val="auto"/>
          <w:spacing w:val="0"/>
          <w:sz w:val="32"/>
          <w:szCs w:val="32"/>
          <w:lang w:eastAsia="zh-CN"/>
        </w:rPr>
        <w:t>2024年</w:t>
      </w:r>
      <w:r>
        <w:rPr>
          <w:rFonts w:hint="eastAsia" w:ascii="Times New Roman" w:hAnsi="Times New Roman" w:eastAsia="仿宋_GB2312" w:cs="Times New Roman"/>
          <w:b w:val="0"/>
          <w:bCs/>
          <w:i w:val="0"/>
          <w:caps w:val="0"/>
          <w:color w:val="auto"/>
          <w:spacing w:val="0"/>
          <w:sz w:val="32"/>
          <w:szCs w:val="32"/>
          <w:lang w:eastAsia="zh-CN"/>
        </w:rPr>
        <w:t>沂源经济开发区管理委员会坚持以习近平新时代中国特色社会主义思想为指导，</w:t>
      </w:r>
      <w:r>
        <w:rPr>
          <w:rFonts w:hint="default" w:ascii="Times New Roman" w:hAnsi="Times New Roman" w:eastAsia="仿宋_GB2312" w:cs="Times New Roman"/>
          <w:b w:val="0"/>
          <w:bCs/>
          <w:i w:val="0"/>
          <w:caps w:val="0"/>
          <w:color w:val="auto"/>
          <w:spacing w:val="0"/>
          <w:sz w:val="32"/>
          <w:szCs w:val="32"/>
          <w:lang w:eastAsia="zh-CN"/>
        </w:rPr>
        <w:t>全面贯彻落实党的二十大精神，坚持围绕中心、服务大局，</w:t>
      </w:r>
      <w:r>
        <w:rPr>
          <w:rFonts w:hint="eastAsia" w:ascii="Times New Roman" w:hAnsi="Times New Roman" w:eastAsia="仿宋_GB2312" w:cs="Times New Roman"/>
          <w:b w:val="0"/>
          <w:bCs/>
          <w:i w:val="0"/>
          <w:caps w:val="0"/>
          <w:color w:val="auto"/>
          <w:spacing w:val="0"/>
          <w:sz w:val="32"/>
          <w:szCs w:val="32"/>
          <w:lang w:val="en-US" w:eastAsia="zh-CN"/>
        </w:rPr>
        <w:t>不断</w:t>
      </w:r>
      <w:r>
        <w:rPr>
          <w:rFonts w:hint="default" w:ascii="Times New Roman" w:hAnsi="Times New Roman" w:eastAsia="仿宋_GB2312" w:cs="Times New Roman"/>
          <w:b w:val="0"/>
          <w:bCs/>
          <w:i w:val="0"/>
          <w:caps w:val="0"/>
          <w:color w:val="auto"/>
          <w:spacing w:val="0"/>
          <w:sz w:val="32"/>
          <w:szCs w:val="32"/>
          <w:lang w:eastAsia="zh-CN"/>
        </w:rPr>
        <w:t>提升政务公开标准化、规范化和信息化水平，</w:t>
      </w:r>
      <w:r>
        <w:rPr>
          <w:rFonts w:hint="eastAsia" w:ascii="Times New Roman" w:hAnsi="Times New Roman" w:eastAsia="仿宋_GB2312" w:cs="Times New Roman"/>
          <w:b w:val="0"/>
          <w:bCs/>
          <w:i w:val="0"/>
          <w:caps w:val="0"/>
          <w:color w:val="auto"/>
          <w:spacing w:val="0"/>
          <w:sz w:val="32"/>
          <w:szCs w:val="32"/>
          <w:lang w:eastAsia="zh-CN"/>
        </w:rPr>
        <w:t>坚持以人民为中心，</w:t>
      </w:r>
      <w:r>
        <w:rPr>
          <w:rFonts w:hint="default" w:ascii="Times New Roman" w:hAnsi="Times New Roman" w:eastAsia="仿宋_GB2312" w:cs="Times New Roman"/>
          <w:b w:val="0"/>
          <w:bCs/>
          <w:i w:val="0"/>
          <w:caps w:val="0"/>
          <w:color w:val="auto"/>
          <w:spacing w:val="0"/>
          <w:sz w:val="32"/>
          <w:szCs w:val="32"/>
          <w:lang w:eastAsia="zh-CN"/>
        </w:rPr>
        <w:t>及时公布相关信息，保障群众的知情权、参与权和监督权。</w:t>
      </w:r>
    </w:p>
    <w:p w14:paraId="1C35C5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Style w:val="8"/>
          <w:rFonts w:hint="default" w:ascii="Times New Roman" w:hAnsi="Times New Roman" w:eastAsia="仿宋_GB2312" w:cs="Times New Roman"/>
          <w:b w:val="0"/>
          <w:bCs/>
          <w:i w:val="0"/>
          <w:iCs w:val="0"/>
          <w:caps w:val="0"/>
          <w:color w:val="auto"/>
          <w:spacing w:val="0"/>
          <w:sz w:val="32"/>
          <w:szCs w:val="32"/>
          <w:shd w:val="clear" w:fill="FFFFFF"/>
        </w:rPr>
      </w:pPr>
      <w:r>
        <w:rPr>
          <w:rFonts w:hint="default" w:ascii="Times New Roman" w:hAnsi="Times New Roman" w:eastAsia="楷体_GB2312" w:cs="Times New Roman"/>
          <w:b w:val="0"/>
          <w:bCs/>
          <w:color w:val="auto"/>
          <w:kern w:val="2"/>
          <w:sz w:val="32"/>
          <w:szCs w:val="32"/>
          <w:lang w:val="en-US" w:eastAsia="zh-CN" w:bidi="ar-SA"/>
        </w:rPr>
        <w:t>1.主动公开方面。</w:t>
      </w:r>
      <w:r>
        <w:rPr>
          <w:rFonts w:hint="default" w:ascii="Times New Roman" w:hAnsi="Times New Roman" w:eastAsia="仿宋_GB2312" w:cs="Times New Roman"/>
          <w:b w:val="0"/>
          <w:bCs/>
          <w:i w:val="0"/>
          <w:caps w:val="0"/>
          <w:color w:val="auto"/>
          <w:spacing w:val="0"/>
          <w:sz w:val="32"/>
          <w:szCs w:val="32"/>
          <w:lang w:eastAsia="zh-CN"/>
        </w:rPr>
        <w:t>高度重视信息公开工作</w:t>
      </w:r>
      <w:r>
        <w:rPr>
          <w:rFonts w:hint="eastAsia" w:ascii="Times New Roman" w:hAnsi="Times New Roman" w:eastAsia="仿宋_GB2312" w:cs="Times New Roman"/>
          <w:b w:val="0"/>
          <w:bCs/>
          <w:i w:val="0"/>
          <w:caps w:val="0"/>
          <w:color w:val="auto"/>
          <w:spacing w:val="0"/>
          <w:sz w:val="32"/>
          <w:szCs w:val="32"/>
          <w:lang w:eastAsia="zh-CN"/>
        </w:rPr>
        <w:t>，</w:t>
      </w:r>
      <w:r>
        <w:rPr>
          <w:rFonts w:hint="default" w:ascii="Times New Roman" w:hAnsi="Times New Roman" w:eastAsia="仿宋_GB2312" w:cs="Times New Roman"/>
          <w:b w:val="0"/>
          <w:bCs/>
          <w:i w:val="0"/>
          <w:caps w:val="0"/>
          <w:color w:val="auto"/>
          <w:spacing w:val="0"/>
          <w:sz w:val="32"/>
          <w:szCs w:val="32"/>
          <w:lang w:eastAsia="zh-CN"/>
        </w:rPr>
        <w:t>坚持以制度规范政务公开，认真落实《沂源县2024年政务公开工作方案》，紧紧围绕工作重点，做好工作部署，努力提高信息公开工作的质量和水平。2024年累计公开政府信息</w:t>
      </w:r>
      <w:r>
        <w:rPr>
          <w:rFonts w:hint="eastAsia" w:ascii="Times New Roman" w:hAnsi="Times New Roman" w:eastAsia="仿宋_GB2312" w:cs="Times New Roman"/>
          <w:b w:val="0"/>
          <w:bCs/>
          <w:i w:val="0"/>
          <w:caps w:val="0"/>
          <w:color w:val="auto"/>
          <w:spacing w:val="0"/>
          <w:sz w:val="32"/>
          <w:szCs w:val="32"/>
          <w:lang w:val="en-US" w:eastAsia="zh-CN"/>
        </w:rPr>
        <w:t>6</w:t>
      </w:r>
      <w:r>
        <w:rPr>
          <w:rFonts w:hint="default" w:ascii="Times New Roman" w:hAnsi="Times New Roman" w:eastAsia="仿宋_GB2312" w:cs="Times New Roman"/>
          <w:b w:val="0"/>
          <w:bCs/>
          <w:i w:val="0"/>
          <w:caps w:val="0"/>
          <w:color w:val="auto"/>
          <w:spacing w:val="0"/>
          <w:sz w:val="32"/>
          <w:szCs w:val="32"/>
          <w:lang w:eastAsia="zh-CN"/>
        </w:rPr>
        <w:t>条，</w:t>
      </w:r>
      <w:r>
        <w:rPr>
          <w:rStyle w:val="8"/>
          <w:rFonts w:hint="default" w:ascii="Times New Roman" w:hAnsi="Times New Roman" w:eastAsia="仿宋_GB2312" w:cs="Times New Roman"/>
          <w:b w:val="0"/>
          <w:bCs/>
          <w:i w:val="0"/>
          <w:iCs w:val="0"/>
          <w:caps w:val="0"/>
          <w:color w:val="auto"/>
          <w:spacing w:val="0"/>
          <w:sz w:val="32"/>
          <w:szCs w:val="32"/>
          <w:shd w:val="clear" w:fill="FFFFFF"/>
        </w:rPr>
        <w:t>其中，公示公告</w:t>
      </w:r>
      <w:r>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Style w:val="8"/>
          <w:rFonts w:hint="default" w:ascii="Times New Roman" w:hAnsi="Times New Roman" w:eastAsia="仿宋_GB2312" w:cs="Times New Roman"/>
          <w:b w:val="0"/>
          <w:bCs/>
          <w:i w:val="0"/>
          <w:iCs w:val="0"/>
          <w:caps w:val="0"/>
          <w:color w:val="auto"/>
          <w:spacing w:val="0"/>
          <w:sz w:val="32"/>
          <w:szCs w:val="32"/>
          <w:shd w:val="clear" w:fill="FFFFFF"/>
        </w:rPr>
        <w:t>条，政务公开类及其他相关信息</w:t>
      </w:r>
      <w:r>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Style w:val="8"/>
          <w:rFonts w:hint="default" w:ascii="Times New Roman" w:hAnsi="Times New Roman" w:eastAsia="仿宋_GB2312" w:cs="Times New Roman"/>
          <w:b w:val="0"/>
          <w:bCs/>
          <w:i w:val="0"/>
          <w:iCs w:val="0"/>
          <w:caps w:val="0"/>
          <w:color w:val="auto"/>
          <w:spacing w:val="0"/>
          <w:sz w:val="32"/>
          <w:szCs w:val="32"/>
          <w:shd w:val="clear" w:fill="FFFFFF"/>
        </w:rPr>
        <w:t>条。</w:t>
      </w:r>
    </w:p>
    <w:p w14:paraId="4378E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default" w:ascii="Times New Roman" w:hAnsi="Times New Roman" w:eastAsia="仿宋_GB2312" w:cs="Times New Roman"/>
          <w:b w:val="0"/>
          <w:bCs/>
          <w:i w:val="0"/>
          <w:iCs w:val="0"/>
          <w:caps w:val="0"/>
          <w:color w:val="auto"/>
          <w:spacing w:val="0"/>
          <w:sz w:val="32"/>
          <w:szCs w:val="32"/>
          <w:highlight w:val="none"/>
          <w:shd w:val="clear" w:fill="FFFFFF"/>
          <w:lang w:val="en-US" w:eastAsia="zh-CN"/>
        </w:rPr>
      </w:pPr>
      <w:r>
        <w:rPr>
          <w:rFonts w:hint="default" w:ascii="Times New Roman" w:hAnsi="Times New Roman" w:eastAsia="楷体_GB2312" w:cs="Times New Roman"/>
          <w:b w:val="0"/>
          <w:bCs/>
          <w:color w:val="auto"/>
          <w:kern w:val="2"/>
          <w:sz w:val="32"/>
          <w:szCs w:val="32"/>
          <w:lang w:val="en-US" w:eastAsia="zh-CN" w:bidi="ar-SA"/>
        </w:rPr>
        <w:t>2.依申请公开工作方面。</w:t>
      </w:r>
      <w:r>
        <w:rPr>
          <w:rFonts w:hint="default" w:ascii="Times New Roman" w:hAnsi="Times New Roman" w:eastAsia="仿宋_GB2312" w:cs="Times New Roman"/>
          <w:b w:val="0"/>
          <w:bCs/>
          <w:i w:val="0"/>
          <w:caps w:val="0"/>
          <w:color w:val="auto"/>
          <w:spacing w:val="0"/>
          <w:sz w:val="32"/>
          <w:szCs w:val="32"/>
          <w:lang w:eastAsia="zh-CN"/>
        </w:rPr>
        <w:t>全力做好依申请公开工作，采取</w:t>
      </w:r>
      <w:r>
        <w:rPr>
          <w:rFonts w:hint="eastAsia" w:ascii="Times New Roman" w:hAnsi="Times New Roman" w:eastAsia="仿宋_GB2312" w:cs="Times New Roman"/>
          <w:b w:val="0"/>
          <w:bCs/>
          <w:i w:val="0"/>
          <w:caps w:val="0"/>
          <w:color w:val="auto"/>
          <w:spacing w:val="0"/>
          <w:sz w:val="32"/>
          <w:szCs w:val="32"/>
          <w:lang w:val="en-US" w:eastAsia="zh-CN"/>
        </w:rPr>
        <w:t>当面申请、电话传真、书信、</w:t>
      </w:r>
      <w:r>
        <w:rPr>
          <w:rFonts w:hint="default" w:ascii="Times New Roman" w:hAnsi="Times New Roman" w:eastAsia="仿宋_GB2312" w:cs="Times New Roman"/>
          <w:b w:val="0"/>
          <w:bCs/>
          <w:i w:val="0"/>
          <w:caps w:val="0"/>
          <w:color w:val="auto"/>
          <w:spacing w:val="0"/>
          <w:sz w:val="32"/>
          <w:szCs w:val="32"/>
          <w:lang w:eastAsia="zh-CN"/>
        </w:rPr>
        <w:t>互联网等</w:t>
      </w:r>
      <w:r>
        <w:rPr>
          <w:rFonts w:hint="eastAsia" w:ascii="Times New Roman" w:hAnsi="Times New Roman" w:eastAsia="仿宋_GB2312" w:cs="Times New Roman"/>
          <w:b w:val="0"/>
          <w:bCs/>
          <w:i w:val="0"/>
          <w:caps w:val="0"/>
          <w:color w:val="auto"/>
          <w:spacing w:val="0"/>
          <w:sz w:val="32"/>
          <w:szCs w:val="32"/>
          <w:lang w:val="en-US" w:eastAsia="zh-CN"/>
        </w:rPr>
        <w:t>多种</w:t>
      </w:r>
      <w:r>
        <w:rPr>
          <w:rFonts w:hint="default" w:ascii="Times New Roman" w:hAnsi="Times New Roman" w:eastAsia="仿宋_GB2312" w:cs="Times New Roman"/>
          <w:b w:val="0"/>
          <w:bCs/>
          <w:i w:val="0"/>
          <w:caps w:val="0"/>
          <w:color w:val="auto"/>
          <w:spacing w:val="0"/>
          <w:sz w:val="32"/>
          <w:szCs w:val="32"/>
          <w:lang w:eastAsia="zh-CN"/>
        </w:rPr>
        <w:t>方式，</w:t>
      </w:r>
      <w:r>
        <w:rPr>
          <w:rFonts w:hint="eastAsia" w:ascii="Times New Roman" w:hAnsi="Times New Roman" w:eastAsia="仿宋_GB2312" w:cs="Times New Roman"/>
          <w:b w:val="0"/>
          <w:bCs/>
          <w:i w:val="0"/>
          <w:caps w:val="0"/>
          <w:color w:val="auto"/>
          <w:spacing w:val="0"/>
          <w:sz w:val="32"/>
          <w:szCs w:val="32"/>
          <w:lang w:val="en-US" w:eastAsia="zh-CN"/>
        </w:rPr>
        <w:t>方便群众申请。</w:t>
      </w:r>
      <w:r>
        <w:rPr>
          <w:rStyle w:val="8"/>
          <w:rFonts w:hint="default" w:ascii="Times New Roman" w:hAnsi="Times New Roman" w:eastAsia="仿宋_GB2312" w:cs="Times New Roman"/>
          <w:b w:val="0"/>
          <w:bCs/>
          <w:i w:val="0"/>
          <w:iCs w:val="0"/>
          <w:caps w:val="0"/>
          <w:color w:val="auto"/>
          <w:spacing w:val="0"/>
          <w:sz w:val="32"/>
          <w:szCs w:val="32"/>
          <w:highlight w:val="none"/>
          <w:shd w:val="clear" w:fill="FFFFFF"/>
        </w:rPr>
        <w:t>自</w:t>
      </w:r>
      <w:r>
        <w:rPr>
          <w:rStyle w:val="8"/>
          <w:rFonts w:hint="eastAsia" w:ascii="Times New Roman" w:hAnsi="Times New Roman" w:eastAsia="仿宋_GB2312" w:cs="Times New Roman"/>
          <w:b w:val="0"/>
          <w:bCs/>
          <w:i w:val="0"/>
          <w:iCs w:val="0"/>
          <w:caps w:val="0"/>
          <w:color w:val="auto"/>
          <w:spacing w:val="0"/>
          <w:sz w:val="32"/>
          <w:szCs w:val="32"/>
          <w:highlight w:val="none"/>
          <w:shd w:val="clear" w:fill="FFFFFF"/>
          <w:lang w:eastAsia="zh-CN"/>
        </w:rPr>
        <w:t>2024</w:t>
      </w:r>
      <w:r>
        <w:rPr>
          <w:rStyle w:val="8"/>
          <w:rFonts w:hint="default" w:ascii="Times New Roman" w:hAnsi="Times New Roman" w:eastAsia="仿宋_GB2312" w:cs="Times New Roman"/>
          <w:b w:val="0"/>
          <w:bCs/>
          <w:i w:val="0"/>
          <w:iCs w:val="0"/>
          <w:caps w:val="0"/>
          <w:color w:val="auto"/>
          <w:spacing w:val="0"/>
          <w:sz w:val="32"/>
          <w:szCs w:val="32"/>
          <w:highlight w:val="none"/>
          <w:shd w:val="clear" w:fill="FFFFFF"/>
        </w:rPr>
        <w:t>年1月1日起至</w:t>
      </w:r>
      <w:r>
        <w:rPr>
          <w:rStyle w:val="8"/>
          <w:rFonts w:hint="eastAsia" w:ascii="Times New Roman" w:hAnsi="Times New Roman" w:eastAsia="仿宋_GB2312" w:cs="Times New Roman"/>
          <w:b w:val="0"/>
          <w:bCs/>
          <w:i w:val="0"/>
          <w:iCs w:val="0"/>
          <w:caps w:val="0"/>
          <w:color w:val="auto"/>
          <w:spacing w:val="0"/>
          <w:sz w:val="32"/>
          <w:szCs w:val="32"/>
          <w:highlight w:val="none"/>
          <w:shd w:val="clear" w:fill="FFFFFF"/>
          <w:lang w:eastAsia="zh-CN"/>
        </w:rPr>
        <w:t>2024</w:t>
      </w:r>
      <w:r>
        <w:rPr>
          <w:rStyle w:val="8"/>
          <w:rFonts w:hint="default" w:ascii="Times New Roman" w:hAnsi="Times New Roman" w:eastAsia="仿宋_GB2312" w:cs="Times New Roman"/>
          <w:b w:val="0"/>
          <w:bCs/>
          <w:i w:val="0"/>
          <w:iCs w:val="0"/>
          <w:caps w:val="0"/>
          <w:color w:val="auto"/>
          <w:spacing w:val="0"/>
          <w:sz w:val="32"/>
          <w:szCs w:val="32"/>
          <w:highlight w:val="none"/>
          <w:shd w:val="clear" w:fill="FFFFFF"/>
        </w:rPr>
        <w:t>年12月31日止，</w:t>
      </w:r>
      <w:r>
        <w:rPr>
          <w:rStyle w:val="8"/>
          <w:rFonts w:hint="default" w:ascii="Times New Roman" w:hAnsi="Times New Roman" w:eastAsia="仿宋_GB2312" w:cs="Times New Roman"/>
          <w:b w:val="0"/>
          <w:bCs/>
          <w:i w:val="0"/>
          <w:iCs w:val="0"/>
          <w:caps w:val="0"/>
          <w:color w:val="auto"/>
          <w:spacing w:val="0"/>
          <w:sz w:val="32"/>
          <w:szCs w:val="32"/>
          <w:highlight w:val="none"/>
          <w:shd w:val="clear" w:fill="FFFFFF"/>
          <w:lang w:eastAsia="zh-CN"/>
        </w:rPr>
        <w:t>共</w:t>
      </w:r>
      <w:r>
        <w:rPr>
          <w:rStyle w:val="8"/>
          <w:rFonts w:hint="default" w:ascii="Times New Roman" w:hAnsi="Times New Roman" w:eastAsia="仿宋_GB2312" w:cs="Times New Roman"/>
          <w:b w:val="0"/>
          <w:bCs/>
          <w:i w:val="0"/>
          <w:iCs w:val="0"/>
          <w:caps w:val="0"/>
          <w:color w:val="auto"/>
          <w:spacing w:val="0"/>
          <w:sz w:val="32"/>
          <w:szCs w:val="32"/>
          <w:highlight w:val="none"/>
          <w:shd w:val="clear" w:fill="FFFFFF"/>
        </w:rPr>
        <w:t>接到</w:t>
      </w:r>
      <w:r>
        <w:rPr>
          <w:rStyle w:val="8"/>
          <w:rFonts w:hint="default" w:ascii="Times New Roman" w:hAnsi="Times New Roman" w:eastAsia="仿宋_GB2312" w:cs="Times New Roman"/>
          <w:b w:val="0"/>
          <w:bCs/>
          <w:i w:val="0"/>
          <w:iCs w:val="0"/>
          <w:caps w:val="0"/>
          <w:color w:val="auto"/>
          <w:spacing w:val="0"/>
          <w:sz w:val="32"/>
          <w:szCs w:val="32"/>
          <w:highlight w:val="none"/>
          <w:shd w:val="clear" w:fill="FFFFFF"/>
          <w:lang w:eastAsia="zh-CN"/>
        </w:rPr>
        <w:t>各种</w:t>
      </w:r>
      <w:r>
        <w:rPr>
          <w:rStyle w:val="8"/>
          <w:rFonts w:hint="default" w:ascii="Times New Roman" w:hAnsi="Times New Roman" w:eastAsia="仿宋_GB2312" w:cs="Times New Roman"/>
          <w:b w:val="0"/>
          <w:bCs/>
          <w:i w:val="0"/>
          <w:iCs w:val="0"/>
          <w:caps w:val="0"/>
          <w:color w:val="auto"/>
          <w:spacing w:val="0"/>
          <w:sz w:val="32"/>
          <w:szCs w:val="32"/>
          <w:highlight w:val="none"/>
          <w:shd w:val="clear" w:fill="FFFFFF"/>
        </w:rPr>
        <w:t>形式的依申请公开政府信息的申请</w:t>
      </w:r>
      <w:r>
        <w:rPr>
          <w:rStyle w:val="8"/>
          <w:rFonts w:hint="eastAsia" w:ascii="Times New Roman" w:hAnsi="Times New Roman" w:eastAsia="仿宋_GB2312" w:cs="Times New Roman"/>
          <w:b w:val="0"/>
          <w:bCs/>
          <w:i w:val="0"/>
          <w:iCs w:val="0"/>
          <w:caps w:val="0"/>
          <w:color w:val="auto"/>
          <w:spacing w:val="0"/>
          <w:sz w:val="32"/>
          <w:szCs w:val="32"/>
          <w:highlight w:val="none"/>
          <w:shd w:val="clear" w:fill="FFFFFF"/>
          <w:lang w:val="en-US" w:eastAsia="zh-CN"/>
        </w:rPr>
        <w:t>0</w:t>
      </w:r>
      <w:r>
        <w:rPr>
          <w:rStyle w:val="8"/>
          <w:rFonts w:hint="default" w:ascii="Times New Roman" w:hAnsi="Times New Roman" w:eastAsia="仿宋_GB2312" w:cs="Times New Roman"/>
          <w:b w:val="0"/>
          <w:bCs/>
          <w:i w:val="0"/>
          <w:iCs w:val="0"/>
          <w:caps w:val="0"/>
          <w:color w:val="auto"/>
          <w:spacing w:val="0"/>
          <w:sz w:val="32"/>
          <w:szCs w:val="32"/>
          <w:highlight w:val="none"/>
          <w:shd w:val="clear" w:fill="FFFFFF"/>
          <w:lang w:val="en-US" w:eastAsia="zh-CN"/>
        </w:rPr>
        <w:t>件，行政复议0件，行政诉讼0件</w:t>
      </w:r>
      <w:r>
        <w:rPr>
          <w:rStyle w:val="8"/>
          <w:rFonts w:hint="eastAsia" w:ascii="Times New Roman" w:hAnsi="Times New Roman" w:eastAsia="仿宋_GB2312" w:cs="Times New Roman"/>
          <w:b w:val="0"/>
          <w:bCs/>
          <w:i w:val="0"/>
          <w:iCs w:val="0"/>
          <w:caps w:val="0"/>
          <w:color w:val="auto"/>
          <w:spacing w:val="0"/>
          <w:sz w:val="32"/>
          <w:szCs w:val="32"/>
          <w:highlight w:val="none"/>
          <w:shd w:val="clear" w:fill="FFFFFF"/>
          <w:lang w:val="en-US" w:eastAsia="zh-CN"/>
        </w:rPr>
        <w:t>，与去年相比减少1件。</w:t>
      </w:r>
      <w:bookmarkStart w:id="10" w:name="_GoBack"/>
      <w:bookmarkEnd w:id="10"/>
    </w:p>
    <w:p w14:paraId="4094C1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i w:val="0"/>
          <w:caps w:val="0"/>
          <w:color w:val="auto"/>
          <w:spacing w:val="0"/>
          <w:sz w:val="32"/>
          <w:szCs w:val="32"/>
          <w:lang w:eastAsia="zh-CN"/>
        </w:rPr>
      </w:pPr>
      <w:r>
        <w:rPr>
          <w:rFonts w:hint="default" w:ascii="Times New Roman" w:hAnsi="Times New Roman" w:eastAsia="楷体_GB2312" w:cs="Times New Roman"/>
          <w:b w:val="0"/>
          <w:bCs/>
          <w:color w:val="auto"/>
          <w:kern w:val="2"/>
          <w:sz w:val="32"/>
          <w:szCs w:val="32"/>
          <w:lang w:val="en-US" w:eastAsia="zh-CN" w:bidi="ar-SA"/>
        </w:rPr>
        <w:t>3.政府信息管理方面。</w:t>
      </w:r>
      <w:r>
        <w:rPr>
          <w:rStyle w:val="8"/>
          <w:rFonts w:hint="default" w:ascii="Times New Roman" w:hAnsi="Times New Roman" w:eastAsia="仿宋_GB2312" w:cs="Times New Roman"/>
          <w:b w:val="0"/>
          <w:bCs/>
          <w:i w:val="0"/>
          <w:iCs w:val="0"/>
          <w:caps w:val="0"/>
          <w:color w:val="auto"/>
          <w:spacing w:val="0"/>
          <w:sz w:val="32"/>
          <w:szCs w:val="32"/>
          <w:shd w:val="clear" w:fill="FFFFFF"/>
        </w:rPr>
        <w:t>强化政府信息管理</w:t>
      </w:r>
      <w:r>
        <w:rPr>
          <w:rStyle w:val="8"/>
          <w:rFonts w:hint="eastAsia" w:ascii="Times New Roman" w:hAnsi="Times New Roman" w:eastAsia="仿宋_GB2312" w:cs="Times New Roman"/>
          <w:b w:val="0"/>
          <w:bCs/>
          <w:i w:val="0"/>
          <w:iCs w:val="0"/>
          <w:caps w:val="0"/>
          <w:color w:val="auto"/>
          <w:spacing w:val="0"/>
          <w:sz w:val="32"/>
          <w:szCs w:val="32"/>
          <w:shd w:val="clear" w:fill="FFFFFF"/>
          <w:lang w:eastAsia="zh-CN"/>
        </w:rPr>
        <w:t>，实行信息发布事前审查、事中监测和事后督查相结合，督促各部门按照各自分工，细化具体内容信息，全面落实公文类政府信息公开属性源头认定机制和政策性文件与解读材料同步起草、同步审签工作制度，实现对政府信息的全生命周期管理。</w:t>
      </w:r>
    </w:p>
    <w:p w14:paraId="7E82FB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i w:val="0"/>
          <w:caps w:val="0"/>
          <w:color w:val="auto"/>
          <w:spacing w:val="0"/>
          <w:sz w:val="32"/>
          <w:szCs w:val="32"/>
          <w:lang w:eastAsia="zh-CN"/>
        </w:rPr>
      </w:pPr>
      <w:r>
        <w:rPr>
          <w:rFonts w:hint="default" w:ascii="Times New Roman" w:hAnsi="Times New Roman" w:eastAsia="楷体_GB2312" w:cs="Times New Roman"/>
          <w:b w:val="0"/>
          <w:bCs/>
          <w:color w:val="auto"/>
          <w:kern w:val="2"/>
          <w:sz w:val="32"/>
          <w:szCs w:val="32"/>
          <w:lang w:val="en-US" w:eastAsia="zh-CN" w:bidi="ar-SA"/>
        </w:rPr>
        <w:t>4.平台建设方面。</w:t>
      </w:r>
      <w:r>
        <w:rPr>
          <w:rFonts w:hint="default" w:ascii="Times New Roman" w:hAnsi="Times New Roman" w:eastAsia="仿宋_GB2312" w:cs="Times New Roman"/>
          <w:b w:val="0"/>
          <w:bCs/>
          <w:i w:val="0"/>
          <w:caps w:val="0"/>
          <w:color w:val="auto"/>
          <w:spacing w:val="0"/>
          <w:sz w:val="32"/>
          <w:szCs w:val="32"/>
          <w:lang w:eastAsia="zh-CN"/>
        </w:rPr>
        <w:t>开展政务新媒体“瘦身提质”工作，年内关停政务新媒体账号1个。</w:t>
      </w:r>
      <w:r>
        <w:rPr>
          <w:rFonts w:hint="eastAsia" w:ascii="Times New Roman" w:hAnsi="Times New Roman" w:eastAsia="仿宋_GB2312" w:cs="Times New Roman"/>
          <w:b w:val="0"/>
          <w:bCs/>
          <w:i w:val="0"/>
          <w:caps w:val="0"/>
          <w:color w:val="auto"/>
          <w:spacing w:val="0"/>
          <w:sz w:val="32"/>
          <w:szCs w:val="32"/>
          <w:lang w:val="en-US" w:eastAsia="zh-CN"/>
        </w:rPr>
        <w:t>在开发区企业服务中心设立</w:t>
      </w:r>
      <w:r>
        <w:rPr>
          <w:rFonts w:hint="default" w:ascii="Times New Roman" w:hAnsi="Times New Roman" w:eastAsia="仿宋_GB2312" w:cs="Times New Roman"/>
          <w:b w:val="0"/>
          <w:bCs/>
          <w:i w:val="0"/>
          <w:caps w:val="0"/>
          <w:color w:val="auto"/>
          <w:spacing w:val="0"/>
          <w:sz w:val="32"/>
          <w:szCs w:val="32"/>
          <w:lang w:eastAsia="zh-CN"/>
        </w:rPr>
        <w:t>政务公开专区，增加帮办代办服务，提升群众政务公开体验。</w:t>
      </w:r>
    </w:p>
    <w:p w14:paraId="0655D3AE">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i w:val="0"/>
          <w:caps w:val="0"/>
          <w:color w:val="auto"/>
          <w:spacing w:val="0"/>
          <w:sz w:val="32"/>
          <w:szCs w:val="32"/>
          <w:lang w:eastAsia="zh-CN"/>
        </w:rPr>
      </w:pPr>
      <w:r>
        <w:rPr>
          <w:rFonts w:hint="default" w:ascii="Times New Roman" w:hAnsi="Times New Roman" w:eastAsia="楷体_GB2312" w:cs="Times New Roman"/>
          <w:b w:val="0"/>
          <w:bCs/>
          <w:color w:val="auto"/>
          <w:kern w:val="2"/>
          <w:sz w:val="32"/>
          <w:szCs w:val="32"/>
          <w:lang w:val="en-US" w:eastAsia="zh-CN" w:bidi="ar-SA"/>
        </w:rPr>
        <w:t>5.监督保障方面。</w:t>
      </w:r>
      <w:r>
        <w:rPr>
          <w:rFonts w:hint="default" w:ascii="Times New Roman" w:hAnsi="Times New Roman" w:eastAsia="仿宋_GB2312" w:cs="Times New Roman"/>
          <w:b w:val="0"/>
          <w:bCs/>
          <w:i w:val="0"/>
          <w:caps w:val="0"/>
          <w:color w:val="auto"/>
          <w:spacing w:val="0"/>
          <w:sz w:val="32"/>
          <w:szCs w:val="32"/>
          <w:lang w:eastAsia="zh-CN"/>
        </w:rPr>
        <w:t>健全常态化公开机制，</w:t>
      </w:r>
      <w:r>
        <w:rPr>
          <w:rFonts w:hint="eastAsia" w:ascii="仿宋_GB2312" w:hAnsi="仿宋_GB2312" w:eastAsia="仿宋_GB2312" w:cs="仿宋_GB2312"/>
          <w:b w:val="0"/>
          <w:bCs/>
          <w:color w:val="auto"/>
          <w:spacing w:val="-1"/>
          <w:sz w:val="32"/>
          <w:szCs w:val="32"/>
        </w:rPr>
        <w:t>根据工作要求，实时调整政府信息公开工作领导小组，明确了分管领导并及时公开了相关信息。</w:t>
      </w:r>
      <w:r>
        <w:rPr>
          <w:rFonts w:hint="default" w:ascii="Times New Roman" w:hAnsi="Times New Roman" w:eastAsia="仿宋_GB2312" w:cs="Times New Roman"/>
          <w:b w:val="0"/>
          <w:bCs/>
          <w:i w:val="0"/>
          <w:caps w:val="0"/>
          <w:color w:val="auto"/>
          <w:spacing w:val="0"/>
          <w:sz w:val="32"/>
          <w:szCs w:val="32"/>
          <w:lang w:eastAsia="zh-CN"/>
        </w:rPr>
        <w:t>党政办牵头负责政务公开工作</w:t>
      </w:r>
      <w:r>
        <w:rPr>
          <w:rFonts w:hint="eastAsia" w:ascii="Times New Roman" w:hAnsi="Times New Roman" w:eastAsia="仿宋_GB2312" w:cs="Times New Roman"/>
          <w:b w:val="0"/>
          <w:bCs/>
          <w:i w:val="0"/>
          <w:caps w:val="0"/>
          <w:color w:val="auto"/>
          <w:spacing w:val="0"/>
          <w:sz w:val="32"/>
          <w:szCs w:val="32"/>
          <w:lang w:val="en-US" w:eastAsia="zh-CN"/>
        </w:rPr>
        <w:t>并指定专人负责</w:t>
      </w:r>
      <w:r>
        <w:rPr>
          <w:rFonts w:hint="default" w:ascii="Times New Roman" w:hAnsi="Times New Roman" w:eastAsia="仿宋_GB2312" w:cs="Times New Roman"/>
          <w:b w:val="0"/>
          <w:bCs/>
          <w:i w:val="0"/>
          <w:caps w:val="0"/>
          <w:color w:val="auto"/>
          <w:spacing w:val="0"/>
          <w:sz w:val="32"/>
          <w:szCs w:val="32"/>
          <w:lang w:eastAsia="zh-CN"/>
        </w:rPr>
        <w:t>，加大培训力度，</w:t>
      </w:r>
      <w:r>
        <w:rPr>
          <w:rFonts w:hint="eastAsia" w:ascii="Times New Roman" w:hAnsi="Times New Roman" w:eastAsia="仿宋_GB2312" w:cs="Times New Roman"/>
          <w:b w:val="0"/>
          <w:bCs/>
          <w:i w:val="0"/>
          <w:caps w:val="0"/>
          <w:color w:val="auto"/>
          <w:spacing w:val="0"/>
          <w:sz w:val="32"/>
          <w:szCs w:val="32"/>
          <w:lang w:val="en-US" w:eastAsia="zh-CN"/>
        </w:rPr>
        <w:t>年度内</w:t>
      </w:r>
      <w:r>
        <w:rPr>
          <w:rFonts w:hint="default" w:ascii="Times New Roman" w:hAnsi="Times New Roman" w:eastAsia="仿宋_GB2312" w:cs="Times New Roman"/>
          <w:b w:val="0"/>
          <w:bCs/>
          <w:i w:val="0"/>
          <w:caps w:val="0"/>
          <w:color w:val="auto"/>
          <w:spacing w:val="0"/>
          <w:sz w:val="32"/>
          <w:szCs w:val="32"/>
          <w:lang w:eastAsia="zh-CN"/>
        </w:rPr>
        <w:t>开展培训2次。</w:t>
      </w:r>
    </w:p>
    <w:p w14:paraId="07DC4B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right="0" w:firstLine="420"/>
        <w:jc w:val="left"/>
        <w:textAlignment w:val="auto"/>
        <w:rPr>
          <w:rFonts w:hint="default" w:ascii="Times New Roman" w:hAnsi="Times New Roman" w:eastAsia="黑体" w:cs="Times New Roman"/>
          <w:b w:val="0"/>
          <w:bCs/>
          <w:i w:val="0"/>
          <w:caps w:val="0"/>
          <w:color w:val="auto"/>
          <w:spacing w:val="0"/>
          <w:sz w:val="32"/>
          <w:szCs w:val="32"/>
        </w:rPr>
      </w:pPr>
      <w:r>
        <w:rPr>
          <w:rFonts w:hint="default" w:ascii="Times New Roman" w:hAnsi="Times New Roman" w:eastAsia="黑体" w:cs="Times New Roman"/>
          <w:b w:val="0"/>
          <w:bCs/>
          <w:i w:val="0"/>
          <w:caps w:val="0"/>
          <w:color w:val="auto"/>
          <w:spacing w:val="0"/>
          <w:sz w:val="32"/>
          <w:szCs w:val="32"/>
          <w:shd w:val="clear" w:color="auto" w:fill="FFFFFF"/>
        </w:rPr>
        <w:t>二、主动公开政府信息情况</w:t>
      </w:r>
    </w:p>
    <w:tbl>
      <w:tblPr>
        <w:tblStyle w:val="6"/>
        <w:tblW w:w="8824" w:type="dxa"/>
        <w:jc w:val="center"/>
        <w:tblLayout w:type="fixed"/>
        <w:tblCellMar>
          <w:top w:w="0" w:type="dxa"/>
          <w:left w:w="108" w:type="dxa"/>
          <w:bottom w:w="0" w:type="dxa"/>
          <w:right w:w="108" w:type="dxa"/>
        </w:tblCellMar>
      </w:tblPr>
      <w:tblGrid>
        <w:gridCol w:w="2206"/>
        <w:gridCol w:w="2206"/>
        <w:gridCol w:w="2206"/>
        <w:gridCol w:w="2206"/>
      </w:tblGrid>
      <w:tr w14:paraId="4A7AE8E2">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D589809">
            <w:pPr>
              <w:widowControl/>
              <w:jc w:val="center"/>
              <w:rPr>
                <w:rFonts w:hint="default" w:ascii="Times New Roman" w:hAnsi="Times New Roman" w:eastAsia="黑体" w:cs="Times New Roman"/>
                <w:b w:val="0"/>
                <w:bCs/>
                <w:color w:val="auto"/>
                <w:kern w:val="0"/>
                <w:szCs w:val="21"/>
              </w:rPr>
            </w:pPr>
            <w:r>
              <w:rPr>
                <w:rFonts w:hint="default" w:ascii="Times New Roman" w:hAnsi="Times New Roman" w:eastAsia="黑体" w:cs="Times New Roman"/>
                <w:b w:val="0"/>
                <w:bCs/>
                <w:color w:val="auto"/>
                <w:kern w:val="0"/>
                <w:szCs w:val="21"/>
              </w:rPr>
              <w:t>第二十条第（一）项</w:t>
            </w:r>
          </w:p>
        </w:tc>
      </w:tr>
      <w:tr w14:paraId="04B6E172">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510AB849">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信息内容</w:t>
            </w:r>
          </w:p>
        </w:tc>
        <w:tc>
          <w:tcPr>
            <w:tcW w:w="2206" w:type="dxa"/>
            <w:tcBorders>
              <w:top w:val="nil"/>
              <w:left w:val="nil"/>
              <w:bottom w:val="single" w:color="auto" w:sz="8" w:space="0"/>
              <w:right w:val="single" w:color="auto" w:sz="8" w:space="0"/>
            </w:tcBorders>
            <w:noWrap w:val="0"/>
            <w:vAlign w:val="center"/>
          </w:tcPr>
          <w:p w14:paraId="5EFD8403">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7BE9CA3D">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479B2C4B">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现行有效件数</w:t>
            </w:r>
          </w:p>
        </w:tc>
      </w:tr>
      <w:tr w14:paraId="03A34EB7">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6260F26D">
            <w:pPr>
              <w:widowControl/>
              <w:jc w:val="lef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规章</w:t>
            </w:r>
          </w:p>
        </w:tc>
        <w:tc>
          <w:tcPr>
            <w:tcW w:w="2206" w:type="dxa"/>
            <w:tcBorders>
              <w:top w:val="nil"/>
              <w:left w:val="nil"/>
              <w:bottom w:val="single" w:color="auto" w:sz="8" w:space="0"/>
              <w:right w:val="single" w:color="auto" w:sz="8" w:space="0"/>
            </w:tcBorders>
            <w:noWrap w:val="0"/>
            <w:vAlign w:val="center"/>
          </w:tcPr>
          <w:p w14:paraId="54C2ABCD">
            <w:pPr>
              <w:widowControl/>
              <w:jc w:val="center"/>
              <w:rPr>
                <w:rFonts w:hint="default" w:ascii="Times New Roman" w:hAnsi="Times New Roman" w:eastAsia="仿宋_GB2312" w:cs="Times New Roman"/>
                <w:b w:val="0"/>
                <w:bCs/>
                <w:color w:val="auto"/>
                <w:kern w:val="0"/>
                <w:szCs w:val="21"/>
                <w:lang w:eastAsia="zh-CN"/>
              </w:rPr>
            </w:pPr>
            <w:r>
              <w:rPr>
                <w:rFonts w:hint="default" w:ascii="Times New Roman" w:hAnsi="Times New Roman" w:eastAsia="仿宋_GB2312" w:cs="Times New Roman"/>
                <w:b w:val="0"/>
                <w:bCs/>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637E3B35">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7181F4E3">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lang w:val="en-US" w:eastAsia="zh-CN"/>
              </w:rPr>
              <w:t>0</w:t>
            </w:r>
          </w:p>
        </w:tc>
      </w:tr>
      <w:tr w14:paraId="42695F53">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374B98AE">
            <w:pPr>
              <w:widowControl/>
              <w:jc w:val="lef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27E878A5">
            <w:pPr>
              <w:widowControl/>
              <w:jc w:val="center"/>
              <w:rPr>
                <w:rFonts w:hint="default" w:ascii="Times New Roman" w:hAnsi="Times New Roman" w:eastAsia="仿宋_GB2312" w:cs="Times New Roman"/>
                <w:b w:val="0"/>
                <w:bCs/>
                <w:color w:val="auto"/>
                <w:kern w:val="0"/>
                <w:szCs w:val="21"/>
                <w:lang w:eastAsia="zh-CN"/>
              </w:rPr>
            </w:pPr>
            <w:r>
              <w:rPr>
                <w:rFonts w:hint="default" w:ascii="Times New Roman" w:hAnsi="Times New Roman" w:eastAsia="仿宋_GB2312" w:cs="Times New Roman"/>
                <w:b w:val="0"/>
                <w:bCs/>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5FF382C9">
            <w:pPr>
              <w:widowControl/>
              <w:jc w:val="center"/>
              <w:rPr>
                <w:rFonts w:hint="default" w:ascii="Times New Roman" w:hAnsi="Times New Roman" w:eastAsia="仿宋_GB2312" w:cs="Times New Roman"/>
                <w:b w:val="0"/>
                <w:bCs/>
                <w:color w:val="auto"/>
                <w:kern w:val="0"/>
                <w:szCs w:val="21"/>
                <w:lang w:val="en-US" w:eastAsia="zh-CN"/>
              </w:rPr>
            </w:pPr>
            <w:r>
              <w:rPr>
                <w:rFonts w:hint="default" w:ascii="Times New Roman" w:hAnsi="Times New Roman" w:eastAsia="仿宋_GB2312" w:cs="Times New Roman"/>
                <w:b w:val="0"/>
                <w:bCs/>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6AAB3EB3">
            <w:pPr>
              <w:widowControl/>
              <w:jc w:val="center"/>
              <w:rPr>
                <w:rFonts w:hint="default" w:ascii="Times New Roman" w:hAnsi="Times New Roman" w:eastAsia="仿宋_GB2312" w:cs="Times New Roman"/>
                <w:b w:val="0"/>
                <w:bCs/>
                <w:color w:val="auto"/>
                <w:kern w:val="0"/>
                <w:szCs w:val="21"/>
                <w:lang w:eastAsia="zh-CN"/>
              </w:rPr>
            </w:pPr>
            <w:r>
              <w:rPr>
                <w:rFonts w:hint="default" w:ascii="Times New Roman" w:hAnsi="Times New Roman" w:eastAsia="仿宋_GB2312" w:cs="Times New Roman"/>
                <w:b w:val="0"/>
                <w:bCs/>
                <w:color w:val="auto"/>
                <w:kern w:val="0"/>
                <w:szCs w:val="21"/>
                <w:lang w:val="en-US" w:eastAsia="zh-CN"/>
              </w:rPr>
              <w:t>0</w:t>
            </w:r>
          </w:p>
        </w:tc>
      </w:tr>
      <w:tr w14:paraId="12CAB6F9">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418AC05">
            <w:pPr>
              <w:widowControl/>
              <w:jc w:val="center"/>
              <w:rPr>
                <w:rFonts w:hint="default" w:ascii="Times New Roman" w:hAnsi="Times New Roman" w:eastAsia="黑体" w:cs="Times New Roman"/>
                <w:b w:val="0"/>
                <w:bCs/>
                <w:color w:val="auto"/>
                <w:kern w:val="0"/>
                <w:szCs w:val="21"/>
              </w:rPr>
            </w:pPr>
            <w:r>
              <w:rPr>
                <w:rFonts w:hint="default" w:ascii="Times New Roman" w:hAnsi="Times New Roman" w:eastAsia="黑体" w:cs="Times New Roman"/>
                <w:b w:val="0"/>
                <w:bCs/>
                <w:color w:val="auto"/>
                <w:kern w:val="0"/>
                <w:szCs w:val="21"/>
              </w:rPr>
              <w:t>第二十条第（五）项</w:t>
            </w:r>
          </w:p>
        </w:tc>
      </w:tr>
      <w:tr w14:paraId="76FB9DC6">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0484827">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742BA936">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本年处理决定数量</w:t>
            </w:r>
          </w:p>
        </w:tc>
      </w:tr>
      <w:tr w14:paraId="49DE641D">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127F128">
            <w:pPr>
              <w:widowControl/>
              <w:jc w:val="lef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7A1F3C1A">
            <w:pPr>
              <w:widowControl/>
              <w:jc w:val="center"/>
              <w:rPr>
                <w:rFonts w:hint="default" w:ascii="Times New Roman" w:hAnsi="Times New Roman" w:eastAsia="仿宋_GB2312" w:cs="Times New Roman"/>
                <w:b w:val="0"/>
                <w:bCs/>
                <w:color w:val="auto"/>
                <w:kern w:val="0"/>
                <w:szCs w:val="21"/>
                <w:lang w:val="en-US" w:eastAsia="zh-CN"/>
              </w:rPr>
            </w:pPr>
            <w:r>
              <w:rPr>
                <w:rFonts w:hint="default" w:ascii="Times New Roman" w:hAnsi="Times New Roman" w:eastAsia="仿宋_GB2312" w:cs="Times New Roman"/>
                <w:b w:val="0"/>
                <w:bCs/>
                <w:color w:val="auto"/>
                <w:kern w:val="0"/>
                <w:szCs w:val="21"/>
                <w:lang w:val="en-US" w:eastAsia="zh-CN"/>
              </w:rPr>
              <w:t>0</w:t>
            </w:r>
          </w:p>
        </w:tc>
      </w:tr>
      <w:tr w14:paraId="58884FFD">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8B1C6F1">
            <w:pPr>
              <w:widowControl/>
              <w:jc w:val="center"/>
              <w:rPr>
                <w:rFonts w:hint="default" w:ascii="Times New Roman" w:hAnsi="Times New Roman" w:eastAsia="黑体" w:cs="Times New Roman"/>
                <w:b w:val="0"/>
                <w:bCs/>
                <w:color w:val="auto"/>
                <w:kern w:val="0"/>
                <w:szCs w:val="21"/>
              </w:rPr>
            </w:pPr>
            <w:r>
              <w:rPr>
                <w:rFonts w:hint="default" w:ascii="Times New Roman" w:hAnsi="Times New Roman" w:eastAsia="黑体" w:cs="Times New Roman"/>
                <w:b w:val="0"/>
                <w:bCs/>
                <w:color w:val="auto"/>
                <w:kern w:val="0"/>
                <w:szCs w:val="21"/>
              </w:rPr>
              <w:t>第二十条第（六）项</w:t>
            </w:r>
          </w:p>
        </w:tc>
      </w:tr>
      <w:tr w14:paraId="290221E6">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5FE776EB">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AEC6B0F">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本年处理决定数量</w:t>
            </w:r>
          </w:p>
        </w:tc>
      </w:tr>
      <w:tr w14:paraId="0FF8E47C">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1D22AAB9">
            <w:pPr>
              <w:widowControl/>
              <w:jc w:val="lef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39B698E6">
            <w:pPr>
              <w:widowControl/>
              <w:jc w:val="center"/>
              <w:rPr>
                <w:rFonts w:hint="default" w:ascii="Times New Roman" w:hAnsi="Times New Roman" w:eastAsia="仿宋_GB2312" w:cs="Times New Roman"/>
                <w:b w:val="0"/>
                <w:bCs/>
                <w:color w:val="auto"/>
                <w:kern w:val="0"/>
                <w:szCs w:val="21"/>
                <w:lang w:eastAsia="zh-CN"/>
              </w:rPr>
            </w:pPr>
            <w:r>
              <w:rPr>
                <w:rFonts w:hint="default" w:ascii="Times New Roman" w:hAnsi="Times New Roman" w:eastAsia="仿宋_GB2312" w:cs="Times New Roman"/>
                <w:b w:val="0"/>
                <w:bCs/>
                <w:color w:val="auto"/>
                <w:kern w:val="0"/>
                <w:szCs w:val="21"/>
                <w:lang w:val="en-US" w:eastAsia="zh-CN"/>
              </w:rPr>
              <w:t>0</w:t>
            </w:r>
          </w:p>
        </w:tc>
      </w:tr>
      <w:tr w14:paraId="55861553">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7C6C96D0">
            <w:pPr>
              <w:widowControl/>
              <w:jc w:val="lef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41000F23">
            <w:pPr>
              <w:widowControl/>
              <w:jc w:val="center"/>
              <w:rPr>
                <w:rFonts w:hint="default" w:ascii="Times New Roman" w:hAnsi="Times New Roman" w:eastAsia="仿宋_GB2312" w:cs="Times New Roman"/>
                <w:b w:val="0"/>
                <w:bCs/>
                <w:color w:val="auto"/>
                <w:kern w:val="0"/>
                <w:szCs w:val="21"/>
                <w:lang w:eastAsia="zh-CN"/>
              </w:rPr>
            </w:pPr>
            <w:r>
              <w:rPr>
                <w:rFonts w:hint="default" w:ascii="Times New Roman" w:hAnsi="Times New Roman" w:eastAsia="仿宋_GB2312" w:cs="Times New Roman"/>
                <w:b w:val="0"/>
                <w:bCs/>
                <w:color w:val="auto"/>
                <w:kern w:val="0"/>
                <w:szCs w:val="21"/>
                <w:lang w:val="en-US" w:eastAsia="zh-CN"/>
              </w:rPr>
              <w:t>0</w:t>
            </w:r>
          </w:p>
        </w:tc>
      </w:tr>
      <w:tr w14:paraId="6CEE4BC3">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0F6FF5F">
            <w:pPr>
              <w:widowControl/>
              <w:jc w:val="center"/>
              <w:rPr>
                <w:rFonts w:hint="default" w:ascii="Times New Roman" w:hAnsi="Times New Roman" w:eastAsia="黑体" w:cs="Times New Roman"/>
                <w:b w:val="0"/>
                <w:bCs/>
                <w:color w:val="auto"/>
                <w:kern w:val="0"/>
                <w:szCs w:val="21"/>
              </w:rPr>
            </w:pPr>
            <w:r>
              <w:rPr>
                <w:rFonts w:hint="default" w:ascii="Times New Roman" w:hAnsi="Times New Roman" w:eastAsia="黑体" w:cs="Times New Roman"/>
                <w:b w:val="0"/>
                <w:bCs/>
                <w:color w:val="auto"/>
                <w:kern w:val="0"/>
                <w:szCs w:val="21"/>
              </w:rPr>
              <w:t>第二十条第（八）项</w:t>
            </w:r>
          </w:p>
        </w:tc>
      </w:tr>
      <w:tr w14:paraId="4987AE8F">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7057BB4">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0CEAE9AB">
            <w:pPr>
              <w:widowControl/>
              <w:jc w:val="center"/>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本年收费金额（单位：万元）</w:t>
            </w:r>
          </w:p>
        </w:tc>
      </w:tr>
      <w:tr w14:paraId="20CB77A1">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76663155">
            <w:pPr>
              <w:widowControl/>
              <w:jc w:val="lef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6580A408">
            <w:pPr>
              <w:widowControl/>
              <w:jc w:val="center"/>
              <w:rPr>
                <w:rFonts w:hint="default" w:ascii="Times New Roman" w:hAnsi="Times New Roman" w:eastAsia="仿宋_GB2312" w:cs="Times New Roman"/>
                <w:b w:val="0"/>
                <w:bCs/>
                <w:color w:val="auto"/>
                <w:kern w:val="0"/>
                <w:szCs w:val="21"/>
                <w:lang w:eastAsia="zh-CN"/>
              </w:rPr>
            </w:pPr>
            <w:r>
              <w:rPr>
                <w:rFonts w:hint="default" w:ascii="Times New Roman" w:hAnsi="Times New Roman" w:eastAsia="仿宋_GB2312" w:cs="Times New Roman"/>
                <w:b w:val="0"/>
                <w:bCs/>
                <w:color w:val="auto"/>
                <w:kern w:val="0"/>
                <w:szCs w:val="21"/>
                <w:lang w:val="en-US" w:eastAsia="zh-CN"/>
              </w:rPr>
              <w:t>0</w:t>
            </w:r>
          </w:p>
        </w:tc>
      </w:tr>
    </w:tbl>
    <w:p w14:paraId="2CE144CA">
      <w:pP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7694F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05A18D78">
            <w:pPr>
              <w:widowControl/>
              <w:jc w:val="center"/>
              <w:rPr>
                <w:rFonts w:hint="default" w:ascii="Times New Roman" w:hAnsi="Times New Roman" w:eastAsia="楷体_GB2312" w:cs="Times New Roman"/>
                <w:b w:val="0"/>
                <w:bCs/>
                <w:color w:val="auto"/>
                <w:kern w:val="0"/>
                <w:szCs w:val="21"/>
              </w:rPr>
            </w:pPr>
            <w:r>
              <w:rPr>
                <w:rFonts w:hint="default" w:ascii="Times New Roman" w:hAnsi="Times New Roman" w:eastAsia="楷体_GB2312" w:cs="Times New Roman"/>
                <w:b w:val="0"/>
                <w:bCs/>
                <w:color w:val="auto"/>
                <w:kern w:val="0"/>
                <w:szCs w:val="21"/>
              </w:rPr>
              <w:t>（本列数据的勾稽关系为：第一项加第二项之和，</w:t>
            </w:r>
          </w:p>
          <w:p w14:paraId="4A006EBA">
            <w:pPr>
              <w:widowControl/>
              <w:jc w:val="center"/>
              <w:rPr>
                <w:rFonts w:hint="default" w:ascii="Times New Roman" w:hAnsi="Times New Roman" w:eastAsia="仿宋_GB2312" w:cs="Times New Roman"/>
                <w:b w:val="0"/>
                <w:bCs/>
                <w:color w:val="auto"/>
                <w:szCs w:val="21"/>
              </w:rPr>
            </w:pPr>
            <w:r>
              <w:rPr>
                <w:rFonts w:hint="default" w:ascii="Times New Roman" w:hAnsi="Times New Roman" w:eastAsia="楷体_GB2312" w:cs="Times New Roman"/>
                <w:b w:val="0"/>
                <w:bCs/>
                <w:color w:val="auto"/>
                <w:kern w:val="0"/>
                <w:szCs w:val="21"/>
              </w:rPr>
              <w:t>等于第三项加第四项之和）</w:t>
            </w:r>
          </w:p>
        </w:tc>
        <w:tc>
          <w:tcPr>
            <w:tcW w:w="4448" w:type="dxa"/>
            <w:gridSpan w:val="10"/>
            <w:noWrap w:val="0"/>
            <w:tcMar>
              <w:left w:w="108" w:type="dxa"/>
              <w:right w:w="108" w:type="dxa"/>
            </w:tcMar>
            <w:vAlign w:val="center"/>
          </w:tcPr>
          <w:p w14:paraId="24D5B8C4">
            <w:pPr>
              <w:widowControl/>
              <w:spacing w:line="320" w:lineRule="exact"/>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申请人情况</w:t>
            </w:r>
          </w:p>
        </w:tc>
      </w:tr>
      <w:tr w14:paraId="1AAB8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20A82DD7">
            <w:pPr>
              <w:jc w:val="center"/>
              <w:rPr>
                <w:rFonts w:hint="default" w:ascii="Times New Roman" w:hAnsi="Times New Roman" w:eastAsia="仿宋_GB2312" w:cs="Times New Roman"/>
                <w:b w:val="0"/>
                <w:bCs/>
                <w:color w:val="auto"/>
                <w:szCs w:val="21"/>
              </w:rPr>
            </w:pPr>
          </w:p>
        </w:tc>
        <w:tc>
          <w:tcPr>
            <w:tcW w:w="747" w:type="dxa"/>
            <w:vMerge w:val="restart"/>
            <w:noWrap w:val="0"/>
            <w:tcMar>
              <w:left w:w="108" w:type="dxa"/>
              <w:right w:w="108" w:type="dxa"/>
            </w:tcMar>
            <w:vAlign w:val="center"/>
          </w:tcPr>
          <w:p w14:paraId="44E5FB46">
            <w:pPr>
              <w:widowControl/>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自然人</w:t>
            </w:r>
          </w:p>
        </w:tc>
        <w:tc>
          <w:tcPr>
            <w:tcW w:w="3000" w:type="dxa"/>
            <w:gridSpan w:val="7"/>
            <w:noWrap w:val="0"/>
            <w:tcMar>
              <w:left w:w="108" w:type="dxa"/>
              <w:right w:w="108" w:type="dxa"/>
            </w:tcMar>
            <w:vAlign w:val="center"/>
          </w:tcPr>
          <w:p w14:paraId="4A5F13B4">
            <w:pPr>
              <w:widowControl/>
              <w:spacing w:line="320" w:lineRule="exact"/>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法人或其他组织</w:t>
            </w:r>
          </w:p>
        </w:tc>
        <w:tc>
          <w:tcPr>
            <w:tcW w:w="701" w:type="dxa"/>
            <w:gridSpan w:val="2"/>
            <w:vMerge w:val="restart"/>
            <w:noWrap w:val="0"/>
            <w:tcMar>
              <w:left w:w="108" w:type="dxa"/>
              <w:right w:w="108" w:type="dxa"/>
            </w:tcMar>
            <w:vAlign w:val="center"/>
          </w:tcPr>
          <w:p w14:paraId="4B1785EA">
            <w:pPr>
              <w:widowControl/>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总计</w:t>
            </w:r>
          </w:p>
        </w:tc>
      </w:tr>
      <w:tr w14:paraId="36596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181FCF5E">
            <w:pPr>
              <w:jc w:val="center"/>
              <w:rPr>
                <w:rFonts w:hint="default" w:ascii="Times New Roman" w:hAnsi="Times New Roman" w:eastAsia="仿宋_GB2312" w:cs="Times New Roman"/>
                <w:b w:val="0"/>
                <w:bCs/>
                <w:color w:val="auto"/>
                <w:szCs w:val="21"/>
              </w:rPr>
            </w:pPr>
          </w:p>
        </w:tc>
        <w:tc>
          <w:tcPr>
            <w:tcW w:w="747" w:type="dxa"/>
            <w:vMerge w:val="continue"/>
            <w:noWrap w:val="0"/>
            <w:tcMar>
              <w:left w:w="108" w:type="dxa"/>
              <w:right w:w="108" w:type="dxa"/>
            </w:tcMar>
            <w:vAlign w:val="center"/>
          </w:tcPr>
          <w:p w14:paraId="4D332BCD">
            <w:pPr>
              <w:jc w:val="center"/>
              <w:rPr>
                <w:rFonts w:hint="default" w:ascii="Times New Roman" w:hAnsi="Times New Roman" w:eastAsia="黑体" w:cs="Times New Roman"/>
                <w:b w:val="0"/>
                <w:bCs/>
                <w:color w:val="auto"/>
                <w:szCs w:val="21"/>
              </w:rPr>
            </w:pPr>
          </w:p>
        </w:tc>
        <w:tc>
          <w:tcPr>
            <w:tcW w:w="540" w:type="dxa"/>
            <w:gridSpan w:val="2"/>
            <w:noWrap w:val="0"/>
            <w:tcMar>
              <w:left w:w="108" w:type="dxa"/>
              <w:right w:w="108" w:type="dxa"/>
            </w:tcMar>
            <w:vAlign w:val="center"/>
          </w:tcPr>
          <w:p w14:paraId="6A18C767">
            <w:pPr>
              <w:widowControl/>
              <w:spacing w:line="320" w:lineRule="exact"/>
              <w:ind w:left="-106" w:leftChars="-51" w:right="-107" w:rightChars="-51" w:hanging="1"/>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商业企业</w:t>
            </w:r>
          </w:p>
        </w:tc>
        <w:tc>
          <w:tcPr>
            <w:tcW w:w="540" w:type="dxa"/>
            <w:gridSpan w:val="2"/>
            <w:noWrap w:val="0"/>
            <w:tcMar>
              <w:left w:w="108" w:type="dxa"/>
              <w:right w:w="108" w:type="dxa"/>
            </w:tcMar>
            <w:vAlign w:val="center"/>
          </w:tcPr>
          <w:p w14:paraId="6761F1C9">
            <w:pPr>
              <w:widowControl/>
              <w:spacing w:line="320" w:lineRule="exact"/>
              <w:ind w:left="-107" w:leftChars="-51" w:right="-107" w:rightChars="-51"/>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科研机构</w:t>
            </w:r>
          </w:p>
        </w:tc>
        <w:tc>
          <w:tcPr>
            <w:tcW w:w="720" w:type="dxa"/>
            <w:noWrap w:val="0"/>
            <w:tcMar>
              <w:left w:w="108" w:type="dxa"/>
              <w:right w:w="108" w:type="dxa"/>
            </w:tcMar>
            <w:vAlign w:val="center"/>
          </w:tcPr>
          <w:p w14:paraId="56AFBFAC">
            <w:pPr>
              <w:widowControl/>
              <w:spacing w:line="320" w:lineRule="exact"/>
              <w:ind w:left="-107" w:leftChars="-51" w:right="-107" w:rightChars="-51"/>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社会公益组织</w:t>
            </w:r>
          </w:p>
        </w:tc>
        <w:tc>
          <w:tcPr>
            <w:tcW w:w="675" w:type="dxa"/>
            <w:noWrap w:val="0"/>
            <w:tcMar>
              <w:left w:w="108" w:type="dxa"/>
              <w:right w:w="108" w:type="dxa"/>
            </w:tcMar>
            <w:vAlign w:val="center"/>
          </w:tcPr>
          <w:p w14:paraId="78BE6B2C">
            <w:pPr>
              <w:widowControl/>
              <w:spacing w:line="320" w:lineRule="exact"/>
              <w:ind w:left="-106" w:leftChars="-51" w:right="-107" w:rightChars="-51" w:hanging="1"/>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法律服务机构</w:t>
            </w:r>
          </w:p>
        </w:tc>
        <w:tc>
          <w:tcPr>
            <w:tcW w:w="525" w:type="dxa"/>
            <w:noWrap w:val="0"/>
            <w:tcMar>
              <w:left w:w="108" w:type="dxa"/>
              <w:right w:w="108" w:type="dxa"/>
            </w:tcMar>
            <w:vAlign w:val="center"/>
          </w:tcPr>
          <w:p w14:paraId="32DADA2C">
            <w:pPr>
              <w:widowControl/>
              <w:spacing w:line="360" w:lineRule="exact"/>
              <w:ind w:left="-63" w:leftChars="-30" w:right="-134" w:rightChars="-64"/>
              <w:jc w:val="center"/>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其他</w:t>
            </w:r>
          </w:p>
        </w:tc>
        <w:tc>
          <w:tcPr>
            <w:tcW w:w="701" w:type="dxa"/>
            <w:gridSpan w:val="2"/>
            <w:vMerge w:val="continue"/>
            <w:noWrap w:val="0"/>
            <w:tcMar>
              <w:left w:w="108" w:type="dxa"/>
              <w:right w:w="108" w:type="dxa"/>
            </w:tcMar>
            <w:vAlign w:val="center"/>
          </w:tcPr>
          <w:p w14:paraId="5E408B0D">
            <w:pPr>
              <w:jc w:val="center"/>
              <w:rPr>
                <w:rFonts w:hint="default" w:ascii="Times New Roman" w:hAnsi="Times New Roman" w:eastAsia="仿宋_GB2312" w:cs="Times New Roman"/>
                <w:b w:val="0"/>
                <w:bCs/>
                <w:color w:val="auto"/>
                <w:szCs w:val="21"/>
              </w:rPr>
            </w:pPr>
          </w:p>
        </w:tc>
      </w:tr>
      <w:tr w14:paraId="35C8E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617DF805">
            <w:pPr>
              <w:widowControl/>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一、</w:t>
            </w:r>
            <w:bookmarkStart w:id="0" w:name="_Hlk66973412"/>
            <w:r>
              <w:rPr>
                <w:rFonts w:hint="default" w:ascii="Times New Roman" w:hAnsi="Times New Roman" w:eastAsia="黑体" w:cs="Times New Roman"/>
                <w:b w:val="0"/>
                <w:bCs/>
                <w:color w:val="auto"/>
                <w:kern w:val="0"/>
                <w:szCs w:val="21"/>
              </w:rPr>
              <w:t>本年新收政府信息公开申请数量</w:t>
            </w:r>
            <w:bookmarkEnd w:id="0"/>
          </w:p>
        </w:tc>
        <w:tc>
          <w:tcPr>
            <w:tcW w:w="747" w:type="dxa"/>
            <w:noWrap w:val="0"/>
            <w:tcMar>
              <w:left w:w="108" w:type="dxa"/>
              <w:right w:w="108" w:type="dxa"/>
            </w:tcMar>
            <w:vAlign w:val="center"/>
          </w:tcPr>
          <w:p w14:paraId="4E7855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eastAsia"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34530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01E962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76F367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05DCD3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73C06B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506338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eastAsia" w:ascii="Times New Roman" w:hAnsi="Times New Roman" w:eastAsia="仿宋_GB2312" w:cs="Times New Roman"/>
                <w:b w:val="0"/>
                <w:bCs/>
                <w:color w:val="auto"/>
                <w:szCs w:val="21"/>
                <w:lang w:val="en-US" w:eastAsia="zh-CN"/>
              </w:rPr>
              <w:t>0</w:t>
            </w:r>
          </w:p>
        </w:tc>
      </w:tr>
      <w:tr w14:paraId="591CE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6F2AA448">
            <w:pPr>
              <w:widowControl/>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二、上年结转政府信息公开申请数量</w:t>
            </w:r>
          </w:p>
        </w:tc>
        <w:tc>
          <w:tcPr>
            <w:tcW w:w="747" w:type="dxa"/>
            <w:noWrap w:val="0"/>
            <w:tcMar>
              <w:left w:w="108" w:type="dxa"/>
              <w:right w:w="108" w:type="dxa"/>
            </w:tcMar>
            <w:vAlign w:val="center"/>
          </w:tcPr>
          <w:p w14:paraId="222B8A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150F61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E203C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06B0B8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188FDC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6264B5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52F895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r>
      <w:tr w14:paraId="078DA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4876B722">
            <w:pPr>
              <w:widowControl/>
              <w:spacing w:after="180"/>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三、本年度办理结果</w:t>
            </w:r>
          </w:p>
        </w:tc>
        <w:tc>
          <w:tcPr>
            <w:tcW w:w="4677" w:type="dxa"/>
            <w:gridSpan w:val="2"/>
            <w:noWrap w:val="0"/>
            <w:tcMar>
              <w:left w:w="108" w:type="dxa"/>
              <w:right w:w="108" w:type="dxa"/>
            </w:tcMar>
            <w:vAlign w:val="center"/>
          </w:tcPr>
          <w:p w14:paraId="7DBE49ED">
            <w:pPr>
              <w:widowControl/>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（一）予以公开</w:t>
            </w:r>
          </w:p>
        </w:tc>
        <w:tc>
          <w:tcPr>
            <w:tcW w:w="752" w:type="dxa"/>
            <w:gridSpan w:val="2"/>
            <w:noWrap w:val="0"/>
            <w:tcMar>
              <w:left w:w="108" w:type="dxa"/>
              <w:right w:w="108" w:type="dxa"/>
            </w:tcMar>
            <w:vAlign w:val="center"/>
          </w:tcPr>
          <w:p w14:paraId="6B3112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eastAsia"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B12C5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35" w:type="dxa"/>
            <w:noWrap w:val="0"/>
            <w:tcMar>
              <w:left w:w="108" w:type="dxa"/>
              <w:right w:w="108" w:type="dxa"/>
            </w:tcMar>
            <w:vAlign w:val="center"/>
          </w:tcPr>
          <w:p w14:paraId="003876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4222F05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39050FB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26" w:type="dxa"/>
            <w:gridSpan w:val="2"/>
            <w:noWrap w:val="0"/>
            <w:tcMar>
              <w:left w:w="108" w:type="dxa"/>
              <w:right w:w="108" w:type="dxa"/>
            </w:tcMar>
            <w:vAlign w:val="center"/>
          </w:tcPr>
          <w:p w14:paraId="303079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700" w:type="dxa"/>
            <w:noWrap w:val="0"/>
            <w:tcMar>
              <w:left w:w="108" w:type="dxa"/>
              <w:right w:w="108" w:type="dxa"/>
            </w:tcMar>
            <w:vAlign w:val="center"/>
          </w:tcPr>
          <w:p w14:paraId="503324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eastAsia" w:ascii="Times New Roman" w:hAnsi="Times New Roman" w:eastAsia="仿宋_GB2312" w:cs="Times New Roman"/>
                <w:b w:val="0"/>
                <w:bCs/>
                <w:color w:val="auto"/>
                <w:szCs w:val="21"/>
                <w:lang w:val="en-US" w:eastAsia="zh-CN"/>
              </w:rPr>
              <w:t>0</w:t>
            </w:r>
          </w:p>
        </w:tc>
      </w:tr>
      <w:tr w14:paraId="612FB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1334470">
            <w:pPr>
              <w:rPr>
                <w:rFonts w:hint="default" w:ascii="Times New Roman" w:hAnsi="Times New Roman" w:eastAsia="黑体" w:cs="Times New Roman"/>
                <w:b w:val="0"/>
                <w:bCs/>
                <w:color w:val="auto"/>
                <w:szCs w:val="21"/>
              </w:rPr>
            </w:pPr>
          </w:p>
        </w:tc>
        <w:tc>
          <w:tcPr>
            <w:tcW w:w="4677" w:type="dxa"/>
            <w:gridSpan w:val="2"/>
            <w:noWrap w:val="0"/>
            <w:tcMar>
              <w:left w:w="108" w:type="dxa"/>
              <w:right w:w="108" w:type="dxa"/>
            </w:tcMar>
            <w:vAlign w:val="center"/>
          </w:tcPr>
          <w:p w14:paraId="1193ECAC">
            <w:pPr>
              <w:widowControl/>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（二）部分公开（</w:t>
            </w:r>
            <w:bookmarkStart w:id="1" w:name="_Hlk66973981"/>
            <w:r>
              <w:rPr>
                <w:rFonts w:hint="default" w:ascii="Times New Roman" w:hAnsi="Times New Roman" w:eastAsia="黑体" w:cs="Times New Roman"/>
                <w:b w:val="0"/>
                <w:bCs/>
                <w:color w:val="auto"/>
                <w:kern w:val="0"/>
                <w:szCs w:val="21"/>
              </w:rPr>
              <w:t>区分处理的，只计这一情形，不计其他情形</w:t>
            </w:r>
            <w:bookmarkEnd w:id="1"/>
            <w:r>
              <w:rPr>
                <w:rFonts w:hint="default" w:ascii="Times New Roman" w:hAnsi="Times New Roman" w:eastAsia="黑体" w:cs="Times New Roman"/>
                <w:b w:val="0"/>
                <w:bCs/>
                <w:color w:val="auto"/>
                <w:kern w:val="0"/>
                <w:szCs w:val="21"/>
              </w:rPr>
              <w:t>）</w:t>
            </w:r>
          </w:p>
        </w:tc>
        <w:tc>
          <w:tcPr>
            <w:tcW w:w="752" w:type="dxa"/>
            <w:gridSpan w:val="2"/>
            <w:noWrap w:val="0"/>
            <w:tcMar>
              <w:left w:w="108" w:type="dxa"/>
              <w:right w:w="108" w:type="dxa"/>
            </w:tcMar>
            <w:vAlign w:val="center"/>
          </w:tcPr>
          <w:p w14:paraId="444799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25F0779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35" w:type="dxa"/>
            <w:noWrap w:val="0"/>
            <w:tcMar>
              <w:left w:w="108" w:type="dxa"/>
              <w:right w:w="108" w:type="dxa"/>
            </w:tcMar>
            <w:vAlign w:val="center"/>
          </w:tcPr>
          <w:p w14:paraId="063E97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1ECAF4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48B205F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26" w:type="dxa"/>
            <w:gridSpan w:val="2"/>
            <w:noWrap w:val="0"/>
            <w:tcMar>
              <w:left w:w="108" w:type="dxa"/>
              <w:right w:w="108" w:type="dxa"/>
            </w:tcMar>
            <w:vAlign w:val="center"/>
          </w:tcPr>
          <w:p w14:paraId="7C6954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700" w:type="dxa"/>
            <w:noWrap w:val="0"/>
            <w:tcMar>
              <w:left w:w="108" w:type="dxa"/>
              <w:right w:w="108" w:type="dxa"/>
            </w:tcMar>
            <w:vAlign w:val="center"/>
          </w:tcPr>
          <w:p w14:paraId="4623AA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r>
      <w:tr w14:paraId="08705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F479CAB">
            <w:pPr>
              <w:rPr>
                <w:rFonts w:hint="default" w:ascii="Times New Roman" w:hAnsi="Times New Roman" w:eastAsia="黑体" w:cs="Times New Roman"/>
                <w:b w:val="0"/>
                <w:bCs/>
                <w:color w:val="auto"/>
                <w:szCs w:val="21"/>
              </w:rPr>
            </w:pPr>
          </w:p>
        </w:tc>
        <w:tc>
          <w:tcPr>
            <w:tcW w:w="1701" w:type="dxa"/>
            <w:vMerge w:val="restart"/>
            <w:noWrap w:val="0"/>
            <w:tcMar>
              <w:left w:w="108" w:type="dxa"/>
              <w:right w:w="108" w:type="dxa"/>
            </w:tcMar>
            <w:vAlign w:val="center"/>
          </w:tcPr>
          <w:p w14:paraId="1EF05C4D">
            <w:pPr>
              <w:widowControl/>
              <w:spacing w:line="200" w:lineRule="exact"/>
              <w:ind w:left="-107" w:leftChars="-51"/>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（三）不予公开</w:t>
            </w:r>
          </w:p>
        </w:tc>
        <w:tc>
          <w:tcPr>
            <w:tcW w:w="2976" w:type="dxa"/>
            <w:noWrap w:val="0"/>
            <w:tcMar>
              <w:left w:w="108" w:type="dxa"/>
              <w:right w:w="108" w:type="dxa"/>
            </w:tcMar>
            <w:vAlign w:val="center"/>
          </w:tcPr>
          <w:p w14:paraId="52E5A57A">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1.属于国家秘密</w:t>
            </w:r>
          </w:p>
        </w:tc>
        <w:tc>
          <w:tcPr>
            <w:tcW w:w="747" w:type="dxa"/>
            <w:noWrap w:val="0"/>
            <w:tcMar>
              <w:left w:w="108" w:type="dxa"/>
              <w:right w:w="108" w:type="dxa"/>
            </w:tcMar>
            <w:vAlign w:val="center"/>
          </w:tcPr>
          <w:p w14:paraId="76D10AB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123FD8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5A2388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4EC720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4509D6A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019569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51EC07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0D46C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2D296B0">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3407F1B7">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76691B59">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2.</w:t>
            </w:r>
            <w:bookmarkStart w:id="2" w:name="_Hlk66974104"/>
            <w:r>
              <w:rPr>
                <w:rFonts w:hint="default" w:ascii="Times New Roman" w:hAnsi="Times New Roman" w:eastAsia="仿宋_GB2312" w:cs="Times New Roman"/>
                <w:b w:val="0"/>
                <w:bCs/>
                <w:color w:val="auto"/>
                <w:kern w:val="0"/>
                <w:szCs w:val="21"/>
              </w:rPr>
              <w:t>其他法律行政法规禁止公开</w:t>
            </w:r>
            <w:bookmarkEnd w:id="2"/>
          </w:p>
        </w:tc>
        <w:tc>
          <w:tcPr>
            <w:tcW w:w="747" w:type="dxa"/>
            <w:noWrap w:val="0"/>
            <w:tcMar>
              <w:left w:w="108" w:type="dxa"/>
              <w:right w:w="108" w:type="dxa"/>
            </w:tcMar>
            <w:vAlign w:val="center"/>
          </w:tcPr>
          <w:p w14:paraId="6A9ED8B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5F9FD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FC6B8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57BD52A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31E4FD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45081D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0C95AD0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14F46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F42EFEF">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3B0425FF">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56D98C34">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3.危及“三安全一稳定”</w:t>
            </w:r>
          </w:p>
        </w:tc>
        <w:tc>
          <w:tcPr>
            <w:tcW w:w="747" w:type="dxa"/>
            <w:noWrap w:val="0"/>
            <w:tcMar>
              <w:left w:w="108" w:type="dxa"/>
              <w:right w:w="108" w:type="dxa"/>
            </w:tcMar>
            <w:vAlign w:val="center"/>
          </w:tcPr>
          <w:p w14:paraId="121F72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C4392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010198E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3DC9A3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758A57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6CEC0D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6157E8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62B8D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195D65F">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712F2D83">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7189CA1E">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4.</w:t>
            </w:r>
            <w:bookmarkStart w:id="3" w:name="_Hlk66974290"/>
            <w:r>
              <w:rPr>
                <w:rFonts w:hint="default" w:ascii="Times New Roman" w:hAnsi="Times New Roman" w:eastAsia="仿宋_GB2312" w:cs="Times New Roman"/>
                <w:b w:val="0"/>
                <w:bCs/>
                <w:color w:val="auto"/>
                <w:kern w:val="0"/>
                <w:szCs w:val="21"/>
              </w:rPr>
              <w:t>保护第三方合法权益</w:t>
            </w:r>
            <w:bookmarkEnd w:id="3"/>
          </w:p>
        </w:tc>
        <w:tc>
          <w:tcPr>
            <w:tcW w:w="747" w:type="dxa"/>
            <w:noWrap w:val="0"/>
            <w:tcMar>
              <w:left w:w="108" w:type="dxa"/>
              <w:right w:w="108" w:type="dxa"/>
            </w:tcMar>
            <w:vAlign w:val="center"/>
          </w:tcPr>
          <w:p w14:paraId="0967C66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8CA69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7851BD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30D6B9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57F15D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7FE23F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1DD940A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2FA84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A086F9D">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02D9BCA4">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0B20D5AB">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5.属于三类内部事务信息</w:t>
            </w:r>
          </w:p>
        </w:tc>
        <w:tc>
          <w:tcPr>
            <w:tcW w:w="747" w:type="dxa"/>
            <w:noWrap w:val="0"/>
            <w:tcMar>
              <w:left w:w="108" w:type="dxa"/>
              <w:right w:w="108" w:type="dxa"/>
            </w:tcMar>
            <w:vAlign w:val="center"/>
          </w:tcPr>
          <w:p w14:paraId="1F96883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488C9C0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4C8DBA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2F274A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3F626C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176E67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58540C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7915F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77840D9">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1163E2C9">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245D71AD">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6.</w:t>
            </w:r>
            <w:bookmarkStart w:id="4" w:name="_Hlk66974555"/>
            <w:r>
              <w:rPr>
                <w:rFonts w:hint="default" w:ascii="Times New Roman" w:hAnsi="Times New Roman" w:eastAsia="仿宋_GB2312" w:cs="Times New Roman"/>
                <w:b w:val="0"/>
                <w:bCs/>
                <w:color w:val="auto"/>
                <w:kern w:val="0"/>
                <w:szCs w:val="21"/>
              </w:rPr>
              <w:t>属于四类过程性信息</w:t>
            </w:r>
            <w:bookmarkEnd w:id="4"/>
          </w:p>
        </w:tc>
        <w:tc>
          <w:tcPr>
            <w:tcW w:w="747" w:type="dxa"/>
            <w:noWrap w:val="0"/>
            <w:tcMar>
              <w:left w:w="108" w:type="dxa"/>
              <w:right w:w="108" w:type="dxa"/>
            </w:tcMar>
            <w:vAlign w:val="center"/>
          </w:tcPr>
          <w:p w14:paraId="541B58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8D2CB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FE639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12787F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4AB4F0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7767E5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1011B43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132C9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C53C948">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362E6450">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74AC0D9D">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7.属于行政执法案卷</w:t>
            </w:r>
          </w:p>
        </w:tc>
        <w:tc>
          <w:tcPr>
            <w:tcW w:w="747" w:type="dxa"/>
            <w:noWrap w:val="0"/>
            <w:tcMar>
              <w:left w:w="108" w:type="dxa"/>
              <w:right w:w="108" w:type="dxa"/>
            </w:tcMar>
            <w:vAlign w:val="center"/>
          </w:tcPr>
          <w:p w14:paraId="0864C8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0346E6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8B244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140B4D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7C0C8D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73B7EF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286A27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0813F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3C1B80B">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4244ACB2">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2B61F43C">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8.</w:t>
            </w:r>
            <w:bookmarkStart w:id="5" w:name="_Hlk66975211"/>
            <w:r>
              <w:rPr>
                <w:rFonts w:hint="default" w:ascii="Times New Roman" w:hAnsi="Times New Roman" w:eastAsia="仿宋_GB2312" w:cs="Times New Roman"/>
                <w:b w:val="0"/>
                <w:bCs/>
                <w:color w:val="auto"/>
                <w:kern w:val="0"/>
                <w:szCs w:val="21"/>
              </w:rPr>
              <w:t>属于行政查询事项</w:t>
            </w:r>
            <w:bookmarkEnd w:id="5"/>
          </w:p>
        </w:tc>
        <w:tc>
          <w:tcPr>
            <w:tcW w:w="747" w:type="dxa"/>
            <w:noWrap w:val="0"/>
            <w:tcMar>
              <w:left w:w="108" w:type="dxa"/>
              <w:right w:w="108" w:type="dxa"/>
            </w:tcMar>
            <w:vAlign w:val="center"/>
          </w:tcPr>
          <w:p w14:paraId="379525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04EEA6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2805EA8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342654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599217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6395D0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3B170E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50DA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5FEF0E1">
            <w:pPr>
              <w:rPr>
                <w:rFonts w:hint="default" w:ascii="Times New Roman" w:hAnsi="Times New Roman" w:eastAsia="黑体" w:cs="Times New Roman"/>
                <w:b w:val="0"/>
                <w:bCs/>
                <w:color w:val="auto"/>
                <w:szCs w:val="21"/>
              </w:rPr>
            </w:pPr>
          </w:p>
        </w:tc>
        <w:tc>
          <w:tcPr>
            <w:tcW w:w="1701" w:type="dxa"/>
            <w:vMerge w:val="restart"/>
            <w:noWrap w:val="0"/>
            <w:tcMar>
              <w:left w:w="108" w:type="dxa"/>
              <w:right w:w="108" w:type="dxa"/>
            </w:tcMar>
            <w:vAlign w:val="center"/>
          </w:tcPr>
          <w:p w14:paraId="7AC8E889">
            <w:pPr>
              <w:widowControl/>
              <w:spacing w:line="200" w:lineRule="exact"/>
              <w:ind w:left="-107" w:leftChars="-51"/>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（四）无法提供</w:t>
            </w:r>
          </w:p>
        </w:tc>
        <w:tc>
          <w:tcPr>
            <w:tcW w:w="2976" w:type="dxa"/>
            <w:noWrap w:val="0"/>
            <w:tcMar>
              <w:left w:w="108" w:type="dxa"/>
              <w:right w:w="108" w:type="dxa"/>
            </w:tcMar>
            <w:vAlign w:val="center"/>
          </w:tcPr>
          <w:p w14:paraId="3968D2FF">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1.本机关不掌握相关政府信息</w:t>
            </w:r>
          </w:p>
        </w:tc>
        <w:tc>
          <w:tcPr>
            <w:tcW w:w="747" w:type="dxa"/>
            <w:noWrap w:val="0"/>
            <w:tcMar>
              <w:left w:w="108" w:type="dxa"/>
              <w:right w:w="108" w:type="dxa"/>
            </w:tcMar>
            <w:vAlign w:val="center"/>
          </w:tcPr>
          <w:p w14:paraId="56DC91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110350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2133CA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7F31DE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4FA620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1F7D0B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6F5D87F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59365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E301F17">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2BB4F4F3">
            <w:pPr>
              <w:spacing w:line="200" w:lineRule="exact"/>
              <w:ind w:left="-107" w:leftChars="-51"/>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370E441D">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2.</w:t>
            </w:r>
            <w:bookmarkStart w:id="6" w:name="_Hlk66975392"/>
            <w:r>
              <w:rPr>
                <w:rFonts w:hint="default" w:ascii="Times New Roman" w:hAnsi="Times New Roman" w:eastAsia="仿宋_GB2312" w:cs="Times New Roman"/>
                <w:b w:val="0"/>
                <w:bCs/>
                <w:color w:val="auto"/>
                <w:kern w:val="0"/>
                <w:szCs w:val="21"/>
              </w:rPr>
              <w:t>没有现成信息需要另行制作</w:t>
            </w:r>
            <w:bookmarkEnd w:id="6"/>
          </w:p>
        </w:tc>
        <w:tc>
          <w:tcPr>
            <w:tcW w:w="747" w:type="dxa"/>
            <w:noWrap w:val="0"/>
            <w:tcMar>
              <w:left w:w="108" w:type="dxa"/>
              <w:right w:w="108" w:type="dxa"/>
            </w:tcMar>
            <w:vAlign w:val="center"/>
          </w:tcPr>
          <w:p w14:paraId="38A5D7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51D2190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1E3004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5DE4680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57C6EA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3ECEEA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75159C9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465F4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EAA4AEA">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05290D7D">
            <w:pPr>
              <w:spacing w:line="200" w:lineRule="exact"/>
              <w:ind w:left="-107" w:leftChars="-51"/>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09B465F6">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3.</w:t>
            </w:r>
            <w:bookmarkStart w:id="7" w:name="_Hlk66975466"/>
            <w:r>
              <w:rPr>
                <w:rFonts w:hint="default" w:ascii="Times New Roman" w:hAnsi="Times New Roman" w:eastAsia="仿宋_GB2312" w:cs="Times New Roman"/>
                <w:b w:val="0"/>
                <w:bCs/>
                <w:color w:val="auto"/>
                <w:kern w:val="0"/>
                <w:szCs w:val="21"/>
              </w:rPr>
              <w:t>补正后申请内容仍不明确</w:t>
            </w:r>
            <w:bookmarkEnd w:id="7"/>
          </w:p>
        </w:tc>
        <w:tc>
          <w:tcPr>
            <w:tcW w:w="747" w:type="dxa"/>
            <w:noWrap w:val="0"/>
            <w:tcMar>
              <w:left w:w="108" w:type="dxa"/>
              <w:right w:w="108" w:type="dxa"/>
            </w:tcMar>
            <w:vAlign w:val="center"/>
          </w:tcPr>
          <w:p w14:paraId="0BC0E23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761F3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0C5CB9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4DE2B15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1EBC84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4EE8ED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7E97BF9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62B4D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1BA6F77">
            <w:pPr>
              <w:rPr>
                <w:rFonts w:hint="default" w:ascii="Times New Roman" w:hAnsi="Times New Roman" w:eastAsia="黑体" w:cs="Times New Roman"/>
                <w:b w:val="0"/>
                <w:bCs/>
                <w:color w:val="auto"/>
                <w:szCs w:val="21"/>
              </w:rPr>
            </w:pPr>
          </w:p>
        </w:tc>
        <w:tc>
          <w:tcPr>
            <w:tcW w:w="1701" w:type="dxa"/>
            <w:vMerge w:val="restart"/>
            <w:noWrap w:val="0"/>
            <w:tcMar>
              <w:left w:w="108" w:type="dxa"/>
              <w:right w:w="108" w:type="dxa"/>
            </w:tcMar>
            <w:vAlign w:val="center"/>
          </w:tcPr>
          <w:p w14:paraId="4A3386DC">
            <w:pPr>
              <w:widowControl/>
              <w:spacing w:line="200" w:lineRule="exact"/>
              <w:ind w:left="-107" w:leftChars="-51"/>
              <w:rPr>
                <w:rFonts w:hint="default" w:ascii="Times New Roman" w:hAnsi="Times New Roman" w:eastAsia="黑体" w:cs="Times New Roman"/>
                <w:b w:val="0"/>
                <w:bCs/>
                <w:color w:val="auto"/>
                <w:szCs w:val="21"/>
              </w:rPr>
            </w:pPr>
            <w:r>
              <w:rPr>
                <w:rFonts w:hint="default" w:ascii="Times New Roman" w:hAnsi="Times New Roman" w:eastAsia="黑体" w:cs="Times New Roman"/>
                <w:b w:val="0"/>
                <w:bCs/>
                <w:color w:val="auto"/>
                <w:kern w:val="0"/>
                <w:szCs w:val="21"/>
              </w:rPr>
              <w:t>（五）不予处理</w:t>
            </w:r>
          </w:p>
        </w:tc>
        <w:tc>
          <w:tcPr>
            <w:tcW w:w="2976" w:type="dxa"/>
            <w:noWrap w:val="0"/>
            <w:tcMar>
              <w:left w:w="108" w:type="dxa"/>
              <w:right w:w="108" w:type="dxa"/>
            </w:tcMar>
            <w:vAlign w:val="center"/>
          </w:tcPr>
          <w:p w14:paraId="256CECE8">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1.</w:t>
            </w:r>
            <w:bookmarkStart w:id="8" w:name="_Hlk66975537"/>
            <w:r>
              <w:rPr>
                <w:rFonts w:hint="default" w:ascii="Times New Roman" w:hAnsi="Times New Roman" w:eastAsia="仿宋_GB2312" w:cs="Times New Roman"/>
                <w:b w:val="0"/>
                <w:bCs/>
                <w:color w:val="auto"/>
                <w:kern w:val="0"/>
                <w:szCs w:val="21"/>
              </w:rPr>
              <w:t>信访举报投诉类申请</w:t>
            </w:r>
            <w:bookmarkEnd w:id="8"/>
          </w:p>
        </w:tc>
        <w:tc>
          <w:tcPr>
            <w:tcW w:w="747" w:type="dxa"/>
            <w:noWrap w:val="0"/>
            <w:tcMar>
              <w:left w:w="108" w:type="dxa"/>
              <w:right w:w="108" w:type="dxa"/>
            </w:tcMar>
            <w:vAlign w:val="center"/>
          </w:tcPr>
          <w:p w14:paraId="29ED20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F4E54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078B74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64B601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30448D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3B1715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457CEA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79FE7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BC630AA">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6D3D2BD3">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4A721028">
            <w:pPr>
              <w:widowControl/>
              <w:spacing w:line="2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2.重复申请</w:t>
            </w:r>
          </w:p>
        </w:tc>
        <w:tc>
          <w:tcPr>
            <w:tcW w:w="747" w:type="dxa"/>
            <w:noWrap w:val="0"/>
            <w:tcMar>
              <w:left w:w="108" w:type="dxa"/>
              <w:right w:w="108" w:type="dxa"/>
            </w:tcMar>
            <w:vAlign w:val="center"/>
          </w:tcPr>
          <w:p w14:paraId="5091DA6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1A34C8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7B19C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748126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3365E2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761D50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08B5CD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3DC4F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775DF47">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0EC0205E">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5141D49D">
            <w:pPr>
              <w:widowControl/>
              <w:spacing w:line="200" w:lineRule="exact"/>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kern w:val="0"/>
                <w:szCs w:val="21"/>
              </w:rPr>
              <w:t>3.要求提供公开出版物</w:t>
            </w:r>
          </w:p>
        </w:tc>
        <w:tc>
          <w:tcPr>
            <w:tcW w:w="747" w:type="dxa"/>
            <w:noWrap w:val="0"/>
            <w:tcMar>
              <w:left w:w="108" w:type="dxa"/>
              <w:right w:w="108" w:type="dxa"/>
            </w:tcMar>
            <w:vAlign w:val="center"/>
          </w:tcPr>
          <w:p w14:paraId="1393F6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CB35F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AFE97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64C7B9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5AD44B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69C2DA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51F8A37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3DDF9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490AD0AE">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3BCCFD59">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6714959B">
            <w:pPr>
              <w:widowControl/>
              <w:spacing w:line="200" w:lineRule="exact"/>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kern w:val="0"/>
                <w:szCs w:val="21"/>
              </w:rPr>
              <w:t>4.无正当理由大量反复申请</w:t>
            </w:r>
          </w:p>
        </w:tc>
        <w:tc>
          <w:tcPr>
            <w:tcW w:w="747" w:type="dxa"/>
            <w:noWrap w:val="0"/>
            <w:tcMar>
              <w:left w:w="108" w:type="dxa"/>
              <w:right w:w="108" w:type="dxa"/>
            </w:tcMar>
            <w:vAlign w:val="center"/>
          </w:tcPr>
          <w:p w14:paraId="4EE23B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E3974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7AC3CC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28F9C0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67F646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21CE9C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5E1E26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56229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5F6154A">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447BDFF4">
            <w:pPr>
              <w:spacing w:line="200" w:lineRule="exact"/>
              <w:rPr>
                <w:rFonts w:hint="default" w:ascii="Times New Roman" w:hAnsi="Times New Roman" w:eastAsia="黑体" w:cs="Times New Roman"/>
                <w:b w:val="0"/>
                <w:bCs/>
                <w:color w:val="auto"/>
                <w:szCs w:val="21"/>
              </w:rPr>
            </w:pPr>
          </w:p>
        </w:tc>
        <w:tc>
          <w:tcPr>
            <w:tcW w:w="2976" w:type="dxa"/>
            <w:noWrap w:val="0"/>
            <w:tcMar>
              <w:left w:w="108" w:type="dxa"/>
              <w:right w:w="108" w:type="dxa"/>
            </w:tcMar>
            <w:vAlign w:val="center"/>
          </w:tcPr>
          <w:p w14:paraId="6F8278F6">
            <w:pPr>
              <w:widowControl/>
              <w:spacing w:line="3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kern w:val="0"/>
                <w:szCs w:val="21"/>
              </w:rPr>
              <w:t>5.要求行政机关确认或重新</w:t>
            </w:r>
          </w:p>
          <w:p w14:paraId="0145185F">
            <w:pPr>
              <w:widowControl/>
              <w:spacing w:line="300" w:lineRule="exact"/>
              <w:ind w:firstLine="210" w:firstLineChars="100"/>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kern w:val="0"/>
                <w:szCs w:val="21"/>
              </w:rPr>
              <w:t>出具已获取信息</w:t>
            </w:r>
          </w:p>
        </w:tc>
        <w:tc>
          <w:tcPr>
            <w:tcW w:w="747" w:type="dxa"/>
            <w:noWrap w:val="0"/>
            <w:tcMar>
              <w:left w:w="108" w:type="dxa"/>
              <w:right w:w="108" w:type="dxa"/>
            </w:tcMar>
            <w:vAlign w:val="center"/>
          </w:tcPr>
          <w:p w14:paraId="37CEED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5DCE0F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B5D98C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1794C2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309CB4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18DF08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6B13B7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0E2B5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641E467">
            <w:pPr>
              <w:rPr>
                <w:rFonts w:hint="default" w:ascii="Times New Roman" w:hAnsi="Times New Roman" w:eastAsia="黑体" w:cs="Times New Roman"/>
                <w:b w:val="0"/>
                <w:bCs/>
                <w:color w:val="auto"/>
                <w:szCs w:val="21"/>
              </w:rPr>
            </w:pPr>
          </w:p>
        </w:tc>
        <w:tc>
          <w:tcPr>
            <w:tcW w:w="1701" w:type="dxa"/>
            <w:vMerge w:val="restart"/>
            <w:noWrap w:val="0"/>
            <w:tcMar>
              <w:left w:w="108" w:type="dxa"/>
              <w:right w:w="108" w:type="dxa"/>
            </w:tcMar>
            <w:vAlign w:val="center"/>
          </w:tcPr>
          <w:p w14:paraId="587D88D7">
            <w:pPr>
              <w:widowControl/>
              <w:spacing w:line="300" w:lineRule="exact"/>
              <w:rPr>
                <w:rFonts w:hint="default" w:ascii="Times New Roman" w:hAnsi="Times New Roman" w:eastAsia="黑体" w:cs="Times New Roman"/>
                <w:b w:val="0"/>
                <w:bCs/>
                <w:color w:val="auto"/>
                <w:kern w:val="0"/>
                <w:szCs w:val="21"/>
              </w:rPr>
            </w:pPr>
            <w:r>
              <w:rPr>
                <w:rFonts w:hint="default" w:ascii="Times New Roman" w:hAnsi="Times New Roman" w:eastAsia="黑体" w:cs="Times New Roman"/>
                <w:b w:val="0"/>
                <w:bCs/>
                <w:color w:val="auto"/>
                <w:kern w:val="0"/>
                <w:szCs w:val="21"/>
              </w:rPr>
              <w:t>（六）其他处理</w:t>
            </w:r>
          </w:p>
        </w:tc>
        <w:tc>
          <w:tcPr>
            <w:tcW w:w="2976" w:type="dxa"/>
            <w:noWrap w:val="0"/>
            <w:vAlign w:val="center"/>
          </w:tcPr>
          <w:p w14:paraId="4E14768C">
            <w:pPr>
              <w:widowControl/>
              <w:spacing w:line="300" w:lineRule="exact"/>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1.申请人无正当理由逾期不补正、行政机关不再处理其政府信息公开申请</w:t>
            </w:r>
          </w:p>
        </w:tc>
        <w:tc>
          <w:tcPr>
            <w:tcW w:w="747" w:type="dxa"/>
            <w:noWrap w:val="0"/>
            <w:tcMar>
              <w:left w:w="108" w:type="dxa"/>
              <w:right w:w="108" w:type="dxa"/>
            </w:tcMar>
            <w:vAlign w:val="center"/>
          </w:tcPr>
          <w:p w14:paraId="6656B8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2C6C90D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1B59E97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452D5A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23282F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0BCEAB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214F47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06357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E19EF14">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514D2C3E">
            <w:pPr>
              <w:widowControl/>
              <w:spacing w:line="300" w:lineRule="exact"/>
              <w:rPr>
                <w:rFonts w:hint="default" w:ascii="Times New Roman" w:hAnsi="Times New Roman" w:eastAsia="黑体" w:cs="Times New Roman"/>
                <w:b w:val="0"/>
                <w:bCs/>
                <w:color w:val="auto"/>
                <w:kern w:val="0"/>
                <w:szCs w:val="21"/>
              </w:rPr>
            </w:pPr>
          </w:p>
        </w:tc>
        <w:tc>
          <w:tcPr>
            <w:tcW w:w="2976" w:type="dxa"/>
            <w:noWrap w:val="0"/>
            <w:vAlign w:val="center"/>
          </w:tcPr>
          <w:p w14:paraId="268F5AA1">
            <w:pPr>
              <w:widowControl/>
              <w:spacing w:line="3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rPr>
              <w:t>2.申请人逾期未按收费通知要求缴纳费用、行政机关不再处理其政府信息公开申请</w:t>
            </w:r>
          </w:p>
        </w:tc>
        <w:tc>
          <w:tcPr>
            <w:tcW w:w="747" w:type="dxa"/>
            <w:noWrap w:val="0"/>
            <w:tcMar>
              <w:left w:w="108" w:type="dxa"/>
              <w:right w:w="108" w:type="dxa"/>
            </w:tcMar>
            <w:vAlign w:val="center"/>
          </w:tcPr>
          <w:p w14:paraId="373645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544EE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A14EFA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51F533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5398B88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359A59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145470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r>
      <w:tr w14:paraId="062A3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CA784DE">
            <w:pPr>
              <w:rPr>
                <w:rFonts w:hint="default" w:ascii="Times New Roman" w:hAnsi="Times New Roman" w:eastAsia="黑体" w:cs="Times New Roman"/>
                <w:b w:val="0"/>
                <w:bCs/>
                <w:color w:val="auto"/>
                <w:szCs w:val="21"/>
              </w:rPr>
            </w:pPr>
          </w:p>
        </w:tc>
        <w:tc>
          <w:tcPr>
            <w:tcW w:w="1701" w:type="dxa"/>
            <w:vMerge w:val="continue"/>
            <w:noWrap w:val="0"/>
            <w:tcMar>
              <w:left w:w="108" w:type="dxa"/>
              <w:right w:w="108" w:type="dxa"/>
            </w:tcMar>
            <w:vAlign w:val="center"/>
          </w:tcPr>
          <w:p w14:paraId="7F754AF6">
            <w:pPr>
              <w:widowControl/>
              <w:spacing w:line="300" w:lineRule="exact"/>
              <w:rPr>
                <w:rFonts w:hint="default" w:ascii="Times New Roman" w:hAnsi="Times New Roman" w:eastAsia="黑体" w:cs="Times New Roman"/>
                <w:b w:val="0"/>
                <w:bCs/>
                <w:color w:val="auto"/>
                <w:kern w:val="0"/>
                <w:szCs w:val="21"/>
              </w:rPr>
            </w:pPr>
          </w:p>
        </w:tc>
        <w:tc>
          <w:tcPr>
            <w:tcW w:w="2976" w:type="dxa"/>
            <w:noWrap w:val="0"/>
            <w:vAlign w:val="center"/>
          </w:tcPr>
          <w:p w14:paraId="09F38274">
            <w:pPr>
              <w:widowControl/>
              <w:spacing w:line="300" w:lineRule="exact"/>
              <w:rPr>
                <w:rFonts w:hint="default" w:ascii="Times New Roman" w:hAnsi="Times New Roman" w:eastAsia="仿宋_GB2312" w:cs="Times New Roman"/>
                <w:b w:val="0"/>
                <w:bCs/>
                <w:color w:val="auto"/>
                <w:kern w:val="0"/>
                <w:szCs w:val="21"/>
              </w:rPr>
            </w:pPr>
            <w:r>
              <w:rPr>
                <w:rFonts w:hint="default" w:ascii="Times New Roman" w:hAnsi="Times New Roman" w:eastAsia="仿宋_GB2312" w:cs="Times New Roman"/>
                <w:b w:val="0"/>
                <w:bCs/>
                <w:color w:val="auto"/>
              </w:rPr>
              <w:t>3.其他</w:t>
            </w:r>
          </w:p>
        </w:tc>
        <w:tc>
          <w:tcPr>
            <w:tcW w:w="747" w:type="dxa"/>
            <w:noWrap w:val="0"/>
            <w:tcMar>
              <w:left w:w="108" w:type="dxa"/>
              <w:right w:w="108" w:type="dxa"/>
            </w:tcMar>
            <w:vAlign w:val="center"/>
          </w:tcPr>
          <w:p w14:paraId="01B386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3D655F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20196B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531769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0A8B34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12E163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21D3B1B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rPr>
            </w:pPr>
            <w:r>
              <w:rPr>
                <w:rFonts w:hint="default" w:ascii="Times New Roman" w:hAnsi="Times New Roman" w:eastAsia="仿宋_GB2312" w:cs="Times New Roman"/>
                <w:b w:val="0"/>
                <w:bCs/>
                <w:color w:val="auto"/>
                <w:szCs w:val="21"/>
                <w:lang w:val="en-US" w:eastAsia="zh-CN"/>
              </w:rPr>
              <w:t>0</w:t>
            </w:r>
          </w:p>
        </w:tc>
      </w:tr>
      <w:tr w14:paraId="25939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8F03FB0">
            <w:pPr>
              <w:rPr>
                <w:rFonts w:hint="default" w:ascii="Times New Roman" w:hAnsi="Times New Roman" w:eastAsia="黑体" w:cs="Times New Roman"/>
                <w:b w:val="0"/>
                <w:bCs/>
                <w:color w:val="auto"/>
                <w:szCs w:val="21"/>
              </w:rPr>
            </w:pPr>
          </w:p>
        </w:tc>
        <w:tc>
          <w:tcPr>
            <w:tcW w:w="4677" w:type="dxa"/>
            <w:gridSpan w:val="2"/>
            <w:noWrap w:val="0"/>
            <w:tcMar>
              <w:left w:w="108" w:type="dxa"/>
              <w:right w:w="108" w:type="dxa"/>
            </w:tcMar>
            <w:vAlign w:val="center"/>
          </w:tcPr>
          <w:p w14:paraId="64170837">
            <w:pPr>
              <w:widowControl/>
              <w:spacing w:line="300" w:lineRule="exact"/>
              <w:rPr>
                <w:rFonts w:hint="default" w:ascii="Times New Roman" w:hAnsi="Times New Roman" w:eastAsia="黑体" w:cs="Times New Roman"/>
                <w:b w:val="0"/>
                <w:bCs/>
                <w:color w:val="auto"/>
                <w:kern w:val="0"/>
                <w:szCs w:val="21"/>
              </w:rPr>
            </w:pPr>
            <w:r>
              <w:rPr>
                <w:rFonts w:hint="default" w:ascii="Times New Roman" w:hAnsi="Times New Roman" w:eastAsia="黑体" w:cs="Times New Roman"/>
                <w:b w:val="0"/>
                <w:bCs/>
                <w:color w:val="auto"/>
                <w:kern w:val="0"/>
                <w:szCs w:val="21"/>
              </w:rPr>
              <w:t>（七）总计</w:t>
            </w:r>
          </w:p>
        </w:tc>
        <w:tc>
          <w:tcPr>
            <w:tcW w:w="747" w:type="dxa"/>
            <w:noWrap w:val="0"/>
            <w:tcMar>
              <w:left w:w="108" w:type="dxa"/>
              <w:right w:w="108" w:type="dxa"/>
            </w:tcMar>
            <w:vAlign w:val="center"/>
          </w:tcPr>
          <w:p w14:paraId="4DE609E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eastAsia"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463400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09B554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0FB295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1E4CC0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6278208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45B551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eastAsia="zh-CN"/>
              </w:rPr>
            </w:pPr>
            <w:r>
              <w:rPr>
                <w:rFonts w:hint="eastAsia" w:ascii="Times New Roman" w:hAnsi="Times New Roman" w:eastAsia="仿宋_GB2312" w:cs="Times New Roman"/>
                <w:b w:val="0"/>
                <w:bCs/>
                <w:color w:val="auto"/>
                <w:szCs w:val="21"/>
                <w:lang w:val="en-US" w:eastAsia="zh-CN"/>
              </w:rPr>
              <w:t>0</w:t>
            </w:r>
          </w:p>
        </w:tc>
      </w:tr>
      <w:tr w14:paraId="32D05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737BE304">
            <w:pPr>
              <w:widowControl/>
              <w:spacing w:line="300" w:lineRule="exact"/>
              <w:rPr>
                <w:rFonts w:hint="default" w:ascii="Times New Roman" w:hAnsi="Times New Roman" w:eastAsia="黑体" w:cs="Times New Roman"/>
                <w:b w:val="0"/>
                <w:bCs/>
                <w:color w:val="auto"/>
                <w:kern w:val="0"/>
                <w:szCs w:val="21"/>
              </w:rPr>
            </w:pPr>
            <w:r>
              <w:rPr>
                <w:rFonts w:hint="default" w:ascii="Times New Roman" w:hAnsi="Times New Roman" w:eastAsia="黑体" w:cs="Times New Roman"/>
                <w:b w:val="0"/>
                <w:bCs/>
                <w:color w:val="auto"/>
                <w:kern w:val="0"/>
                <w:szCs w:val="21"/>
              </w:rPr>
              <w:t>四、结转下年度继续办理</w:t>
            </w:r>
          </w:p>
        </w:tc>
        <w:tc>
          <w:tcPr>
            <w:tcW w:w="747" w:type="dxa"/>
            <w:noWrap w:val="0"/>
            <w:tcMar>
              <w:left w:w="108" w:type="dxa"/>
              <w:right w:w="108" w:type="dxa"/>
            </w:tcMar>
            <w:vAlign w:val="center"/>
          </w:tcPr>
          <w:p w14:paraId="6CB972E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21AC784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40" w:type="dxa"/>
            <w:gridSpan w:val="2"/>
            <w:noWrap w:val="0"/>
            <w:tcMar>
              <w:left w:w="108" w:type="dxa"/>
              <w:right w:w="108" w:type="dxa"/>
            </w:tcMar>
            <w:vAlign w:val="center"/>
          </w:tcPr>
          <w:p w14:paraId="64CC36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20" w:type="dxa"/>
            <w:noWrap w:val="0"/>
            <w:tcMar>
              <w:left w:w="108" w:type="dxa"/>
              <w:right w:w="108" w:type="dxa"/>
            </w:tcMar>
            <w:vAlign w:val="center"/>
          </w:tcPr>
          <w:p w14:paraId="68B071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675" w:type="dxa"/>
            <w:noWrap w:val="0"/>
            <w:tcMar>
              <w:left w:w="108" w:type="dxa"/>
              <w:right w:w="108" w:type="dxa"/>
            </w:tcMar>
            <w:vAlign w:val="center"/>
          </w:tcPr>
          <w:p w14:paraId="5B333F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525" w:type="dxa"/>
            <w:noWrap w:val="0"/>
            <w:tcMar>
              <w:left w:w="108" w:type="dxa"/>
              <w:right w:w="108" w:type="dxa"/>
            </w:tcMar>
            <w:vAlign w:val="center"/>
          </w:tcPr>
          <w:p w14:paraId="167C7E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rPr>
            </w:pPr>
            <w:r>
              <w:rPr>
                <w:rFonts w:hint="default" w:ascii="Times New Roman" w:hAnsi="Times New Roman" w:eastAsia="仿宋_GB2312" w:cs="Times New Roman"/>
                <w:b w:val="0"/>
                <w:bCs/>
                <w:color w:val="auto"/>
                <w:szCs w:val="21"/>
                <w:lang w:val="en-US" w:eastAsia="zh-CN"/>
              </w:rPr>
              <w:t>0</w:t>
            </w:r>
          </w:p>
        </w:tc>
        <w:tc>
          <w:tcPr>
            <w:tcW w:w="701" w:type="dxa"/>
            <w:gridSpan w:val="2"/>
            <w:noWrap w:val="0"/>
            <w:tcMar>
              <w:left w:w="108" w:type="dxa"/>
              <w:right w:w="108" w:type="dxa"/>
            </w:tcMar>
            <w:vAlign w:val="center"/>
          </w:tcPr>
          <w:p w14:paraId="755879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b w:val="0"/>
                <w:bCs/>
                <w:color w:val="auto"/>
                <w:szCs w:val="21"/>
                <w:lang w:val="en-US"/>
              </w:rPr>
            </w:pPr>
            <w:r>
              <w:rPr>
                <w:rFonts w:hint="default" w:ascii="Times New Roman" w:hAnsi="Times New Roman" w:eastAsia="仿宋_GB2312" w:cs="Times New Roman"/>
                <w:b w:val="0"/>
                <w:bCs/>
                <w:color w:val="auto"/>
                <w:szCs w:val="21"/>
                <w:lang w:val="en-US" w:eastAsia="zh-CN"/>
              </w:rPr>
              <w:t>0</w:t>
            </w:r>
          </w:p>
        </w:tc>
      </w:tr>
    </w:tbl>
    <w:p w14:paraId="511206FE">
      <w:pPr>
        <w:widowControl/>
        <w:jc w:val="left"/>
        <w:rPr>
          <w:rFonts w:hint="default" w:ascii="Times New Roman" w:hAnsi="Times New Roman" w:eastAsia="仿宋_GB2312" w:cs="Times New Roman"/>
          <w:b w:val="0"/>
          <w:bCs/>
          <w:color w:val="auto"/>
          <w:kern w:val="0"/>
          <w:szCs w:val="21"/>
          <w:lang w:val="en-US" w:eastAsia="zh-CN"/>
        </w:rPr>
      </w:pPr>
    </w:p>
    <w:p w14:paraId="009B82F1">
      <w:pPr>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EF781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854B29">
            <w:pPr>
              <w:widowControl/>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465303CB">
            <w:pPr>
              <w:widowControl/>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行政诉讼</w:t>
            </w:r>
          </w:p>
        </w:tc>
      </w:tr>
      <w:tr w14:paraId="48905C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49349A1">
            <w:pPr>
              <w:widowControl/>
              <w:ind w:left="-149" w:leftChars="-71" w:right="-170" w:rightChars="-81"/>
              <w:jc w:val="center"/>
              <w:rPr>
                <w:rFonts w:hint="default" w:ascii="Times New Roman" w:hAnsi="Times New Roman" w:eastAsia="黑体" w:cs="Times New Roman"/>
                <w:b w:val="0"/>
                <w:bCs/>
                <w:color w:val="auto"/>
                <w:kern w:val="0"/>
                <w:sz w:val="20"/>
                <w:szCs w:val="20"/>
              </w:rPr>
            </w:pPr>
            <w:r>
              <w:rPr>
                <w:rFonts w:hint="default" w:ascii="Times New Roman" w:hAnsi="Times New Roman" w:eastAsia="黑体" w:cs="Times New Roman"/>
                <w:b w:val="0"/>
                <w:bCs/>
                <w:color w:val="auto"/>
                <w:kern w:val="0"/>
                <w:sz w:val="20"/>
                <w:szCs w:val="20"/>
              </w:rPr>
              <w:t>结果</w:t>
            </w:r>
          </w:p>
          <w:p w14:paraId="16E2DF49">
            <w:pPr>
              <w:widowControl/>
              <w:ind w:left="-149" w:leftChars="-71" w:right="-170" w:rightChars="-81"/>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1FDDA940">
            <w:pPr>
              <w:widowControl/>
              <w:ind w:left="-43" w:leftChars="-21" w:right="-132" w:rightChars="-63" w:hanging="1"/>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F1A9ECC">
            <w:pPr>
              <w:widowControl/>
              <w:ind w:left="-82" w:leftChars="-39" w:right="-97" w:rightChars="-46"/>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E64657C">
            <w:pPr>
              <w:widowControl/>
              <w:ind w:left="-118" w:leftChars="-56" w:right="-118" w:rightChars="-56"/>
              <w:jc w:val="center"/>
              <w:rPr>
                <w:rFonts w:hint="default" w:ascii="Times New Roman" w:hAnsi="Times New Roman" w:eastAsia="黑体" w:cs="Times New Roman"/>
                <w:b w:val="0"/>
                <w:bCs/>
                <w:color w:val="auto"/>
                <w:kern w:val="0"/>
                <w:sz w:val="20"/>
                <w:szCs w:val="20"/>
              </w:rPr>
            </w:pPr>
            <w:r>
              <w:rPr>
                <w:rFonts w:hint="default" w:ascii="Times New Roman" w:hAnsi="Times New Roman" w:eastAsia="黑体" w:cs="Times New Roman"/>
                <w:b w:val="0"/>
                <w:bCs/>
                <w:color w:val="auto"/>
                <w:kern w:val="0"/>
                <w:sz w:val="20"/>
                <w:szCs w:val="20"/>
              </w:rPr>
              <w:t>尚未</w:t>
            </w:r>
          </w:p>
          <w:p w14:paraId="690C0E2F">
            <w:pPr>
              <w:widowControl/>
              <w:ind w:left="-118" w:leftChars="-56" w:right="-118" w:rightChars="-56"/>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08114AE">
            <w:pPr>
              <w:widowControl/>
              <w:spacing w:line="320" w:lineRule="exact"/>
              <w:jc w:val="center"/>
              <w:rPr>
                <w:rFonts w:hint="default" w:ascii="Times New Roman" w:hAnsi="Times New Roman" w:eastAsia="黑体" w:cs="Times New Roman"/>
                <w:b w:val="0"/>
                <w:bCs/>
                <w:color w:val="auto"/>
                <w:kern w:val="0"/>
                <w:sz w:val="20"/>
                <w:szCs w:val="20"/>
              </w:rPr>
            </w:pPr>
            <w:r>
              <w:rPr>
                <w:rFonts w:hint="default" w:ascii="Times New Roman" w:hAnsi="Times New Roman" w:eastAsia="黑体" w:cs="Times New Roman"/>
                <w:b w:val="0"/>
                <w:bCs/>
                <w:color w:val="auto"/>
                <w:kern w:val="0"/>
                <w:sz w:val="20"/>
                <w:szCs w:val="20"/>
              </w:rPr>
              <w:t>总</w:t>
            </w:r>
          </w:p>
          <w:p w14:paraId="4B569AB2">
            <w:pPr>
              <w:widowControl/>
              <w:spacing w:line="320" w:lineRule="exact"/>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C37EAAA">
            <w:pPr>
              <w:widowControl/>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6A02CA5">
            <w:pPr>
              <w:widowControl/>
              <w:jc w:val="center"/>
              <w:rPr>
                <w:rFonts w:hint="default" w:ascii="Times New Roman" w:hAnsi="Times New Roman" w:eastAsia="黑体" w:cs="Times New Roman"/>
                <w:b w:val="0"/>
                <w:bCs/>
                <w:color w:val="auto"/>
              </w:rPr>
            </w:pPr>
            <w:bookmarkStart w:id="9" w:name="_Hlk67039688"/>
            <w:r>
              <w:rPr>
                <w:rFonts w:hint="default" w:ascii="Times New Roman" w:hAnsi="Times New Roman" w:eastAsia="黑体" w:cs="Times New Roman"/>
                <w:b w:val="0"/>
                <w:bCs/>
                <w:color w:val="auto"/>
                <w:kern w:val="0"/>
                <w:sz w:val="20"/>
                <w:szCs w:val="20"/>
              </w:rPr>
              <w:t>复议后起诉</w:t>
            </w:r>
            <w:bookmarkEnd w:id="9"/>
          </w:p>
        </w:tc>
      </w:tr>
      <w:tr w14:paraId="6F99E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9C80635">
            <w:pPr>
              <w:rPr>
                <w:rFonts w:hint="default" w:ascii="Times New Roman" w:hAnsi="Times New Roman" w:eastAsia="黑体" w:cs="Times New Roman"/>
                <w:b w:val="0"/>
                <w:bCs/>
                <w:color w:val="auto"/>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06B3CF0D">
            <w:pPr>
              <w:rPr>
                <w:rFonts w:hint="default" w:ascii="Times New Roman" w:hAnsi="Times New Roman" w:eastAsia="黑体" w:cs="Times New Roman"/>
                <w:b w:val="0"/>
                <w:bCs/>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3BED469">
            <w:pPr>
              <w:rPr>
                <w:rFonts w:hint="default" w:ascii="Times New Roman" w:hAnsi="Times New Roman" w:eastAsia="黑体" w:cs="Times New Roman"/>
                <w:b w:val="0"/>
                <w:bCs/>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DD04BB1">
            <w:pPr>
              <w:rPr>
                <w:rFonts w:hint="default" w:ascii="Times New Roman" w:hAnsi="Times New Roman" w:eastAsia="黑体" w:cs="Times New Roman"/>
                <w:b w:val="0"/>
                <w:bCs/>
                <w:color w:val="auto"/>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613BE10">
            <w:pPr>
              <w:rPr>
                <w:rFonts w:hint="default" w:ascii="Times New Roman" w:hAnsi="Times New Roman" w:eastAsia="黑体" w:cs="Times New Roman"/>
                <w:b w:val="0"/>
                <w:bCs/>
                <w:color w:val="auto"/>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1217EE85">
            <w:pPr>
              <w:widowControl/>
              <w:ind w:left="-105" w:leftChars="-50" w:right="-126" w:rightChars="-6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12EEB78">
            <w:pPr>
              <w:widowControl/>
              <w:ind w:left="-86" w:leftChars="-41" w:right="-88" w:rightChars="-42"/>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ABC11FB">
            <w:pPr>
              <w:widowControl/>
              <w:ind w:left="-126" w:leftChars="-60" w:right="-136" w:rightChars="-65"/>
              <w:jc w:val="center"/>
              <w:rPr>
                <w:rFonts w:hint="default" w:ascii="Times New Roman" w:hAnsi="Times New Roman" w:eastAsia="黑体" w:cs="Times New Roman"/>
                <w:b w:val="0"/>
                <w:bCs/>
                <w:color w:val="auto"/>
                <w:kern w:val="0"/>
                <w:sz w:val="20"/>
                <w:szCs w:val="20"/>
              </w:rPr>
            </w:pPr>
            <w:r>
              <w:rPr>
                <w:rFonts w:hint="default" w:ascii="Times New Roman" w:hAnsi="Times New Roman" w:eastAsia="黑体" w:cs="Times New Roman"/>
                <w:b w:val="0"/>
                <w:bCs/>
                <w:color w:val="auto"/>
                <w:kern w:val="0"/>
                <w:sz w:val="20"/>
                <w:szCs w:val="20"/>
              </w:rPr>
              <w:t>其他</w:t>
            </w:r>
          </w:p>
          <w:p w14:paraId="493CD981">
            <w:pPr>
              <w:widowControl/>
              <w:ind w:left="-126" w:leftChars="-60" w:right="-136" w:rightChars="-65"/>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BA00B67">
            <w:pPr>
              <w:widowControl/>
              <w:ind w:left="-164" w:leftChars="-78" w:right="-153" w:rightChars="-73"/>
              <w:jc w:val="center"/>
              <w:rPr>
                <w:rFonts w:hint="default" w:ascii="Times New Roman" w:hAnsi="Times New Roman" w:eastAsia="黑体" w:cs="Times New Roman"/>
                <w:b w:val="0"/>
                <w:bCs/>
                <w:color w:val="auto"/>
                <w:kern w:val="0"/>
                <w:sz w:val="20"/>
                <w:szCs w:val="20"/>
              </w:rPr>
            </w:pPr>
            <w:r>
              <w:rPr>
                <w:rFonts w:hint="default" w:ascii="Times New Roman" w:hAnsi="Times New Roman" w:eastAsia="黑体" w:cs="Times New Roman"/>
                <w:b w:val="0"/>
                <w:bCs/>
                <w:color w:val="auto"/>
                <w:kern w:val="0"/>
                <w:sz w:val="20"/>
                <w:szCs w:val="20"/>
              </w:rPr>
              <w:t>尚未</w:t>
            </w:r>
          </w:p>
          <w:p w14:paraId="4A4A4279">
            <w:pPr>
              <w:widowControl/>
              <w:ind w:left="-164" w:leftChars="-78" w:right="-153" w:rightChars="-73"/>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3210D2">
            <w:pPr>
              <w:widowControl/>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603B074">
            <w:pPr>
              <w:widowControl/>
              <w:ind w:left="-99" w:leftChars="-47" w:right="-78" w:rightChars="-37"/>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7BA3531">
            <w:pPr>
              <w:widowControl/>
              <w:ind w:left="-136" w:leftChars="-65" w:right="-124" w:rightChars="-59"/>
              <w:jc w:val="center"/>
              <w:rPr>
                <w:rFonts w:hint="default" w:ascii="Times New Roman" w:hAnsi="Times New Roman" w:eastAsia="黑体" w:cs="Times New Roman"/>
                <w:b w:val="0"/>
                <w:bCs/>
                <w:color w:val="auto"/>
                <w:kern w:val="0"/>
                <w:sz w:val="20"/>
                <w:szCs w:val="20"/>
              </w:rPr>
            </w:pPr>
            <w:r>
              <w:rPr>
                <w:rFonts w:hint="default" w:ascii="Times New Roman" w:hAnsi="Times New Roman" w:eastAsia="黑体" w:cs="Times New Roman"/>
                <w:b w:val="0"/>
                <w:bCs/>
                <w:color w:val="auto"/>
                <w:kern w:val="0"/>
                <w:sz w:val="20"/>
                <w:szCs w:val="20"/>
              </w:rPr>
              <w:t>结果</w:t>
            </w:r>
          </w:p>
          <w:p w14:paraId="4957C370">
            <w:pPr>
              <w:widowControl/>
              <w:ind w:left="-136" w:leftChars="-65" w:right="-124" w:rightChars="-59"/>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148A27B">
            <w:pPr>
              <w:widowControl/>
              <w:ind w:left="-173" w:leftChars="-83" w:right="-134" w:rightChars="-64" w:hanging="1"/>
              <w:jc w:val="center"/>
              <w:rPr>
                <w:rFonts w:hint="default" w:ascii="Times New Roman" w:hAnsi="Times New Roman" w:eastAsia="黑体" w:cs="Times New Roman"/>
                <w:b w:val="0"/>
                <w:bCs/>
                <w:color w:val="auto"/>
                <w:kern w:val="0"/>
                <w:sz w:val="20"/>
                <w:szCs w:val="20"/>
              </w:rPr>
            </w:pPr>
            <w:r>
              <w:rPr>
                <w:rFonts w:hint="default" w:ascii="Times New Roman" w:hAnsi="Times New Roman" w:eastAsia="黑体" w:cs="Times New Roman"/>
                <w:b w:val="0"/>
                <w:bCs/>
                <w:color w:val="auto"/>
                <w:kern w:val="0"/>
                <w:sz w:val="20"/>
                <w:szCs w:val="20"/>
              </w:rPr>
              <w:t>其他</w:t>
            </w:r>
          </w:p>
          <w:p w14:paraId="326544BF">
            <w:pPr>
              <w:widowControl/>
              <w:ind w:left="-173" w:leftChars="-83" w:right="-134" w:rightChars="-64" w:hanging="1"/>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4ABA21D">
            <w:pPr>
              <w:widowControl/>
              <w:ind w:left="-67" w:leftChars="-33" w:right="-105" w:rightChars="-50" w:hanging="2" w:hangingChars="1"/>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79CD39C">
            <w:pPr>
              <w:widowControl/>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kern w:val="0"/>
                <w:sz w:val="20"/>
                <w:szCs w:val="20"/>
              </w:rPr>
              <w:t>总计</w:t>
            </w:r>
          </w:p>
        </w:tc>
      </w:tr>
      <w:tr w14:paraId="667AC0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98739F">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1F27334">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6C636E44">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B6E21E4">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01125450">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24A27043">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2AD932B">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C848DC3">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CAA4F94">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5EB5E12">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7068D0F">
            <w:pPr>
              <w:widowControl/>
              <w:spacing w:after="180"/>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265E411">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A84F281">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16A87B6C">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5392EBF8">
            <w:pPr>
              <w:widowControl/>
              <w:spacing w:after="180"/>
              <w:jc w:val="center"/>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lang w:val="en-US" w:eastAsia="zh-CN"/>
              </w:rPr>
              <w:t>0</w:t>
            </w:r>
          </w:p>
        </w:tc>
      </w:tr>
    </w:tbl>
    <w:p w14:paraId="6BD2A16B">
      <w:pPr>
        <w:widowControl/>
        <w:jc w:val="left"/>
        <w:rPr>
          <w:rFonts w:hint="default" w:ascii="Times New Roman" w:hAnsi="Times New Roman" w:eastAsia="仿宋_GB2312" w:cs="Times New Roman"/>
          <w:b w:val="0"/>
          <w:bCs/>
          <w:color w:val="auto"/>
          <w:kern w:val="0"/>
          <w:szCs w:val="21"/>
          <w:lang w:val="en-US" w:eastAsia="zh-CN"/>
        </w:rPr>
      </w:pPr>
    </w:p>
    <w:p w14:paraId="06330A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五、存在的主要问题及改进情况</w:t>
      </w:r>
    </w:p>
    <w:p w14:paraId="3E1BB0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（一）存在问题</w:t>
      </w:r>
    </w:p>
    <w:p w14:paraId="425A177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主要是</w:t>
      </w:r>
      <w:r>
        <w:rPr>
          <w:rFonts w:hint="default" w:ascii="Times New Roman" w:hAnsi="Times New Roman" w:eastAsia="仿宋_GB2312" w:cs="Times New Roman"/>
          <w:b w:val="0"/>
          <w:bCs/>
          <w:color w:val="auto"/>
          <w:kern w:val="2"/>
          <w:sz w:val="32"/>
          <w:szCs w:val="32"/>
          <w:lang w:val="en-US" w:eastAsia="zh-CN" w:bidi="ar-SA"/>
        </w:rPr>
        <w:t>政策解读工作不够规范</w:t>
      </w:r>
      <w:r>
        <w:rPr>
          <w:rFonts w:hint="eastAsia" w:ascii="仿宋_GB2312" w:hAnsi="仿宋_GB2312" w:eastAsia="仿宋_GB2312" w:cs="仿宋_GB2312"/>
          <w:b w:val="0"/>
          <w:bCs/>
          <w:color w:val="auto"/>
          <w:spacing w:val="9"/>
          <w:sz w:val="32"/>
          <w:szCs w:val="32"/>
        </w:rPr>
        <w:t>，公开信息的</w:t>
      </w:r>
      <w:r>
        <w:rPr>
          <w:rFonts w:hint="eastAsia" w:ascii="仿宋_GB2312" w:hAnsi="仿宋_GB2312" w:eastAsia="仿宋_GB2312" w:cs="仿宋_GB2312"/>
          <w:b w:val="0"/>
          <w:bCs/>
          <w:color w:val="auto"/>
          <w:spacing w:val="9"/>
          <w:sz w:val="32"/>
          <w:szCs w:val="32"/>
          <w:lang w:val="en-US" w:eastAsia="zh-CN"/>
        </w:rPr>
        <w:t>及时性有待加强</w:t>
      </w:r>
      <w:r>
        <w:rPr>
          <w:rFonts w:hint="eastAsia" w:ascii="仿宋_GB2312" w:hAnsi="仿宋_GB2312" w:eastAsia="仿宋_GB2312" w:cs="仿宋_GB2312"/>
          <w:b w:val="0"/>
          <w:bCs/>
          <w:color w:val="auto"/>
          <w:spacing w:val="9"/>
          <w:sz w:val="32"/>
          <w:szCs w:val="32"/>
        </w:rPr>
        <w:t>。</w:t>
      </w:r>
    </w:p>
    <w:p w14:paraId="72224E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（二）改进情况</w:t>
      </w:r>
    </w:p>
    <w:p w14:paraId="30273DC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一是加强政策解读工作，规范解读工作流程，坚持解读材料与政策性文件同步组织、同步审签。</w:t>
      </w:r>
    </w:p>
    <w:p w14:paraId="4BAAD1D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outlineLvl w:val="0"/>
        <w:rPr>
          <w:rFonts w:hint="eastAsia"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二是</w:t>
      </w:r>
      <w:r>
        <w:rPr>
          <w:rFonts w:hint="eastAsia" w:ascii="Times New Roman" w:hAnsi="Times New Roman" w:eastAsia="仿宋_GB2312" w:cs="Times New Roman"/>
          <w:b w:val="0"/>
          <w:bCs/>
          <w:color w:val="auto"/>
          <w:kern w:val="2"/>
          <w:sz w:val="32"/>
          <w:szCs w:val="32"/>
          <w:lang w:val="en-US" w:eastAsia="zh-CN" w:bidi="ar-SA"/>
        </w:rPr>
        <w:t>加大政务公开的学习与培训，着力提升专职人员对依申请公开件办理规范性，提高政务公开工作业务能力和水平。</w:t>
      </w:r>
    </w:p>
    <w:p w14:paraId="4A1810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六、其他需要报告的事项</w:t>
      </w:r>
    </w:p>
    <w:p w14:paraId="5A790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1.依申请公开信息处理费收费情况。</w:t>
      </w:r>
    </w:p>
    <w:p w14:paraId="72FB2E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i w:val="0"/>
          <w:iCs w:val="0"/>
          <w:caps w:val="0"/>
          <w:color w:val="auto"/>
          <w:spacing w:val="0"/>
          <w:sz w:val="24"/>
          <w:szCs w:val="24"/>
        </w:rPr>
      </w:pPr>
      <w:r>
        <w:rPr>
          <w:rFonts w:hint="default" w:ascii="Times New Roman" w:hAnsi="Times New Roman" w:eastAsia="仿宋" w:cs="Times New Roman"/>
          <w:b w:val="0"/>
          <w:bCs/>
          <w:i w:val="0"/>
          <w:iCs w:val="0"/>
          <w:caps w:val="0"/>
          <w:color w:val="auto"/>
          <w:spacing w:val="0"/>
          <w:sz w:val="31"/>
          <w:szCs w:val="31"/>
          <w:shd w:val="clear" w:fill="FFFFFF"/>
        </w:rPr>
        <w:t>根据《国务院办公厅</w:t>
      </w:r>
      <w:r>
        <w:rPr>
          <w:rFonts w:hint="eastAsia" w:ascii="Times New Roman" w:hAnsi="Times New Roman" w:eastAsia="仿宋" w:cs="Times New Roman"/>
          <w:b w:val="0"/>
          <w:bCs/>
          <w:i w:val="0"/>
          <w:iCs w:val="0"/>
          <w:caps w:val="0"/>
          <w:color w:val="auto"/>
          <w:spacing w:val="0"/>
          <w:sz w:val="31"/>
          <w:szCs w:val="31"/>
          <w:shd w:val="clear" w:fill="FFFFFF"/>
          <w:lang w:eastAsia="zh-CN"/>
        </w:rPr>
        <w:t>关于印发〈</w:t>
      </w:r>
      <w:r>
        <w:rPr>
          <w:rFonts w:hint="default" w:ascii="Times New Roman" w:hAnsi="Times New Roman" w:eastAsia="仿宋" w:cs="Times New Roman"/>
          <w:b w:val="0"/>
          <w:bCs/>
          <w:i w:val="0"/>
          <w:iCs w:val="0"/>
          <w:caps w:val="0"/>
          <w:color w:val="auto"/>
          <w:spacing w:val="0"/>
          <w:sz w:val="31"/>
          <w:szCs w:val="31"/>
          <w:shd w:val="clear" w:fill="FFFFFF"/>
        </w:rPr>
        <w:t>政府信息公开信息处理收费管理办法</w:t>
      </w:r>
      <w:r>
        <w:rPr>
          <w:rFonts w:hint="eastAsia" w:ascii="Times New Roman" w:hAnsi="Times New Roman" w:eastAsia="仿宋" w:cs="Times New Roman"/>
          <w:b w:val="0"/>
          <w:bCs/>
          <w:i w:val="0"/>
          <w:iCs w:val="0"/>
          <w:caps w:val="0"/>
          <w:color w:val="auto"/>
          <w:spacing w:val="0"/>
          <w:sz w:val="31"/>
          <w:szCs w:val="31"/>
          <w:shd w:val="clear" w:fill="FFFFFF"/>
          <w:lang w:eastAsia="zh-CN"/>
        </w:rPr>
        <w:t>〉的通知》</w:t>
      </w:r>
      <w:r>
        <w:rPr>
          <w:rFonts w:hint="default" w:ascii="Times New Roman" w:hAnsi="Times New Roman" w:eastAsia="仿宋" w:cs="Times New Roman"/>
          <w:b w:val="0"/>
          <w:bCs/>
          <w:i w:val="0"/>
          <w:iCs w:val="0"/>
          <w:caps w:val="0"/>
          <w:color w:val="auto"/>
          <w:spacing w:val="0"/>
          <w:sz w:val="31"/>
          <w:szCs w:val="31"/>
          <w:shd w:val="clear" w:fill="FFFFFF"/>
        </w:rPr>
        <w:t>（国办函〔2020〕109号）和《山东省人民政府办公厅关于做好政府信息公开信息处理费管理工作有关事项的通知》（鲁政办字〔2020〕179号）规定，</w:t>
      </w:r>
      <w:r>
        <w:rPr>
          <w:rStyle w:val="8"/>
          <w:rFonts w:hint="eastAsia" w:ascii="Times New Roman" w:hAnsi="Times New Roman" w:eastAsia="仿宋_GB2312" w:cs="Times New Roman"/>
          <w:b w:val="0"/>
          <w:bCs/>
          <w:i w:val="0"/>
          <w:iCs w:val="0"/>
          <w:caps w:val="0"/>
          <w:color w:val="auto"/>
          <w:spacing w:val="0"/>
          <w:sz w:val="32"/>
          <w:szCs w:val="32"/>
          <w:shd w:val="clear" w:fill="FFFFFF"/>
          <w:lang w:eastAsia="zh-CN"/>
        </w:rPr>
        <w:t>2024</w:t>
      </w:r>
      <w:r>
        <w:rPr>
          <w:rStyle w:val="8"/>
          <w:rFonts w:hint="default" w:ascii="Times New Roman" w:hAnsi="Times New Roman" w:eastAsia="仿宋_GB2312" w:cs="Times New Roman"/>
          <w:b w:val="0"/>
          <w:bCs/>
          <w:i w:val="0"/>
          <w:iCs w:val="0"/>
          <w:caps w:val="0"/>
          <w:color w:val="auto"/>
          <w:spacing w:val="0"/>
          <w:sz w:val="32"/>
          <w:szCs w:val="32"/>
          <w:shd w:val="clear" w:fill="FFFFFF"/>
        </w:rPr>
        <w:t>年度本单位</w:t>
      </w:r>
      <w:r>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t>没有</w:t>
      </w:r>
      <w:r>
        <w:rPr>
          <w:rStyle w:val="8"/>
          <w:rFonts w:hint="default" w:ascii="Times New Roman" w:hAnsi="Times New Roman" w:eastAsia="仿宋_GB2312" w:cs="Times New Roman"/>
          <w:b w:val="0"/>
          <w:bCs/>
          <w:i w:val="0"/>
          <w:iCs w:val="0"/>
          <w:caps w:val="0"/>
          <w:color w:val="auto"/>
          <w:spacing w:val="0"/>
          <w:sz w:val="32"/>
          <w:szCs w:val="32"/>
          <w:shd w:val="clear" w:fill="FFFFFF"/>
        </w:rPr>
        <w:t>收取政府信息公开处理费</w:t>
      </w:r>
      <w:r>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t>情况</w:t>
      </w:r>
      <w:r>
        <w:rPr>
          <w:rStyle w:val="8"/>
          <w:rFonts w:hint="default" w:ascii="Times New Roman" w:hAnsi="Times New Roman" w:eastAsia="仿宋_GB2312" w:cs="Times New Roman"/>
          <w:b w:val="0"/>
          <w:bCs/>
          <w:i w:val="0"/>
          <w:iCs w:val="0"/>
          <w:caps w:val="0"/>
          <w:color w:val="auto"/>
          <w:spacing w:val="0"/>
          <w:sz w:val="32"/>
          <w:szCs w:val="32"/>
          <w:shd w:val="clear" w:fill="FFFFFF"/>
        </w:rPr>
        <w:t>。</w:t>
      </w:r>
    </w:p>
    <w:p w14:paraId="5742F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2.本年度建议提案办理情况。</w:t>
      </w:r>
    </w:p>
    <w:p w14:paraId="3313A50F">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 w:cs="Times New Roman"/>
          <w:b w:val="0"/>
          <w:bCs/>
          <w:i w:val="0"/>
          <w:iCs w:val="0"/>
          <w:caps w:val="0"/>
          <w:color w:val="auto"/>
          <w:spacing w:val="0"/>
          <w:sz w:val="31"/>
          <w:szCs w:val="31"/>
          <w:shd w:val="clear" w:fill="FFFFFF"/>
        </w:rPr>
      </w:pPr>
      <w:r>
        <w:rPr>
          <w:rFonts w:hint="default" w:ascii="Times New Roman" w:hAnsi="Times New Roman" w:eastAsia="仿宋" w:cs="Times New Roman"/>
          <w:b w:val="0"/>
          <w:bCs/>
          <w:i w:val="0"/>
          <w:iCs w:val="0"/>
          <w:caps w:val="0"/>
          <w:color w:val="auto"/>
          <w:spacing w:val="0"/>
          <w:sz w:val="31"/>
          <w:szCs w:val="31"/>
          <w:shd w:val="clear" w:fill="FFFFFF"/>
        </w:rPr>
        <w:t>2024年</w:t>
      </w:r>
      <w:r>
        <w:rPr>
          <w:rFonts w:hint="eastAsia" w:ascii="Times New Roman" w:hAnsi="Times New Roman" w:eastAsia="仿宋" w:cs="Times New Roman"/>
          <w:b w:val="0"/>
          <w:bCs/>
          <w:i w:val="0"/>
          <w:iCs w:val="0"/>
          <w:caps w:val="0"/>
          <w:color w:val="auto"/>
          <w:spacing w:val="0"/>
          <w:sz w:val="31"/>
          <w:szCs w:val="31"/>
          <w:shd w:val="clear" w:fill="FFFFFF"/>
          <w:lang w:eastAsia="zh-CN"/>
        </w:rPr>
        <w:t>，</w:t>
      </w:r>
      <w:r>
        <w:rPr>
          <w:rFonts w:hint="eastAsia" w:ascii="Times New Roman" w:hAnsi="Times New Roman" w:eastAsia="仿宋" w:cs="Times New Roman"/>
          <w:b w:val="0"/>
          <w:bCs/>
          <w:i w:val="0"/>
          <w:iCs w:val="0"/>
          <w:caps w:val="0"/>
          <w:color w:val="auto"/>
          <w:spacing w:val="0"/>
          <w:sz w:val="31"/>
          <w:szCs w:val="31"/>
          <w:shd w:val="clear" w:fill="FFFFFF"/>
          <w:lang w:val="en-US" w:eastAsia="zh-CN"/>
        </w:rPr>
        <w:t>我单位共</w:t>
      </w:r>
      <w:r>
        <w:rPr>
          <w:rFonts w:hint="default" w:ascii="Times New Roman" w:hAnsi="Times New Roman" w:eastAsia="仿宋" w:cs="Times New Roman"/>
          <w:b w:val="0"/>
          <w:bCs/>
          <w:i w:val="0"/>
          <w:iCs w:val="0"/>
          <w:caps w:val="0"/>
          <w:color w:val="auto"/>
          <w:spacing w:val="0"/>
          <w:sz w:val="31"/>
          <w:szCs w:val="31"/>
          <w:shd w:val="clear" w:fill="FFFFFF"/>
        </w:rPr>
        <w:t>收到县人大建议</w:t>
      </w:r>
      <w:r>
        <w:rPr>
          <w:rFonts w:hint="eastAsia" w:ascii="Times New Roman" w:hAnsi="Times New Roman" w:eastAsia="仿宋" w:cs="Times New Roman"/>
          <w:b w:val="0"/>
          <w:bCs/>
          <w:i w:val="0"/>
          <w:iCs w:val="0"/>
          <w:caps w:val="0"/>
          <w:color w:val="auto"/>
          <w:spacing w:val="0"/>
          <w:sz w:val="31"/>
          <w:szCs w:val="31"/>
          <w:shd w:val="clear" w:fill="FFFFFF"/>
          <w:lang w:val="en-US" w:eastAsia="zh-CN"/>
        </w:rPr>
        <w:t>3</w:t>
      </w:r>
      <w:r>
        <w:rPr>
          <w:rFonts w:hint="default" w:ascii="Times New Roman" w:hAnsi="Times New Roman" w:eastAsia="仿宋" w:cs="Times New Roman"/>
          <w:b w:val="0"/>
          <w:bCs/>
          <w:i w:val="0"/>
          <w:iCs w:val="0"/>
          <w:caps w:val="0"/>
          <w:color w:val="auto"/>
          <w:spacing w:val="0"/>
          <w:sz w:val="31"/>
          <w:szCs w:val="31"/>
          <w:shd w:val="clear" w:fill="FFFFFF"/>
        </w:rPr>
        <w:t>条，已经回复办理</w:t>
      </w:r>
      <w:r>
        <w:rPr>
          <w:rFonts w:hint="eastAsia" w:ascii="Times New Roman" w:hAnsi="Times New Roman" w:eastAsia="仿宋" w:cs="Times New Roman"/>
          <w:b w:val="0"/>
          <w:bCs/>
          <w:i w:val="0"/>
          <w:iCs w:val="0"/>
          <w:caps w:val="0"/>
          <w:color w:val="auto"/>
          <w:spacing w:val="0"/>
          <w:sz w:val="31"/>
          <w:szCs w:val="31"/>
          <w:shd w:val="clear" w:fill="FFFFFF"/>
          <w:lang w:val="en-US" w:eastAsia="zh-CN"/>
        </w:rPr>
        <w:t>并公开在政府网站上</w:t>
      </w:r>
      <w:r>
        <w:rPr>
          <w:rFonts w:hint="default" w:ascii="Times New Roman" w:hAnsi="Times New Roman" w:eastAsia="仿宋" w:cs="Times New Roman"/>
          <w:b w:val="0"/>
          <w:bCs/>
          <w:i w:val="0"/>
          <w:iCs w:val="0"/>
          <w:caps w:val="0"/>
          <w:color w:val="auto"/>
          <w:spacing w:val="0"/>
          <w:sz w:val="31"/>
          <w:szCs w:val="31"/>
          <w:shd w:val="clear" w:fill="FFFFFF"/>
        </w:rPr>
        <w:t>。</w:t>
      </w:r>
    </w:p>
    <w:p w14:paraId="1ED6937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仿宋" w:cs="Times New Roman"/>
          <w:i w:val="0"/>
          <w:iCs w:val="0"/>
          <w:caps w:val="0"/>
          <w:color w:val="000000"/>
          <w:spacing w:val="0"/>
          <w:sz w:val="31"/>
          <w:szCs w:val="31"/>
          <w:shd w:val="clear" w:fill="FFFFFF"/>
        </w:rPr>
        <w:t>2024年，</w:t>
      </w:r>
      <w:r>
        <w:rPr>
          <w:rFonts w:hint="eastAsia" w:ascii="Times New Roman" w:hAnsi="Times New Roman" w:eastAsia="仿宋" w:cs="Times New Roman"/>
          <w:i w:val="0"/>
          <w:iCs w:val="0"/>
          <w:caps w:val="0"/>
          <w:color w:val="000000"/>
          <w:spacing w:val="0"/>
          <w:sz w:val="31"/>
          <w:szCs w:val="31"/>
          <w:shd w:val="clear" w:fill="FFFFFF"/>
          <w:lang w:val="en-US" w:eastAsia="zh-CN"/>
        </w:rPr>
        <w:t>我单位未共</w:t>
      </w:r>
      <w:r>
        <w:rPr>
          <w:rFonts w:hint="default" w:ascii="Times New Roman" w:hAnsi="Times New Roman" w:eastAsia="仿宋" w:cs="Times New Roman"/>
          <w:i w:val="0"/>
          <w:iCs w:val="0"/>
          <w:caps w:val="0"/>
          <w:color w:val="000000"/>
          <w:spacing w:val="0"/>
          <w:sz w:val="31"/>
          <w:szCs w:val="31"/>
          <w:shd w:val="clear" w:fill="FFFFFF"/>
        </w:rPr>
        <w:t>收到县政协提案。</w:t>
      </w:r>
    </w:p>
    <w:p w14:paraId="1F5E4E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3.创新情况。</w:t>
      </w:r>
    </w:p>
    <w:p w14:paraId="03F93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一是利用开发区企业服务中心提供便民渠道</w:t>
      </w:r>
      <w:r>
        <w:rPr>
          <w:rFonts w:hint="default" w:ascii="Times New Roman" w:hAnsi="Times New Roman" w:eastAsia="仿宋_GB2312" w:cs="Times New Roman"/>
          <w:b w:val="0"/>
          <w:bCs/>
          <w:color w:val="auto"/>
          <w:kern w:val="2"/>
          <w:sz w:val="32"/>
          <w:szCs w:val="32"/>
          <w:lang w:val="en-US" w:eastAsia="zh-CN" w:bidi="ar-SA"/>
        </w:rPr>
        <w:t>。设置专区咨询台，配备引导员，为群众提供各类政务公开服务咨询和帮办代办服务，讲解依申请公开流程和《政府信息公开指南》</w:t>
      </w:r>
      <w:r>
        <w:rPr>
          <w:rFonts w:hint="eastAsia" w:ascii="Times New Roman" w:hAnsi="Times New Roman" w:eastAsia="仿宋_GB2312" w:cs="Times New Roman"/>
          <w:b w:val="0"/>
          <w:bCs/>
          <w:color w:val="auto"/>
          <w:kern w:val="2"/>
          <w:sz w:val="32"/>
          <w:szCs w:val="32"/>
          <w:lang w:val="en-US" w:eastAsia="zh-CN" w:bidi="ar-SA"/>
        </w:rPr>
        <w:t xml:space="preserve">。   </w:t>
      </w:r>
    </w:p>
    <w:p w14:paraId="6281E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二是不断提升政府开放日活动质量，扩大活动影响力，不断吸引群众参加，不断深化政府和群众的互动、密切联系。</w:t>
      </w:r>
    </w:p>
    <w:p w14:paraId="1F1D7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4.落实上级政务公开工作方案情况。</w:t>
      </w:r>
    </w:p>
    <w:p w14:paraId="35FFA0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仿宋_GB2312" w:cs="Times New Roman"/>
          <w:b w:val="0"/>
          <w:bCs/>
          <w:i w:val="0"/>
          <w:iCs w:val="0"/>
          <w:caps w:val="0"/>
          <w:color w:val="auto"/>
          <w:spacing w:val="0"/>
          <w:sz w:val="24"/>
          <w:szCs w:val="24"/>
          <w:lang w:eastAsia="zh-CN"/>
        </w:rPr>
      </w:pPr>
      <w:r>
        <w:rPr>
          <w:rFonts w:hint="default" w:ascii="Times New Roman" w:hAnsi="Times New Roman" w:eastAsia="仿宋_GB2312" w:cs="Times New Roman"/>
          <w:b w:val="0"/>
          <w:bCs/>
          <w:color w:val="auto"/>
          <w:kern w:val="2"/>
          <w:sz w:val="32"/>
          <w:szCs w:val="32"/>
          <w:lang w:val="en-US" w:eastAsia="zh-CN" w:bidi="ar-SA"/>
        </w:rPr>
        <w:t>根据《2024年沂源县政务公开工作方案》要求，</w:t>
      </w:r>
      <w:r>
        <w:rPr>
          <w:rStyle w:val="8"/>
          <w:rFonts w:hint="default" w:ascii="Times New Roman" w:hAnsi="Times New Roman" w:eastAsia="仿宋_GB2312" w:cs="Times New Roman"/>
          <w:b w:val="0"/>
          <w:bCs/>
          <w:i w:val="0"/>
          <w:iCs w:val="0"/>
          <w:caps w:val="0"/>
          <w:color w:val="auto"/>
          <w:spacing w:val="0"/>
          <w:sz w:val="32"/>
          <w:szCs w:val="32"/>
          <w:shd w:val="clear" w:fill="FFFFFF"/>
        </w:rPr>
        <w:t>积极落实县委、县政府对于政务公开工作的各项部署，</w:t>
      </w:r>
      <w:r>
        <w:rPr>
          <w:rFonts w:hint="default" w:ascii="Times New Roman" w:hAnsi="Times New Roman" w:eastAsia="仿宋_GB2312" w:cs="Times New Roman"/>
          <w:b w:val="0"/>
          <w:bCs/>
          <w:color w:val="auto"/>
          <w:kern w:val="2"/>
          <w:sz w:val="32"/>
          <w:szCs w:val="32"/>
          <w:lang w:val="en-US" w:eastAsia="zh-CN" w:bidi="ar-SA"/>
        </w:rPr>
        <w:t>重点围绕以公开助推重点工作落实、夯实政务公开基础等方面深化政务公开</w:t>
      </w:r>
      <w:r>
        <w:rPr>
          <w:rFonts w:hint="eastAsia" w:ascii="Times New Roman" w:hAnsi="Times New Roman" w:eastAsia="仿宋_GB2312" w:cs="Times New Roman"/>
          <w:b w:val="0"/>
          <w:bCs/>
          <w:color w:val="auto"/>
          <w:kern w:val="2"/>
          <w:sz w:val="32"/>
          <w:szCs w:val="32"/>
          <w:lang w:val="en-US" w:eastAsia="zh-CN" w:bidi="ar-SA"/>
        </w:rPr>
        <w:t>，</w:t>
      </w:r>
      <w:r>
        <w:rPr>
          <w:rStyle w:val="8"/>
          <w:rFonts w:hint="default" w:ascii="Times New Roman" w:hAnsi="Times New Roman" w:eastAsia="仿宋_GB2312" w:cs="Times New Roman"/>
          <w:b w:val="0"/>
          <w:bCs/>
          <w:i w:val="0"/>
          <w:iCs w:val="0"/>
          <w:caps w:val="0"/>
          <w:color w:val="auto"/>
          <w:spacing w:val="0"/>
          <w:sz w:val="32"/>
          <w:szCs w:val="32"/>
          <w:shd w:val="clear" w:fill="FFFFFF"/>
          <w:lang w:eastAsia="zh-CN"/>
        </w:rPr>
        <w:t>将政务公开工作纳入年度专题研究会议，每半年召开一次政务公开工作专题会议。</w:t>
      </w:r>
    </w:p>
    <w:p w14:paraId="3E305B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pPr>
    </w:p>
    <w:p w14:paraId="1F737C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pPr>
    </w:p>
    <w:p w14:paraId="32D2F5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Style w:val="8"/>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t>沂源经济开发区管理委员会</w:t>
      </w:r>
    </w:p>
    <w:p w14:paraId="7E5D58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center"/>
        <w:textAlignment w:val="auto"/>
        <w:rPr>
          <w:rStyle w:val="8"/>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Style w:val="8"/>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202</w:t>
      </w:r>
      <w:r>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Style w:val="8"/>
          <w:rFonts w:hint="default" w:ascii="Times New Roman" w:hAnsi="Times New Roman" w:eastAsia="仿宋_GB2312" w:cs="Times New Roman"/>
          <w:b w:val="0"/>
          <w:bCs/>
          <w:i w:val="0"/>
          <w:iCs w:val="0"/>
          <w:caps w:val="0"/>
          <w:color w:val="auto"/>
          <w:spacing w:val="0"/>
          <w:sz w:val="32"/>
          <w:szCs w:val="32"/>
          <w:shd w:val="clear" w:fill="FFFFFF"/>
          <w:lang w:val="en-US" w:eastAsia="zh-CN"/>
        </w:rPr>
        <w:t>年1月</w:t>
      </w:r>
      <w:r>
        <w:rPr>
          <w:rStyle w:val="8"/>
          <w:rFonts w:hint="eastAsia" w:ascii="Times New Roman" w:hAnsi="Times New Roman" w:eastAsia="仿宋_GB2312" w:cs="Times New Roman"/>
          <w:b w:val="0"/>
          <w:bCs/>
          <w:i w:val="0"/>
          <w:iCs w:val="0"/>
          <w:caps w:val="0"/>
          <w:color w:val="auto"/>
          <w:spacing w:val="0"/>
          <w:sz w:val="32"/>
          <w:szCs w:val="32"/>
          <w:shd w:val="clear" w:fill="FFFFFF"/>
          <w:lang w:val="en-US" w:eastAsia="zh-CN"/>
        </w:rPr>
        <w:t>14</w:t>
      </w:r>
      <w:r>
        <w:rPr>
          <w:rStyle w:val="8"/>
          <w:rFonts w:hint="default" w:ascii="Times New Roman" w:hAnsi="Times New Roman" w:eastAsia="仿宋_GB2312" w:cs="Times New Roman"/>
          <w:b w:val="0"/>
          <w:bCs/>
          <w:i w:val="0"/>
          <w:iCs w:val="0"/>
          <w:caps w:val="0"/>
          <w:color w:val="auto"/>
          <w:spacing w:val="0"/>
          <w:sz w:val="32"/>
          <w:szCs w:val="32"/>
          <w:shd w:val="clear" w:fill="FFFFFF"/>
          <w:lang w:val="en-US" w:eastAsia="zh-CN"/>
        </w:rPr>
        <w:t>日</w:t>
      </w:r>
    </w:p>
    <w:p w14:paraId="0C56D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p>
    <w:sectPr>
      <w:pgSz w:w="11906" w:h="16838"/>
      <w:pgMar w:top="198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A6A92-27AD-4D99-8076-FC20552406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CE4893D-5755-48DA-AB0E-E820124E9D75}"/>
  </w:font>
  <w:font w:name="方正小标宋简体">
    <w:panose1 w:val="02000000000000000000"/>
    <w:charset w:val="86"/>
    <w:family w:val="auto"/>
    <w:pitch w:val="default"/>
    <w:sig w:usb0="00000001" w:usb1="08000000" w:usb2="00000000" w:usb3="00000000" w:csb0="00040000" w:csb1="00000000"/>
    <w:embedRegular r:id="rId3" w:fontKey="{C494E515-6628-43FB-80F7-71EFF1A16034}"/>
  </w:font>
  <w:font w:name="仿宋_GB2312">
    <w:panose1 w:val="02010609030101010101"/>
    <w:charset w:val="86"/>
    <w:family w:val="decorative"/>
    <w:pitch w:val="default"/>
    <w:sig w:usb0="00000001" w:usb1="080E0000" w:usb2="00000000" w:usb3="00000000" w:csb0="00040000" w:csb1="00000000"/>
    <w:embedRegular r:id="rId4" w:fontKey="{A2C90B56-ED05-4EAB-8EE8-0728DCA58C6E}"/>
  </w:font>
  <w:font w:name="楷体_GB2312">
    <w:panose1 w:val="02010609030101010101"/>
    <w:charset w:val="86"/>
    <w:family w:val="decorative"/>
    <w:pitch w:val="default"/>
    <w:sig w:usb0="00000001" w:usb1="080E0000" w:usb2="00000000" w:usb3="00000000" w:csb0="00040000" w:csb1="00000000"/>
    <w:embedRegular r:id="rId5" w:fontKey="{137D1D54-77CB-45DE-901F-E75536966370}"/>
  </w:font>
  <w:font w:name="微软雅黑">
    <w:panose1 w:val="020B0503020204020204"/>
    <w:charset w:val="86"/>
    <w:family w:val="auto"/>
    <w:pitch w:val="default"/>
    <w:sig w:usb0="80000287" w:usb1="2ACF3C50" w:usb2="00000016" w:usb3="00000000" w:csb0="0004001F" w:csb1="00000000"/>
    <w:embedRegular r:id="rId6" w:fontKey="{A51BC03F-80E9-4C8B-9C4B-0AF0BE5016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BFFD40AB"/>
    <w:rsid w:val="007C2CDB"/>
    <w:rsid w:val="09C33728"/>
    <w:rsid w:val="0B952CAB"/>
    <w:rsid w:val="0BD460C1"/>
    <w:rsid w:val="0E19600D"/>
    <w:rsid w:val="10FD7E68"/>
    <w:rsid w:val="112A66B2"/>
    <w:rsid w:val="120314AE"/>
    <w:rsid w:val="12D20E80"/>
    <w:rsid w:val="12E50BB3"/>
    <w:rsid w:val="13E64BE3"/>
    <w:rsid w:val="153876C0"/>
    <w:rsid w:val="16883EC5"/>
    <w:rsid w:val="173C4B1A"/>
    <w:rsid w:val="19DD0836"/>
    <w:rsid w:val="1A732F49"/>
    <w:rsid w:val="1B214753"/>
    <w:rsid w:val="1B5A1A13"/>
    <w:rsid w:val="1BA57132"/>
    <w:rsid w:val="1E6C2189"/>
    <w:rsid w:val="1F3233D2"/>
    <w:rsid w:val="20B322F1"/>
    <w:rsid w:val="20E34258"/>
    <w:rsid w:val="23B321D7"/>
    <w:rsid w:val="242760A3"/>
    <w:rsid w:val="27DB3EDB"/>
    <w:rsid w:val="2C351E0C"/>
    <w:rsid w:val="2D256324"/>
    <w:rsid w:val="2DD92C6B"/>
    <w:rsid w:val="2EEB0D06"/>
    <w:rsid w:val="2F5C3B54"/>
    <w:rsid w:val="31943A79"/>
    <w:rsid w:val="31FE0EF2"/>
    <w:rsid w:val="32A61CB5"/>
    <w:rsid w:val="3386221A"/>
    <w:rsid w:val="339B68CB"/>
    <w:rsid w:val="372B58A0"/>
    <w:rsid w:val="37AF406D"/>
    <w:rsid w:val="38E057F5"/>
    <w:rsid w:val="3CAE6C35"/>
    <w:rsid w:val="3CDF5EAA"/>
    <w:rsid w:val="3D18555E"/>
    <w:rsid w:val="3F746C97"/>
    <w:rsid w:val="42181B5C"/>
    <w:rsid w:val="42725710"/>
    <w:rsid w:val="43014CE6"/>
    <w:rsid w:val="43612D6A"/>
    <w:rsid w:val="43B34232"/>
    <w:rsid w:val="44284660"/>
    <w:rsid w:val="49D35A28"/>
    <w:rsid w:val="4B833681"/>
    <w:rsid w:val="4C417F01"/>
    <w:rsid w:val="4D7E765F"/>
    <w:rsid w:val="4FFE6835"/>
    <w:rsid w:val="508807F5"/>
    <w:rsid w:val="50EF617E"/>
    <w:rsid w:val="519A433C"/>
    <w:rsid w:val="52E366A9"/>
    <w:rsid w:val="54493DF7"/>
    <w:rsid w:val="57C97ED6"/>
    <w:rsid w:val="588E729E"/>
    <w:rsid w:val="5D5A52C7"/>
    <w:rsid w:val="5DA8BE55"/>
    <w:rsid w:val="6645754F"/>
    <w:rsid w:val="684626D0"/>
    <w:rsid w:val="68E1064A"/>
    <w:rsid w:val="693E784B"/>
    <w:rsid w:val="69D72179"/>
    <w:rsid w:val="6ABF6769"/>
    <w:rsid w:val="6B6712DB"/>
    <w:rsid w:val="6B8A4FC9"/>
    <w:rsid w:val="6BE2ED13"/>
    <w:rsid w:val="6BEA3CBA"/>
    <w:rsid w:val="6BF05E52"/>
    <w:rsid w:val="6CAE4CE7"/>
    <w:rsid w:val="6E670402"/>
    <w:rsid w:val="6FF9271D"/>
    <w:rsid w:val="721D26F3"/>
    <w:rsid w:val="724834E8"/>
    <w:rsid w:val="737407F8"/>
    <w:rsid w:val="77A64F39"/>
    <w:rsid w:val="794E12A4"/>
    <w:rsid w:val="7BFF2425"/>
    <w:rsid w:val="7EFB1C05"/>
    <w:rsid w:val="AE78EF6B"/>
    <w:rsid w:val="BFFD40AB"/>
    <w:rsid w:val="FCBD1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0"/>
      <w:szCs w:val="30"/>
      <w:lang w:val="en-US" w:eastAsia="en-US"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2403</Words>
  <Characters>2531</Characters>
  <Lines>0</Lines>
  <Paragraphs>0</Paragraphs>
  <TotalTime>6</TotalTime>
  <ScaleCrop>false</ScaleCrop>
  <LinksUpToDate>false</LinksUpToDate>
  <CharactersWithSpaces>2561</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2024-01-04T08:57:00Z</dcterms:created>
  <dc:creator>zwgkb</dc:creator>
  <cp:lastModifiedBy>Darren</cp:lastModifiedBy>
  <dcterms:modified xsi:type="dcterms:W3CDTF">2025-01-26T03:28:20Z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KSOTemplateDocerSaveRecord">
    <vt:lpwstr>eyJoZGlkIjoiMzA1Yzk4ODdhYTFiNTQ4MTIyYzFkNWVlOWM0MTc0NWUiLCJ1c2VySWQiOiIyNDAwODI5MDgifQ==</vt:lpwstr>
  </property>
  <property fmtid="{D5CDD505-2E9C-101B-9397-08002B2CF9AE}" pid="4" name="ICV">
    <vt:lpwstr>8F8A97F21E2048BCB915629CD0BA263C_13</vt:lpwstr>
  </property>
</Properties>
</file>