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沂源县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工业和信息化局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公开工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本年度报告中所列数据的统计期限自2023年1月1日起，至202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年12月31日止。如对报告内容有疑问，请与沂源县工业和信息化局联系（地址：沂源县健康路15号；邮编：256100；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电话：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0533-3241453；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邮箱:yyxjxjbgs3241453@zb.shandong.cn）。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（一）主动公开信息情况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一是各类政务公开信息。县工信局主动公开相关政府信息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条，其中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文件解读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条、建议提案类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条，其他相关信息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条。二是严格履行决策事项向社会公开征求意见程序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，做好各类公开信息公开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。政务新媒体“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沂源县工业和信息化局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”微信公众号推送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原创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图文信息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10余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条。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三是规范公开程序和内容。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对政府信息各级栏目进行了适当调整，进一步优化了栏目设置。在信息公开内容上，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根据《中华人民共和国政府信息公开条例》有关要求，及时更新机构设置、机构职能、领导信息等信息内容，并对办公地址、办公电话、办公时间进行了同步更新，确保联系方式准确。重点领域和重要民生信息得到普遍公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根据单位发文、召开会议及内容性质对相关文件进行公开，对符合要求的文件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会议进行解读。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（二）依申请公开信息情况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02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年，通过各种渠道收到有关政府信息公开申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全部依法依规予以办理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对申请人进行了正式答复，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答复内容依规公开，202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年我局没有不予公开的政府信息。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spacing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-2473325</wp:posOffset>
            </wp:positionV>
            <wp:extent cx="4826000" cy="2743200"/>
            <wp:effectExtent l="4445" t="4445" r="8255" b="14605"/>
            <wp:wrapNone/>
            <wp:docPr id="8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县工信局成立政务公开工作领导小组，完善信息公开责任机制。坚持 “以公开为常态，不公开为例外”的原则，依法规范保密审批程序。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按照“谁公开、谁负责”的原则，将信息公开责任落实到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具体分管领导和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科室具体责任人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，扎实做好政务信息公开管理工作。对网站信息定期开展自查自纠，发现问题及时整改，确保政务信息安全。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（四）平台建设情况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根据县政府办公室工作部署，及时调整优化政府信息公开平台栏目设置，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充分发挥沂源县人民政府网站的平台作用，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年底，在县政府的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政务公开目录、内容等更加健全完善，及时发布完善机构职能、领导分工、政府文件、部门文件、重点领域公开、执法结果等信息，确保应当公开的内容及时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准确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充分发挥政务新媒体推介宣传作用，截至目前，微信公众号关注1000余人，自9月份公众号建立以来，全年发布宣传推介信息 22条。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（五）监督保障情况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调整政务公开工作领导小组，明确主要负责同志对政务公开工作负总责，各科室确定一名政务公开工作联络员，定期会商，责任到人。制定 2023 年政务公开培训计划，全年开展专题培训2次。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是政务公开信息发布的直接主体，起到第一道防线的作用。局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科室是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文件提供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部门，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起到查漏补缺的作用，对发现的政务公开的问题和错误及时进行纠正。对县大数据中心发现督导的问题，及时组织进行整改落实反馈，做到立查立改，边查边改。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sz w:val="32"/>
          <w:szCs w:val="32"/>
          <w:lang w:eastAsia="zh-CN"/>
        </w:rPr>
        <w:t>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sz w:val="32"/>
          <w:szCs w:val="32"/>
          <w:lang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6"/>
        <w:gridCol w:w="1400"/>
        <w:gridCol w:w="1740"/>
        <w:gridCol w:w="1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79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第二十条第（一）项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信息内容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本年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  <w:lang w:eastAsia="zh-CN"/>
              </w:rPr>
              <w:t>制发件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0"/>
                <w:szCs w:val="20"/>
              </w:rPr>
              <w:t>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本年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  <w:lang w:eastAsia="zh-CN"/>
              </w:rPr>
              <w:t>现行有效件数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规章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规范性文件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79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第二十条第（五）项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信息内容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  <w:lang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行政许可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第二十条第（六）项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信息内容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  <w:lang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行政处罚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行政强制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79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第二十条第（八）项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信息内容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行政事业性收费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5" w:afterLines="0"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sz w:val="32"/>
          <w:szCs w:val="32"/>
          <w:lang w:eastAsia="zh-CN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sz w:val="32"/>
          <w:szCs w:val="32"/>
          <w:lang w:eastAsia="zh-CN"/>
        </w:rPr>
      </w:pPr>
    </w:p>
    <w:tbl>
      <w:tblPr>
        <w:tblStyle w:val="3"/>
        <w:tblW w:w="8643" w:type="dxa"/>
        <w:tblInd w:w="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671"/>
        <w:gridCol w:w="2893"/>
        <w:gridCol w:w="645"/>
        <w:gridCol w:w="660"/>
        <w:gridCol w:w="630"/>
        <w:gridCol w:w="810"/>
        <w:gridCol w:w="675"/>
        <w:gridCol w:w="536"/>
        <w:gridCol w:w="638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595" w:type="dxa"/>
            <w:gridSpan w:val="8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45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自然人</w:t>
            </w:r>
          </w:p>
        </w:tc>
        <w:tc>
          <w:tcPr>
            <w:tcW w:w="3311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法人或其他组织</w:t>
            </w:r>
          </w:p>
        </w:tc>
        <w:tc>
          <w:tcPr>
            <w:tcW w:w="639" w:type="dxa"/>
            <w:gridSpan w:val="2"/>
            <w:vMerge w:val="restart"/>
            <w:tcBorders>
              <w:top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商业企业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科研机构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社会公益组织</w:t>
            </w:r>
          </w:p>
        </w:tc>
        <w:tc>
          <w:tcPr>
            <w:tcW w:w="6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法律服务机构</w:t>
            </w:r>
          </w:p>
        </w:tc>
        <w:tc>
          <w:tcPr>
            <w:tcW w:w="5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其他</w:t>
            </w:r>
          </w:p>
        </w:tc>
        <w:tc>
          <w:tcPr>
            <w:tcW w:w="639" w:type="dxa"/>
            <w:gridSpan w:val="2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一、本年新收政府信息公开申请数量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二、上年结转政府信息公开申请数量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三、本年度办理结果</w:t>
            </w:r>
          </w:p>
        </w:tc>
        <w:tc>
          <w:tcPr>
            <w:tcW w:w="356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（一）予以公开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</w:p>
        </w:tc>
        <w:tc>
          <w:tcPr>
            <w:tcW w:w="356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（二）部分公开（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区分处理的，只计这一情形，不计其他情形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）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（三）不予公开</w:t>
            </w: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1.属于国家秘密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2.其他法律行政法规禁止公开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3.危及“三安全一稳定”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4.保护第三方合法权益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5.属于三类内部事务信息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6.属于四类过程性信息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7.属于行政执法案卷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8.属于行政查询事项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（四）无法提供</w:t>
            </w: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1.本机关不掌握相关政府信息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2.没有现成信息需要另行制作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3.补正后申请内容仍不明确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（五）不予处理</w:t>
            </w: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1.信访举报投诉类申请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2.重复申请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3.要求提供公开出版物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4.无正当理由大量反复申请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5.要求行政机关确认或重新出具已获取信息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restart"/>
            <w:tcBorders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（六）其他处理</w:t>
            </w: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continue"/>
            <w:tcBorders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  <w:t>2、申请人逾期未按收费通知要求缴纳费用、行政机关不再处理其政府信息公开申请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71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</w:p>
        </w:tc>
        <w:tc>
          <w:tcPr>
            <w:tcW w:w="2893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  <w:t>3、其他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356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  <w:t>（七）总计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 xml:space="preserve"> 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val="en-US" w:eastAsia="zh-CN"/>
              </w:rPr>
              <w:t>四、结转下年度继续办理</w:t>
            </w:r>
          </w:p>
        </w:tc>
        <w:tc>
          <w:tcPr>
            <w:tcW w:w="64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6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7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536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lang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4"/>
                <w:lang w:eastAsia="zh-CN"/>
              </w:rPr>
              <w:t xml:space="preserve"> 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sz w:val="31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2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sz w:val="31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sz w:val="31"/>
          <w:shd w:val="clear" w:color="auto" w:fill="FFFFFF"/>
          <w:lang w:eastAsia="zh-CN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sz w:val="31"/>
          <w:shd w:val="clear" w:color="auto" w:fill="FFFFFF"/>
          <w:lang w:eastAsia="zh-CN"/>
        </w:rPr>
      </w:pPr>
    </w:p>
    <w:tbl>
      <w:tblPr>
        <w:tblStyle w:val="3"/>
        <w:tblW w:w="0" w:type="auto"/>
        <w:tblInd w:w="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575"/>
        <w:gridCol w:w="575"/>
        <w:gridCol w:w="575"/>
        <w:gridCol w:w="627"/>
        <w:gridCol w:w="3"/>
        <w:gridCol w:w="521"/>
        <w:gridCol w:w="576"/>
        <w:gridCol w:w="576"/>
        <w:gridCol w:w="576"/>
        <w:gridCol w:w="576"/>
        <w:gridCol w:w="3"/>
        <w:gridCol w:w="573"/>
        <w:gridCol w:w="576"/>
        <w:gridCol w:w="576"/>
        <w:gridCol w:w="577"/>
        <w:gridCol w:w="583"/>
        <w:gridCol w:w="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行政复议</w:t>
            </w:r>
          </w:p>
        </w:tc>
        <w:tc>
          <w:tcPr>
            <w:tcW w:w="5717" w:type="dxa"/>
            <w:gridSpan w:val="1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575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结果维持</w:t>
            </w:r>
          </w:p>
        </w:tc>
        <w:tc>
          <w:tcPr>
            <w:tcW w:w="575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结果纠正</w:t>
            </w:r>
          </w:p>
        </w:tc>
        <w:tc>
          <w:tcPr>
            <w:tcW w:w="575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其他结果</w:t>
            </w:r>
          </w:p>
        </w:tc>
        <w:tc>
          <w:tcPr>
            <w:tcW w:w="575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尚未审结</w:t>
            </w:r>
          </w:p>
        </w:tc>
        <w:tc>
          <w:tcPr>
            <w:tcW w:w="627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总计</w:t>
            </w:r>
          </w:p>
        </w:tc>
        <w:tc>
          <w:tcPr>
            <w:tcW w:w="2831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未经复议直接起诉</w:t>
            </w:r>
          </w:p>
        </w:tc>
        <w:tc>
          <w:tcPr>
            <w:tcW w:w="2885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575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</w:rPr>
            </w:pPr>
          </w:p>
        </w:tc>
        <w:tc>
          <w:tcPr>
            <w:tcW w:w="524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结果维持</w:t>
            </w:r>
          </w:p>
        </w:tc>
        <w:tc>
          <w:tcPr>
            <w:tcW w:w="57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结果纠正</w:t>
            </w:r>
          </w:p>
        </w:tc>
        <w:tc>
          <w:tcPr>
            <w:tcW w:w="5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其他结果</w:t>
            </w:r>
          </w:p>
        </w:tc>
        <w:tc>
          <w:tcPr>
            <w:tcW w:w="5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尚未审结</w:t>
            </w:r>
          </w:p>
        </w:tc>
        <w:tc>
          <w:tcPr>
            <w:tcW w:w="5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总计</w:t>
            </w:r>
          </w:p>
        </w:tc>
        <w:tc>
          <w:tcPr>
            <w:tcW w:w="576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结果维持</w:t>
            </w:r>
          </w:p>
        </w:tc>
        <w:tc>
          <w:tcPr>
            <w:tcW w:w="5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结果纠正</w:t>
            </w:r>
          </w:p>
        </w:tc>
        <w:tc>
          <w:tcPr>
            <w:tcW w:w="5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其他结果</w:t>
            </w:r>
          </w:p>
        </w:tc>
        <w:tc>
          <w:tcPr>
            <w:tcW w:w="57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尚未审结</w:t>
            </w:r>
          </w:p>
        </w:tc>
        <w:tc>
          <w:tcPr>
            <w:tcW w:w="587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</w:rPr>
              <w:t xml:space="preserve">0 </w:t>
            </w:r>
          </w:p>
        </w:tc>
        <w:tc>
          <w:tcPr>
            <w:tcW w:w="575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</w:rPr>
              <w:t xml:space="preserve"> 0</w:t>
            </w:r>
          </w:p>
        </w:tc>
        <w:tc>
          <w:tcPr>
            <w:tcW w:w="575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</w:rPr>
              <w:t xml:space="preserve"> 0</w:t>
            </w:r>
          </w:p>
        </w:tc>
        <w:tc>
          <w:tcPr>
            <w:tcW w:w="575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</w:rPr>
              <w:t xml:space="preserve"> 0</w:t>
            </w:r>
          </w:p>
        </w:tc>
        <w:tc>
          <w:tcPr>
            <w:tcW w:w="627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</w:rPr>
              <w:t xml:space="preserve"> 0</w:t>
            </w:r>
          </w:p>
        </w:tc>
        <w:tc>
          <w:tcPr>
            <w:tcW w:w="524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 xml:space="preserve"> 0</w:t>
            </w:r>
          </w:p>
        </w:tc>
        <w:tc>
          <w:tcPr>
            <w:tcW w:w="57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 xml:space="preserve"> 0</w:t>
            </w:r>
          </w:p>
        </w:tc>
        <w:tc>
          <w:tcPr>
            <w:tcW w:w="57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 xml:space="preserve">0 </w:t>
            </w:r>
          </w:p>
        </w:tc>
        <w:tc>
          <w:tcPr>
            <w:tcW w:w="57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 xml:space="preserve">0 </w:t>
            </w:r>
          </w:p>
        </w:tc>
        <w:tc>
          <w:tcPr>
            <w:tcW w:w="57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 xml:space="preserve">0 </w:t>
            </w:r>
          </w:p>
        </w:tc>
        <w:tc>
          <w:tcPr>
            <w:tcW w:w="57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 xml:space="preserve"> 0</w:t>
            </w:r>
          </w:p>
        </w:tc>
        <w:tc>
          <w:tcPr>
            <w:tcW w:w="57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 xml:space="preserve">0 </w:t>
            </w:r>
          </w:p>
        </w:tc>
        <w:tc>
          <w:tcPr>
            <w:tcW w:w="57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 xml:space="preserve"> 0</w:t>
            </w:r>
          </w:p>
        </w:tc>
        <w:tc>
          <w:tcPr>
            <w:tcW w:w="577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0"/>
                <w:shd w:val="clear" w:color="auto" w:fill="FFFFFF"/>
                <w:lang w:eastAsia="zh-CN"/>
              </w:rPr>
              <w:t xml:space="preserve">0 </w:t>
            </w:r>
          </w:p>
        </w:tc>
        <w:tc>
          <w:tcPr>
            <w:tcW w:w="587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snapToGrid/>
                <w:spacing w:val="0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spacing w:val="0"/>
                <w:sz w:val="21"/>
                <w:shd w:val="clear" w:color="auto" w:fill="FFFFFF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县工信局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在推进政府信息公开工作方面存在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如下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问题：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是政策解读质量不高，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解读流于形式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，解读形式单一，宣传范围不够广泛。二是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公开信息不全面，基层政务公开在实际操作中，存在公开随意性大、公开内容质量不高等问题，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基层政务公开实际公开的内容大都是一般性消息，比如政府文件、政策解读、部门动态等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真正涉及企业真正利益的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公共事务的决策依据类公开信息不多。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是政民互动不畅通。目前，基层政务公开更多采用的是政府门户网站和政务公开栏等平台，政务新媒体没有得到有效利用，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信息公开成效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不高。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改进情况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：一是文字解读时着重对政策背景、出台目的、重要举措等方面进行实质性解读，提高文字解读质量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。同时增加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解读趣味性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，多形式对政策进行解读。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二是加强与各科室的衔接与沟通，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增加与企业切身利益相关的信息公开，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充实信息公开内容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三是强化队伍建设。加强业务培训，健全工作机制，不断提高业务人员工作和水平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落实政务公开工作专人负责，确保此项工作长期有人抓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spacing w:val="0"/>
          <w:sz w:val="32"/>
          <w:szCs w:val="32"/>
          <w:lang w:val="en-US" w:eastAsia="zh-CN"/>
        </w:rPr>
        <w:t>1.收费情况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/>
        <w:textAlignment w:val="auto"/>
        <w:rPr>
          <w:rStyle w:val="5"/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</w:rPr>
        <w:t>严格按照《政府机关公开信息处理费管理办法》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lang w:eastAsia="zh-CN"/>
        </w:rPr>
        <w:t>规定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</w:rPr>
        <w:t>，202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3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spacing w:val="0"/>
          <w:sz w:val="32"/>
          <w:szCs w:val="32"/>
          <w:lang w:val="en-US" w:eastAsia="zh-CN"/>
        </w:rPr>
        <w:t>2.人大代表建议和政协提案办理结果公开情况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/>
        <w:textAlignment w:val="auto"/>
        <w:rPr>
          <w:rStyle w:val="5"/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 w:bidi="ar"/>
        </w:rPr>
        <w:t>2023年，我局共收到人大政协提案3件，全部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对政协委员提案，按照规定及时进行了答复，并将提案办理总体情况进行了公开。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spacing w:val="0"/>
          <w:sz w:val="32"/>
          <w:szCs w:val="32"/>
          <w:lang w:val="en-US" w:eastAsia="zh-CN"/>
        </w:rPr>
        <w:t>3.政务公开创新情况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sz w:val="32"/>
          <w:szCs w:val="32"/>
          <w:lang w:val="en-US" w:eastAsia="zh-CN"/>
        </w:rPr>
        <w:t>年，在“政务公开在行动”专栏中，每月报送政务公开稿件2篇，成功发布稿件9篇。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spacing w:val="0"/>
          <w:sz w:val="32"/>
          <w:szCs w:val="32"/>
          <w:lang w:val="en-US" w:eastAsia="zh-CN"/>
        </w:rPr>
        <w:t>4.《2023年沂源县政务公开工作方案》落实情况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严格落实工作方案要求，进一步完善信息公开目录，细化信息公开分类，对政策法规、人事信息、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工业发展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等重要领域进行了全面公开，畅通信息公开渠道。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沂源县工业和信息化局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2024年1月30日</w:t>
      </w:r>
    </w:p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E6B69"/>
    <w:multiLevelType w:val="singleLevel"/>
    <w:tmpl w:val="B80E6B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MzQ1MmJjNGJiZjExY2ZkNWYyMDBjY2EzOWI4YWYifQ=="/>
  </w:docVars>
  <w:rsids>
    <w:rsidRoot w:val="77E7703C"/>
    <w:rsid w:val="060B470A"/>
    <w:rsid w:val="07B82DD4"/>
    <w:rsid w:val="099F2A1F"/>
    <w:rsid w:val="0BBE115C"/>
    <w:rsid w:val="16315A9D"/>
    <w:rsid w:val="18527D1E"/>
    <w:rsid w:val="1A2668DE"/>
    <w:rsid w:val="204D5753"/>
    <w:rsid w:val="20C2314A"/>
    <w:rsid w:val="236D433D"/>
    <w:rsid w:val="280478B3"/>
    <w:rsid w:val="304A55B7"/>
    <w:rsid w:val="35C44E9D"/>
    <w:rsid w:val="36BA2C86"/>
    <w:rsid w:val="3BD73779"/>
    <w:rsid w:val="54C254AE"/>
    <w:rsid w:val="6332442C"/>
    <w:rsid w:val="71B87472"/>
    <w:rsid w:val="77E7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G:\desktop\&#26032;&#24314;%20XLSX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依申请公开数量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'[新建 XLSX 工作表.xlsx]Sheet1'!$B$1:$B$3</c:f>
              <c:strCache>
                <c:ptCount val="3"/>
                <c:pt idx="0">
                  <c:v>2021年</c:v>
                </c:pt>
                <c:pt idx="1">
                  <c:v>2022年</c:v>
                </c:pt>
                <c:pt idx="2">
                  <c:v>2023年</c:v>
                </c:pt>
              </c:strCache>
            </c:strRef>
          </c:cat>
          <c:val>
            <c:numRef>
              <c:f>'[新建 XLSX 工作表.xlsx]Sheet1'!$C$1:$C$3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72983948"/>
        <c:axId val="552037048"/>
      </c:lineChart>
      <c:catAx>
        <c:axId val="3729839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52037048"/>
        <c:crosses val="autoZero"/>
        <c:auto val="1"/>
        <c:lblAlgn val="ctr"/>
        <c:lblOffset val="100"/>
        <c:noMultiLvlLbl val="0"/>
      </c:catAx>
      <c:valAx>
        <c:axId val="552037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729839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2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28575" cap="rnd">
        <a:solidFill>
          <a:schemeClr val="phClr"/>
        </a:solidFill>
        <a:round/>
      </a:ln>
      <a:effectLst/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3420</Words>
  <Characters>3551</Characters>
  <Lines>0</Lines>
  <Paragraphs>0</Paragraphs>
  <TotalTime>26</TotalTime>
  <ScaleCrop>false</ScaleCrop>
  <LinksUpToDate>false</LinksUpToDate>
  <CharactersWithSpaces>3833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2022-01-12T07:16:00Z</dcterms:created>
  <dc:creator>朽哥允梦</dc:creator>
  <cp:lastModifiedBy>WPS_1665714459</cp:lastModifiedBy>
  <cp:lastPrinted>2024-01-31T08:36:03Z</cp:lastPrinted>
  <dcterms:modified xsi:type="dcterms:W3CDTF">2024-01-31T08:39:58Z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BE429E3F3D544E8DA72D70A993928393_13</vt:lpwstr>
  </property>
</Properties>
</file>