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361" w:beforeLines="100" w:after="200" w:line="560" w:lineRule="exact"/>
        <w:ind w:right="0" w:rightChars="0"/>
        <w:jc w:val="center"/>
        <w:textAlignment w:val="auto"/>
        <w:outlineLvl w:val="9"/>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关于</w:t>
      </w:r>
      <w:r>
        <w:rPr>
          <w:rFonts w:hint="default" w:ascii="Times New Roman" w:hAnsi="Times New Roman" w:eastAsia="方正小标宋简体" w:cs="Times New Roman"/>
          <w:b/>
          <w:bCs w:val="0"/>
          <w:sz w:val="44"/>
          <w:szCs w:val="44"/>
          <w:lang w:eastAsia="zh-CN"/>
        </w:rPr>
        <w:t>明确沂源县</w:t>
      </w:r>
      <w:r>
        <w:rPr>
          <w:rFonts w:hint="default" w:ascii="Times New Roman" w:hAnsi="Times New Roman" w:eastAsia="方正小标宋简体" w:cs="Times New Roman"/>
          <w:b/>
          <w:bCs w:val="0"/>
          <w:sz w:val="44"/>
          <w:szCs w:val="44"/>
        </w:rPr>
        <w:t>普惠性民办幼儿园</w:t>
      </w:r>
    </w:p>
    <w:p>
      <w:pPr>
        <w:keepNext w:val="0"/>
        <w:keepLines w:val="0"/>
        <w:pageBreakBefore w:val="0"/>
        <w:widowControl w:val="0"/>
        <w:kinsoku/>
        <w:wordWrap/>
        <w:overflowPunct/>
        <w:topLinePunct w:val="0"/>
        <w:autoSpaceDE/>
        <w:autoSpaceDN/>
        <w:bidi w:val="0"/>
        <w:adjustRightInd w:val="0"/>
        <w:snapToGrid w:val="0"/>
        <w:spacing w:after="200" w:line="560" w:lineRule="atLeast"/>
        <w:ind w:right="0" w:rightChars="0"/>
        <w:jc w:val="center"/>
        <w:textAlignment w:val="auto"/>
        <w:outlineLvl w:val="9"/>
        <w:rPr>
          <w:rFonts w:hint="default" w:ascii="Times New Roman" w:hAnsi="Times New Roman" w:eastAsia="仿宋_GB2312" w:cs="Times New Roman"/>
          <w:bCs/>
          <w:sz w:val="32"/>
          <w:szCs w:val="32"/>
        </w:rPr>
      </w:pPr>
      <w:r>
        <w:rPr>
          <w:rFonts w:hint="default" w:ascii="Times New Roman" w:hAnsi="Times New Roman" w:eastAsia="方正小标宋简体" w:cs="Times New Roman"/>
          <w:b/>
          <w:bCs w:val="0"/>
          <w:sz w:val="44"/>
          <w:szCs w:val="44"/>
          <w:lang w:eastAsia="zh-CN"/>
        </w:rPr>
        <w:t>收费标准及有关事项</w:t>
      </w:r>
      <w:r>
        <w:rPr>
          <w:rFonts w:hint="default" w:ascii="Times New Roman" w:hAnsi="Times New Roman" w:eastAsia="方正小标宋简体" w:cs="Times New Roman"/>
          <w:b/>
          <w:bCs w:val="0"/>
          <w:sz w:val="44"/>
          <w:szCs w:val="44"/>
        </w:rPr>
        <w:t>的通知</w:t>
      </w:r>
    </w:p>
    <w:p>
      <w:pPr>
        <w:keepNext w:val="0"/>
        <w:keepLines w:val="0"/>
        <w:pageBreakBefore w:val="0"/>
        <w:widowControl w:val="0"/>
        <w:kinsoku/>
        <w:wordWrap/>
        <w:overflowPunct/>
        <w:topLinePunct w:val="0"/>
        <w:autoSpaceDE/>
        <w:autoSpaceDN/>
        <w:bidi w:val="0"/>
        <w:adjustRightInd w:val="0"/>
        <w:snapToGrid w:val="0"/>
        <w:spacing w:after="0" w:line="560" w:lineRule="atLeast"/>
        <w:ind w:right="0" w:rightChars="0"/>
        <w:jc w:val="center"/>
        <w:textAlignment w:val="auto"/>
        <w:outlineLvl w:val="9"/>
        <w:rPr>
          <w:rFonts w:hint="default" w:ascii="Times New Roman" w:hAnsi="Times New Roman" w:eastAsia="仿宋_GB2312" w:cs="Times New Roman"/>
          <w:b/>
          <w:bCs/>
          <w:sz w:val="32"/>
        </w:rPr>
      </w:pPr>
      <w:r>
        <w:rPr>
          <w:rFonts w:hint="default" w:ascii="Times New Roman" w:hAnsi="Times New Roman" w:eastAsia="仿宋_GB2312" w:cs="Times New Roman"/>
          <w:b/>
          <w:bCs/>
          <w:sz w:val="32"/>
          <w:lang w:eastAsia="zh-CN"/>
        </w:rPr>
        <w:t>源发改价格</w:t>
      </w:r>
      <w:r>
        <w:rPr>
          <w:rFonts w:hint="default" w:ascii="Times New Roman" w:hAnsi="Times New Roman" w:eastAsia="仿宋_GB2312" w:cs="Times New Roman"/>
          <w:b/>
          <w:bCs/>
          <w:sz w:val="32"/>
        </w:rPr>
        <w:t>〔20</w:t>
      </w:r>
      <w:r>
        <w:rPr>
          <w:rFonts w:hint="default" w:ascii="Times New Roman" w:hAnsi="Times New Roman" w:eastAsia="仿宋_GB2312" w:cs="Times New Roman"/>
          <w:b/>
          <w:bCs/>
          <w:sz w:val="32"/>
          <w:lang w:val="en-US" w:eastAsia="zh-CN"/>
        </w:rPr>
        <w:t>22</w:t>
      </w:r>
      <w:r>
        <w:rPr>
          <w:rFonts w:hint="default" w:ascii="Times New Roman" w:hAnsi="Times New Roman" w:eastAsia="仿宋_GB2312" w:cs="Times New Roman"/>
          <w:b/>
          <w:bCs/>
          <w:sz w:val="32"/>
        </w:rPr>
        <w:t>〕</w:t>
      </w:r>
      <w:r>
        <w:rPr>
          <w:rFonts w:hint="default" w:ascii="Times New Roman" w:hAnsi="Times New Roman" w:eastAsia="仿宋_GB2312" w:cs="Times New Roman"/>
          <w:b/>
          <w:bCs/>
          <w:sz w:val="32"/>
          <w:lang w:val="en-US" w:eastAsia="zh-CN"/>
        </w:rPr>
        <w:t>51</w:t>
      </w:r>
      <w:r>
        <w:rPr>
          <w:rFonts w:hint="default" w:ascii="Times New Roman" w:hAnsi="Times New Roman" w:eastAsia="仿宋_GB2312" w:cs="Times New Roman"/>
          <w:b/>
          <w:bCs/>
          <w:sz w:val="32"/>
        </w:rPr>
        <w:t>号</w:t>
      </w:r>
    </w:p>
    <w:p>
      <w:pPr>
        <w:keepNext w:val="0"/>
        <w:keepLines w:val="0"/>
        <w:pageBreakBefore w:val="0"/>
        <w:widowControl w:val="0"/>
        <w:kinsoku/>
        <w:wordWrap/>
        <w:overflowPunct/>
        <w:topLinePunct w:val="0"/>
        <w:autoSpaceDE/>
        <w:autoSpaceDN/>
        <w:bidi w:val="0"/>
        <w:adjustRightInd w:val="0"/>
        <w:snapToGrid w:val="0"/>
        <w:spacing w:after="0" w:line="560" w:lineRule="atLeast"/>
        <w:ind w:right="0" w:rightChars="0"/>
        <w:jc w:val="both"/>
        <w:textAlignment w:val="auto"/>
        <w:outlineLvl w:val="9"/>
        <w:rPr>
          <w:rFonts w:hint="default" w:ascii="Times New Roman" w:hAnsi="Times New Roman" w:eastAsia="仿宋_GB2312" w:cs="Times New Roman"/>
          <w:b/>
          <w:bCs/>
          <w:sz w:val="32"/>
          <w:lang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jc w:val="both"/>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各街道、各镇学区，各普惠性民办幼儿园：</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原《关于明确沂源县普惠性民办幼儿园收费标准及有关事项的通知》（</w:t>
      </w:r>
      <w:r>
        <w:rPr>
          <w:rFonts w:hint="default" w:ascii="Times New Roman" w:hAnsi="Times New Roman" w:eastAsia="仿宋_GB2312" w:cs="Times New Roman"/>
          <w:sz w:val="32"/>
          <w:lang w:eastAsia="zh-CN"/>
        </w:rPr>
        <w:t>源发改发</w:t>
      </w:r>
      <w:r>
        <w:rPr>
          <w:rFonts w:hint="default" w:ascii="Times New Roman" w:hAnsi="Times New Roman" w:eastAsia="仿宋_GB2312" w:cs="Times New Roman"/>
          <w:sz w:val="32"/>
        </w:rPr>
        <w:t>〔201</w:t>
      </w:r>
      <w:r>
        <w:rPr>
          <w:rFonts w:hint="default" w:ascii="Times New Roman" w:hAnsi="Times New Roman" w:eastAsia="仿宋_GB2312" w:cs="Times New Roman"/>
          <w:sz w:val="32"/>
          <w:lang w:val="en-US" w:eastAsia="zh-CN"/>
        </w:rPr>
        <w:t>9</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76</w:t>
      </w:r>
      <w:r>
        <w:rPr>
          <w:rFonts w:hint="default" w:ascii="Times New Roman" w:hAnsi="Times New Roman" w:eastAsia="仿宋_GB2312" w:cs="Times New Roman"/>
          <w:sz w:val="32"/>
        </w:rPr>
        <w:t>号</w:t>
      </w:r>
      <w:r>
        <w:rPr>
          <w:rFonts w:hint="default" w:ascii="Times New Roman" w:hAnsi="Times New Roman" w:eastAsia="仿宋_GB2312" w:cs="Times New Roman"/>
          <w:color w:val="000000"/>
          <w:sz w:val="32"/>
          <w:szCs w:val="32"/>
          <w:lang w:eastAsia="zh-CN"/>
        </w:rPr>
        <w:t>）文件执行期限已到期，经研究，该文件继续延期执行。</w:t>
      </w:r>
      <w:r>
        <w:rPr>
          <w:rFonts w:hint="default" w:ascii="Times New Roman" w:hAnsi="Times New Roman" w:eastAsia="仿宋_GB2312" w:cs="Times New Roman"/>
          <w:color w:val="000000"/>
          <w:sz w:val="32"/>
          <w:szCs w:val="32"/>
        </w:rPr>
        <w:t>现就</w:t>
      </w:r>
      <w:r>
        <w:rPr>
          <w:rFonts w:hint="default" w:ascii="Times New Roman" w:hAnsi="Times New Roman" w:eastAsia="仿宋_GB2312" w:cs="Times New Roman"/>
          <w:color w:val="000000"/>
          <w:sz w:val="32"/>
          <w:szCs w:val="32"/>
          <w:lang w:eastAsia="zh-CN"/>
        </w:rPr>
        <w:t>我县普惠性民办</w:t>
      </w:r>
      <w:r>
        <w:rPr>
          <w:rFonts w:hint="default" w:ascii="Times New Roman" w:hAnsi="Times New Roman" w:eastAsia="仿宋_GB2312" w:cs="Times New Roman"/>
          <w:color w:val="000000"/>
          <w:sz w:val="32"/>
          <w:szCs w:val="32"/>
        </w:rPr>
        <w:t>幼儿园收费管理有关</w:t>
      </w:r>
      <w:r>
        <w:rPr>
          <w:rFonts w:hint="default" w:ascii="Times New Roman" w:hAnsi="Times New Roman" w:eastAsia="仿宋_GB2312" w:cs="Times New Roman"/>
          <w:color w:val="000000"/>
          <w:sz w:val="32"/>
          <w:szCs w:val="32"/>
          <w:lang w:eastAsia="zh-CN"/>
        </w:rPr>
        <w:t>问题明确</w:t>
      </w:r>
      <w:r>
        <w:rPr>
          <w:rFonts w:hint="default" w:ascii="Times New Roman" w:hAnsi="Times New Roman" w:eastAsia="仿宋_GB2312" w:cs="Times New Roman"/>
          <w:color w:val="000000"/>
          <w:sz w:val="32"/>
          <w:szCs w:val="32"/>
        </w:rPr>
        <w:t>如下：</w:t>
      </w:r>
    </w:p>
    <w:p>
      <w:pPr>
        <w:keepNext w:val="0"/>
        <w:keepLines w:val="0"/>
        <w:pageBreakBefore w:val="0"/>
        <w:widowControl w:val="0"/>
        <w:kinsoku/>
        <w:wordWrap/>
        <w:overflowPunct/>
        <w:topLinePunct w:val="0"/>
        <w:autoSpaceDE/>
        <w:autoSpaceDN/>
        <w:bidi w:val="0"/>
        <w:adjustRightInd w:val="0"/>
        <w:snapToGrid w:val="0"/>
        <w:spacing w:after="0" w:line="580" w:lineRule="exact"/>
        <w:ind w:right="0" w:rightChars="0" w:firstLine="640" w:firstLineChars="200"/>
        <w:jc w:val="both"/>
        <w:textAlignment w:val="auto"/>
        <w:outlineLvl w:val="9"/>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一、严格收费标准</w:t>
      </w:r>
    </w:p>
    <w:p>
      <w:pPr>
        <w:keepNext w:val="0"/>
        <w:keepLines w:val="0"/>
        <w:pageBreakBefore w:val="0"/>
        <w:widowControl w:val="0"/>
        <w:kinsoku/>
        <w:wordWrap/>
        <w:overflowPunct/>
        <w:topLinePunct w:val="0"/>
        <w:autoSpaceDE/>
        <w:autoSpaceDN/>
        <w:bidi w:val="0"/>
        <w:adjustRightInd w:val="0"/>
        <w:snapToGrid w:val="0"/>
        <w:spacing w:after="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普惠性民办幼儿园是指面向大众，办园规范，财务公开，</w:t>
      </w:r>
      <w:r>
        <w:rPr>
          <w:rFonts w:hint="default" w:ascii="Times New Roman" w:hAnsi="Times New Roman" w:eastAsia="仿宋_GB2312" w:cs="Times New Roman"/>
          <w:color w:val="000000"/>
          <w:sz w:val="32"/>
          <w:szCs w:val="32"/>
          <w:lang w:eastAsia="zh-CN"/>
        </w:rPr>
        <w:t>不以</w:t>
      </w:r>
      <w:r>
        <w:rPr>
          <w:rFonts w:hint="default" w:ascii="Times New Roman" w:hAnsi="Times New Roman" w:eastAsia="仿宋_GB2312" w:cs="Times New Roman"/>
          <w:color w:val="auto"/>
          <w:sz w:val="32"/>
          <w:szCs w:val="32"/>
          <w:highlight w:val="none"/>
          <w:lang w:eastAsia="zh-CN"/>
        </w:rPr>
        <w:t>营利</w:t>
      </w:r>
      <w:r>
        <w:rPr>
          <w:rFonts w:hint="default" w:ascii="Times New Roman" w:hAnsi="Times New Roman" w:eastAsia="仿宋_GB2312" w:cs="Times New Roman"/>
          <w:color w:val="000000"/>
          <w:sz w:val="32"/>
          <w:szCs w:val="32"/>
          <w:lang w:eastAsia="zh-CN"/>
        </w:rPr>
        <w:t>为目的的民办幼儿园。普惠性民办幼儿园收费实行政府指导价管理。</w:t>
      </w:r>
    </w:p>
    <w:p>
      <w:pPr>
        <w:keepNext w:val="0"/>
        <w:keepLines w:val="0"/>
        <w:pageBreakBefore w:val="0"/>
        <w:widowControl w:val="0"/>
        <w:kinsoku/>
        <w:wordWrap/>
        <w:overflowPunct/>
        <w:topLinePunct w:val="0"/>
        <w:autoSpaceDE/>
        <w:autoSpaceDN/>
        <w:bidi w:val="0"/>
        <w:adjustRightInd w:val="0"/>
        <w:snapToGrid w:val="0"/>
        <w:spacing w:after="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我县</w:t>
      </w:r>
      <w:r>
        <w:rPr>
          <w:rFonts w:hint="default" w:ascii="Times New Roman" w:hAnsi="Times New Roman" w:eastAsia="仿宋_GB2312" w:cs="Times New Roman"/>
          <w:color w:val="000000"/>
          <w:sz w:val="32"/>
          <w:szCs w:val="32"/>
          <w:lang w:val="en-US" w:eastAsia="zh-CN"/>
        </w:rPr>
        <w:t>省级示范普惠性民办幼儿园保教费最高每月不得超过650元，省级一类普惠性民办幼儿园保教费最高每月不得超过600元，省级二类普惠性民办幼儿园保教费最高每月不得超过480元，省级三类普惠性民办幼儿园保教费最高每月不得超过420元。普惠性民办幼儿园收费不得超出最高限价标准，下浮不限</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服务性收费、代收费项目和标准应遵循“家长自愿，据实收取，及时结算，定期公布”的原则，按照同等公办幼儿园服务性收费、代收费的有关规定执行，严禁扩大范围、自立项目收费。</w:t>
      </w:r>
    </w:p>
    <w:p>
      <w:pPr>
        <w:keepNext w:val="0"/>
        <w:keepLines w:val="0"/>
        <w:pageBreakBefore w:val="0"/>
        <w:widowControl w:val="0"/>
        <w:kinsoku/>
        <w:wordWrap/>
        <w:overflowPunct/>
        <w:topLinePunct w:val="0"/>
        <w:autoSpaceDE/>
        <w:autoSpaceDN/>
        <w:bidi w:val="0"/>
        <w:adjustRightInd w:val="0"/>
        <w:snapToGrid w:val="0"/>
        <w:spacing w:after="0" w:line="580" w:lineRule="exact"/>
        <w:ind w:right="0" w:rightChars="0" w:firstLine="640" w:firstLineChars="200"/>
        <w:jc w:val="both"/>
        <w:textAlignment w:val="auto"/>
        <w:outlineLvl w:val="9"/>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二、收退费政策</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幼儿园保教费、伙食费原则上按月收取，采取按季度或学期收费的，须征得幼儿家长同意，不得跨学期收取。</w:t>
      </w:r>
    </w:p>
    <w:p>
      <w:pPr>
        <w:keepNext w:val="0"/>
        <w:keepLines w:val="0"/>
        <w:pageBreakBefore w:val="0"/>
        <w:widowControl w:val="0"/>
        <w:shd w:val="clear" w:color="auto" w:fill="FFFFFF"/>
        <w:kinsoku/>
        <w:wordWrap/>
        <w:overflowPunct/>
        <w:topLinePunct w:val="0"/>
        <w:autoSpaceDE/>
        <w:autoSpaceDN/>
        <w:bidi w:val="0"/>
        <w:adjustRightInd/>
        <w:snapToGrid w:val="0"/>
        <w:spacing w:after="0"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幼儿因幼儿园放假等原因不能入园的，幼儿园不得收取该时间段的保教费。</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幼儿入园后退（转）园或不退园但因故未入园，在园时间累计不足当月法定工作日一半（含一半）的，幼儿园退还半月的保教费；超过一半的，当月的保教费不再退还</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伙食费按剩余天数计退。</w:t>
      </w:r>
    </w:p>
    <w:p>
      <w:pPr>
        <w:keepNext w:val="0"/>
        <w:keepLines w:val="0"/>
        <w:pageBreakBefore w:val="0"/>
        <w:widowControl w:val="0"/>
        <w:kinsoku/>
        <w:wordWrap/>
        <w:overflowPunct/>
        <w:topLinePunct w:val="0"/>
        <w:autoSpaceDE/>
        <w:autoSpaceDN/>
        <w:bidi w:val="0"/>
        <w:adjustRightInd w:val="0"/>
        <w:snapToGrid w:val="0"/>
        <w:spacing w:after="0" w:line="580" w:lineRule="exact"/>
        <w:ind w:right="0" w:rightChars="0" w:firstLine="640" w:firstLineChars="200"/>
        <w:jc w:val="both"/>
        <w:textAlignment w:val="auto"/>
        <w:outlineLvl w:val="9"/>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三、做好收费公示</w:t>
      </w:r>
    </w:p>
    <w:p>
      <w:pPr>
        <w:keepNext w:val="0"/>
        <w:keepLines w:val="0"/>
        <w:pageBreakBefore w:val="0"/>
        <w:widowControl w:val="0"/>
        <w:kinsoku/>
        <w:wordWrap/>
        <w:overflowPunct/>
        <w:topLinePunct w:val="0"/>
        <w:autoSpaceDE/>
        <w:autoSpaceDN/>
        <w:bidi w:val="0"/>
        <w:adjustRightInd w:val="0"/>
        <w:snapToGrid w:val="0"/>
        <w:spacing w:after="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各普惠性民办幼儿园要严格执行收费公示制度，每年招生报名前两个月，将幼儿园性质、办园类别、收费项目、收费标准、收费依据、价格举报电话等相关内容予以公示，并自觉接受社会监督。如遇保教费调整，至少提前一个月将收费标准予以公示并告知幼儿家长。</w:t>
      </w:r>
    </w:p>
    <w:p>
      <w:pPr>
        <w:keepNext w:val="0"/>
        <w:keepLines w:val="0"/>
        <w:pageBreakBefore w:val="0"/>
        <w:widowControl w:val="0"/>
        <w:kinsoku/>
        <w:wordWrap/>
        <w:overflowPunct/>
        <w:topLinePunct w:val="0"/>
        <w:autoSpaceDE/>
        <w:autoSpaceDN/>
        <w:bidi w:val="0"/>
        <w:adjustRightInd w:val="0"/>
        <w:snapToGrid w:val="0"/>
        <w:spacing w:after="0" w:line="580" w:lineRule="exact"/>
        <w:ind w:right="0" w:rightChars="0" w:firstLine="640" w:firstLineChars="200"/>
        <w:jc w:val="both"/>
        <w:textAlignment w:val="auto"/>
        <w:outlineLvl w:val="9"/>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四、加强收费监督管理</w:t>
      </w:r>
    </w:p>
    <w:p>
      <w:pPr>
        <w:keepNext w:val="0"/>
        <w:keepLines w:val="0"/>
        <w:pageBreakBefore w:val="0"/>
        <w:widowControl w:val="0"/>
        <w:kinsoku/>
        <w:wordWrap/>
        <w:overflowPunct/>
        <w:topLinePunct w:val="0"/>
        <w:autoSpaceDE/>
        <w:autoSpaceDN/>
        <w:bidi w:val="0"/>
        <w:adjustRightInd w:val="0"/>
        <w:snapToGrid w:val="0"/>
        <w:spacing w:after="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（一）各普惠性民办幼儿园要严格执行规定的收费标准，不得以各种名目增加收费项目或向幼儿园学生家长另行收费，不得以任何名义向幼儿园学生家长收取与入园挂钩的捐资助学等费用。</w:t>
      </w:r>
    </w:p>
    <w:p>
      <w:pPr>
        <w:keepNext w:val="0"/>
        <w:keepLines w:val="0"/>
        <w:pageBreakBefore w:val="0"/>
        <w:widowControl w:val="0"/>
        <w:kinsoku/>
        <w:wordWrap/>
        <w:overflowPunct/>
        <w:topLinePunct w:val="0"/>
        <w:autoSpaceDE/>
        <w:autoSpaceDN/>
        <w:bidi w:val="0"/>
        <w:adjustRightInd w:val="0"/>
        <w:snapToGrid w:val="0"/>
        <w:spacing w:after="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县发改、教育、市场监管、财政等部门要加强对幼儿园收费的监督和管理，督促幼儿园建立健全收费管理制度，建立健全财务会计、资产管理和预决算制度，自觉执行幼儿园教育收费政策，发改和教育主管部门对幼儿园收费开展动态监测或办学成本调查时，幼儿园要积极配合做好相关工作。</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本通知自</w:t>
      </w:r>
      <w:r>
        <w:rPr>
          <w:rFonts w:hint="default" w:ascii="Times New Roman" w:hAnsi="Times New Roman" w:eastAsia="仿宋_GB2312" w:cs="Times New Roman"/>
          <w:color w:val="000000"/>
          <w:sz w:val="32"/>
          <w:szCs w:val="32"/>
          <w:lang w:val="en-US" w:eastAsia="zh-CN"/>
        </w:rPr>
        <w:t>2022年8月28日</w:t>
      </w:r>
      <w:r>
        <w:rPr>
          <w:rFonts w:hint="default" w:ascii="Times New Roman" w:hAnsi="Times New Roman" w:eastAsia="仿宋_GB2312" w:cs="Times New Roman"/>
          <w:color w:val="000000"/>
          <w:sz w:val="32"/>
          <w:szCs w:val="32"/>
          <w:lang w:eastAsia="zh-CN"/>
        </w:rPr>
        <w:t>起执行，有效期至</w:t>
      </w:r>
      <w:r>
        <w:rPr>
          <w:rFonts w:hint="default" w:ascii="Times New Roman" w:hAnsi="Times New Roman" w:eastAsia="仿宋_GB2312" w:cs="Times New Roman"/>
          <w:color w:val="000000"/>
          <w:sz w:val="32"/>
          <w:szCs w:val="32"/>
          <w:lang w:val="en-US" w:eastAsia="zh-CN"/>
        </w:rPr>
        <w:t>2027</w:t>
      </w:r>
      <w:r>
        <w:rPr>
          <w:rFonts w:hint="default" w:ascii="Times New Roman" w:hAnsi="Times New Roman" w:eastAsia="仿宋_GB2312" w:cs="Times New Roman"/>
          <w:color w:val="000000"/>
          <w:sz w:val="32"/>
          <w:szCs w:val="32"/>
          <w:lang w:eastAsia="zh-CN"/>
        </w:rPr>
        <w:t>年</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eastAsia="zh-CN"/>
        </w:rPr>
        <w:t>月</w:t>
      </w:r>
      <w:r>
        <w:rPr>
          <w:rFonts w:hint="default" w:ascii="Times New Roman" w:hAnsi="Times New Roman" w:eastAsia="仿宋_GB2312" w:cs="Times New Roman"/>
          <w:color w:val="000000"/>
          <w:sz w:val="32"/>
          <w:szCs w:val="32"/>
          <w:lang w:val="en-US" w:eastAsia="zh-CN"/>
        </w:rPr>
        <w:t>27</w:t>
      </w:r>
      <w:r>
        <w:rPr>
          <w:rFonts w:hint="default" w:ascii="Times New Roman" w:hAnsi="Times New Roman" w:eastAsia="仿宋_GB2312" w:cs="Times New Roman"/>
          <w:color w:val="000000"/>
          <w:sz w:val="32"/>
          <w:szCs w:val="32"/>
          <w:lang w:eastAsia="zh-CN"/>
        </w:rPr>
        <w:t>日。</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color w:val="000000"/>
          <w:sz w:val="32"/>
          <w:szCs w:val="32"/>
          <w:lang w:val="en-US" w:eastAsia="zh-CN"/>
        </w:rPr>
        <w:t xml:space="preserve">    </w:t>
      </w:r>
      <w:bookmarkStart w:id="0" w:name="_GoBack"/>
      <w:bookmarkEnd w:id="0"/>
    </w:p>
    <w:p>
      <w:pPr>
        <w:keepNext w:val="0"/>
        <w:keepLines w:val="0"/>
        <w:pageBreakBefore w:val="0"/>
        <w:widowControl w:val="0"/>
        <w:kinsoku/>
        <w:overflowPunct/>
        <w:topLinePunct w:val="0"/>
        <w:autoSpaceDE/>
        <w:autoSpaceDN/>
        <w:bidi w:val="0"/>
        <w:adjustRightInd w:val="0"/>
        <w:snapToGrid w:val="0"/>
        <w:spacing w:line="220" w:lineRule="atLeast"/>
        <w:textAlignment w:val="auto"/>
        <w:rPr>
          <w:rFonts w:hint="default" w:ascii="Times New Roman" w:hAnsi="Times New Roman" w:eastAsia="仿宋_GB2312" w:cs="Times New Roman"/>
          <w:bCs/>
          <w:sz w:val="32"/>
          <w:szCs w:val="32"/>
          <w:lang w:eastAsia="zh-CN"/>
        </w:rPr>
      </w:pPr>
    </w:p>
    <w:p>
      <w:pPr>
        <w:keepNext w:val="0"/>
        <w:keepLines w:val="0"/>
        <w:pageBreakBefore w:val="0"/>
        <w:widowControl w:val="0"/>
        <w:kinsoku/>
        <w:overflowPunct/>
        <w:topLinePunct w:val="0"/>
        <w:autoSpaceDE/>
        <w:autoSpaceDN/>
        <w:bidi w:val="0"/>
        <w:adjustRightInd w:val="0"/>
        <w:snapToGrid w:val="0"/>
        <w:spacing w:line="220" w:lineRule="atLeas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沂源县发展和改革</w:t>
      </w:r>
      <w:r>
        <w:rPr>
          <w:rFonts w:hint="default" w:ascii="Times New Roman" w:hAnsi="Times New Roman" w:eastAsia="仿宋_GB2312" w:cs="Times New Roman"/>
          <w:bCs/>
          <w:sz w:val="32"/>
          <w:szCs w:val="32"/>
        </w:rPr>
        <w:t xml:space="preserve">局  </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lang w:val="en-US" w:eastAsia="zh-CN"/>
        </w:rPr>
        <w:t xml:space="preserve">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沂源县教育和体育</w:t>
      </w:r>
      <w:r>
        <w:rPr>
          <w:rFonts w:hint="default" w:ascii="Times New Roman" w:hAnsi="Times New Roman" w:eastAsia="仿宋_GB2312" w:cs="Times New Roman"/>
          <w:bCs/>
          <w:sz w:val="32"/>
          <w:szCs w:val="32"/>
        </w:rPr>
        <w:t xml:space="preserve">局  </w:t>
      </w:r>
    </w:p>
    <w:p>
      <w:pPr>
        <w:keepNext w:val="0"/>
        <w:keepLines w:val="0"/>
        <w:pageBreakBefore w:val="0"/>
        <w:widowControl w:val="0"/>
        <w:kinsoku/>
        <w:overflowPunct/>
        <w:topLinePunct w:val="0"/>
        <w:autoSpaceDE/>
        <w:autoSpaceDN/>
        <w:bidi w:val="0"/>
        <w:adjustRightInd w:val="0"/>
        <w:snapToGrid w:val="0"/>
        <w:spacing w:line="220" w:lineRule="atLeas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p>
    <w:p>
      <w:pPr>
        <w:keepNext w:val="0"/>
        <w:keepLines w:val="0"/>
        <w:pageBreakBefore w:val="0"/>
        <w:widowControl w:val="0"/>
        <w:kinsoku/>
        <w:overflowPunct/>
        <w:topLinePunct w:val="0"/>
        <w:autoSpaceDE/>
        <w:autoSpaceDN/>
        <w:bidi w:val="0"/>
        <w:adjustRightInd w:val="0"/>
        <w:snapToGrid w:val="0"/>
        <w:spacing w:line="220" w:lineRule="atLeast"/>
        <w:textAlignment w:val="auto"/>
        <w:rPr>
          <w:rFonts w:hint="default" w:ascii="Times New Roman" w:hAnsi="Times New Roman" w:eastAsia="仿宋_GB2312" w:cs="Times New Roman"/>
          <w:bCs/>
          <w:sz w:val="32"/>
          <w:szCs w:val="32"/>
          <w:lang w:eastAsia="zh-CN"/>
        </w:rPr>
      </w:pPr>
    </w:p>
    <w:p>
      <w:pPr>
        <w:keepNext w:val="0"/>
        <w:keepLines w:val="0"/>
        <w:pageBreakBefore w:val="0"/>
        <w:widowControl w:val="0"/>
        <w:kinsoku/>
        <w:overflowPunct/>
        <w:topLinePunct w:val="0"/>
        <w:autoSpaceDE/>
        <w:autoSpaceDN/>
        <w:bidi w:val="0"/>
        <w:adjustRightInd w:val="0"/>
        <w:snapToGrid w:val="0"/>
        <w:spacing w:line="220" w:lineRule="atLeast"/>
        <w:textAlignment w:val="auto"/>
        <w:rPr>
          <w:rFonts w:hint="default" w:ascii="Times New Roman" w:hAnsi="Times New Roman" w:eastAsia="仿宋_GB2312" w:cs="Times New Roman"/>
          <w:bCs/>
          <w:sz w:val="32"/>
          <w:szCs w:val="32"/>
          <w:lang w:eastAsia="zh-CN"/>
        </w:rPr>
      </w:pPr>
    </w:p>
    <w:p>
      <w:pPr>
        <w:keepNext w:val="0"/>
        <w:keepLines w:val="0"/>
        <w:pageBreakBefore w:val="0"/>
        <w:widowControl w:val="0"/>
        <w:kinsoku/>
        <w:overflowPunct/>
        <w:topLinePunct w:val="0"/>
        <w:autoSpaceDE/>
        <w:autoSpaceDN/>
        <w:bidi w:val="0"/>
        <w:adjustRightInd w:val="0"/>
        <w:snapToGrid w:val="0"/>
        <w:spacing w:line="220" w:lineRule="atLeast"/>
        <w:textAlignment w:val="auto"/>
        <w:rPr>
          <w:rFonts w:hint="default" w:ascii="Times New Roman" w:hAnsi="Times New Roman" w:eastAsia="仿宋_GB2312" w:cs="Times New Roman"/>
          <w:bCs/>
          <w:sz w:val="32"/>
          <w:szCs w:val="32"/>
          <w:lang w:eastAsia="zh-CN"/>
        </w:rPr>
      </w:pPr>
    </w:p>
    <w:p>
      <w:pPr>
        <w:keepNext w:val="0"/>
        <w:keepLines w:val="0"/>
        <w:pageBreakBefore w:val="0"/>
        <w:widowControl w:val="0"/>
        <w:kinsoku/>
        <w:overflowPunct/>
        <w:topLinePunct w:val="0"/>
        <w:autoSpaceDE/>
        <w:autoSpaceDN/>
        <w:bidi w:val="0"/>
        <w:adjustRightInd w:val="0"/>
        <w:snapToGrid w:val="0"/>
        <w:spacing w:line="220" w:lineRule="atLeas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eastAsia="zh-CN"/>
        </w:rPr>
        <w:t>沂源县市场监督管理局</w:t>
      </w:r>
      <w:r>
        <w:rPr>
          <w:rFonts w:hint="default" w:ascii="Times New Roman" w:hAnsi="Times New Roman" w:eastAsia="仿宋_GB2312" w:cs="Times New Roman"/>
          <w:bCs/>
          <w:sz w:val="32"/>
          <w:szCs w:val="32"/>
          <w:lang w:val="en-US" w:eastAsia="zh-CN"/>
        </w:rPr>
        <w:t xml:space="preserve">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沂源县</w:t>
      </w:r>
      <w:r>
        <w:rPr>
          <w:rFonts w:hint="default" w:ascii="Times New Roman" w:hAnsi="Times New Roman" w:eastAsia="仿宋_GB2312" w:cs="Times New Roman"/>
          <w:bCs/>
          <w:sz w:val="32"/>
          <w:szCs w:val="32"/>
        </w:rPr>
        <w:t xml:space="preserve">财政局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200" w:line="576" w:lineRule="exact"/>
        <w:ind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2022年10月19日</w:t>
      </w:r>
    </w:p>
    <w:sectPr>
      <w:footerReference r:id="rId5" w:type="default"/>
      <w:pgSz w:w="11906" w:h="16838"/>
      <w:pgMar w:top="2098" w:right="1587" w:bottom="1984" w:left="1587" w:header="709" w:footer="1361"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微软雅黑"/>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微软雅黑"/>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MmYyMmU2ODhlMWVjZGMxMTI1ZjkxZDdkZGVjMTIifQ=="/>
  </w:docVars>
  <w:rsids>
    <w:rsidRoot w:val="00D31D50"/>
    <w:rsid w:val="0028550C"/>
    <w:rsid w:val="00323B43"/>
    <w:rsid w:val="003368AB"/>
    <w:rsid w:val="003D37D8"/>
    <w:rsid w:val="00426133"/>
    <w:rsid w:val="004358AB"/>
    <w:rsid w:val="00490780"/>
    <w:rsid w:val="005603B2"/>
    <w:rsid w:val="008B7726"/>
    <w:rsid w:val="009E1FC2"/>
    <w:rsid w:val="00CA5ED4"/>
    <w:rsid w:val="00D31D50"/>
    <w:rsid w:val="00FE3A4C"/>
    <w:rsid w:val="00FF30CD"/>
    <w:rsid w:val="01C81FD4"/>
    <w:rsid w:val="030D650E"/>
    <w:rsid w:val="054F780F"/>
    <w:rsid w:val="05916E50"/>
    <w:rsid w:val="06110337"/>
    <w:rsid w:val="074C439D"/>
    <w:rsid w:val="07B42915"/>
    <w:rsid w:val="07ED416D"/>
    <w:rsid w:val="0BDC0297"/>
    <w:rsid w:val="0CC53977"/>
    <w:rsid w:val="0D8960D0"/>
    <w:rsid w:val="0F3A26DF"/>
    <w:rsid w:val="0FD50659"/>
    <w:rsid w:val="0FF83C3B"/>
    <w:rsid w:val="10C56C87"/>
    <w:rsid w:val="113F7231"/>
    <w:rsid w:val="13344A89"/>
    <w:rsid w:val="1598278E"/>
    <w:rsid w:val="16EE6414"/>
    <w:rsid w:val="17587BB2"/>
    <w:rsid w:val="181B0DCE"/>
    <w:rsid w:val="191A60B2"/>
    <w:rsid w:val="1A3254C7"/>
    <w:rsid w:val="1C9D4245"/>
    <w:rsid w:val="1CD050FF"/>
    <w:rsid w:val="1E27742B"/>
    <w:rsid w:val="1F075604"/>
    <w:rsid w:val="1F923153"/>
    <w:rsid w:val="2008081B"/>
    <w:rsid w:val="20100E5E"/>
    <w:rsid w:val="210D3570"/>
    <w:rsid w:val="21505B2D"/>
    <w:rsid w:val="226D3C09"/>
    <w:rsid w:val="248B56DE"/>
    <w:rsid w:val="260C5B29"/>
    <w:rsid w:val="26FF6BD9"/>
    <w:rsid w:val="27EA24FA"/>
    <w:rsid w:val="27F054E7"/>
    <w:rsid w:val="27F26298"/>
    <w:rsid w:val="2A2204B4"/>
    <w:rsid w:val="2CAC3A9C"/>
    <w:rsid w:val="2D390D28"/>
    <w:rsid w:val="2F7A2C0B"/>
    <w:rsid w:val="30323216"/>
    <w:rsid w:val="310762A7"/>
    <w:rsid w:val="31CF4F0A"/>
    <w:rsid w:val="32CD2F2C"/>
    <w:rsid w:val="3312569B"/>
    <w:rsid w:val="355A42A7"/>
    <w:rsid w:val="365B4647"/>
    <w:rsid w:val="371B34B6"/>
    <w:rsid w:val="38BD3D6A"/>
    <w:rsid w:val="398D553A"/>
    <w:rsid w:val="39ED0F9C"/>
    <w:rsid w:val="3B250A1D"/>
    <w:rsid w:val="3BEC0F0C"/>
    <w:rsid w:val="3C6048D4"/>
    <w:rsid w:val="3DC35650"/>
    <w:rsid w:val="42EB312E"/>
    <w:rsid w:val="4499015F"/>
    <w:rsid w:val="44BB053D"/>
    <w:rsid w:val="45CC6A80"/>
    <w:rsid w:val="46D5649F"/>
    <w:rsid w:val="46F5711F"/>
    <w:rsid w:val="494F1143"/>
    <w:rsid w:val="4A25396A"/>
    <w:rsid w:val="4A91142A"/>
    <w:rsid w:val="4BA6297E"/>
    <w:rsid w:val="4C08774A"/>
    <w:rsid w:val="4F3D73ED"/>
    <w:rsid w:val="4FFF7BDE"/>
    <w:rsid w:val="5056768D"/>
    <w:rsid w:val="54830203"/>
    <w:rsid w:val="585853AB"/>
    <w:rsid w:val="587A734A"/>
    <w:rsid w:val="58C74F13"/>
    <w:rsid w:val="59840F2D"/>
    <w:rsid w:val="59DC0AEB"/>
    <w:rsid w:val="5B163578"/>
    <w:rsid w:val="5D6057FE"/>
    <w:rsid w:val="5ED9244F"/>
    <w:rsid w:val="5F8A0EA7"/>
    <w:rsid w:val="60025F31"/>
    <w:rsid w:val="60A04C21"/>
    <w:rsid w:val="620170E8"/>
    <w:rsid w:val="622C22DB"/>
    <w:rsid w:val="6430717E"/>
    <w:rsid w:val="64F43173"/>
    <w:rsid w:val="670C7697"/>
    <w:rsid w:val="68421132"/>
    <w:rsid w:val="68680658"/>
    <w:rsid w:val="6AA72C7E"/>
    <w:rsid w:val="6AF2795D"/>
    <w:rsid w:val="6B8C458B"/>
    <w:rsid w:val="6C757FAD"/>
    <w:rsid w:val="6E51024F"/>
    <w:rsid w:val="6E8F2157"/>
    <w:rsid w:val="6F355230"/>
    <w:rsid w:val="6FBB5EDD"/>
    <w:rsid w:val="72A077B6"/>
    <w:rsid w:val="74A676CC"/>
    <w:rsid w:val="76566C0F"/>
    <w:rsid w:val="77736ACB"/>
    <w:rsid w:val="7793558C"/>
    <w:rsid w:val="782A17CD"/>
    <w:rsid w:val="7BEA1409"/>
    <w:rsid w:val="7C201710"/>
    <w:rsid w:val="7D3E2179"/>
    <w:rsid w:val="7D461193"/>
    <w:rsid w:val="7EF23EC5"/>
    <w:rsid w:val="7F2C7D9C"/>
    <w:rsid w:val="7F5E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widowControl w:val="0"/>
      <w:adjustRightInd/>
      <w:snapToGrid/>
      <w:spacing w:after="0" w:line="360" w:lineRule="exact"/>
      <w:jc w:val="center"/>
    </w:pPr>
    <w:rPr>
      <w:rFonts w:ascii="仿宋_GB2312" w:hAnsi="Calibri" w:eastAsia="宋体" w:cs="Times New Roman"/>
      <w:kern w:val="2"/>
      <w:sz w:val="28"/>
      <w:szCs w:val="24"/>
    </w:rPr>
  </w:style>
  <w:style w:type="paragraph" w:styleId="3">
    <w:name w:val="Date"/>
    <w:basedOn w:val="1"/>
    <w:next w:val="1"/>
    <w:link w:val="9"/>
    <w:unhideWhenUsed/>
    <w:qFormat/>
    <w:uiPriority w:val="99"/>
    <w:pPr>
      <w:ind w:left="100" w:leftChars="25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Char"/>
    <w:basedOn w:val="8"/>
    <w:link w:val="3"/>
    <w:semiHidden/>
    <w:qFormat/>
    <w:uiPriority w:val="99"/>
    <w:rPr>
      <w:rFonts w:ascii="Tahoma" w:hAnsi="Tahoma"/>
    </w:rPr>
  </w:style>
  <w:style w:type="character" w:customStyle="1" w:styleId="10">
    <w:name w:val="正文文本 Char"/>
    <w:basedOn w:val="8"/>
    <w:link w:val="2"/>
    <w:qFormat/>
    <w:uiPriority w:val="0"/>
    <w:rPr>
      <w:rFonts w:ascii="仿宋_GB2312" w:hAnsi="Calibri" w:eastAsia="宋体" w:cs="Times New Roman"/>
      <w:kern w:val="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1058</Words>
  <Characters>1102</Characters>
  <Lines>16</Lines>
  <Paragraphs>4</Paragraphs>
  <TotalTime>1</TotalTime>
  <ScaleCrop>false</ScaleCrop>
  <LinksUpToDate>false</LinksUpToDate>
  <CharactersWithSpaces>1219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2022-10-21T01:50:00Z</cp:lastPrinted>
  <dcterms:modified xsi:type="dcterms:W3CDTF">2023-11-20T02:04:58Z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7D9DE451B186437AA3838086F1297291</vt:lpwstr>
  </property>
</Properties>
</file>