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bCs/>
          <w:i w:val="0"/>
          <w:caps w:val="0"/>
          <w:color w:val="000000"/>
          <w:spacing w:val="0"/>
          <w:sz w:val="44"/>
          <w:szCs w:val="44"/>
        </w:rPr>
      </w:pPr>
      <w:r>
        <w:rPr>
          <w:rFonts w:hint="eastAsia" w:ascii="Times New Roman" w:hAnsi="Times New Roman" w:eastAsia="方正小标宋简体" w:cs="Times New Roman"/>
          <w:b/>
          <w:bCs/>
          <w:i w:val="0"/>
          <w:caps w:val="0"/>
          <w:color w:val="000000"/>
          <w:spacing w:val="0"/>
          <w:sz w:val="44"/>
          <w:szCs w:val="44"/>
          <w:lang w:eastAsia="zh-CN"/>
        </w:rPr>
        <w:t>沂源</w:t>
      </w:r>
      <w:r>
        <w:rPr>
          <w:rFonts w:hint="default" w:ascii="Times New Roman" w:hAnsi="Times New Roman" w:eastAsia="方正小标宋简体" w:cs="Times New Roman"/>
          <w:b/>
          <w:bCs/>
          <w:i w:val="0"/>
          <w:caps w:val="0"/>
          <w:color w:val="000000"/>
          <w:spacing w:val="0"/>
          <w:sz w:val="44"/>
          <w:szCs w:val="44"/>
        </w:rPr>
        <w:t>县发展</w:t>
      </w:r>
      <w:r>
        <w:rPr>
          <w:rFonts w:hint="eastAsia" w:ascii="Times New Roman" w:hAnsi="Times New Roman" w:eastAsia="方正小标宋简体" w:cs="Times New Roman"/>
          <w:b/>
          <w:bCs/>
          <w:i w:val="0"/>
          <w:caps w:val="0"/>
          <w:color w:val="000000"/>
          <w:spacing w:val="0"/>
          <w:sz w:val="44"/>
          <w:szCs w:val="44"/>
          <w:lang w:eastAsia="zh-CN"/>
        </w:rPr>
        <w:t>和</w:t>
      </w:r>
      <w:r>
        <w:rPr>
          <w:rFonts w:hint="default" w:ascii="Times New Roman" w:hAnsi="Times New Roman" w:eastAsia="方正小标宋简体" w:cs="Times New Roman"/>
          <w:b/>
          <w:bCs/>
          <w:i w:val="0"/>
          <w:caps w:val="0"/>
          <w:color w:val="000000"/>
          <w:spacing w:val="0"/>
          <w:sz w:val="44"/>
          <w:szCs w:val="44"/>
        </w:rPr>
        <w:t>改革局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b/>
          <w:bCs/>
          <w:i w:val="0"/>
          <w:caps w:val="0"/>
          <w:color w:val="000000"/>
          <w:spacing w:val="0"/>
          <w:sz w:val="44"/>
          <w:szCs w:val="44"/>
        </w:rPr>
      </w:pPr>
      <w:r>
        <w:rPr>
          <w:rFonts w:hint="default" w:ascii="Times New Roman" w:hAnsi="Times New Roman" w:eastAsia="方正小标宋简体" w:cs="Times New Roman"/>
          <w:b/>
          <w:bCs/>
          <w:i w:val="0"/>
          <w:caps w:val="0"/>
          <w:color w:val="000000"/>
          <w:spacing w:val="0"/>
          <w:sz w:val="44"/>
          <w:szCs w:val="44"/>
        </w:rPr>
        <w:t>20</w:t>
      </w:r>
      <w:r>
        <w:rPr>
          <w:rFonts w:hint="default" w:ascii="Times New Roman" w:hAnsi="Times New Roman" w:eastAsia="方正小标宋简体" w:cs="Times New Roman"/>
          <w:b/>
          <w:bCs/>
          <w:i w:val="0"/>
          <w:caps w:val="0"/>
          <w:color w:val="000000"/>
          <w:spacing w:val="0"/>
          <w:sz w:val="44"/>
          <w:szCs w:val="44"/>
          <w:lang w:val="en-US" w:eastAsia="zh-CN"/>
        </w:rPr>
        <w:t>20</w:t>
      </w:r>
      <w:r>
        <w:rPr>
          <w:rFonts w:hint="default" w:ascii="Times New Roman" w:hAnsi="Times New Roman" w:eastAsia="方正小标宋简体" w:cs="Times New Roman"/>
          <w:b/>
          <w:bCs/>
          <w:i w:val="0"/>
          <w:caps w:val="0"/>
          <w:color w:val="000000"/>
          <w:spacing w:val="0"/>
          <w:sz w:val="44"/>
          <w:szCs w:val="44"/>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微软雅黑" w:cs="Times New Roman"/>
          <w:i w:val="0"/>
          <w:caps w:val="0"/>
          <w:color w:val="000000"/>
          <w:spacing w:val="0"/>
          <w:sz w:val="24"/>
          <w:szCs w:val="24"/>
        </w:rPr>
      </w:pPr>
      <w:r>
        <w:rPr>
          <w:rStyle w:val="7"/>
          <w:rFonts w:hint="default" w:ascii="Times New Roman" w:hAnsi="Times New Roman" w:eastAsia="仿宋" w:cs="Times New Roman"/>
          <w:b/>
          <w:i w:val="0"/>
          <w:caps w:val="0"/>
          <w:color w:val="000000"/>
          <w:spacing w:val="0"/>
          <w:sz w:val="31"/>
          <w:szCs w:val="3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textAlignment w:val="auto"/>
        <w:rPr>
          <w:rFonts w:hint="default" w:ascii="Times New Roman" w:hAnsi="Times New Roman" w:eastAsia="仿宋_GB2312" w:cs="Times New Roman"/>
          <w:i w:val="0"/>
          <w:caps w:val="0"/>
          <w:color w:val="000000"/>
          <w:spacing w:val="0"/>
          <w:sz w:val="32"/>
          <w:szCs w:val="32"/>
        </w:rPr>
      </w:pPr>
      <w:r>
        <w:rPr>
          <w:rStyle w:val="7"/>
          <w:rFonts w:hint="default" w:ascii="Times New Roman" w:hAnsi="Times New Roman" w:eastAsia="仿宋_GB2312" w:cs="Times New Roman"/>
          <w:b/>
          <w:i w:val="0"/>
          <w:caps w:val="0"/>
          <w:color w:val="000000"/>
          <w:spacing w:val="0"/>
          <w:sz w:val="32"/>
          <w:szCs w:val="32"/>
          <w:shd w:val="clear" w:fill="FFFFFF"/>
        </w:rPr>
        <w:t>本报告按照新修订的《中华人民共和国政府信息公开条例》（以下简称《条例》）和《山东省政府信息公开办法》（以下简称《办法》）规定，报告全文由总体情况、主动公开政府信息情况、收到和处理政府信息公开申请情况、因政府信息公开工作被申请行政复议与提起行政诉讼情况、政府信息公开工作存在的主要问题及改进情况、其他需要报告的事项等六个部分组成。报告中所列数据统计期限自20</w:t>
      </w:r>
      <w:r>
        <w:rPr>
          <w:rStyle w:val="7"/>
          <w:rFonts w:hint="default" w:ascii="Times New Roman" w:hAnsi="Times New Roman" w:eastAsia="仿宋_GB2312" w:cs="Times New Roman"/>
          <w:b/>
          <w:i w:val="0"/>
          <w:caps w:val="0"/>
          <w:color w:val="000000"/>
          <w:spacing w:val="0"/>
          <w:sz w:val="32"/>
          <w:szCs w:val="32"/>
          <w:shd w:val="clear" w:fill="FFFFFF"/>
          <w:lang w:val="en-US" w:eastAsia="zh-CN"/>
        </w:rPr>
        <w:t>20</w:t>
      </w:r>
      <w:r>
        <w:rPr>
          <w:rStyle w:val="7"/>
          <w:rFonts w:hint="default" w:ascii="Times New Roman" w:hAnsi="Times New Roman" w:eastAsia="仿宋_GB2312" w:cs="Times New Roman"/>
          <w:b/>
          <w:i w:val="0"/>
          <w:caps w:val="0"/>
          <w:color w:val="000000"/>
          <w:spacing w:val="0"/>
          <w:sz w:val="32"/>
          <w:szCs w:val="32"/>
          <w:shd w:val="clear" w:fill="FFFFFF"/>
        </w:rPr>
        <w:t>年1月1日始，至20</w:t>
      </w:r>
      <w:r>
        <w:rPr>
          <w:rStyle w:val="7"/>
          <w:rFonts w:hint="default" w:ascii="Times New Roman" w:hAnsi="Times New Roman" w:eastAsia="仿宋_GB2312" w:cs="Times New Roman"/>
          <w:b/>
          <w:i w:val="0"/>
          <w:caps w:val="0"/>
          <w:color w:val="000000"/>
          <w:spacing w:val="0"/>
          <w:sz w:val="32"/>
          <w:szCs w:val="32"/>
          <w:shd w:val="clear" w:fill="FFFFFF"/>
          <w:lang w:val="en-US" w:eastAsia="zh-CN"/>
        </w:rPr>
        <w:t>20</w:t>
      </w:r>
      <w:r>
        <w:rPr>
          <w:rStyle w:val="7"/>
          <w:rFonts w:hint="default" w:ascii="Times New Roman" w:hAnsi="Times New Roman" w:eastAsia="仿宋_GB2312" w:cs="Times New Roman"/>
          <w:b/>
          <w:i w:val="0"/>
          <w:caps w:val="0"/>
          <w:color w:val="000000"/>
          <w:spacing w:val="0"/>
          <w:sz w:val="32"/>
          <w:szCs w:val="32"/>
          <w:shd w:val="clear" w:fill="FFFFFF"/>
        </w:rPr>
        <w:t>年12月31日止。报告电子版可从沂源县人民政府门户网（www.yiyuan.gov.cn）下载。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textAlignment w:val="auto"/>
        <w:rPr>
          <w:rFonts w:hint="default" w:ascii="Times New Roman" w:hAnsi="Times New Roman" w:eastAsia="黑体" w:cs="Times New Roman"/>
          <w:i w:val="0"/>
          <w:caps w:val="0"/>
          <w:color w:val="000000"/>
          <w:spacing w:val="0"/>
          <w:sz w:val="32"/>
          <w:szCs w:val="32"/>
        </w:rPr>
      </w:pPr>
      <w:r>
        <w:rPr>
          <w:rStyle w:val="7"/>
          <w:rFonts w:hint="default" w:ascii="Times New Roman" w:hAnsi="Times New Roman" w:eastAsia="黑体" w:cs="Times New Roman"/>
          <w:b/>
          <w:i w:val="0"/>
          <w:caps w:val="0"/>
          <w:color w:val="000000"/>
          <w:spacing w:val="0"/>
          <w:sz w:val="32"/>
          <w:szCs w:val="32"/>
          <w:shd w:val="clear"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textAlignment w:val="auto"/>
        <w:rPr>
          <w:rStyle w:val="7"/>
          <w:rFonts w:hint="default" w:ascii="Times New Roman" w:hAnsi="Times New Roman" w:eastAsia="仿宋_GB2312" w:cs="Times New Roman"/>
          <w:b/>
          <w:i w:val="0"/>
          <w:caps w:val="0"/>
          <w:color w:val="000000"/>
          <w:spacing w:val="0"/>
          <w:sz w:val="32"/>
          <w:szCs w:val="32"/>
          <w:shd w:val="clear" w:fill="FFFFFF"/>
        </w:rPr>
      </w:pPr>
      <w:r>
        <w:rPr>
          <w:rStyle w:val="7"/>
          <w:rFonts w:hint="default" w:ascii="Times New Roman" w:hAnsi="Times New Roman" w:eastAsia="仿宋_GB2312" w:cs="Times New Roman"/>
          <w:b/>
          <w:i w:val="0"/>
          <w:caps w:val="0"/>
          <w:color w:val="000000"/>
          <w:spacing w:val="0"/>
          <w:sz w:val="32"/>
          <w:szCs w:val="32"/>
          <w:shd w:val="clear" w:fill="FFFFFF"/>
        </w:rPr>
        <w:t>  2020年，在</w:t>
      </w:r>
      <w:r>
        <w:rPr>
          <w:rStyle w:val="7"/>
          <w:rFonts w:hint="eastAsia" w:ascii="Times New Roman" w:hAnsi="Times New Roman" w:eastAsia="仿宋_GB2312" w:cs="Times New Roman"/>
          <w:b/>
          <w:i w:val="0"/>
          <w:caps w:val="0"/>
          <w:color w:val="000000"/>
          <w:spacing w:val="0"/>
          <w:sz w:val="32"/>
          <w:szCs w:val="32"/>
          <w:shd w:val="clear" w:fill="FFFFFF"/>
          <w:lang w:eastAsia="zh-CN"/>
        </w:rPr>
        <w:t>县</w:t>
      </w:r>
      <w:r>
        <w:rPr>
          <w:rStyle w:val="7"/>
          <w:rFonts w:hint="default" w:ascii="Times New Roman" w:hAnsi="Times New Roman" w:eastAsia="仿宋_GB2312" w:cs="Times New Roman"/>
          <w:b/>
          <w:i w:val="0"/>
          <w:caps w:val="0"/>
          <w:color w:val="000000"/>
          <w:spacing w:val="0"/>
          <w:sz w:val="32"/>
          <w:szCs w:val="32"/>
          <w:shd w:val="clear" w:fill="FFFFFF"/>
        </w:rPr>
        <w:t>委、</w:t>
      </w:r>
      <w:r>
        <w:rPr>
          <w:rStyle w:val="7"/>
          <w:rFonts w:hint="eastAsia" w:ascii="Times New Roman" w:hAnsi="Times New Roman" w:eastAsia="仿宋_GB2312" w:cs="Times New Roman"/>
          <w:b/>
          <w:i w:val="0"/>
          <w:caps w:val="0"/>
          <w:color w:val="000000"/>
          <w:spacing w:val="0"/>
          <w:sz w:val="32"/>
          <w:szCs w:val="32"/>
          <w:shd w:val="clear" w:fill="FFFFFF"/>
          <w:lang w:eastAsia="zh-CN"/>
        </w:rPr>
        <w:t>县</w:t>
      </w:r>
      <w:r>
        <w:rPr>
          <w:rStyle w:val="7"/>
          <w:rFonts w:hint="default" w:ascii="Times New Roman" w:hAnsi="Times New Roman" w:eastAsia="仿宋_GB2312" w:cs="Times New Roman"/>
          <w:b/>
          <w:i w:val="0"/>
          <w:caps w:val="0"/>
          <w:color w:val="000000"/>
          <w:spacing w:val="0"/>
          <w:sz w:val="32"/>
          <w:szCs w:val="32"/>
          <w:shd w:val="clear" w:fill="FFFFFF"/>
        </w:rPr>
        <w:t>政府的正确领导下，</w:t>
      </w:r>
      <w:r>
        <w:rPr>
          <w:rStyle w:val="7"/>
          <w:rFonts w:hint="eastAsia" w:ascii="Times New Roman" w:hAnsi="Times New Roman" w:eastAsia="仿宋_GB2312" w:cs="Times New Roman"/>
          <w:b/>
          <w:i w:val="0"/>
          <w:caps w:val="0"/>
          <w:color w:val="000000"/>
          <w:spacing w:val="0"/>
          <w:sz w:val="32"/>
          <w:szCs w:val="32"/>
          <w:shd w:val="clear" w:fill="FFFFFF"/>
          <w:lang w:eastAsia="zh-CN"/>
        </w:rPr>
        <w:t>县发展改革局</w:t>
      </w:r>
      <w:r>
        <w:rPr>
          <w:rStyle w:val="7"/>
          <w:rFonts w:hint="default" w:ascii="Times New Roman" w:hAnsi="Times New Roman" w:eastAsia="仿宋_GB2312" w:cs="Times New Roman"/>
          <w:b/>
          <w:i w:val="0"/>
          <w:caps w:val="0"/>
          <w:color w:val="000000"/>
          <w:spacing w:val="0"/>
          <w:sz w:val="32"/>
          <w:szCs w:val="32"/>
          <w:shd w:val="clear" w:fill="FFFFFF"/>
        </w:rPr>
        <w:t>认真贯彻落实《中华人民共和国政府信息公开条例》，进一步规范公开内容、健全公开制度，拓展公开渠道，着力推进重点领域公开，及时、准确地向社会公开政府信息，推动政务信息公开工作有序开展，依法保障群众知情权、参与权和监督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left"/>
        <w:textAlignment w:val="auto"/>
        <w:rPr>
          <w:rStyle w:val="7"/>
          <w:rFonts w:hint="default" w:ascii="Times New Roman" w:hAnsi="Times New Roman" w:eastAsia="仿宋_GB2312" w:cs="Times New Roman"/>
          <w:b/>
          <w:i w:val="0"/>
          <w:caps w:val="0"/>
          <w:color w:val="000000"/>
          <w:spacing w:val="0"/>
          <w:sz w:val="32"/>
          <w:szCs w:val="32"/>
          <w:shd w:val="clear" w:fill="FFFFFF"/>
        </w:rPr>
      </w:pPr>
      <w:r>
        <w:rPr>
          <w:rStyle w:val="7"/>
          <w:rFonts w:hint="default" w:ascii="Times New Roman" w:hAnsi="Times New Roman" w:eastAsia="仿宋_GB2312" w:cs="Times New Roman"/>
          <w:b/>
          <w:i w:val="0"/>
          <w:caps w:val="0"/>
          <w:color w:val="000000"/>
          <w:spacing w:val="0"/>
          <w:sz w:val="32"/>
          <w:szCs w:val="32"/>
          <w:shd w:val="clear" w:fill="FFFFFF"/>
        </w:rPr>
        <w:t>主动公开内容。 截止20</w:t>
      </w:r>
      <w:r>
        <w:rPr>
          <w:rStyle w:val="7"/>
          <w:rFonts w:hint="default" w:ascii="Times New Roman" w:hAnsi="Times New Roman" w:eastAsia="仿宋_GB2312" w:cs="Times New Roman"/>
          <w:b/>
          <w:i w:val="0"/>
          <w:caps w:val="0"/>
          <w:color w:val="000000"/>
          <w:spacing w:val="0"/>
          <w:sz w:val="32"/>
          <w:szCs w:val="32"/>
          <w:shd w:val="clear" w:fill="FFFFFF"/>
          <w:lang w:val="en-US" w:eastAsia="zh-CN"/>
        </w:rPr>
        <w:t>20</w:t>
      </w:r>
      <w:r>
        <w:rPr>
          <w:rStyle w:val="7"/>
          <w:rFonts w:hint="default" w:ascii="Times New Roman" w:hAnsi="Times New Roman" w:eastAsia="仿宋_GB2312" w:cs="Times New Roman"/>
          <w:b/>
          <w:i w:val="0"/>
          <w:caps w:val="0"/>
          <w:color w:val="000000"/>
          <w:spacing w:val="0"/>
          <w:sz w:val="32"/>
          <w:szCs w:val="32"/>
          <w:shd w:val="clear" w:fill="FFFFFF"/>
        </w:rPr>
        <w:t>年12月31日，县发展改革局累计主动公开政府信息</w:t>
      </w:r>
      <w:r>
        <w:rPr>
          <w:rStyle w:val="7"/>
          <w:rFonts w:hint="eastAsia" w:ascii="Times New Roman" w:hAnsi="Times New Roman" w:eastAsia="仿宋_GB2312" w:cs="Times New Roman"/>
          <w:b/>
          <w:i w:val="0"/>
          <w:caps w:val="0"/>
          <w:color w:val="auto"/>
          <w:spacing w:val="0"/>
          <w:sz w:val="32"/>
          <w:szCs w:val="32"/>
          <w:shd w:val="clear" w:fill="FFFFFF"/>
          <w:lang w:val="en-US" w:eastAsia="zh-CN"/>
        </w:rPr>
        <w:t>364</w:t>
      </w:r>
      <w:r>
        <w:rPr>
          <w:rStyle w:val="7"/>
          <w:rFonts w:hint="default" w:ascii="Times New Roman" w:hAnsi="Times New Roman" w:eastAsia="仿宋_GB2312" w:cs="Times New Roman"/>
          <w:b/>
          <w:i w:val="0"/>
          <w:caps w:val="0"/>
          <w:color w:val="000000"/>
          <w:spacing w:val="0"/>
          <w:sz w:val="32"/>
          <w:szCs w:val="32"/>
          <w:shd w:val="clear" w:fill="FFFFFF"/>
        </w:rPr>
        <w:t>条,主要包括公告公示、工作动态、政策解读等方面。年内，</w:t>
      </w:r>
      <w:r>
        <w:rPr>
          <w:rStyle w:val="7"/>
          <w:rFonts w:hint="eastAsia" w:ascii="Times New Roman" w:hAnsi="Times New Roman" w:eastAsia="仿宋_GB2312" w:cs="Times New Roman"/>
          <w:b/>
          <w:i w:val="0"/>
          <w:caps w:val="0"/>
          <w:color w:val="000000"/>
          <w:spacing w:val="0"/>
          <w:sz w:val="32"/>
          <w:szCs w:val="32"/>
          <w:shd w:val="clear" w:fill="FFFFFF"/>
        </w:rPr>
        <w:t>根据县政府大数据中心安排，统一将数据迁移至“融公开”新平台，并对功能模块进行了调整，优化了界面，增强了体验感，突出了政务公开功能，使群众能够方便、快捷的了解工作</w:t>
      </w:r>
      <w:r>
        <w:rPr>
          <w:rStyle w:val="7"/>
          <w:rFonts w:hint="eastAsia" w:ascii="Times New Roman" w:hAnsi="Times New Roman" w:eastAsia="仿宋_GB2312" w:cs="Times New Roman"/>
          <w:b/>
          <w:i w:val="0"/>
          <w:caps w:val="0"/>
          <w:color w:val="000000"/>
          <w:spacing w:val="0"/>
          <w:sz w:val="32"/>
          <w:szCs w:val="32"/>
          <w:shd w:val="clear" w:fill="FFFFFF"/>
          <w:lang w:eastAsia="zh-CN"/>
        </w:rPr>
        <w:t>动态</w:t>
      </w:r>
      <w:r>
        <w:rPr>
          <w:rStyle w:val="7"/>
          <w:rFonts w:hint="eastAsia" w:ascii="Times New Roman" w:hAnsi="Times New Roman" w:eastAsia="仿宋_GB2312" w:cs="Times New Roman"/>
          <w:b/>
          <w:i w:val="0"/>
          <w:caps w:val="0"/>
          <w:color w:val="000000"/>
          <w:spacing w:val="0"/>
          <w:sz w:val="32"/>
          <w:szCs w:val="32"/>
          <w:shd w:val="clear" w:fill="FFFFFF"/>
        </w:rPr>
        <w:t>和相关领域的政策法规等信息。</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仿宋_GB2312" w:cs="Times New Roman"/>
          <w:i w:val="0"/>
          <w:caps w:val="0"/>
          <w:color w:val="auto"/>
          <w:spacing w:val="0"/>
          <w:sz w:val="32"/>
          <w:szCs w:val="32"/>
        </w:rPr>
      </w:pPr>
      <w:r>
        <w:rPr>
          <w:rStyle w:val="7"/>
          <w:rFonts w:hint="default" w:ascii="Times New Roman" w:hAnsi="Times New Roman" w:eastAsia="仿宋_GB2312" w:cs="Times New Roman"/>
          <w:b/>
          <w:i w:val="0"/>
          <w:caps w:val="0"/>
          <w:color w:val="000000"/>
          <w:spacing w:val="0"/>
          <w:sz w:val="32"/>
          <w:szCs w:val="32"/>
          <w:shd w:val="clear" w:fill="FFFFFF"/>
        </w:rPr>
        <w:t>2、依申请公开情况。20</w:t>
      </w:r>
      <w:r>
        <w:rPr>
          <w:rStyle w:val="7"/>
          <w:rFonts w:hint="default" w:ascii="Times New Roman" w:hAnsi="Times New Roman" w:eastAsia="仿宋_GB2312" w:cs="Times New Roman"/>
          <w:b/>
          <w:i w:val="0"/>
          <w:caps w:val="0"/>
          <w:color w:val="000000"/>
          <w:spacing w:val="0"/>
          <w:sz w:val="32"/>
          <w:szCs w:val="32"/>
          <w:shd w:val="clear" w:fill="FFFFFF"/>
          <w:lang w:val="en-US" w:eastAsia="zh-CN"/>
        </w:rPr>
        <w:t>20</w:t>
      </w:r>
      <w:r>
        <w:rPr>
          <w:rStyle w:val="7"/>
          <w:rFonts w:hint="default" w:ascii="Times New Roman" w:hAnsi="Times New Roman" w:eastAsia="仿宋_GB2312" w:cs="Times New Roman"/>
          <w:b/>
          <w:i w:val="0"/>
          <w:caps w:val="0"/>
          <w:color w:val="000000"/>
          <w:spacing w:val="0"/>
          <w:sz w:val="32"/>
          <w:szCs w:val="32"/>
          <w:shd w:val="clear" w:fill="FFFFFF"/>
        </w:rPr>
        <w:t>年，县发展改革局收到</w:t>
      </w:r>
      <w:r>
        <w:rPr>
          <w:rStyle w:val="7"/>
          <w:rFonts w:hint="eastAsia" w:ascii="Times New Roman" w:hAnsi="Times New Roman" w:eastAsia="仿宋_GB2312" w:cs="Times New Roman"/>
          <w:b/>
          <w:i w:val="0"/>
          <w:caps w:val="0"/>
          <w:color w:val="auto"/>
          <w:spacing w:val="0"/>
          <w:sz w:val="32"/>
          <w:szCs w:val="32"/>
          <w:shd w:val="clear" w:fill="FFFFFF"/>
          <w:lang w:val="en-US" w:eastAsia="zh-CN"/>
        </w:rPr>
        <w:t>11</w:t>
      </w:r>
      <w:r>
        <w:rPr>
          <w:rStyle w:val="7"/>
          <w:rFonts w:hint="default" w:ascii="Times New Roman" w:hAnsi="Times New Roman" w:eastAsia="仿宋_GB2312" w:cs="Times New Roman"/>
          <w:b/>
          <w:i w:val="0"/>
          <w:caps w:val="0"/>
          <w:color w:val="auto"/>
          <w:spacing w:val="0"/>
          <w:sz w:val="32"/>
          <w:szCs w:val="32"/>
          <w:shd w:val="clear" w:fill="FFFFFF"/>
        </w:rPr>
        <w:t>次要求公开政府信息的申请，均已按程序回复。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left"/>
        <w:textAlignment w:val="auto"/>
        <w:rPr>
          <w:rFonts w:hint="default" w:ascii="Times New Roman" w:hAnsi="Times New Roman" w:eastAsia="仿宋_GB2312" w:cs="Times New Roman"/>
          <w:i w:val="0"/>
          <w:caps w:val="0"/>
          <w:color w:val="000000"/>
          <w:spacing w:val="0"/>
          <w:sz w:val="32"/>
          <w:szCs w:val="32"/>
        </w:rPr>
      </w:pPr>
      <w:r>
        <w:rPr>
          <w:rStyle w:val="7"/>
          <w:rFonts w:hint="default" w:ascii="Times New Roman" w:hAnsi="Times New Roman" w:eastAsia="仿宋_GB2312" w:cs="Times New Roman"/>
          <w:b/>
          <w:i w:val="0"/>
          <w:caps w:val="0"/>
          <w:color w:val="000000"/>
          <w:spacing w:val="0"/>
          <w:sz w:val="32"/>
          <w:szCs w:val="32"/>
          <w:shd w:val="clear" w:fill="FFFFFF"/>
        </w:rPr>
        <w:t>3、政府信息管理情况。</w:t>
      </w:r>
      <w:r>
        <w:rPr>
          <w:rStyle w:val="7"/>
          <w:rFonts w:hint="default" w:ascii="Times New Roman" w:hAnsi="Times New Roman" w:eastAsia="仿宋_GB2312" w:cs="Times New Roman"/>
          <w:b/>
          <w:i w:val="0"/>
          <w:caps w:val="0"/>
          <w:color w:val="auto"/>
          <w:spacing w:val="0"/>
          <w:sz w:val="32"/>
          <w:szCs w:val="32"/>
          <w:shd w:val="clear" w:fill="FFFFFF"/>
        </w:rPr>
        <w:t>加强政府信息公开工作的组织领导，形成了局长亲自抓，分管领导具体抓，各科室分工负责的工作格局。根据机构改革后机构设置和职能调整，重新调整充实了政务公开工作领导小组，保证专人负责。按照“谁主管、谁负责”的原则，将信息公开责任落实到各科室具体责任人，完善责任机制。建立政府信息管理制度，定期公开</w:t>
      </w:r>
      <w:r>
        <w:rPr>
          <w:rStyle w:val="7"/>
          <w:rFonts w:hint="eastAsia" w:ascii="Times New Roman" w:hAnsi="Times New Roman" w:eastAsia="仿宋_GB2312" w:cs="Times New Roman"/>
          <w:b/>
          <w:i w:val="0"/>
          <w:caps w:val="0"/>
          <w:color w:val="auto"/>
          <w:spacing w:val="0"/>
          <w:sz w:val="32"/>
          <w:szCs w:val="32"/>
          <w:shd w:val="clear" w:fill="FFFFFF"/>
          <w:lang w:eastAsia="zh-CN"/>
        </w:rPr>
        <w:t>各项</w:t>
      </w:r>
      <w:r>
        <w:rPr>
          <w:rStyle w:val="7"/>
          <w:rFonts w:hint="default" w:ascii="Times New Roman" w:hAnsi="Times New Roman" w:eastAsia="仿宋_GB2312" w:cs="Times New Roman"/>
          <w:b/>
          <w:i w:val="0"/>
          <w:caps w:val="0"/>
          <w:color w:val="auto"/>
          <w:spacing w:val="0"/>
          <w:sz w:val="32"/>
          <w:szCs w:val="32"/>
          <w:shd w:val="clear" w:fill="FFFFFF"/>
        </w:rPr>
        <w:t>制度，对政府信息分门别类建立工作台账，认真保存，及时归档。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left"/>
        <w:textAlignment w:val="auto"/>
        <w:rPr>
          <w:rStyle w:val="7"/>
          <w:rFonts w:hint="default" w:ascii="Times New Roman" w:hAnsi="Times New Roman" w:eastAsia="仿宋_GB2312" w:cs="Times New Roman"/>
          <w:b/>
          <w:i w:val="0"/>
          <w:caps w:val="0"/>
          <w:color w:val="000000"/>
          <w:spacing w:val="0"/>
          <w:sz w:val="32"/>
          <w:szCs w:val="32"/>
          <w:shd w:val="clear" w:fill="FFFFFF"/>
        </w:rPr>
      </w:pPr>
      <w:r>
        <w:rPr>
          <w:rStyle w:val="7"/>
          <w:rFonts w:hint="default" w:ascii="Times New Roman" w:hAnsi="Times New Roman" w:eastAsia="仿宋_GB2312" w:cs="Times New Roman"/>
          <w:b/>
          <w:i w:val="0"/>
          <w:caps w:val="0"/>
          <w:color w:val="000000"/>
          <w:spacing w:val="0"/>
          <w:sz w:val="32"/>
          <w:szCs w:val="32"/>
          <w:shd w:val="clear" w:fill="FFFFFF"/>
        </w:rPr>
        <w:t>4、政府信息公开平台、机构建设和人员情况。充分发挥沂源县人民政府网站的平台作用，及时发布机构职能、领导分工、政府文件、部门文件、重点领域公开等信息，确保应当公开的内容及时公开。建立“谁提供、谁发布、谁负责”的工作机制，要求对平台内容及时更新补充完善。对县政府要求和文件进行落实，确保政务信息公开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left"/>
        <w:textAlignment w:val="auto"/>
        <w:rPr>
          <w:rStyle w:val="7"/>
          <w:rFonts w:hint="default" w:ascii="Times New Roman" w:hAnsi="Times New Roman" w:eastAsia="仿宋_GB2312" w:cs="Times New Roman"/>
          <w:b/>
          <w:i w:val="0"/>
          <w:caps w:val="0"/>
          <w:color w:val="000000"/>
          <w:spacing w:val="0"/>
          <w:sz w:val="32"/>
          <w:szCs w:val="32"/>
          <w:shd w:val="clear" w:fill="FFFFFF"/>
          <w:lang w:val="en-US" w:eastAsia="zh-CN"/>
        </w:rPr>
      </w:pPr>
      <w:r>
        <w:rPr>
          <w:rStyle w:val="7"/>
          <w:rFonts w:hint="default" w:ascii="Times New Roman" w:hAnsi="Times New Roman" w:eastAsia="仿宋_GB2312" w:cs="Times New Roman"/>
          <w:b/>
          <w:i w:val="0"/>
          <w:caps w:val="0"/>
          <w:color w:val="000000"/>
          <w:spacing w:val="0"/>
          <w:sz w:val="32"/>
          <w:szCs w:val="32"/>
          <w:shd w:val="clear" w:fill="FFFFFF"/>
        </w:rPr>
        <w:t>5、监督保障情况。严格按照《中华人民共和国政府信息公开条例》规定，稳步推进政务公开工作。一是强化保障机制。建立政府信息监督考核保障机制，发布内容必须由局主要负责同志审阅后及具体责任人审核后才可公布，确保内容的真实性、有效性。二是强化责任落实。将政务公开工作列入常态化工作，明确责任和要求，促进信息公开工作常态化、规范化。三是积极畅通渠道。及时回复社会关切，认真收集、吸纳群众评议意见和建议，持续提升信息公开水平。确保单位政务公开工作规范、准确、及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left"/>
        <w:textAlignment w:val="auto"/>
        <w:rPr>
          <w:rStyle w:val="7"/>
          <w:rFonts w:hint="default" w:ascii="Times New Roman" w:hAnsi="Times New Roman" w:eastAsia="仿宋_GB2312" w:cs="Times New Roman"/>
          <w:b/>
          <w:i w:val="0"/>
          <w:caps w:val="0"/>
          <w:color w:val="000000"/>
          <w:spacing w:val="0"/>
          <w:sz w:val="32"/>
          <w:szCs w:val="32"/>
          <w:shd w:val="clear" w:fill="FFFFFF"/>
        </w:rPr>
      </w:pPr>
      <w:r>
        <w:rPr>
          <w:rStyle w:val="7"/>
          <w:rFonts w:hint="default" w:ascii="Times New Roman" w:hAnsi="Times New Roman" w:eastAsia="仿宋_GB2312" w:cs="Times New Roman"/>
          <w:b/>
          <w:i w:val="0"/>
          <w:caps w:val="0"/>
          <w:color w:val="000000"/>
          <w:spacing w:val="0"/>
          <w:sz w:val="32"/>
          <w:szCs w:val="32"/>
          <w:shd w:val="clear" w:fill="FFFFFF"/>
        </w:rPr>
        <w:t>6、建议提案办理结果公开情况 。20</w:t>
      </w:r>
      <w:r>
        <w:rPr>
          <w:rStyle w:val="7"/>
          <w:rFonts w:hint="default" w:ascii="Times New Roman" w:hAnsi="Times New Roman" w:eastAsia="仿宋_GB2312" w:cs="Times New Roman"/>
          <w:b/>
          <w:i w:val="0"/>
          <w:caps w:val="0"/>
          <w:color w:val="000000"/>
          <w:spacing w:val="0"/>
          <w:sz w:val="32"/>
          <w:szCs w:val="32"/>
          <w:shd w:val="clear" w:fill="FFFFFF"/>
          <w:lang w:val="en-US" w:eastAsia="zh-CN"/>
        </w:rPr>
        <w:t>20</w:t>
      </w:r>
      <w:r>
        <w:rPr>
          <w:rStyle w:val="7"/>
          <w:rFonts w:hint="default" w:ascii="Times New Roman" w:hAnsi="Times New Roman" w:eastAsia="仿宋_GB2312" w:cs="Times New Roman"/>
          <w:b/>
          <w:i w:val="0"/>
          <w:caps w:val="0"/>
          <w:color w:val="000000"/>
          <w:spacing w:val="0"/>
          <w:sz w:val="32"/>
          <w:szCs w:val="32"/>
          <w:shd w:val="clear" w:fill="FFFFFF"/>
        </w:rPr>
        <w:t>年，县发展改革局</w:t>
      </w:r>
      <w:r>
        <w:rPr>
          <w:rStyle w:val="7"/>
          <w:rFonts w:hint="eastAsia" w:ascii="Times New Roman" w:hAnsi="Times New Roman" w:eastAsia="仿宋_GB2312" w:cs="Times New Roman"/>
          <w:b/>
          <w:i w:val="0"/>
          <w:caps w:val="0"/>
          <w:color w:val="000000"/>
          <w:spacing w:val="0"/>
          <w:sz w:val="32"/>
          <w:szCs w:val="32"/>
          <w:shd w:val="clear" w:fill="FFFFFF"/>
          <w:lang w:eastAsia="zh-CN"/>
        </w:rPr>
        <w:t>承办</w:t>
      </w:r>
      <w:r>
        <w:rPr>
          <w:rStyle w:val="7"/>
          <w:rFonts w:hint="default" w:ascii="Times New Roman" w:hAnsi="Times New Roman" w:eastAsia="仿宋_GB2312" w:cs="Times New Roman"/>
          <w:b/>
          <w:i w:val="0"/>
          <w:caps w:val="0"/>
          <w:color w:val="000000"/>
          <w:spacing w:val="0"/>
          <w:sz w:val="32"/>
          <w:szCs w:val="32"/>
          <w:shd w:val="clear" w:fill="FFFFFF"/>
        </w:rPr>
        <w:t>政协办理</w:t>
      </w:r>
      <w:r>
        <w:rPr>
          <w:rStyle w:val="7"/>
          <w:rFonts w:hint="default" w:ascii="Times New Roman" w:hAnsi="Times New Roman" w:eastAsia="仿宋_GB2312" w:cs="Times New Roman"/>
          <w:b/>
          <w:i w:val="0"/>
          <w:caps w:val="0"/>
          <w:color w:val="auto"/>
          <w:spacing w:val="0"/>
          <w:sz w:val="32"/>
          <w:szCs w:val="32"/>
          <w:shd w:val="clear" w:fill="FFFFFF"/>
        </w:rPr>
        <w:t>提案</w:t>
      </w:r>
      <w:r>
        <w:rPr>
          <w:rStyle w:val="7"/>
          <w:rFonts w:hint="eastAsia" w:ascii="Times New Roman" w:hAnsi="Times New Roman" w:eastAsia="仿宋_GB2312" w:cs="Times New Roman"/>
          <w:b/>
          <w:i w:val="0"/>
          <w:caps w:val="0"/>
          <w:color w:val="auto"/>
          <w:spacing w:val="0"/>
          <w:sz w:val="32"/>
          <w:szCs w:val="32"/>
          <w:shd w:val="clear" w:fill="FFFFFF"/>
          <w:lang w:val="en-US" w:eastAsia="zh-CN"/>
        </w:rPr>
        <w:t>2</w:t>
      </w:r>
      <w:r>
        <w:rPr>
          <w:rStyle w:val="7"/>
          <w:rFonts w:hint="default" w:ascii="Times New Roman" w:hAnsi="Times New Roman" w:eastAsia="仿宋_GB2312" w:cs="Times New Roman"/>
          <w:b/>
          <w:i w:val="0"/>
          <w:caps w:val="0"/>
          <w:color w:val="000000"/>
          <w:spacing w:val="0"/>
          <w:sz w:val="32"/>
          <w:szCs w:val="32"/>
          <w:shd w:val="clear" w:fill="FFFFFF"/>
        </w:rPr>
        <w:t>件，</w:t>
      </w:r>
      <w:r>
        <w:rPr>
          <w:rStyle w:val="7"/>
          <w:rFonts w:hint="eastAsia" w:ascii="Times New Roman" w:hAnsi="Times New Roman" w:eastAsia="仿宋_GB2312" w:cs="Times New Roman"/>
          <w:b/>
          <w:i w:val="0"/>
          <w:caps w:val="0"/>
          <w:color w:val="000000"/>
          <w:spacing w:val="0"/>
          <w:sz w:val="32"/>
          <w:szCs w:val="32"/>
          <w:shd w:val="clear" w:fill="FFFFFF"/>
          <w:lang w:eastAsia="zh-CN"/>
        </w:rPr>
        <w:t>承办</w:t>
      </w:r>
      <w:r>
        <w:rPr>
          <w:rStyle w:val="7"/>
          <w:rFonts w:hint="default" w:ascii="Times New Roman" w:hAnsi="Times New Roman" w:eastAsia="仿宋_GB2312" w:cs="Times New Roman"/>
          <w:b/>
          <w:i w:val="0"/>
          <w:caps w:val="0"/>
          <w:color w:val="000000"/>
          <w:spacing w:val="0"/>
          <w:sz w:val="32"/>
          <w:szCs w:val="32"/>
          <w:shd w:val="clear" w:fill="FFFFFF"/>
        </w:rPr>
        <w:t>人大建议3</w:t>
      </w:r>
      <w:r>
        <w:rPr>
          <w:rStyle w:val="7"/>
          <w:rFonts w:hint="default" w:ascii="Times New Roman" w:hAnsi="Times New Roman" w:eastAsia="仿宋_GB2312" w:cs="Times New Roman"/>
          <w:b/>
          <w:i w:val="0"/>
          <w:caps w:val="0"/>
          <w:color w:val="000000"/>
          <w:spacing w:val="0"/>
          <w:sz w:val="32"/>
          <w:szCs w:val="32"/>
          <w:shd w:val="clear" w:fill="FFFFFF"/>
        </w:rPr>
        <w:t>条，本着对人大代表、政协委员高度负责的精神，不断探索办理工作的新思路、新方法，认真办理、落实代表建议和委员提案，圆满完成办理工作。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2" w:firstLineChars="200"/>
        <w:jc w:val="left"/>
        <w:textAlignment w:val="auto"/>
        <w:rPr>
          <w:rFonts w:hint="default" w:ascii="Times New Roman" w:hAnsi="Times New Roman" w:eastAsia="微软雅黑" w:cs="Times New Roman"/>
          <w:i w:val="0"/>
          <w:caps w:val="0"/>
          <w:color w:val="000000"/>
          <w:spacing w:val="0"/>
          <w:sz w:val="24"/>
          <w:szCs w:val="24"/>
        </w:rPr>
      </w:pPr>
      <w:r>
        <w:rPr>
          <w:rStyle w:val="7"/>
          <w:rFonts w:hint="default" w:ascii="Times New Roman" w:hAnsi="Times New Roman" w:eastAsia="黑体" w:cs="Times New Roman"/>
          <w:b/>
          <w:i w:val="0"/>
          <w:caps w:val="0"/>
          <w:color w:val="000000"/>
          <w:spacing w:val="0"/>
          <w:sz w:val="31"/>
          <w:szCs w:val="31"/>
          <w:shd w:val="clear" w:fill="FFFFFF"/>
        </w:rPr>
        <w:t>二、主动公开政府信息情况</w:t>
      </w:r>
    </w:p>
    <w:tbl>
      <w:tblPr>
        <w:tblStyle w:val="5"/>
        <w:tblW w:w="8715" w:type="dxa"/>
        <w:tblInd w:w="0" w:type="dxa"/>
        <w:shd w:val="clear" w:color="auto" w:fill="auto"/>
        <w:tblLayout w:type="autofit"/>
        <w:tblCellMar>
          <w:top w:w="0" w:type="dxa"/>
          <w:left w:w="0" w:type="dxa"/>
          <w:bottom w:w="0" w:type="dxa"/>
          <w:right w:w="0" w:type="dxa"/>
        </w:tblCellMar>
      </w:tblPr>
      <w:tblGrid>
        <w:gridCol w:w="3075"/>
        <w:gridCol w:w="15"/>
        <w:gridCol w:w="2100"/>
        <w:gridCol w:w="1500"/>
        <w:gridCol w:w="2025"/>
      </w:tblGrid>
      <w:tr>
        <w:tblPrEx>
          <w:shd w:val="clear" w:color="auto" w:fill="auto"/>
          <w:tblCellMar>
            <w:top w:w="0" w:type="dxa"/>
            <w:left w:w="0" w:type="dxa"/>
            <w:bottom w:w="0" w:type="dxa"/>
            <w:right w:w="0" w:type="dxa"/>
          </w:tblCellMar>
        </w:tblPrEx>
        <w:trPr>
          <w:trHeight w:val="600" w:hRule="atLeast"/>
        </w:trPr>
        <w:tc>
          <w:tcPr>
            <w:tcW w:w="8715" w:type="dxa"/>
            <w:gridSpan w:val="5"/>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第二十条第（一）项</w:t>
            </w:r>
          </w:p>
        </w:tc>
      </w:tr>
      <w:tr>
        <w:tblPrEx>
          <w:tblCellMar>
            <w:top w:w="0" w:type="dxa"/>
            <w:left w:w="0" w:type="dxa"/>
            <w:bottom w:w="0" w:type="dxa"/>
            <w:right w:w="0" w:type="dxa"/>
          </w:tblCellMar>
        </w:tblPrEx>
        <w:trPr>
          <w:trHeight w:val="870"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信息内容</w:t>
            </w:r>
          </w:p>
        </w:tc>
        <w:tc>
          <w:tcPr>
            <w:tcW w:w="2115" w:type="dxa"/>
            <w:gridSpan w:val="2"/>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本年新制作数量</w:t>
            </w:r>
          </w:p>
        </w:tc>
        <w:tc>
          <w:tcPr>
            <w:tcW w:w="1500"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本年新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公开数量</w:t>
            </w:r>
          </w:p>
        </w:tc>
        <w:tc>
          <w:tcPr>
            <w:tcW w:w="202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对外公开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总数量</w:t>
            </w:r>
          </w:p>
        </w:tc>
      </w:tr>
      <w:tr>
        <w:tblPrEx>
          <w:tblCellMar>
            <w:top w:w="0" w:type="dxa"/>
            <w:left w:w="0" w:type="dxa"/>
            <w:bottom w:w="0" w:type="dxa"/>
            <w:right w:w="0" w:type="dxa"/>
          </w:tblCellMar>
        </w:tblPrEx>
        <w:trPr>
          <w:trHeight w:val="405"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规章</w:t>
            </w:r>
          </w:p>
        </w:tc>
        <w:tc>
          <w:tcPr>
            <w:tcW w:w="2115" w:type="dxa"/>
            <w:gridSpan w:val="2"/>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cs="Times New Roman" w:eastAsiaTheme="minorEastAsia"/>
                <w:sz w:val="24"/>
                <w:szCs w:val="24"/>
                <w:lang w:eastAsia="zh-CN"/>
              </w:rPr>
            </w:pPr>
            <w:r>
              <w:rPr>
                <w:rFonts w:hint="eastAsia" w:ascii="Times New Roman" w:hAnsi="Times New Roman" w:eastAsia="宋体" w:cs="Times New Roman"/>
                <w:i w:val="0"/>
                <w:caps w:val="0"/>
                <w:color w:val="000000"/>
                <w:spacing w:val="0"/>
                <w:sz w:val="21"/>
                <w:szCs w:val="21"/>
                <w:lang w:val="en-US" w:eastAsia="zh-CN"/>
              </w:rPr>
              <w:t>0</w:t>
            </w:r>
          </w:p>
        </w:tc>
        <w:tc>
          <w:tcPr>
            <w:tcW w:w="1500"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cs="Times New Roman" w:eastAsiaTheme="minorEastAsia"/>
                <w:sz w:val="24"/>
                <w:szCs w:val="24"/>
                <w:lang w:eastAsia="zh-CN"/>
              </w:rPr>
            </w:pPr>
            <w:r>
              <w:rPr>
                <w:rFonts w:hint="eastAsia" w:ascii="Times New Roman" w:hAnsi="Times New Roman" w:eastAsia="宋体" w:cs="Times New Roman"/>
                <w:i w:val="0"/>
                <w:caps w:val="0"/>
                <w:color w:val="000000"/>
                <w:spacing w:val="0"/>
                <w:sz w:val="21"/>
                <w:szCs w:val="21"/>
                <w:lang w:val="en-US" w:eastAsia="zh-CN"/>
              </w:rPr>
              <w:t>0</w:t>
            </w:r>
          </w:p>
        </w:tc>
        <w:tc>
          <w:tcPr>
            <w:tcW w:w="202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1"/>
                <w:szCs w:val="21"/>
              </w:rPr>
              <w:t>0</w:t>
            </w:r>
          </w:p>
        </w:tc>
      </w:tr>
      <w:tr>
        <w:tblPrEx>
          <w:tblCellMar>
            <w:top w:w="0" w:type="dxa"/>
            <w:left w:w="0" w:type="dxa"/>
            <w:bottom w:w="0" w:type="dxa"/>
            <w:right w:w="0" w:type="dxa"/>
          </w:tblCellMar>
        </w:tblPrEx>
        <w:trPr>
          <w:trHeight w:val="405"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规范性文件</w:t>
            </w:r>
          </w:p>
        </w:tc>
        <w:tc>
          <w:tcPr>
            <w:tcW w:w="2115" w:type="dxa"/>
            <w:gridSpan w:val="2"/>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cs="Times New Roman" w:eastAsiaTheme="minorEastAsia"/>
                <w:sz w:val="24"/>
                <w:szCs w:val="24"/>
                <w:lang w:eastAsia="zh-CN"/>
              </w:rPr>
            </w:pPr>
            <w:r>
              <w:rPr>
                <w:rFonts w:hint="eastAsia" w:ascii="Times New Roman" w:hAnsi="Times New Roman" w:eastAsia="宋体" w:cs="Times New Roman"/>
                <w:i w:val="0"/>
                <w:caps w:val="0"/>
                <w:color w:val="auto"/>
                <w:spacing w:val="0"/>
                <w:sz w:val="21"/>
                <w:szCs w:val="21"/>
                <w:lang w:val="en-US" w:eastAsia="zh-CN"/>
              </w:rPr>
              <w:t>1</w:t>
            </w:r>
          </w:p>
        </w:tc>
        <w:tc>
          <w:tcPr>
            <w:tcW w:w="1500"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202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80" w:hRule="atLeast"/>
        </w:trPr>
        <w:tc>
          <w:tcPr>
            <w:tcW w:w="8715" w:type="dxa"/>
            <w:gridSpan w:val="5"/>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第二十条第（五）项</w:t>
            </w:r>
          </w:p>
        </w:tc>
      </w:tr>
      <w:tr>
        <w:tblPrEx>
          <w:tblCellMar>
            <w:top w:w="0" w:type="dxa"/>
            <w:left w:w="0" w:type="dxa"/>
            <w:bottom w:w="0" w:type="dxa"/>
            <w:right w:w="0" w:type="dxa"/>
          </w:tblCellMar>
        </w:tblPrEx>
        <w:trPr>
          <w:trHeight w:val="510"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信息内容</w:t>
            </w:r>
          </w:p>
        </w:tc>
        <w:tc>
          <w:tcPr>
            <w:tcW w:w="2115" w:type="dxa"/>
            <w:gridSpan w:val="2"/>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上一年项目数量</w:t>
            </w:r>
          </w:p>
        </w:tc>
        <w:tc>
          <w:tcPr>
            <w:tcW w:w="1500"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本年增/减</w:t>
            </w:r>
          </w:p>
        </w:tc>
        <w:tc>
          <w:tcPr>
            <w:tcW w:w="202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处理决定数量</w:t>
            </w:r>
          </w:p>
        </w:tc>
      </w:tr>
      <w:tr>
        <w:tblPrEx>
          <w:tblCellMar>
            <w:top w:w="0" w:type="dxa"/>
            <w:left w:w="0" w:type="dxa"/>
            <w:bottom w:w="0" w:type="dxa"/>
            <w:right w:w="0" w:type="dxa"/>
          </w:tblCellMar>
        </w:tblPrEx>
        <w:trPr>
          <w:trHeight w:val="450"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行政许可</w:t>
            </w:r>
          </w:p>
        </w:tc>
        <w:tc>
          <w:tcPr>
            <w:tcW w:w="2115" w:type="dxa"/>
            <w:gridSpan w:val="2"/>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w:t>
            </w:r>
          </w:p>
        </w:tc>
        <w:tc>
          <w:tcPr>
            <w:tcW w:w="1500"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w:t>
            </w:r>
          </w:p>
        </w:tc>
        <w:tc>
          <w:tcPr>
            <w:tcW w:w="202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4</w:t>
            </w:r>
          </w:p>
        </w:tc>
      </w:tr>
      <w:tr>
        <w:tblPrEx>
          <w:tblCellMar>
            <w:top w:w="0" w:type="dxa"/>
            <w:left w:w="0" w:type="dxa"/>
            <w:bottom w:w="0" w:type="dxa"/>
            <w:right w:w="0" w:type="dxa"/>
          </w:tblCellMar>
        </w:tblPrEx>
        <w:trPr>
          <w:trHeight w:val="555"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其他对外管理服务事项</w:t>
            </w:r>
          </w:p>
        </w:tc>
        <w:tc>
          <w:tcPr>
            <w:tcW w:w="2115" w:type="dxa"/>
            <w:gridSpan w:val="2"/>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1500"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202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95" w:hRule="atLeast"/>
        </w:trPr>
        <w:tc>
          <w:tcPr>
            <w:tcW w:w="8715" w:type="dxa"/>
            <w:gridSpan w:val="5"/>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第二十条第（六）项</w:t>
            </w:r>
          </w:p>
        </w:tc>
      </w:tr>
      <w:tr>
        <w:tblPrEx>
          <w:tblCellMar>
            <w:top w:w="0" w:type="dxa"/>
            <w:left w:w="0" w:type="dxa"/>
            <w:bottom w:w="0" w:type="dxa"/>
            <w:right w:w="0" w:type="dxa"/>
          </w:tblCellMar>
        </w:tblPrEx>
        <w:trPr>
          <w:trHeight w:val="540"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信息内容</w:t>
            </w:r>
          </w:p>
        </w:tc>
        <w:tc>
          <w:tcPr>
            <w:tcW w:w="2115" w:type="dxa"/>
            <w:gridSpan w:val="2"/>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上一年项目数量</w:t>
            </w:r>
          </w:p>
        </w:tc>
        <w:tc>
          <w:tcPr>
            <w:tcW w:w="1500"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本年增/减</w:t>
            </w:r>
          </w:p>
        </w:tc>
        <w:tc>
          <w:tcPr>
            <w:tcW w:w="202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处理决定数量</w:t>
            </w:r>
          </w:p>
        </w:tc>
      </w:tr>
      <w:tr>
        <w:tblPrEx>
          <w:tblCellMar>
            <w:top w:w="0" w:type="dxa"/>
            <w:left w:w="0" w:type="dxa"/>
            <w:bottom w:w="0" w:type="dxa"/>
            <w:right w:w="0" w:type="dxa"/>
          </w:tblCellMar>
        </w:tblPrEx>
        <w:trPr>
          <w:trHeight w:val="435"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行政处罚</w:t>
            </w:r>
          </w:p>
        </w:tc>
        <w:tc>
          <w:tcPr>
            <w:tcW w:w="2115" w:type="dxa"/>
            <w:gridSpan w:val="2"/>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1"/>
                <w:szCs w:val="21"/>
              </w:rPr>
              <w:t>0</w:t>
            </w:r>
          </w:p>
        </w:tc>
        <w:tc>
          <w:tcPr>
            <w:tcW w:w="1500"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202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05"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行政强制</w:t>
            </w:r>
          </w:p>
        </w:tc>
        <w:tc>
          <w:tcPr>
            <w:tcW w:w="2115" w:type="dxa"/>
            <w:gridSpan w:val="2"/>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1500"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202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80" w:hRule="atLeast"/>
        </w:trPr>
        <w:tc>
          <w:tcPr>
            <w:tcW w:w="8715" w:type="dxa"/>
            <w:gridSpan w:val="5"/>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第二十条第（八）项</w:t>
            </w:r>
          </w:p>
        </w:tc>
      </w:tr>
      <w:tr>
        <w:tblPrEx>
          <w:tblCellMar>
            <w:top w:w="0" w:type="dxa"/>
            <w:left w:w="0" w:type="dxa"/>
            <w:bottom w:w="0" w:type="dxa"/>
            <w:right w:w="0" w:type="dxa"/>
          </w:tblCellMar>
        </w:tblPrEx>
        <w:trPr>
          <w:trHeight w:val="450"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信息内容</w:t>
            </w:r>
          </w:p>
        </w:tc>
        <w:tc>
          <w:tcPr>
            <w:tcW w:w="2115" w:type="dxa"/>
            <w:gridSpan w:val="2"/>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上一年项目数量</w:t>
            </w:r>
          </w:p>
        </w:tc>
        <w:tc>
          <w:tcPr>
            <w:tcW w:w="3525" w:type="dxa"/>
            <w:gridSpan w:val="2"/>
            <w:tcBorders>
              <w:top w:val="single" w:color="auto" w:sz="8" w:space="0"/>
              <w:left w:val="nil"/>
              <w:bottom w:val="single" w:color="auto"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本年增/减</w:t>
            </w:r>
          </w:p>
        </w:tc>
      </w:tr>
      <w:tr>
        <w:tblPrEx>
          <w:tblCellMar>
            <w:top w:w="0" w:type="dxa"/>
            <w:left w:w="0" w:type="dxa"/>
            <w:bottom w:w="0" w:type="dxa"/>
            <w:right w:w="0" w:type="dxa"/>
          </w:tblCellMar>
        </w:tblPrEx>
        <w:trPr>
          <w:trHeight w:val="435" w:hRule="atLeast"/>
        </w:trPr>
        <w:tc>
          <w:tcPr>
            <w:tcW w:w="307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行政事业性收费</w:t>
            </w:r>
          </w:p>
        </w:tc>
        <w:tc>
          <w:tcPr>
            <w:tcW w:w="2115" w:type="dxa"/>
            <w:gridSpan w:val="2"/>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3525" w:type="dxa"/>
            <w:gridSpan w:val="2"/>
            <w:tcBorders>
              <w:top w:val="nil"/>
              <w:left w:val="nil"/>
              <w:bottom w:val="single" w:color="auto"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80" w:hRule="atLeast"/>
        </w:trPr>
        <w:tc>
          <w:tcPr>
            <w:tcW w:w="8715" w:type="dxa"/>
            <w:gridSpan w:val="5"/>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第二十条第（九）项</w:t>
            </w:r>
          </w:p>
        </w:tc>
      </w:tr>
      <w:tr>
        <w:tblPrEx>
          <w:tblCellMar>
            <w:top w:w="0" w:type="dxa"/>
            <w:left w:w="0" w:type="dxa"/>
            <w:bottom w:w="0" w:type="dxa"/>
            <w:right w:w="0" w:type="dxa"/>
          </w:tblCellMar>
        </w:tblPrEx>
        <w:trPr>
          <w:trHeight w:val="420" w:hRule="atLeast"/>
        </w:trPr>
        <w:tc>
          <w:tcPr>
            <w:tcW w:w="3090" w:type="dxa"/>
            <w:gridSpan w:val="2"/>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信息内容</w:t>
            </w:r>
          </w:p>
        </w:tc>
        <w:tc>
          <w:tcPr>
            <w:tcW w:w="2100"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采购项目数量</w:t>
            </w:r>
          </w:p>
        </w:tc>
        <w:tc>
          <w:tcPr>
            <w:tcW w:w="3525" w:type="dxa"/>
            <w:gridSpan w:val="2"/>
            <w:tcBorders>
              <w:top w:val="single" w:color="auto" w:sz="8" w:space="0"/>
              <w:left w:val="nil"/>
              <w:bottom w:val="single" w:color="auto"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采购总金额</w:t>
            </w:r>
          </w:p>
        </w:tc>
      </w:tr>
      <w:tr>
        <w:tblPrEx>
          <w:tblCellMar>
            <w:top w:w="0" w:type="dxa"/>
            <w:left w:w="0" w:type="dxa"/>
            <w:bottom w:w="0" w:type="dxa"/>
            <w:right w:w="0" w:type="dxa"/>
          </w:tblCellMar>
        </w:tblPrEx>
        <w:trPr>
          <w:trHeight w:val="465" w:hRule="atLeast"/>
        </w:trPr>
        <w:tc>
          <w:tcPr>
            <w:tcW w:w="3090" w:type="dxa"/>
            <w:gridSpan w:val="2"/>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24"/>
                <w:szCs w:val="24"/>
              </w:rPr>
              <w:t>政府集中采购</w:t>
            </w:r>
          </w:p>
        </w:tc>
        <w:tc>
          <w:tcPr>
            <w:tcW w:w="2100"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3525" w:type="dxa"/>
            <w:gridSpan w:val="2"/>
            <w:tcBorders>
              <w:top w:val="nil"/>
              <w:left w:val="nil"/>
              <w:bottom w:val="single" w:color="auto"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rightChars="0"/>
        <w:jc w:val="both"/>
        <w:rPr>
          <w:rStyle w:val="7"/>
          <w:rFonts w:hint="default" w:ascii="Times New Roman" w:hAnsi="Times New Roman" w:eastAsia="黑体" w:cs="Times New Roman"/>
          <w:b w:val="0"/>
          <w:bCs/>
          <w:i w:val="0"/>
          <w:caps w:val="0"/>
          <w:color w:val="000000"/>
          <w:spacing w:val="0"/>
          <w:sz w:val="32"/>
          <w:szCs w:val="32"/>
          <w:shd w:val="clear" w:fill="FFFFFF"/>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rightChars="0" w:firstLine="640" w:firstLineChars="200"/>
        <w:jc w:val="both"/>
        <w:rPr>
          <w:rStyle w:val="7"/>
          <w:rFonts w:hint="default" w:ascii="Times New Roman" w:hAnsi="Times New Roman" w:eastAsia="黑体" w:cs="Times New Roman"/>
          <w:b w:val="0"/>
          <w:bCs/>
          <w:i w:val="0"/>
          <w:caps w:val="0"/>
          <w:color w:val="000000"/>
          <w:spacing w:val="0"/>
          <w:sz w:val="32"/>
          <w:szCs w:val="32"/>
          <w:shd w:val="clear" w:fill="FFFFFF"/>
        </w:rPr>
      </w:pPr>
      <w:r>
        <w:rPr>
          <w:rStyle w:val="7"/>
          <w:rFonts w:hint="eastAsia" w:ascii="Times New Roman" w:hAnsi="Times New Roman" w:eastAsia="黑体" w:cs="Times New Roman"/>
          <w:b w:val="0"/>
          <w:bCs/>
          <w:i w:val="0"/>
          <w:caps w:val="0"/>
          <w:color w:val="000000"/>
          <w:spacing w:val="0"/>
          <w:sz w:val="32"/>
          <w:szCs w:val="32"/>
          <w:shd w:val="clear" w:fill="FFFFFF"/>
          <w:lang w:eastAsia="zh-CN"/>
        </w:rPr>
        <w:t>三、</w:t>
      </w:r>
      <w:r>
        <w:rPr>
          <w:rStyle w:val="7"/>
          <w:rFonts w:hint="default" w:ascii="Times New Roman" w:hAnsi="Times New Roman" w:eastAsia="黑体" w:cs="Times New Roman"/>
          <w:b w:val="0"/>
          <w:bCs/>
          <w:i w:val="0"/>
          <w:caps w:val="0"/>
          <w:color w:val="000000"/>
          <w:spacing w:val="0"/>
          <w:sz w:val="32"/>
          <w:szCs w:val="32"/>
          <w:shd w:val="clear" w:fill="FFFFFF"/>
        </w:rPr>
        <w:t>收到和处理政府信息公开申请情况</w:t>
      </w:r>
    </w:p>
    <w:tbl>
      <w:tblPr>
        <w:tblStyle w:val="5"/>
        <w:tblW w:w="9075" w:type="dxa"/>
        <w:tblInd w:w="0" w:type="dxa"/>
        <w:shd w:val="clear" w:color="auto" w:fill="auto"/>
        <w:tblLayout w:type="autofit"/>
        <w:tblCellMar>
          <w:top w:w="0" w:type="dxa"/>
          <w:left w:w="0" w:type="dxa"/>
          <w:bottom w:w="0" w:type="dxa"/>
          <w:right w:w="0" w:type="dxa"/>
        </w:tblCellMar>
      </w:tblPr>
      <w:tblGrid>
        <w:gridCol w:w="590"/>
        <w:gridCol w:w="1413"/>
        <w:gridCol w:w="2794"/>
        <w:gridCol w:w="847"/>
        <w:gridCol w:w="567"/>
        <w:gridCol w:w="567"/>
        <w:gridCol w:w="567"/>
        <w:gridCol w:w="567"/>
        <w:gridCol w:w="537"/>
        <w:gridCol w:w="626"/>
      </w:tblGrid>
      <w:tr>
        <w:tblPrEx>
          <w:shd w:val="clear" w:color="auto" w:fill="auto"/>
          <w:tblCellMar>
            <w:top w:w="0" w:type="dxa"/>
            <w:left w:w="0" w:type="dxa"/>
            <w:bottom w:w="0" w:type="dxa"/>
            <w:right w:w="0" w:type="dxa"/>
          </w:tblCellMar>
        </w:tblPrEx>
        <w:trPr>
          <w:trHeight w:val="420" w:hRule="atLeast"/>
        </w:trPr>
        <w:tc>
          <w:tcPr>
            <w:tcW w:w="4785"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（本列数据的勾稽关系为：第一项加第二项之和，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等于第三项加第四项之和）</w:t>
            </w:r>
          </w:p>
        </w:tc>
        <w:tc>
          <w:tcPr>
            <w:tcW w:w="4290" w:type="dxa"/>
            <w:gridSpan w:val="7"/>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申请人情况</w:t>
            </w:r>
          </w:p>
        </w:tc>
      </w:tr>
      <w:tr>
        <w:tblPrEx>
          <w:tblCellMar>
            <w:top w:w="0" w:type="dxa"/>
            <w:left w:w="0" w:type="dxa"/>
            <w:bottom w:w="0" w:type="dxa"/>
            <w:right w:w="0" w:type="dxa"/>
          </w:tblCellMar>
        </w:tblPrEx>
        <w:trPr>
          <w:trHeight w:val="420" w:hRule="atLeast"/>
        </w:trPr>
        <w:tc>
          <w:tcPr>
            <w:tcW w:w="478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855"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自然人</w:t>
            </w:r>
          </w:p>
        </w:tc>
        <w:tc>
          <w:tcPr>
            <w:tcW w:w="2805"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法人或其他组织</w:t>
            </w:r>
          </w:p>
        </w:tc>
        <w:tc>
          <w:tcPr>
            <w:tcW w:w="63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总计</w:t>
            </w:r>
          </w:p>
        </w:tc>
      </w:tr>
      <w:tr>
        <w:tblPrEx>
          <w:tblCellMar>
            <w:top w:w="0" w:type="dxa"/>
            <w:left w:w="0" w:type="dxa"/>
            <w:bottom w:w="0" w:type="dxa"/>
            <w:right w:w="0" w:type="dxa"/>
          </w:tblCellMar>
        </w:tblPrEx>
        <w:trPr>
          <w:trHeight w:val="1125" w:hRule="atLeast"/>
        </w:trPr>
        <w:tc>
          <w:tcPr>
            <w:tcW w:w="478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85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商业企业</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科研机构</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社会公益组织</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其他</w:t>
            </w:r>
          </w:p>
        </w:tc>
        <w:tc>
          <w:tcPr>
            <w:tcW w:w="63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r>
      <w:tr>
        <w:tblPrEx>
          <w:tblCellMar>
            <w:top w:w="0" w:type="dxa"/>
            <w:left w:w="0" w:type="dxa"/>
            <w:bottom w:w="0" w:type="dxa"/>
            <w:right w:w="0" w:type="dxa"/>
          </w:tblCellMar>
        </w:tblPrEx>
        <w:tc>
          <w:tcPr>
            <w:tcW w:w="4785"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一、本年新收政府信息公开申请数量</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eastAsia="宋体" w:cs="Times New Roman"/>
                <w:sz w:val="24"/>
                <w:szCs w:val="24"/>
                <w:lang w:val="en-US" w:eastAsia="zh-CN"/>
              </w:rPr>
            </w:pPr>
            <w:r>
              <w:rPr>
                <w:rFonts w:hint="default" w:ascii="Times New Roman" w:hAnsi="Times New Roman" w:eastAsia="sans-serif" w:cs="Times New Roman"/>
                <w:i w:val="0"/>
                <w:caps w:val="0"/>
                <w:color w:val="000000"/>
                <w:spacing w:val="0"/>
                <w:sz w:val="21"/>
                <w:szCs w:val="21"/>
              </w:rPr>
              <w:t>1</w:t>
            </w:r>
            <w:r>
              <w:rPr>
                <w:rFonts w:hint="eastAsia" w:ascii="Times New Roman" w:hAnsi="Times New Roman" w:eastAsia="宋体" w:cs="Times New Roman"/>
                <w:i w:val="0"/>
                <w:caps w:val="0"/>
                <w:color w:val="000000"/>
                <w:spacing w:val="0"/>
                <w:sz w:val="21"/>
                <w:szCs w:val="21"/>
                <w:lang w:val="en-US" w:eastAsia="zh-CN"/>
              </w:rPr>
              <w:t>1</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eastAsia="宋体" w:cs="Times New Roman"/>
                <w:sz w:val="24"/>
                <w:szCs w:val="24"/>
                <w:lang w:val="en-US" w:eastAsia="zh-CN"/>
              </w:rPr>
            </w:pPr>
            <w:r>
              <w:rPr>
                <w:rFonts w:hint="default" w:ascii="Times New Roman" w:hAnsi="Times New Roman" w:eastAsia="sans-serif" w:cs="Times New Roman"/>
                <w:i w:val="0"/>
                <w:caps w:val="0"/>
                <w:color w:val="000000"/>
                <w:spacing w:val="0"/>
                <w:sz w:val="21"/>
                <w:szCs w:val="21"/>
              </w:rPr>
              <w:t>1</w:t>
            </w:r>
            <w:r>
              <w:rPr>
                <w:rFonts w:hint="eastAsia" w:ascii="Times New Roman" w:hAnsi="Times New Roman" w:eastAsia="宋体" w:cs="Times New Roman"/>
                <w:i w:val="0"/>
                <w:caps w:val="0"/>
                <w:color w:val="000000"/>
                <w:spacing w:val="0"/>
                <w:sz w:val="21"/>
                <w:szCs w:val="21"/>
                <w:lang w:val="en-US" w:eastAsia="zh-CN"/>
              </w:rPr>
              <w:t>1</w:t>
            </w:r>
          </w:p>
        </w:tc>
      </w:tr>
      <w:tr>
        <w:tblPrEx>
          <w:tblCellMar>
            <w:top w:w="0" w:type="dxa"/>
            <w:left w:w="0" w:type="dxa"/>
            <w:bottom w:w="0" w:type="dxa"/>
            <w:right w:w="0" w:type="dxa"/>
          </w:tblCellMar>
        </w:tblPrEx>
        <w:tc>
          <w:tcPr>
            <w:tcW w:w="4785"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二、上年结转政府信息公开申请数量</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c>
          <w:tcPr>
            <w:tcW w:w="525"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三、本年度办理结果</w:t>
            </w:r>
          </w:p>
        </w:tc>
        <w:tc>
          <w:tcPr>
            <w:tcW w:w="426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（一）予以公开</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cs="Times New Roman" w:eastAsiaTheme="minorEastAsia"/>
                <w:sz w:val="24"/>
                <w:szCs w:val="24"/>
                <w:lang w:eastAsia="zh-CN"/>
              </w:rPr>
            </w:pPr>
            <w:r>
              <w:rPr>
                <w:rFonts w:hint="eastAsia" w:ascii="Times New Roman" w:hAnsi="Times New Roman" w:eastAsia="宋体" w:cs="Times New Roman"/>
                <w:i w:val="0"/>
                <w:caps w:val="0"/>
                <w:color w:val="000000"/>
                <w:spacing w:val="0"/>
                <w:sz w:val="21"/>
                <w:szCs w:val="21"/>
                <w:lang w:val="en-US" w:eastAsia="zh-CN"/>
              </w:rPr>
              <w:t>7</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cs="Times New Roman" w:eastAsiaTheme="minorEastAsia"/>
                <w:sz w:val="24"/>
                <w:szCs w:val="24"/>
                <w:lang w:eastAsia="zh-CN"/>
              </w:rPr>
            </w:pPr>
            <w:r>
              <w:rPr>
                <w:rFonts w:hint="eastAsia" w:ascii="Times New Roman" w:hAnsi="Times New Roman" w:eastAsia="宋体" w:cs="Times New Roman"/>
                <w:i w:val="0"/>
                <w:caps w:val="0"/>
                <w:color w:val="000000"/>
                <w:spacing w:val="0"/>
                <w:sz w:val="21"/>
                <w:szCs w:val="21"/>
                <w:lang w:val="en-US" w:eastAsia="zh-CN"/>
              </w:rPr>
              <w:t>7</w:t>
            </w:r>
          </w:p>
        </w:tc>
      </w:tr>
      <w:tr>
        <w:tblPrEx>
          <w:tblCellMar>
            <w:top w:w="0" w:type="dxa"/>
            <w:left w:w="0" w:type="dxa"/>
            <w:bottom w:w="0" w:type="dxa"/>
            <w:right w:w="0" w:type="dxa"/>
          </w:tblCellMar>
        </w:tblPrEx>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426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（二）部分公开（区分处理的，只计这一情形，不计其他情形）</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（三）不予公开</w:t>
            </w: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1.属于国家秘密</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2.其他法律行政法规禁止公开</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3.危及“三安全一稳定”</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4.保护第三方合法权益</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5.属于三类内部事务信息</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6.属于四类过程性信息</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7.属于行政执法案卷</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8.属于行政查询事项</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（四）无法提供</w:t>
            </w: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1.本机关不掌握相关政府信息</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cs="Times New Roman" w:eastAsiaTheme="minorEastAsia"/>
                <w:sz w:val="24"/>
                <w:szCs w:val="24"/>
                <w:lang w:eastAsia="zh-CN"/>
              </w:rPr>
            </w:pPr>
            <w:r>
              <w:rPr>
                <w:rFonts w:hint="eastAsia" w:ascii="Times New Roman" w:hAnsi="Times New Roman" w:eastAsia="宋体" w:cs="Times New Roman"/>
                <w:i w:val="0"/>
                <w:caps w:val="0"/>
                <w:color w:val="000000"/>
                <w:spacing w:val="0"/>
                <w:sz w:val="21"/>
                <w:szCs w:val="21"/>
                <w:lang w:val="en-US" w:eastAsia="zh-CN"/>
              </w:rPr>
              <w:t>4</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cs="Times New Roman" w:eastAsiaTheme="minorEastAsia"/>
                <w:sz w:val="24"/>
                <w:szCs w:val="24"/>
                <w:lang w:eastAsia="zh-CN"/>
              </w:rPr>
            </w:pPr>
            <w:r>
              <w:rPr>
                <w:rFonts w:hint="eastAsia" w:ascii="Times New Roman" w:hAnsi="Times New Roman" w:eastAsia="宋体" w:cs="Times New Roman"/>
                <w:i w:val="0"/>
                <w:caps w:val="0"/>
                <w:color w:val="000000"/>
                <w:spacing w:val="0"/>
                <w:sz w:val="21"/>
                <w:szCs w:val="21"/>
                <w:lang w:val="en-US" w:eastAsia="zh-CN"/>
              </w:rPr>
              <w:t>4</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2.没有现成信息需要另行制作</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3.补正后申请内容仍不明确</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（五）不予处理</w:t>
            </w: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1.信访举报投诉类申请</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2.重复申请</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3.要求提供公开出版物</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39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4.无正当理由大量反复申请</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1425"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28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5.要求行政机关确认或重新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95"/>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出具已获取信息</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39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426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（六）其他处理</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r>
        <w:tblPrEx>
          <w:tblCellMar>
            <w:top w:w="0" w:type="dxa"/>
            <w:left w:w="0" w:type="dxa"/>
            <w:bottom w:w="0" w:type="dxa"/>
            <w:right w:w="0" w:type="dxa"/>
          </w:tblCellMar>
        </w:tblPrEx>
        <w:trPr>
          <w:trHeight w:val="390" w:hRule="atLeast"/>
        </w:trPr>
        <w:tc>
          <w:tcPr>
            <w:tcW w:w="525"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426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楷体" w:cs="Times New Roman"/>
                <w:i w:val="0"/>
                <w:caps w:val="0"/>
                <w:color w:val="000000"/>
                <w:spacing w:val="0"/>
                <w:sz w:val="19"/>
                <w:szCs w:val="19"/>
              </w:rPr>
              <w:t>（七）总计</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sz w:val="24"/>
                <w:szCs w:val="24"/>
                <w:lang w:val="en-US" w:eastAsia="zh-CN"/>
              </w:rPr>
            </w:pPr>
            <w:r>
              <w:rPr>
                <w:rFonts w:hint="eastAsia" w:ascii="Times New Roman" w:hAnsi="Times New Roman" w:eastAsia="宋体" w:cs="Times New Roman"/>
                <w:i w:val="0"/>
                <w:caps w:val="0"/>
                <w:color w:val="000000"/>
                <w:spacing w:val="0"/>
                <w:sz w:val="21"/>
                <w:szCs w:val="21"/>
                <w:lang w:val="en-US" w:eastAsia="zh-CN"/>
              </w:rPr>
              <w:t>11</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sz w:val="24"/>
                <w:szCs w:val="24"/>
                <w:lang w:val="en-US" w:eastAsia="zh-CN"/>
              </w:rPr>
            </w:pPr>
            <w:r>
              <w:rPr>
                <w:rFonts w:hint="eastAsia" w:ascii="Times New Roman" w:hAnsi="Times New Roman" w:eastAsia="宋体" w:cs="Times New Roman"/>
                <w:i w:val="0"/>
                <w:caps w:val="0"/>
                <w:color w:val="000000"/>
                <w:spacing w:val="0"/>
                <w:sz w:val="21"/>
                <w:szCs w:val="21"/>
                <w:lang w:val="en-US" w:eastAsia="zh-CN"/>
              </w:rPr>
              <w:t>11</w:t>
            </w:r>
          </w:p>
        </w:tc>
      </w:tr>
      <w:tr>
        <w:tblPrEx>
          <w:tblCellMar>
            <w:top w:w="0" w:type="dxa"/>
            <w:left w:w="0" w:type="dxa"/>
            <w:bottom w:w="0" w:type="dxa"/>
            <w:right w:w="0" w:type="dxa"/>
          </w:tblCellMar>
        </w:tblPrEx>
        <w:tc>
          <w:tcPr>
            <w:tcW w:w="4785"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四、结转下年度继续办理</w:t>
            </w:r>
          </w:p>
        </w:tc>
        <w:tc>
          <w:tcPr>
            <w:tcW w:w="8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4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right="0" w:firstLine="643" w:firstLineChars="200"/>
        <w:jc w:val="both"/>
        <w:rPr>
          <w:rFonts w:hint="default" w:ascii="Times New Roman" w:hAnsi="Times New Roman" w:eastAsia="微软雅黑" w:cs="Times New Roman"/>
          <w:b/>
          <w:bCs/>
          <w:i w:val="0"/>
          <w:caps w:val="0"/>
          <w:color w:val="000000"/>
          <w:spacing w:val="0"/>
          <w:sz w:val="24"/>
          <w:szCs w:val="24"/>
        </w:rPr>
      </w:pPr>
      <w:r>
        <w:rPr>
          <w:rFonts w:hint="default" w:ascii="Times New Roman" w:hAnsi="Times New Roman" w:eastAsia="黑体" w:cs="Times New Roman"/>
          <w:b/>
          <w:bCs/>
          <w:i w:val="0"/>
          <w:caps w:val="0"/>
          <w:color w:val="000000"/>
          <w:spacing w:val="0"/>
          <w:sz w:val="32"/>
          <w:szCs w:val="32"/>
          <w:shd w:val="clear" w:fill="FFFFFF"/>
        </w:rPr>
        <w:t>四、政府信息公开行政复议、行政诉讼情况</w:t>
      </w:r>
    </w:p>
    <w:tbl>
      <w:tblPr>
        <w:tblStyle w:val="5"/>
        <w:tblW w:w="9075" w:type="dxa"/>
        <w:tblInd w:w="0" w:type="dxa"/>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shd w:val="clear" w:color="auto" w:fill="auto"/>
          <w:tblCellMar>
            <w:top w:w="0" w:type="dxa"/>
            <w:left w:w="0" w:type="dxa"/>
            <w:bottom w:w="0" w:type="dxa"/>
            <w:right w:w="0" w:type="dxa"/>
          </w:tblCellMar>
        </w:tblPrEx>
        <w:trPr>
          <w:trHeight w:val="495" w:hRule="atLeast"/>
        </w:trPr>
        <w:tc>
          <w:tcPr>
            <w:tcW w:w="3075"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行政复议</w:t>
            </w:r>
          </w:p>
        </w:tc>
        <w:tc>
          <w:tcPr>
            <w:tcW w:w="6000" w:type="dxa"/>
            <w:gridSpan w:val="10"/>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行政诉讼</w:t>
            </w:r>
          </w:p>
        </w:tc>
      </w:tr>
      <w:tr>
        <w:tblPrEx>
          <w:tblCellMar>
            <w:top w:w="0" w:type="dxa"/>
            <w:left w:w="0" w:type="dxa"/>
            <w:bottom w:w="0" w:type="dxa"/>
            <w:right w:w="0" w:type="dxa"/>
          </w:tblCellMar>
        </w:tblPrEx>
        <w:trPr>
          <w:trHeight w:val="540"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维持</w:t>
            </w:r>
          </w:p>
        </w:tc>
        <w:tc>
          <w:tcPr>
            <w:tcW w:w="60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结果纠正</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其他结果</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审结</w:t>
            </w:r>
          </w:p>
        </w:tc>
        <w:tc>
          <w:tcPr>
            <w:tcW w:w="66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未经复议直接起诉</w:t>
            </w:r>
          </w:p>
        </w:tc>
        <w:tc>
          <w:tcPr>
            <w:tcW w:w="303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复议后起诉</w:t>
            </w:r>
          </w:p>
        </w:tc>
      </w:tr>
      <w:tr>
        <w:tblPrEx>
          <w:tblCellMar>
            <w:top w:w="0" w:type="dxa"/>
            <w:left w:w="0" w:type="dxa"/>
            <w:bottom w:w="0" w:type="dxa"/>
            <w:right w:w="0" w:type="dxa"/>
          </w:tblCellMar>
        </w:tblPrEx>
        <w:trPr>
          <w:trHeight w:val="90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60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66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i w:val="0"/>
                <w:caps w:val="0"/>
                <w:color w:val="000000"/>
                <w:spacing w:val="0"/>
                <w:sz w:val="27"/>
                <w:szCs w:val="27"/>
              </w:rPr>
            </w:pP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结果维持</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结果纠正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总计</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结果维持</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尚未审结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9"/>
                <w:szCs w:val="19"/>
              </w:rPr>
              <w:t>总计</w:t>
            </w:r>
          </w:p>
        </w:tc>
      </w:tr>
      <w:tr>
        <w:tc>
          <w:tcPr>
            <w:tcW w:w="60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6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sz w:val="24"/>
                <w:szCs w:val="24"/>
              </w:rPr>
            </w:pPr>
            <w:r>
              <w:rPr>
                <w:rFonts w:hint="default" w:ascii="Times New Roman" w:hAnsi="Times New Roman" w:eastAsia="sans-serif" w:cs="Times New Roman"/>
                <w:i w:val="0"/>
                <w:caps w:val="0"/>
                <w:color w:val="000000"/>
                <w:spacing w:val="0"/>
                <w:sz w:val="21"/>
                <w:szCs w:val="21"/>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right="0" w:firstLine="643" w:firstLineChars="200"/>
        <w:jc w:val="both"/>
        <w:textAlignment w:val="auto"/>
        <w:rPr>
          <w:rFonts w:hint="default" w:ascii="Times New Roman" w:hAnsi="Times New Roman" w:eastAsia="黑体" w:cs="Times New Roman"/>
          <w:b/>
          <w:bCs/>
          <w:i w:val="0"/>
          <w:caps w:val="0"/>
          <w:color w:val="000000"/>
          <w:spacing w:val="0"/>
          <w:sz w:val="32"/>
          <w:szCs w:val="32"/>
        </w:rPr>
      </w:pPr>
      <w:r>
        <w:rPr>
          <w:rFonts w:hint="default" w:ascii="Times New Roman" w:hAnsi="Times New Roman" w:eastAsia="黑体" w:cs="Times New Roman"/>
          <w:b/>
          <w:bCs/>
          <w:i w:val="0"/>
          <w:caps w:val="0"/>
          <w:color w:val="333333"/>
          <w:spacing w:val="0"/>
          <w:sz w:val="32"/>
          <w:szCs w:val="32"/>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right="0" w:firstLine="643" w:firstLineChars="200"/>
        <w:jc w:val="both"/>
        <w:textAlignment w:val="auto"/>
        <w:rPr>
          <w:rFonts w:hint="default" w:ascii="Times New Roman" w:hAnsi="Times New Roman" w:eastAsia="仿宋_GB2312" w:cs="Times New Roman"/>
          <w:b/>
          <w:bCs/>
          <w:i w:val="0"/>
          <w:caps w:val="0"/>
          <w:color w:val="auto"/>
          <w:spacing w:val="0"/>
          <w:sz w:val="32"/>
          <w:szCs w:val="32"/>
        </w:rPr>
      </w:pPr>
      <w:r>
        <w:rPr>
          <w:rFonts w:hint="eastAsia" w:ascii="Times New Roman" w:hAnsi="Times New Roman" w:eastAsia="仿宋_GB2312" w:cs="Times New Roman"/>
          <w:b/>
          <w:bCs/>
          <w:i w:val="0"/>
          <w:caps w:val="0"/>
          <w:color w:val="auto"/>
          <w:spacing w:val="0"/>
          <w:sz w:val="32"/>
          <w:szCs w:val="32"/>
          <w:shd w:val="clear" w:fill="FFFFFF"/>
          <w:lang w:eastAsia="zh-CN"/>
        </w:rPr>
        <w:t>（</w:t>
      </w:r>
      <w:r>
        <w:rPr>
          <w:rFonts w:hint="default" w:ascii="Times New Roman" w:hAnsi="Times New Roman" w:eastAsia="仿宋_GB2312" w:cs="Times New Roman"/>
          <w:b/>
          <w:bCs/>
          <w:i w:val="0"/>
          <w:caps w:val="0"/>
          <w:color w:val="auto"/>
          <w:spacing w:val="0"/>
          <w:sz w:val="32"/>
          <w:szCs w:val="32"/>
          <w:shd w:val="clear" w:fill="FFFFFF"/>
        </w:rPr>
        <w:t>一）存在的主要问题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right="0" w:firstLine="643" w:firstLineChars="200"/>
        <w:jc w:val="both"/>
        <w:textAlignment w:val="auto"/>
        <w:rPr>
          <w:rFonts w:hint="default" w:ascii="Times New Roman" w:hAnsi="Times New Roman" w:eastAsia="仿宋_GB2312" w:cs="Times New Roman"/>
          <w:b/>
          <w:bCs/>
          <w:i w:val="0"/>
          <w:caps w:val="0"/>
          <w:color w:val="auto"/>
          <w:spacing w:val="0"/>
          <w:sz w:val="32"/>
          <w:szCs w:val="32"/>
        </w:rPr>
      </w:pPr>
      <w:r>
        <w:rPr>
          <w:rFonts w:hint="eastAsia" w:ascii="Times New Roman" w:hAnsi="Times New Roman" w:eastAsia="仿宋_GB2312" w:cs="Times New Roman"/>
          <w:b/>
          <w:bCs/>
          <w:i w:val="0"/>
          <w:caps w:val="0"/>
          <w:color w:val="auto"/>
          <w:spacing w:val="0"/>
          <w:sz w:val="32"/>
          <w:szCs w:val="32"/>
          <w:shd w:val="clear" w:fill="FFFFFF"/>
        </w:rPr>
        <w:t>一是专业领域的工作需进一步夯实，尤其是在《中华人民共和国政府信息公开条例》实施后，对政务信息公开质量提出了更高要求。二是在政务信息公开的广度和深度方面与人民群众的实际需求相比，还存在一定的差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fill="FFFFFF"/>
        </w:rPr>
        <w:t>（二）改进措施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Times New Roman" w:hAnsi="Times New Roman" w:eastAsia="仿宋_GB2312" w:cs="Times New Roman"/>
          <w:b/>
          <w:bCs/>
          <w:i w:val="0"/>
          <w:caps w:val="0"/>
          <w:color w:val="auto"/>
          <w:spacing w:val="0"/>
          <w:sz w:val="32"/>
          <w:szCs w:val="32"/>
          <w:shd w:val="clear" w:fill="FFFFFF"/>
        </w:rPr>
      </w:pPr>
      <w:r>
        <w:rPr>
          <w:rFonts w:hint="eastAsia" w:ascii="Times New Roman" w:hAnsi="Times New Roman" w:eastAsia="仿宋_GB2312" w:cs="Times New Roman"/>
          <w:b/>
          <w:bCs/>
          <w:i w:val="0"/>
          <w:caps w:val="0"/>
          <w:color w:val="auto"/>
          <w:spacing w:val="0"/>
          <w:sz w:val="32"/>
          <w:szCs w:val="32"/>
          <w:shd w:val="clear" w:fill="FFFFFF"/>
          <w:lang w:val="en-US" w:eastAsia="zh-CN"/>
        </w:rPr>
        <w:t>1、</w:t>
      </w:r>
      <w:r>
        <w:rPr>
          <w:rFonts w:hint="eastAsia" w:ascii="Times New Roman" w:hAnsi="Times New Roman" w:eastAsia="仿宋_GB2312" w:cs="Times New Roman"/>
          <w:b/>
          <w:bCs/>
          <w:i w:val="0"/>
          <w:caps w:val="0"/>
          <w:color w:val="auto"/>
          <w:spacing w:val="0"/>
          <w:sz w:val="32"/>
          <w:szCs w:val="32"/>
          <w:shd w:val="clear" w:fill="FFFFFF"/>
        </w:rPr>
        <w:t>加强学习培训。加强相关工作人员对《中华人民共和国政府信息公开条例》学习，加强对政务公开工作的认识，进一步提高政府信息公开工作专业能力。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i w:val="0"/>
          <w:caps w:val="0"/>
          <w:color w:val="auto"/>
          <w:spacing w:val="0"/>
          <w:sz w:val="32"/>
          <w:szCs w:val="32"/>
          <w:shd w:val="clear" w:fill="FFFFFF"/>
        </w:rPr>
      </w:pPr>
      <w:r>
        <w:rPr>
          <w:rFonts w:hint="eastAsia" w:ascii="Times New Roman" w:hAnsi="Times New Roman" w:eastAsia="仿宋_GB2312" w:cs="Times New Roman"/>
          <w:b/>
          <w:bCs/>
          <w:i w:val="0"/>
          <w:caps w:val="0"/>
          <w:color w:val="auto"/>
          <w:spacing w:val="0"/>
          <w:sz w:val="32"/>
          <w:szCs w:val="32"/>
          <w:shd w:val="clear" w:fill="FFFFFF"/>
          <w:lang w:val="en-US" w:eastAsia="zh-CN"/>
        </w:rPr>
        <w:t>2、</w:t>
      </w:r>
      <w:r>
        <w:rPr>
          <w:rFonts w:hint="eastAsia" w:ascii="Times New Roman" w:hAnsi="Times New Roman" w:eastAsia="仿宋_GB2312" w:cs="Times New Roman"/>
          <w:b/>
          <w:bCs/>
          <w:i w:val="0"/>
          <w:caps w:val="0"/>
          <w:color w:val="auto"/>
          <w:spacing w:val="0"/>
          <w:sz w:val="32"/>
          <w:szCs w:val="32"/>
          <w:shd w:val="clear" w:fill="FFFFFF"/>
        </w:rPr>
        <w:t>继续充实公开内容。梳理能公开政府信息,加强对群众关心关注的热点问题梳理汇总，做到把握全面、突出重点。充分发挥门户网站和政务新媒体的作用，及时、准确、规范按照要求更新发布信息。真正把群众关心、社会关注的相关信息内容作为政务公开的重点，确保政务信息公开工作质量。</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Fonts w:hint="default" w:ascii="Times New Roman" w:hAnsi="Times New Roman" w:eastAsia="黑体" w:cs="Times New Roman"/>
          <w:b/>
          <w:bCs/>
          <w:i w:val="0"/>
          <w:caps w:val="0"/>
          <w:color w:val="000000"/>
          <w:spacing w:val="0"/>
          <w:sz w:val="32"/>
          <w:szCs w:val="32"/>
        </w:rPr>
      </w:pPr>
      <w:r>
        <w:rPr>
          <w:rFonts w:hint="default" w:ascii="Times New Roman" w:hAnsi="Times New Roman" w:eastAsia="黑体" w:cs="Times New Roman"/>
          <w:b/>
          <w:bCs/>
          <w:i w:val="0"/>
          <w:caps w:val="0"/>
          <w:color w:val="000000"/>
          <w:spacing w:val="0"/>
          <w:sz w:val="32"/>
          <w:szCs w:val="32"/>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Fonts w:hint="default" w:ascii="Times New Roman" w:hAnsi="Times New Roman" w:eastAsia="仿宋_GB2312" w:cs="Times New Roman"/>
          <w:b/>
          <w:bCs/>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60" w:lineRule="exact"/>
        <w:ind w:left="0" w:right="0" w:firstLine="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i w:val="0"/>
          <w:caps w:val="0"/>
          <w:color w:val="000000"/>
          <w:spacing w:val="0"/>
          <w:sz w:val="32"/>
          <w:szCs w:val="32"/>
        </w:rPr>
        <w:t>                                                    202</w:t>
      </w:r>
      <w:r>
        <w:rPr>
          <w:rFonts w:hint="default" w:ascii="Times New Roman" w:hAnsi="Times New Roman" w:eastAsia="仿宋_GB2312" w:cs="Times New Roman"/>
          <w:b/>
          <w:bCs/>
          <w:i w:val="0"/>
          <w:caps w:val="0"/>
          <w:color w:val="000000"/>
          <w:spacing w:val="0"/>
          <w:sz w:val="32"/>
          <w:szCs w:val="32"/>
          <w:lang w:val="en-US" w:eastAsia="zh-CN"/>
        </w:rPr>
        <w:t>1</w:t>
      </w:r>
      <w:r>
        <w:rPr>
          <w:rFonts w:hint="default" w:ascii="Times New Roman" w:hAnsi="Times New Roman" w:eastAsia="仿宋_GB2312" w:cs="Times New Roman"/>
          <w:b/>
          <w:bCs/>
          <w:i w:val="0"/>
          <w:caps w:val="0"/>
          <w:color w:val="000000"/>
          <w:spacing w:val="0"/>
          <w:sz w:val="32"/>
          <w:szCs w:val="32"/>
        </w:rPr>
        <w:t>年1月</w:t>
      </w:r>
      <w:r>
        <w:rPr>
          <w:rFonts w:hint="default" w:ascii="Times New Roman" w:hAnsi="Times New Roman" w:eastAsia="仿宋_GB2312" w:cs="Times New Roman"/>
          <w:b/>
          <w:bCs/>
          <w:i w:val="0"/>
          <w:caps w:val="0"/>
          <w:color w:val="000000"/>
          <w:spacing w:val="0"/>
          <w:sz w:val="32"/>
          <w:szCs w:val="32"/>
          <w:lang w:val="en-US" w:eastAsia="zh-CN"/>
        </w:rPr>
        <w:t>22</w:t>
      </w:r>
      <w:r>
        <w:rPr>
          <w:rFonts w:hint="default" w:ascii="Times New Roman" w:hAnsi="Times New Roman" w:eastAsia="仿宋_GB2312" w:cs="Times New Roman"/>
          <w:b/>
          <w:bCs/>
          <w:i w:val="0"/>
          <w:caps w:val="0"/>
          <w:color w:val="000000"/>
          <w:spacing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2528570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1pt;margin-top:0.75pt;height:144pt;width:144pt;mso-position-horizontal-relative:margin;mso-wrap-style:none;z-index:251658240;mso-width-relative:page;mso-height-relative:page;" filled="f" stroked="f" coordsize="21600,21600" o:gfxdata="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QB337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6797A"/>
    <w:multiLevelType w:val="singleLevel"/>
    <w:tmpl w:val="33A679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C473B"/>
    <w:rsid w:val="01023DE3"/>
    <w:rsid w:val="04283E58"/>
    <w:rsid w:val="0BEC473B"/>
    <w:rsid w:val="11745E67"/>
    <w:rsid w:val="3096115A"/>
    <w:rsid w:val="3DA24D32"/>
    <w:rsid w:val="558E15CD"/>
    <w:rsid w:val="69C80AAD"/>
    <w:rsid w:val="73703AB4"/>
    <w:rsid w:val="7C98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2021-01-22T09:13:00Z</dcterms:created>
  <dc:creator>MLM</dc:creator>
  <cp:lastModifiedBy>MLM</cp:lastModifiedBy>
  <dcterms:modified xsi:type="dcterms:W3CDTF">2021-02-04T03:55:18Z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