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caps w:val="0"/>
          <w:color w:val="000000"/>
          <w:spacing w:val="0"/>
          <w:sz w:val="44"/>
          <w:szCs w:val="44"/>
        </w:rPr>
      </w:pPr>
      <w:bookmarkStart w:id="0" w:name="_GoBack"/>
      <w:r>
        <w:rPr>
          <w:rFonts w:hint="default" w:ascii="Times New Roman" w:hAnsi="Times New Roman" w:eastAsia="方正小标宋简体" w:cs="Times New Roman"/>
          <w:b w:val="0"/>
          <w:bCs w:val="0"/>
          <w:i w:val="0"/>
          <w:caps w:val="0"/>
          <w:color w:val="000000"/>
          <w:spacing w:val="0"/>
          <w:sz w:val="44"/>
          <w:szCs w:val="44"/>
          <w:lang w:eastAsia="zh-CN"/>
        </w:rPr>
        <w:t>沂源</w:t>
      </w:r>
      <w:r>
        <w:rPr>
          <w:rFonts w:hint="default" w:ascii="Times New Roman" w:hAnsi="Times New Roman" w:eastAsia="方正小标宋简体" w:cs="Times New Roman"/>
          <w:b w:val="0"/>
          <w:bCs w:val="0"/>
          <w:i w:val="0"/>
          <w:caps w:val="0"/>
          <w:color w:val="000000"/>
          <w:spacing w:val="0"/>
          <w:sz w:val="44"/>
          <w:szCs w:val="44"/>
        </w:rPr>
        <w:t>县发展</w:t>
      </w:r>
      <w:r>
        <w:rPr>
          <w:rFonts w:hint="default" w:ascii="Times New Roman" w:hAnsi="Times New Roman" w:eastAsia="方正小标宋简体" w:cs="Times New Roman"/>
          <w:b w:val="0"/>
          <w:bCs w:val="0"/>
          <w:i w:val="0"/>
          <w:caps w:val="0"/>
          <w:color w:val="000000"/>
          <w:spacing w:val="0"/>
          <w:sz w:val="44"/>
          <w:szCs w:val="44"/>
          <w:lang w:eastAsia="zh-CN"/>
        </w:rPr>
        <w:t>和</w:t>
      </w:r>
      <w:r>
        <w:rPr>
          <w:rFonts w:hint="default" w:ascii="Times New Roman" w:hAnsi="Times New Roman" w:eastAsia="方正小标宋简体" w:cs="Times New Roman"/>
          <w:b w:val="0"/>
          <w:bCs w:val="0"/>
          <w:i w:val="0"/>
          <w:caps w:val="0"/>
          <w:color w:val="000000"/>
          <w:spacing w:val="0"/>
          <w:sz w:val="44"/>
          <w:szCs w:val="44"/>
        </w:rPr>
        <w:t>改革局</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方正小标宋简体" w:cs="Times New Roman"/>
          <w:b w:val="0"/>
          <w:bCs w:val="0"/>
          <w:i w:val="0"/>
          <w:caps w:val="0"/>
          <w:color w:val="000000"/>
          <w:spacing w:val="0"/>
          <w:sz w:val="44"/>
          <w:szCs w:val="44"/>
          <w:lang w:eastAsia="zh-CN"/>
        </w:rPr>
        <w:t>2021</w:t>
      </w:r>
      <w:r>
        <w:rPr>
          <w:rFonts w:hint="default" w:ascii="Times New Roman" w:hAnsi="Times New Roman" w:eastAsia="方正小标宋简体" w:cs="Times New Roman"/>
          <w:b w:val="0"/>
          <w:bCs w:val="0"/>
          <w:i w:val="0"/>
          <w:caps w:val="0"/>
          <w:color w:val="000000"/>
          <w:spacing w:val="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根据《中华人民共和国政府信息公开条例》和各级政府有关信息公开的要求，结合我局信息公开工作实际，现公开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沂源县发展和改革局</w:t>
      </w:r>
      <w:r>
        <w:rPr>
          <w:rFonts w:hint="default" w:ascii="Times New Roman" w:hAnsi="Times New Roman" w:eastAsia="宋体" w:cs="Times New Roman"/>
          <w:b w:val="0"/>
          <w:bCs w:val="0"/>
          <w:i w:val="0"/>
          <w:iCs w:val="0"/>
          <w:caps w:val="0"/>
          <w:color w:val="000000"/>
          <w:spacing w:val="0"/>
          <w:sz w:val="32"/>
          <w:szCs w:val="32"/>
          <w:shd w:val="clear" w:fill="FFFFFF"/>
        </w:rPr>
        <w:t>202</w:t>
      </w:r>
      <w:r>
        <w:rPr>
          <w:rFonts w:hint="default" w:ascii="Times New Roman" w:hAnsi="Times New Roman" w:eastAsia="宋体" w:cs="Times New Roman"/>
          <w:b w:val="0"/>
          <w:bCs w:val="0"/>
          <w:i w:val="0"/>
          <w:iCs w:val="0"/>
          <w:caps w:val="0"/>
          <w:color w:val="00000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fill="FFFFFF"/>
        </w:rPr>
        <w:t>年度政府信息公开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工作</w:t>
      </w:r>
      <w:r>
        <w:rPr>
          <w:rFonts w:hint="default" w:ascii="Times New Roman" w:hAnsi="Times New Roman" w:eastAsia="仿宋_GB2312" w:cs="Times New Roman"/>
          <w:b w:val="0"/>
          <w:bCs w:val="0"/>
          <w:i w:val="0"/>
          <w:iCs w:val="0"/>
          <w:caps w:val="0"/>
          <w:color w:val="000000"/>
          <w:spacing w:val="0"/>
          <w:sz w:val="32"/>
          <w:szCs w:val="32"/>
          <w:shd w:val="clear" w:fill="FFFFFF"/>
        </w:rPr>
        <w:t>年度报告。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rPr>
      </w:pPr>
      <w:r>
        <w:rPr>
          <w:rFonts w:hint="default" w:ascii="Times New Roman" w:hAnsi="Times New Roman" w:eastAsia="黑体" w:cs="Times New Roman"/>
          <w:b w:val="0"/>
          <w:bCs w:val="0"/>
          <w:i w:val="0"/>
          <w:iCs w:val="0"/>
          <w:caps w:val="0"/>
          <w:color w:val="000000"/>
          <w:spacing w:val="0"/>
          <w:sz w:val="32"/>
          <w:szCs w:val="32"/>
          <w:shd w:val="clear"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textAlignment w:val="auto"/>
        <w:rPr>
          <w:rStyle w:val="7"/>
          <w:rFonts w:hint="default" w:ascii="Times New Roman" w:hAnsi="Times New Roman" w:eastAsia="仿宋_GB2312" w:cs="Times New Roman"/>
          <w:b w:val="0"/>
          <w:bCs w:val="0"/>
          <w:i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fill="FFFFFF"/>
        </w:rPr>
        <w:t>年，县</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发展改革</w:t>
      </w:r>
      <w:r>
        <w:rPr>
          <w:rFonts w:hint="default" w:ascii="Times New Roman" w:hAnsi="Times New Roman" w:eastAsia="仿宋_GB2312" w:cs="Times New Roman"/>
          <w:b w:val="0"/>
          <w:bCs w:val="0"/>
          <w:i w:val="0"/>
          <w:iCs w:val="0"/>
          <w:caps w:val="0"/>
          <w:color w:val="000000"/>
          <w:spacing w:val="0"/>
          <w:sz w:val="32"/>
          <w:szCs w:val="32"/>
          <w:shd w:val="clear" w:fill="FFFFFF"/>
        </w:rPr>
        <w:t>局认真贯彻落实新修订的《中华人民共和国政府信息公开条例》要求，结合</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发改</w:t>
      </w:r>
      <w:r>
        <w:rPr>
          <w:rFonts w:hint="default" w:ascii="Times New Roman" w:hAnsi="Times New Roman" w:eastAsia="仿宋_GB2312" w:cs="Times New Roman"/>
          <w:b w:val="0"/>
          <w:bCs w:val="0"/>
          <w:i w:val="0"/>
          <w:iCs w:val="0"/>
          <w:caps w:val="0"/>
          <w:color w:val="000000"/>
          <w:spacing w:val="0"/>
          <w:sz w:val="32"/>
          <w:szCs w:val="32"/>
          <w:shd w:val="clear" w:fill="FFFFFF"/>
        </w:rPr>
        <w:t>工作和政务公开涉及领域，进一步调整优化公开目录，深入拓展公开渠道，以深化公开内容为核心，进一步拓宽公开渠道，持续丰富公开形式，及时回应社会关切，不断提升政府信息公开工作力度和实效，突出政府信息公开重点，提高政府信息公开水平</w:t>
      </w:r>
      <w:r>
        <w:rPr>
          <w:rStyle w:val="7"/>
          <w:rFonts w:hint="default" w:ascii="Times New Roman" w:hAnsi="Times New Roman" w:eastAsia="仿宋_GB2312" w:cs="Times New Roman"/>
          <w:b w:val="0"/>
          <w:bCs w:val="0"/>
          <w:i w:val="0"/>
          <w:caps w:val="0"/>
          <w:color w:val="000000"/>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（一）主动公开情况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截止202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fill="FFFFFF"/>
        </w:rPr>
        <w:t>年12月31日，主动公开政府信息</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169</w:t>
      </w:r>
      <w:r>
        <w:rPr>
          <w:rFonts w:hint="default" w:ascii="Times New Roman" w:hAnsi="Times New Roman" w:eastAsia="仿宋_GB2312" w:cs="Times New Roman"/>
          <w:b w:val="0"/>
          <w:bCs w:val="0"/>
          <w:i w:val="0"/>
          <w:iCs w:val="0"/>
          <w:caps w:val="0"/>
          <w:color w:val="000000"/>
          <w:spacing w:val="0"/>
          <w:sz w:val="32"/>
          <w:szCs w:val="32"/>
          <w:shd w:val="clear" w:fill="FFFFFF"/>
        </w:rPr>
        <w:t>条。</w:t>
      </w:r>
    </w:p>
    <w:p>
      <w:pPr>
        <w:pStyle w:val="2"/>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lang w:eastAsia="zh-CN"/>
        </w:rPr>
        <w:drawing>
          <wp:inline distT="0" distB="0" distL="114300" distR="114300">
            <wp:extent cx="5165725" cy="3437255"/>
            <wp:effectExtent l="4445" t="4445" r="11430" b="63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1.推进重点领域信息公开。一是及时</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公开重大建设项目</w:t>
      </w:r>
      <w:r>
        <w:rPr>
          <w:rFonts w:hint="default" w:ascii="Times New Roman" w:hAnsi="Times New Roman" w:eastAsia="仿宋_GB2312" w:cs="Times New Roman"/>
          <w:b w:val="0"/>
          <w:bCs w:val="0"/>
          <w:i w:val="0"/>
          <w:iCs w:val="0"/>
          <w:caps w:val="0"/>
          <w:color w:val="000000"/>
          <w:spacing w:val="0"/>
          <w:sz w:val="32"/>
          <w:szCs w:val="32"/>
          <w:shd w:val="clear" w:fill="FFFFFF"/>
        </w:rPr>
        <w:t>领域信息。结合我县实际，及时公开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重大建设项目的批准结果信息、招标投标信息、征收土地信息、施工有关信息等信息</w:t>
      </w:r>
      <w:r>
        <w:rPr>
          <w:rFonts w:hint="default" w:ascii="Times New Roman" w:hAnsi="Times New Roman" w:eastAsia="仿宋_GB2312" w:cs="Times New Roman"/>
          <w:b w:val="0"/>
          <w:bCs w:val="0"/>
          <w:i w:val="0"/>
          <w:iCs w:val="0"/>
          <w:caps w:val="0"/>
          <w:color w:val="000000"/>
          <w:spacing w:val="0"/>
          <w:sz w:val="32"/>
          <w:szCs w:val="32"/>
          <w:shd w:val="clear" w:fill="FFFFFF"/>
        </w:rPr>
        <w:t>，公开内容进一步细化，公众知晓度进一步提高。二是公开行政执法信息。公开行政执法主体、职责、依据等，及时公示行政执法结果信息。三是公开“双随机、一公开”监管信息。制定20</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21</w:t>
      </w:r>
      <w:r>
        <w:rPr>
          <w:rFonts w:hint="default" w:ascii="Times New Roman" w:hAnsi="Times New Roman" w:eastAsia="仿宋_GB2312" w:cs="Times New Roman"/>
          <w:b w:val="0"/>
          <w:bCs w:val="0"/>
          <w:i w:val="0"/>
          <w:iCs w:val="0"/>
          <w:caps w:val="0"/>
          <w:color w:val="000000"/>
          <w:spacing w:val="0"/>
          <w:sz w:val="32"/>
          <w:szCs w:val="32"/>
          <w:shd w:val="clear" w:fill="FFFFFF"/>
        </w:rPr>
        <w:t>年“双随机、一公开”监管随机抽查事项清单，拟定年度抽查计划，及时公开抽查结果信息。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rPr>
        <w:t>.推进行政权力运行公开。按照上级要求，全面梳理了</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我局</w:t>
      </w:r>
      <w:r>
        <w:rPr>
          <w:rFonts w:hint="default" w:ascii="Times New Roman" w:hAnsi="Times New Roman" w:eastAsia="仿宋_GB2312" w:cs="Times New Roman"/>
          <w:b w:val="0"/>
          <w:bCs w:val="0"/>
          <w:i w:val="0"/>
          <w:iCs w:val="0"/>
          <w:caps w:val="0"/>
          <w:color w:val="000000"/>
          <w:spacing w:val="0"/>
          <w:sz w:val="32"/>
          <w:szCs w:val="32"/>
          <w:shd w:val="clear" w:fill="FFFFFF"/>
        </w:rPr>
        <w:t>的行政权力责任事项，并在政府信息公开专栏进行公开。推进重大决策预公开，公开征求意见，进一步增强决策公开性、透明性。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（二）依申请公开情况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1. 县</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发展改革</w:t>
      </w:r>
      <w:r>
        <w:rPr>
          <w:rFonts w:hint="default" w:ascii="Times New Roman" w:hAnsi="Times New Roman" w:eastAsia="仿宋_GB2312" w:cs="Times New Roman"/>
          <w:b w:val="0"/>
          <w:bCs w:val="0"/>
          <w:i w:val="0"/>
          <w:iCs w:val="0"/>
          <w:caps w:val="0"/>
          <w:color w:val="000000"/>
          <w:spacing w:val="0"/>
          <w:sz w:val="32"/>
          <w:szCs w:val="32"/>
          <w:shd w:val="clear" w:fill="FFFFFF"/>
        </w:rPr>
        <w:t>局202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fill="FFFFFF"/>
        </w:rPr>
        <w:t>年共收到政府信息公开申请</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000000"/>
          <w:spacing w:val="0"/>
          <w:sz w:val="32"/>
          <w:szCs w:val="32"/>
          <w:shd w:val="clear" w:fill="FFFFFF"/>
        </w:rPr>
        <w:t>件</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Style w:val="7"/>
          <w:rFonts w:hint="default" w:ascii="Times New Roman" w:hAnsi="Times New Roman" w:eastAsia="仿宋_GB2312" w:cs="Times New Roman"/>
          <w:b w:val="0"/>
          <w:bCs w:val="0"/>
          <w:i w:val="0"/>
          <w:caps w:val="0"/>
          <w:color w:val="auto"/>
          <w:spacing w:val="0"/>
          <w:sz w:val="32"/>
          <w:szCs w:val="32"/>
          <w:shd w:val="clear" w:fill="FFFFFF"/>
        </w:rPr>
        <w:t>均已按程序回复</w:t>
      </w:r>
      <w:r>
        <w:rPr>
          <w:rStyle w:val="7"/>
          <w:rFonts w:hint="default" w:ascii="Times New Roman" w:hAnsi="Times New Roman" w:eastAsia="仿宋_GB2312" w:cs="Times New Roman"/>
          <w:b w:val="0"/>
          <w:bCs w:val="0"/>
          <w:i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caps w:val="0"/>
          <w:color w:val="auto"/>
          <w:spacing w:val="0"/>
          <w:sz w:val="32"/>
          <w:szCs w:val="32"/>
          <w:shd w:val="clear" w:fill="FFFFFF"/>
          <w:lang w:val="en-US" w:eastAsia="zh-CN"/>
        </w:rPr>
        <w:t>申请内容主要集中在项目立项批复等方面。</w:t>
      </w:r>
    </w:p>
    <w:p>
      <w:pPr>
        <w:pStyle w:val="2"/>
        <w:rPr>
          <w:rFonts w:hint="default" w:ascii="Times New Roman" w:hAnsi="Times New Roman" w:cs="Times New Roman"/>
        </w:rPr>
      </w:pPr>
      <w:r>
        <w:rPr>
          <w:rFonts w:hint="default" w:ascii="Times New Roman" w:hAnsi="Times New Roman" w:cs="Times New Roman" w:eastAsiaTheme="minorEastAsia"/>
          <w:lang w:eastAsia="zh-CN"/>
        </w:rPr>
        <w:drawing>
          <wp:inline distT="0" distB="0" distL="114300" distR="114300">
            <wp:extent cx="4660900" cy="3183255"/>
            <wp:effectExtent l="4445" t="4445" r="2095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2.申请行政复议、提起行政诉讼情况。全年未发生因政府信息公开被行政复议、提起行政诉讼情况。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一是完善信息公开管理流程。建立政府信息公开工作全流程管理机制，不断完善政务信息公开实施方案，设置具体经办人员、科长、办公室、分管领导审核把关机制。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二是严格做好公开信息保密审查。按照“先审查、后公开”的原则，严格做好政府信息公开保密审查，确保公开信息不涉密、涉密信息不公开。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（四）政府信息公开平台建设</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2021年，在县政府和大数据局的指导下，对政务公开目录、内容等进行健全完善，及时发布完善机构职能、领导分工、政府文件、部门文件、重点领域公开、执法结果等信息，确保公开</w:t>
      </w:r>
      <w:r>
        <w:rPr>
          <w:rFonts w:hint="default" w:ascii="Times New Roman" w:hAnsi="Times New Roman" w:eastAsia="仿宋_GB2312" w:cs="Times New Roman"/>
          <w:sz w:val="32"/>
          <w:szCs w:val="32"/>
          <w:lang w:val="en-US" w:eastAsia="zh-CN"/>
        </w:rPr>
        <w:t>准确、</w:t>
      </w:r>
      <w:r>
        <w:rPr>
          <w:rFonts w:hint="default" w:ascii="Times New Roman" w:hAnsi="Times New Roman" w:eastAsia="仿宋_GB2312" w:cs="Times New Roman"/>
          <w:sz w:val="32"/>
          <w:szCs w:val="32"/>
        </w:rPr>
        <w:t>及时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b w:val="0"/>
          <w:bCs w:val="0"/>
          <w:i w:val="0"/>
          <w:iCs w:val="0"/>
          <w:caps w:val="0"/>
          <w:color w:val="000000"/>
          <w:spacing w:val="0"/>
          <w:sz w:val="32"/>
          <w:szCs w:val="32"/>
          <w:shd w:val="clear" w:fill="FFFFFF"/>
        </w:rPr>
        <w:t>结合内部科室调整情况，及时调整</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县发展改革</w:t>
      </w:r>
      <w:r>
        <w:rPr>
          <w:rFonts w:hint="default" w:ascii="Times New Roman" w:hAnsi="Times New Roman" w:eastAsia="仿宋_GB2312" w:cs="Times New Roman"/>
          <w:b w:val="0"/>
          <w:bCs w:val="0"/>
          <w:i w:val="0"/>
          <w:iCs w:val="0"/>
          <w:caps w:val="0"/>
          <w:color w:val="000000"/>
          <w:spacing w:val="0"/>
          <w:sz w:val="32"/>
          <w:szCs w:val="32"/>
          <w:shd w:val="clear" w:fill="FFFFFF"/>
        </w:rPr>
        <w:t>局政务公开领导小组，确定分管负责人，全面负责做好局机关政府信息公开管理工作，办公室为信息公开工作机构，安排专人具体负责，</w:t>
      </w:r>
      <w:r>
        <w:rPr>
          <w:rFonts w:hint="default" w:ascii="Times New Roman" w:hAnsi="Times New Roman" w:eastAsia="仿宋_GB2312" w:cs="Times New Roman"/>
          <w:sz w:val="32"/>
          <w:szCs w:val="32"/>
          <w:lang w:val="en-US" w:eastAsia="zh-CN"/>
        </w:rPr>
        <w:t>定期</w:t>
      </w:r>
      <w:r>
        <w:rPr>
          <w:rFonts w:hint="default" w:ascii="Times New Roman" w:hAnsi="Times New Roman" w:eastAsia="仿宋_GB2312" w:cs="Times New Roman"/>
          <w:sz w:val="32"/>
          <w:szCs w:val="32"/>
        </w:rPr>
        <w:t>对平台内容</w:t>
      </w:r>
      <w:r>
        <w:rPr>
          <w:rFonts w:hint="default" w:ascii="Times New Roman" w:hAnsi="Times New Roman" w:eastAsia="仿宋_GB2312" w:cs="Times New Roman"/>
          <w:sz w:val="32"/>
          <w:szCs w:val="32"/>
        </w:rPr>
        <w:t>补充</w:t>
      </w:r>
      <w:r>
        <w:rPr>
          <w:rFonts w:hint="default" w:ascii="Times New Roman" w:hAnsi="Times New Roman" w:eastAsia="仿宋_GB2312" w:cs="Times New Roman"/>
          <w:sz w:val="32"/>
          <w:szCs w:val="32"/>
        </w:rPr>
        <w:t>更新完善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确保信息</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的</w:t>
      </w:r>
      <w:r>
        <w:rPr>
          <w:rFonts w:hint="default" w:ascii="Times New Roman" w:hAnsi="Times New Roman" w:eastAsia="仿宋_GB2312" w:cs="Times New Roman"/>
          <w:b w:val="0"/>
          <w:bCs w:val="0"/>
          <w:i w:val="0"/>
          <w:iCs w:val="0"/>
          <w:caps w:val="0"/>
          <w:color w:val="000000"/>
          <w:spacing w:val="0"/>
          <w:sz w:val="32"/>
          <w:szCs w:val="32"/>
          <w:shd w:val="clear" w:fill="FFFFFF"/>
        </w:rPr>
        <w:t>准确性和时效性</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fill="FFFFFF"/>
        </w:rPr>
      </w:pPr>
      <w:r>
        <w:rPr>
          <w:rFonts w:hint="default" w:ascii="Times New Roman" w:hAnsi="Times New Roman" w:eastAsia="楷体_GB2312" w:cs="Times New Roman"/>
          <w:b w:val="0"/>
          <w:bCs w:val="0"/>
          <w:i w:val="0"/>
          <w:iCs w:val="0"/>
          <w:caps w:val="0"/>
          <w:color w:val="000000"/>
          <w:spacing w:val="0"/>
          <w:sz w:val="32"/>
          <w:szCs w:val="32"/>
          <w:shd w:val="clear" w:fill="FFFFFF"/>
        </w:rPr>
        <w:t>（</w:t>
      </w:r>
      <w:r>
        <w:rPr>
          <w:rFonts w:hint="default" w:ascii="Times New Roman" w:hAnsi="Times New Roman" w:eastAsia="楷体_GB2312" w:cs="Times New Roman"/>
          <w:b w:val="0"/>
          <w:bCs w:val="0"/>
          <w:i w:val="0"/>
          <w:iCs w:val="0"/>
          <w:caps w:val="0"/>
          <w:color w:val="000000"/>
          <w:spacing w:val="0"/>
          <w:sz w:val="32"/>
          <w:szCs w:val="32"/>
          <w:shd w:val="clear" w:fill="FFFFFF"/>
          <w:lang w:val="en-US" w:eastAsia="zh-CN"/>
        </w:rPr>
        <w:t>五</w:t>
      </w:r>
      <w:r>
        <w:rPr>
          <w:rFonts w:hint="default" w:ascii="Times New Roman" w:hAnsi="Times New Roman" w:eastAsia="楷体_GB2312" w:cs="Times New Roman"/>
          <w:b w:val="0"/>
          <w:bCs w:val="0"/>
          <w:i w:val="0"/>
          <w:iCs w:val="0"/>
          <w:caps w:val="0"/>
          <w:color w:val="000000"/>
          <w:spacing w:val="0"/>
          <w:sz w:val="32"/>
          <w:szCs w:val="32"/>
          <w:shd w:val="clear" w:fill="FFFFFF"/>
        </w:rPr>
        <w:t>）监督保障情况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坚持将政府信息与政务公开摆在全局工作的重要位置，及时调整健全政府信息与政务公开机构领导小组，加强对信息公开工作的组织领导，做到常议常抓、抓实抓好。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1.强化考核监督。坚持提高站位，主要领导亲自抓、分管领导具体抓、职能部门抓落实。将政府信息公开工作，纳入年度绩效考核体系，激发局机关政府信息公开工作积极性和主动性。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2.抓好队伍培训。积极参加县政府组织的政府信息公开工作会议和业务培训，主动对局属科室单位政府信息公开工作人员进行培训，及时传达上级培训精神和政务公开知识，</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2021年共组织政务公开培训3次，</w:t>
      </w:r>
      <w:r>
        <w:rPr>
          <w:rFonts w:hint="default" w:ascii="Times New Roman" w:hAnsi="Times New Roman" w:eastAsia="仿宋_GB2312" w:cs="Times New Roman"/>
          <w:b w:val="0"/>
          <w:bCs w:val="0"/>
          <w:i w:val="0"/>
          <w:iCs w:val="0"/>
          <w:caps w:val="0"/>
          <w:color w:val="000000"/>
          <w:spacing w:val="0"/>
          <w:sz w:val="32"/>
          <w:szCs w:val="32"/>
          <w:shd w:val="clear" w:fill="FFFFFF"/>
        </w:rPr>
        <w:t>切实提升</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了</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我局工作人员</w:t>
      </w:r>
      <w:r>
        <w:rPr>
          <w:rFonts w:hint="default" w:ascii="Times New Roman" w:hAnsi="Times New Roman" w:eastAsia="仿宋_GB2312" w:cs="Times New Roman"/>
          <w:b w:val="0"/>
          <w:bCs w:val="0"/>
          <w:i w:val="0"/>
          <w:iCs w:val="0"/>
          <w:caps w:val="0"/>
          <w:color w:val="000000"/>
          <w:spacing w:val="0"/>
          <w:sz w:val="32"/>
          <w:szCs w:val="32"/>
          <w:shd w:val="clear" w:fill="FFFFFF"/>
        </w:rPr>
        <w:t>政府信息与政务公开工作的能力素质。</w:t>
      </w:r>
    </w:p>
    <w:p>
      <w:pPr>
        <w:pStyle w:val="2"/>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4829810" cy="3622675"/>
            <wp:effectExtent l="0" t="0" r="8890" b="15875"/>
            <wp:docPr id="1" name="图片 1" descr="2021年政务公开培训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年政务公开培训照片"/>
                    <pic:cNvPicPr>
                      <a:picLocks noChangeAspect="1"/>
                    </pic:cNvPicPr>
                  </pic:nvPicPr>
                  <pic:blipFill>
                    <a:blip r:embed="rId6"/>
                    <a:stretch>
                      <a:fillRect/>
                    </a:stretch>
                  </pic:blipFill>
                  <pic:spPr>
                    <a:xfrm>
                      <a:off x="0" y="0"/>
                      <a:ext cx="4829810" cy="3622675"/>
                    </a:xfrm>
                    <a:prstGeom prst="rect">
                      <a:avLst/>
                    </a:prstGeom>
                  </pic:spPr>
                </pic:pic>
              </a:graphicData>
            </a:graphic>
          </wp:inline>
        </w:drawing>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rPr>
      </w:pPr>
      <w:r>
        <w:rPr>
          <w:rFonts w:hint="default" w:ascii="Times New Roman" w:hAnsi="Times New Roman" w:eastAsia="黑体" w:cs="Times New Roman"/>
          <w:b w:val="0"/>
          <w:bCs w:val="0"/>
          <w:i w:val="0"/>
          <w:iCs w:val="0"/>
          <w:caps w:val="0"/>
          <w:color w:val="000000"/>
          <w:spacing w:val="0"/>
          <w:sz w:val="32"/>
          <w:szCs w:val="32"/>
          <w:shd w:val="clear" w:fill="FFFFFF"/>
        </w:rPr>
        <w:t>主动公开政府信息情况</w:t>
      </w:r>
    </w:p>
    <w:tbl>
      <w:tblPr>
        <w:tblStyle w:val="5"/>
        <w:tblW w:w="8715" w:type="dxa"/>
        <w:tblInd w:w="0" w:type="dxa"/>
        <w:shd w:val="clear" w:color="auto" w:fill="auto"/>
        <w:tblLayout w:type="autofit"/>
        <w:tblCellMar>
          <w:top w:w="0" w:type="dxa"/>
          <w:left w:w="0" w:type="dxa"/>
          <w:bottom w:w="0" w:type="dxa"/>
          <w:right w:w="0" w:type="dxa"/>
        </w:tblCellMar>
      </w:tblPr>
      <w:tblGrid>
        <w:gridCol w:w="2896"/>
        <w:gridCol w:w="2034"/>
        <w:gridCol w:w="1897"/>
        <w:gridCol w:w="1888"/>
      </w:tblGrid>
      <w:tr>
        <w:tblPrEx>
          <w:tblCellMar>
            <w:top w:w="0" w:type="dxa"/>
            <w:left w:w="0" w:type="dxa"/>
            <w:bottom w:w="0" w:type="dxa"/>
            <w:right w:w="0" w:type="dxa"/>
          </w:tblCellMar>
        </w:tblPrEx>
        <w:trPr>
          <w:trHeight w:val="600" w:hRule="atLeast"/>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第（一）项</w:t>
            </w:r>
          </w:p>
        </w:tc>
      </w:tr>
      <w:tr>
        <w:tblPrEx>
          <w:shd w:val="clear" w:color="auto" w:fill="auto"/>
          <w:tblCellMar>
            <w:top w:w="0" w:type="dxa"/>
            <w:left w:w="0" w:type="dxa"/>
            <w:bottom w:w="0" w:type="dxa"/>
            <w:right w:w="0" w:type="dxa"/>
          </w:tblCellMar>
        </w:tblPrEx>
        <w:trPr>
          <w:trHeight w:val="749"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2034"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本年制</w:t>
            </w:r>
            <w:r>
              <w:rPr>
                <w:rFonts w:hint="default" w:ascii="Times New Roman" w:hAnsi="Times New Roman" w:eastAsia="宋体" w:cs="Times New Roman"/>
                <w:b w:val="0"/>
                <w:bCs w:val="0"/>
                <w:i w:val="0"/>
                <w:caps w:val="0"/>
                <w:color w:val="000000"/>
                <w:spacing w:val="0"/>
                <w:sz w:val="24"/>
                <w:szCs w:val="24"/>
                <w:lang w:val="en-US" w:eastAsia="zh-CN"/>
              </w:rPr>
              <w:t>发件</w:t>
            </w:r>
            <w:r>
              <w:rPr>
                <w:rFonts w:hint="default" w:ascii="Times New Roman" w:hAnsi="Times New Roman" w:eastAsia="宋体" w:cs="Times New Roman"/>
                <w:b w:val="0"/>
                <w:bCs w:val="0"/>
                <w:i w:val="0"/>
                <w:caps w:val="0"/>
                <w:color w:val="000000"/>
                <w:spacing w:val="0"/>
                <w:sz w:val="24"/>
                <w:szCs w:val="24"/>
              </w:rPr>
              <w:t>数</w:t>
            </w:r>
          </w:p>
        </w:tc>
        <w:tc>
          <w:tcPr>
            <w:tcW w:w="189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本年</w:t>
            </w:r>
            <w:r>
              <w:rPr>
                <w:rFonts w:hint="default" w:ascii="Times New Roman" w:hAnsi="Times New Roman" w:eastAsia="宋体" w:cs="Times New Roman"/>
                <w:b w:val="0"/>
                <w:bCs w:val="0"/>
                <w:i w:val="0"/>
                <w:caps w:val="0"/>
                <w:color w:val="000000"/>
                <w:spacing w:val="0"/>
                <w:sz w:val="24"/>
                <w:szCs w:val="24"/>
                <w:lang w:val="en-US" w:eastAsia="zh-CN"/>
              </w:rPr>
              <w:t>废止件</w:t>
            </w:r>
            <w:r>
              <w:rPr>
                <w:rFonts w:hint="default" w:ascii="Times New Roman" w:hAnsi="Times New Roman" w:eastAsia="宋体" w:cs="Times New Roman"/>
                <w:b w:val="0"/>
                <w:bCs w:val="0"/>
                <w:i w:val="0"/>
                <w:caps w:val="0"/>
                <w:color w:val="000000"/>
                <w:spacing w:val="0"/>
                <w:sz w:val="24"/>
                <w:szCs w:val="24"/>
              </w:rPr>
              <w:t>数</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lang w:val="en-US" w:eastAsia="zh-CN"/>
              </w:rPr>
              <w:t>现行有效件数</w:t>
            </w:r>
          </w:p>
        </w:tc>
      </w:tr>
      <w:tr>
        <w:tblPrEx>
          <w:shd w:val="clear" w:color="auto" w:fill="auto"/>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规章</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行政</w:t>
            </w:r>
            <w:r>
              <w:rPr>
                <w:rFonts w:hint="default" w:ascii="Times New Roman" w:hAnsi="Times New Roman" w:eastAsia="宋体" w:cs="Times New Roman"/>
                <w:b w:val="0"/>
                <w:bCs w:val="0"/>
                <w:i w:val="0"/>
                <w:caps w:val="0"/>
                <w:color w:val="auto"/>
                <w:spacing w:val="0"/>
                <w:sz w:val="24"/>
                <w:szCs w:val="24"/>
              </w:rPr>
              <w:t>规范性文件</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FF0000"/>
                <w:sz w:val="24"/>
                <w:szCs w:val="24"/>
                <w:highlight w:val="none"/>
                <w:lang w:eastAsia="zh-CN"/>
              </w:rPr>
            </w:pPr>
            <w:r>
              <w:rPr>
                <w:rFonts w:hint="default" w:ascii="Times New Roman" w:hAnsi="Times New Roman" w:cs="Times New Roman"/>
                <w:b w:val="0"/>
                <w:bCs w:val="0"/>
                <w:color w:val="auto"/>
                <w:sz w:val="24"/>
                <w:szCs w:val="24"/>
                <w:highlight w:val="none"/>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FF0000"/>
                <w:sz w:val="24"/>
                <w:szCs w:val="24"/>
                <w:highlight w:val="none"/>
                <w:lang w:eastAsia="zh-CN"/>
              </w:rPr>
            </w:pPr>
            <w:r>
              <w:rPr>
                <w:rFonts w:hint="default" w:ascii="Times New Roman" w:hAnsi="Times New Roman" w:cs="Times New Roman"/>
                <w:b w:val="0"/>
                <w:bCs w:val="0"/>
                <w:color w:val="auto"/>
                <w:sz w:val="24"/>
                <w:szCs w:val="24"/>
                <w:highlight w:val="none"/>
                <w:lang w:val="en-US" w:eastAsia="zh-CN"/>
              </w:rPr>
              <w:t>2</w:t>
            </w:r>
          </w:p>
        </w:tc>
      </w:tr>
      <w:tr>
        <w:tblPrEx>
          <w:shd w:val="clear" w:color="auto" w:fill="auto"/>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第（五）项</w:t>
            </w:r>
          </w:p>
        </w:tc>
      </w:tr>
      <w:tr>
        <w:tblPrEx>
          <w:shd w:val="clear" w:color="auto" w:fill="auto"/>
          <w:tblCellMar>
            <w:top w:w="0" w:type="dxa"/>
            <w:left w:w="0" w:type="dxa"/>
            <w:bottom w:w="0" w:type="dxa"/>
            <w:right w:w="0" w:type="dxa"/>
          </w:tblCellMar>
        </w:tblPrEx>
        <w:trPr>
          <w:trHeight w:val="51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本年处理决定数量</w:t>
            </w:r>
          </w:p>
        </w:tc>
      </w:tr>
      <w:tr>
        <w:tblPrEx>
          <w:shd w:val="clear" w:color="auto" w:fill="auto"/>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行政许可</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11</w:t>
            </w:r>
          </w:p>
        </w:tc>
      </w:tr>
      <w:tr>
        <w:tblPrEx>
          <w:shd w:val="clear" w:color="auto" w:fill="auto"/>
          <w:tblCellMar>
            <w:top w:w="0" w:type="dxa"/>
            <w:left w:w="0" w:type="dxa"/>
            <w:bottom w:w="0" w:type="dxa"/>
            <w:right w:w="0" w:type="dxa"/>
          </w:tblCellMar>
        </w:tblPrEx>
        <w:trPr>
          <w:trHeight w:val="495" w:hRule="atLeast"/>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第（六）项</w:t>
            </w:r>
          </w:p>
        </w:tc>
      </w:tr>
      <w:tr>
        <w:tblPrEx>
          <w:shd w:val="clear" w:color="auto" w:fill="auto"/>
          <w:tblCellMar>
            <w:top w:w="0" w:type="dxa"/>
            <w:left w:w="0" w:type="dxa"/>
            <w:bottom w:w="0" w:type="dxa"/>
            <w:right w:w="0" w:type="dxa"/>
          </w:tblCellMar>
        </w:tblPrEx>
        <w:trPr>
          <w:trHeight w:val="54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lang w:val="en-US" w:eastAsia="zh-CN"/>
              </w:rPr>
              <w:t>本年</w:t>
            </w:r>
            <w:r>
              <w:rPr>
                <w:rFonts w:hint="default" w:ascii="Times New Roman" w:hAnsi="Times New Roman" w:eastAsia="宋体" w:cs="Times New Roman"/>
                <w:b w:val="0"/>
                <w:bCs w:val="0"/>
                <w:i w:val="0"/>
                <w:caps w:val="0"/>
                <w:color w:val="000000"/>
                <w:spacing w:val="0"/>
                <w:sz w:val="24"/>
                <w:szCs w:val="24"/>
              </w:rPr>
              <w:t>处理决定数量</w:t>
            </w:r>
          </w:p>
        </w:tc>
      </w:tr>
      <w:tr>
        <w:tblPrEx>
          <w:shd w:val="clear" w:color="auto" w:fill="auto"/>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行政处罚</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1</w:t>
            </w:r>
          </w:p>
        </w:tc>
      </w:tr>
      <w:tr>
        <w:tblPrEx>
          <w:shd w:val="clear" w:color="auto" w:fill="auto"/>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行政强制</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0</w:t>
            </w:r>
          </w:p>
        </w:tc>
      </w:tr>
      <w:tr>
        <w:tblPrEx>
          <w:shd w:val="clear" w:color="auto" w:fill="auto"/>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第二十条</w:t>
            </w:r>
            <w:r>
              <w:rPr>
                <w:rFonts w:hint="default" w:ascii="Times New Roman" w:hAnsi="Times New Roman" w:eastAsia="宋体" w:cs="Times New Roman"/>
                <w:b w:val="0"/>
                <w:bCs w:val="0"/>
                <w:i w:val="0"/>
                <w:caps w:val="0"/>
                <w:color w:val="000000"/>
                <w:spacing w:val="0"/>
                <w:sz w:val="24"/>
                <w:szCs w:val="24"/>
                <w:lang w:val="en-US" w:eastAsia="zh-CN"/>
              </w:rPr>
              <w:t xml:space="preserve">  </w:t>
            </w:r>
            <w:r>
              <w:rPr>
                <w:rFonts w:hint="default" w:ascii="Times New Roman" w:hAnsi="Times New Roman" w:eastAsia="宋体" w:cs="Times New Roman"/>
                <w:b w:val="0"/>
                <w:bCs w:val="0"/>
                <w:i w:val="0"/>
                <w:caps w:val="0"/>
                <w:color w:val="000000"/>
                <w:spacing w:val="0"/>
                <w:sz w:val="24"/>
                <w:szCs w:val="24"/>
              </w:rPr>
              <w:t>第（八）项</w:t>
            </w:r>
          </w:p>
        </w:tc>
      </w:tr>
      <w:tr>
        <w:tblPrEx>
          <w:shd w:val="clear" w:color="auto" w:fill="auto"/>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信息内容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本年收费金额（单位：万元）</w:t>
            </w:r>
          </w:p>
        </w:tc>
      </w:tr>
      <w:tr>
        <w:tblPrEx>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24"/>
                <w:szCs w:val="24"/>
              </w:rPr>
              <w:t>行政事业性收费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lang w:val="en-US" w:eastAsia="zh-CN"/>
              </w:rPr>
              <w:t>0</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收到和处理政府信息公开申请情况</w:t>
      </w:r>
    </w:p>
    <w:tbl>
      <w:tblPr>
        <w:tblStyle w:val="5"/>
        <w:tblW w:w="9075" w:type="dxa"/>
        <w:tblInd w:w="0" w:type="dxa"/>
        <w:shd w:val="clear" w:color="auto" w:fill="auto"/>
        <w:tblLayout w:type="autofit"/>
        <w:tblCellMar>
          <w:top w:w="0" w:type="dxa"/>
          <w:left w:w="0" w:type="dxa"/>
          <w:bottom w:w="0" w:type="dxa"/>
          <w:right w:w="0" w:type="dxa"/>
        </w:tblCellMar>
      </w:tblPr>
      <w:tblGrid>
        <w:gridCol w:w="590"/>
        <w:gridCol w:w="1413"/>
        <w:gridCol w:w="2794"/>
        <w:gridCol w:w="847"/>
        <w:gridCol w:w="567"/>
        <w:gridCol w:w="567"/>
        <w:gridCol w:w="567"/>
        <w:gridCol w:w="567"/>
        <w:gridCol w:w="537"/>
        <w:gridCol w:w="626"/>
      </w:tblGrid>
      <w:tr>
        <w:tblPrEx>
          <w:shd w:val="clear" w:color="auto" w:fill="auto"/>
          <w:tblCellMar>
            <w:top w:w="0" w:type="dxa"/>
            <w:left w:w="0" w:type="dxa"/>
            <w:bottom w:w="0" w:type="dxa"/>
            <w:right w:w="0" w:type="dxa"/>
          </w:tblCellMar>
        </w:tblPrEx>
        <w:trPr>
          <w:trHeight w:val="420" w:hRule="atLeast"/>
        </w:trPr>
        <w:tc>
          <w:tcPr>
            <w:tcW w:w="479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（本列数据的勾稽关系为：第一项加第二项之和，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等于第三项加第四项之和）</w:t>
            </w:r>
          </w:p>
        </w:tc>
        <w:tc>
          <w:tcPr>
            <w:tcW w:w="4278" w:type="dxa"/>
            <w:gridSpan w:val="7"/>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申请人情况</w:t>
            </w:r>
          </w:p>
        </w:tc>
      </w:tr>
      <w:tr>
        <w:tblPrEx>
          <w:shd w:val="clear" w:color="auto" w:fill="auto"/>
          <w:tblCellMar>
            <w:top w:w="0" w:type="dxa"/>
            <w:left w:w="0" w:type="dxa"/>
            <w:bottom w:w="0" w:type="dxa"/>
            <w:right w:w="0" w:type="dxa"/>
          </w:tblCellMar>
        </w:tblPrEx>
        <w:trPr>
          <w:trHeight w:val="420"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847"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自然人</w:t>
            </w:r>
          </w:p>
        </w:tc>
        <w:tc>
          <w:tcPr>
            <w:tcW w:w="2805"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法人或其他组织</w:t>
            </w:r>
          </w:p>
        </w:tc>
        <w:tc>
          <w:tcPr>
            <w:tcW w:w="626"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总计</w:t>
            </w:r>
          </w:p>
        </w:tc>
      </w:tr>
      <w:tr>
        <w:tblPrEx>
          <w:shd w:val="clear" w:color="auto" w:fill="auto"/>
          <w:tblCellMar>
            <w:top w:w="0" w:type="dxa"/>
            <w:left w:w="0" w:type="dxa"/>
            <w:bottom w:w="0" w:type="dxa"/>
            <w:right w:w="0" w:type="dxa"/>
          </w:tblCellMar>
        </w:tblPrEx>
        <w:trPr>
          <w:trHeight w:val="1125"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847"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商业企业</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科研机构</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法律服务机构</w:t>
            </w:r>
          </w:p>
        </w:tc>
        <w:tc>
          <w:tcPr>
            <w:tcW w:w="53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w:t>
            </w:r>
          </w:p>
        </w:tc>
        <w:tc>
          <w:tcPr>
            <w:tcW w:w="626"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r>
      <w:tr>
        <w:tblPrEx>
          <w:shd w:val="clear" w:color="auto" w:fill="auto"/>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一、本年新收政府信息公开申请数量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6</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6</w:t>
            </w:r>
          </w:p>
        </w:tc>
      </w:tr>
      <w:tr>
        <w:tblPrEx>
          <w:shd w:val="clear" w:color="auto" w:fill="auto"/>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二、上年结转政府信息公开申请数量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c>
          <w:tcPr>
            <w:tcW w:w="59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三、本年度办理结果</w:t>
            </w: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（一）予以公开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2</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2</w:t>
            </w:r>
          </w:p>
        </w:tc>
      </w:tr>
      <w:tr>
        <w:tblPrEx>
          <w:shd w:val="clear" w:color="auto" w:fill="auto"/>
          <w:tblCellMar>
            <w:top w:w="0" w:type="dxa"/>
            <w:left w:w="0" w:type="dxa"/>
            <w:bottom w:w="0" w:type="dxa"/>
            <w:right w:w="0" w:type="dxa"/>
          </w:tblCellMar>
        </w:tblPrEx>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（二）部分公开（区分处理的，只计这一情形，不计其他情形）</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（三）不予公开</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1.属于国家秘密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2.其他法律行政法规禁止公开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3.危及“三安全一稳定”</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4.保护第三方合法权益</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5.属于三类内部事务信息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6.属于四类过程性信息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7.属于行政执法案卷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8.属于行政查询事项</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（四）无法提供</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1.本机关不掌握相关政府信息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4</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eastAsia="zh-CN"/>
              </w:rPr>
            </w:pPr>
            <w:r>
              <w:rPr>
                <w:rFonts w:hint="default" w:ascii="Times New Roman" w:hAnsi="Times New Roman" w:eastAsia="宋体" w:cs="Times New Roman"/>
                <w:b w:val="0"/>
                <w:bCs w:val="0"/>
                <w:i w:val="0"/>
                <w:caps w:val="0"/>
                <w:color w:val="000000"/>
                <w:spacing w:val="0"/>
                <w:sz w:val="21"/>
                <w:szCs w:val="21"/>
                <w:lang w:val="en-US" w:eastAsia="zh-CN"/>
              </w:rPr>
              <w:t>4</w:t>
            </w:r>
          </w:p>
        </w:tc>
      </w:tr>
      <w:tr>
        <w:tblPrEx>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2.没有现成信息需要另行制作</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3.补正后申请内容仍不明确</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（五）不予处理</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1.信访举报投诉类申请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2.重复申请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3.要求提供公开出版物</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rPr>
          <w:trHeight w:val="39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4.无正当理由大量反复申请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tblCellMar>
            <w:top w:w="0" w:type="dxa"/>
            <w:left w:w="0" w:type="dxa"/>
            <w:bottom w:w="0" w:type="dxa"/>
            <w:right w:w="0" w:type="dxa"/>
          </w:tblCellMar>
        </w:tblPrEx>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5.要求行政机关确认或重新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出具已获取信息</w:t>
            </w:r>
          </w:p>
        </w:tc>
        <w:tc>
          <w:tcPr>
            <w:tcW w:w="84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4"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1413" w:type="dxa"/>
            <w:vMerge w:val="restart"/>
            <w:tcBorders>
              <w:top w:val="nil"/>
              <w:left w:val="nil"/>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eastAsia="楷体" w:cs="Times New Roman"/>
                <w:b w:val="0"/>
                <w:bCs w:val="0"/>
                <w:i w:val="0"/>
                <w:caps w:val="0"/>
                <w:color w:val="000000"/>
                <w:spacing w:val="0"/>
                <w:sz w:val="19"/>
                <w:szCs w:val="19"/>
              </w:rPr>
              <w:t>（六）其他处理</w:t>
            </w:r>
          </w:p>
        </w:tc>
        <w:tc>
          <w:tcPr>
            <w:tcW w:w="2794" w:type="dxa"/>
            <w:tcBorders>
              <w:top w:val="nil"/>
              <w:left w:val="nil"/>
              <w:bottom w:val="single" w:color="auto" w:sz="8"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1.申请人无正当理由逾期不补正、行政机关不再处理其政府信息公开申请</w:t>
            </w:r>
          </w:p>
        </w:tc>
        <w:tc>
          <w:tcPr>
            <w:tcW w:w="84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i w:val="0"/>
                <w:caps w:val="0"/>
                <w:color w:val="000000"/>
                <w:spacing w:val="0"/>
                <w:sz w:val="21"/>
                <w:szCs w:val="21"/>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宋体" w:cs="Times New Roman"/>
                <w:b w:val="0"/>
                <w:bCs w:val="0"/>
                <w:i w:val="0"/>
                <w:caps w:val="0"/>
                <w:color w:val="000000"/>
                <w:spacing w:val="0"/>
                <w:sz w:val="21"/>
                <w:szCs w:val="21"/>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sans-serif" w:cs="Times New Roman"/>
                <w:b w:val="0"/>
                <w:bCs w:val="0"/>
                <w:i w:val="0"/>
                <w:caps w:val="0"/>
                <w:color w:val="000000"/>
                <w:spacing w:val="0"/>
                <w:sz w:val="21"/>
                <w:szCs w:val="21"/>
              </w:rPr>
            </w:pPr>
            <w:r>
              <w:rPr>
                <w:rFonts w:hint="default" w:ascii="Times New Roman" w:hAnsi="Times New Roman" w:eastAsia="sans-serif" w:cs="Times New Roman"/>
                <w:b w:val="0"/>
                <w:bCs w:val="0"/>
                <w:i w:val="0"/>
                <w:caps w:val="0"/>
                <w:color w:val="000000"/>
                <w:spacing w:val="0"/>
                <w:sz w:val="21"/>
                <w:szCs w:val="21"/>
              </w:rPr>
              <w:t>0</w:t>
            </w:r>
          </w:p>
        </w:tc>
      </w:tr>
      <w:tr>
        <w:tblPrEx>
          <w:shd w:val="clear" w:color="auto" w:fill="auto"/>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p>
        </w:tc>
        <w:tc>
          <w:tcPr>
            <w:tcW w:w="1413" w:type="dxa"/>
            <w:vMerge w:val="continue"/>
            <w:tcBorders>
              <w:left w:val="nil"/>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cs="Times New Roman" w:eastAsiaTheme="minorEastAsia"/>
                <w:b w:val="0"/>
                <w:bCs w:val="0"/>
                <w:kern w:val="0"/>
                <w:sz w:val="24"/>
                <w:szCs w:val="24"/>
                <w:lang w:val="en-US" w:eastAsia="zh-CN" w:bidi="ar"/>
              </w:rPr>
            </w:pPr>
          </w:p>
        </w:tc>
        <w:tc>
          <w:tcPr>
            <w:tcW w:w="2794" w:type="dxa"/>
            <w:tcBorders>
              <w:top w:val="nil"/>
              <w:left w:val="nil"/>
              <w:bottom w:val="single" w:color="auto" w:sz="8"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eastAsia="楷体" w:cs="Times New Roman"/>
                <w:b w:val="0"/>
                <w:bCs w:val="0"/>
                <w:i w:val="0"/>
                <w:caps w:val="0"/>
                <w:color w:val="000000"/>
                <w:spacing w:val="0"/>
                <w:kern w:val="0"/>
                <w:sz w:val="19"/>
                <w:szCs w:val="19"/>
                <w:lang w:val="en-US" w:eastAsia="zh-CN" w:bidi="ar"/>
              </w:rPr>
            </w:pPr>
            <w:r>
              <w:rPr>
                <w:rFonts w:hint="default" w:ascii="Times New Roman" w:hAnsi="Times New Roman" w:eastAsia="楷体" w:cs="Times New Roman"/>
                <w:b w:val="0"/>
                <w:bCs w:val="0"/>
                <w:i w:val="0"/>
                <w:caps w:val="0"/>
                <w:color w:val="000000"/>
                <w:spacing w:val="0"/>
                <w:kern w:val="0"/>
                <w:sz w:val="19"/>
                <w:szCs w:val="19"/>
                <w:lang w:val="en-US" w:eastAsia="zh-CN" w:bidi="ar"/>
              </w:rPr>
              <w:t>2、申请人逾期未按收费通知要求交纳费用、行政机关不再处理其政府信息公开申请</w:t>
            </w:r>
          </w:p>
        </w:tc>
        <w:tc>
          <w:tcPr>
            <w:tcW w:w="84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3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r>
      <w:tr>
        <w:tblPrEx>
          <w:shd w:val="clear" w:color="auto" w:fill="auto"/>
          <w:tblCellMar>
            <w:top w:w="0" w:type="dxa"/>
            <w:left w:w="0" w:type="dxa"/>
            <w:bottom w:w="0" w:type="dxa"/>
            <w:right w:w="0" w:type="dxa"/>
          </w:tblCellMar>
        </w:tblPrEx>
        <w:trPr>
          <w:trHeight w:val="130" w:hRule="atLeast"/>
        </w:trPr>
        <w:tc>
          <w:tcPr>
            <w:tcW w:w="590" w:type="dxa"/>
            <w:vMerge w:val="continue"/>
            <w:tcBorders>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rPr>
            </w:pPr>
          </w:p>
        </w:tc>
        <w:tc>
          <w:tcPr>
            <w:tcW w:w="1413" w:type="dxa"/>
            <w:vMerge w:val="continue"/>
            <w:tcBorders>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rPr>
            </w:pPr>
          </w:p>
        </w:tc>
        <w:tc>
          <w:tcPr>
            <w:tcW w:w="2794" w:type="dxa"/>
            <w:tcBorders>
              <w:top w:val="nil"/>
              <w:left w:val="nil"/>
              <w:bottom w:val="single" w:color="auto" w:sz="8"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3、其他</w:t>
            </w:r>
          </w:p>
        </w:tc>
        <w:tc>
          <w:tcPr>
            <w:tcW w:w="84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53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b w:val="0"/>
                <w:bCs w:val="0"/>
                <w:i w:val="0"/>
                <w:caps w:val="0"/>
                <w:color w:val="000000"/>
                <w:spacing w:val="0"/>
                <w:sz w:val="19"/>
                <w:szCs w:val="19"/>
                <w:lang w:val="en-US" w:eastAsia="zh-CN"/>
              </w:rPr>
            </w:pPr>
            <w:r>
              <w:rPr>
                <w:rFonts w:hint="default" w:ascii="Times New Roman" w:hAnsi="Times New Roman" w:eastAsia="楷体" w:cs="Times New Roman"/>
                <w:b w:val="0"/>
                <w:bCs w:val="0"/>
                <w:i w:val="0"/>
                <w:caps w:val="0"/>
                <w:color w:val="000000"/>
                <w:spacing w:val="0"/>
                <w:sz w:val="19"/>
                <w:szCs w:val="19"/>
                <w:lang w:val="en-US" w:eastAsia="zh-CN"/>
              </w:rPr>
              <w:t>0</w:t>
            </w:r>
          </w:p>
        </w:tc>
      </w:tr>
      <w:tr>
        <w:tblPrEx>
          <w:shd w:val="clear" w:color="auto" w:fill="auto"/>
          <w:tblCellMar>
            <w:top w:w="0" w:type="dxa"/>
            <w:left w:w="0" w:type="dxa"/>
            <w:bottom w:w="0" w:type="dxa"/>
            <w:right w:w="0" w:type="dxa"/>
          </w:tblCellMar>
        </w:tblPrEx>
        <w:trPr>
          <w:trHeight w:val="39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楷体" w:cs="Times New Roman"/>
                <w:b w:val="0"/>
                <w:bCs w:val="0"/>
                <w:i w:val="0"/>
                <w:caps w:val="0"/>
                <w:color w:val="000000"/>
                <w:spacing w:val="0"/>
                <w:sz w:val="19"/>
                <w:szCs w:val="19"/>
              </w:rPr>
              <w:t>（七）总计</w:t>
            </w:r>
          </w:p>
        </w:tc>
        <w:tc>
          <w:tcPr>
            <w:tcW w:w="84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6</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single" w:color="auto" w:sz="4"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b w:val="0"/>
                <w:bCs w:val="0"/>
                <w:sz w:val="24"/>
                <w:szCs w:val="24"/>
                <w:lang w:val="en-US" w:eastAsia="zh-CN"/>
              </w:rPr>
            </w:pPr>
            <w:r>
              <w:rPr>
                <w:rFonts w:hint="default" w:ascii="Times New Roman" w:hAnsi="Times New Roman" w:eastAsia="宋体" w:cs="Times New Roman"/>
                <w:b w:val="0"/>
                <w:bCs w:val="0"/>
                <w:i w:val="0"/>
                <w:caps w:val="0"/>
                <w:color w:val="000000"/>
                <w:spacing w:val="0"/>
                <w:sz w:val="21"/>
                <w:szCs w:val="21"/>
                <w:lang w:val="en-US" w:eastAsia="zh-CN"/>
              </w:rPr>
              <w:t>6</w:t>
            </w:r>
          </w:p>
        </w:tc>
      </w:tr>
      <w:tr>
        <w:tblPrEx>
          <w:shd w:val="clear" w:color="auto" w:fill="auto"/>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四、结转下年度继续办理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政府信息公开行政复议、行政诉讼情况</w:t>
      </w:r>
    </w:p>
    <w:tbl>
      <w:tblPr>
        <w:tblStyle w:val="5"/>
        <w:tblW w:w="9075" w:type="dxa"/>
        <w:tblInd w:w="0" w:type="dxa"/>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shd w:val="clear" w:color="auto" w:fill="auto"/>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行政诉讼</w:t>
            </w:r>
          </w:p>
        </w:tc>
      </w:tr>
      <w:tr>
        <w:tblPrEx>
          <w:shd w:val="clear" w:color="auto" w:fill="auto"/>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复议后起诉</w:t>
            </w:r>
          </w:p>
        </w:tc>
      </w:tr>
      <w:tr>
        <w:tblPrEx>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b w:val="0"/>
                <w:bCs w:val="0"/>
                <w:i w:val="0"/>
                <w:caps w:val="0"/>
                <w:color w:val="000000"/>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i w:val="0"/>
                <w:caps w:val="0"/>
                <w:color w:val="000000"/>
                <w:spacing w:val="0"/>
                <w:sz w:val="19"/>
                <w:szCs w:val="19"/>
              </w:rPr>
              <w:t>总计</w:t>
            </w:r>
          </w:p>
        </w:tc>
      </w:tr>
      <w:tr>
        <w:tblPrEx>
          <w:shd w:val="clear" w:color="auto" w:fill="auto"/>
          <w:tblCellMar>
            <w:top w:w="0" w:type="dxa"/>
            <w:left w:w="0" w:type="dxa"/>
            <w:bottom w:w="0" w:type="dxa"/>
            <w:right w:w="0" w:type="dxa"/>
          </w:tblCellMar>
        </w:tblPrEx>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caps w:val="0"/>
                <w:color w:val="000000"/>
                <w:spacing w:val="0"/>
                <w:sz w:val="21"/>
                <w:szCs w:val="21"/>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政府信息公开工作存在的主要问题及改进情况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（一）工作中存在的主要问题和困难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1、信息发布不均衡，公告公示等栏目发布信息较多，部门文件及办公会议等其他栏目发布信息较少。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fill="FFFFFF"/>
        </w:rPr>
        <w:t>政府信息公开工作宣传氛围还不够浓厚，政府信息公开工作创新意识还有待进一步加强</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公开内容质量有待提高。一是内容把关不严，偶尔存在错字、漏字、格式不符合要求等问题。二是内容更新不及时、信息滞后</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（二）具体解决办法和改进措施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一是高度重视信息宣传工作，进一步细化政务公开要求。二是加强政务公开方面的学习培训，提升政务公开工作水平。三是规范政务公开报送机制，保证政务公开的准确性和实效性。</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四是</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加强政策解读、回应关切、平台建设、数据开放，保障公众知情权、参与权、表达权和监督权</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黑体" w:cs="Times New Roman"/>
          <w:i w:val="0"/>
          <w:iCs w:val="0"/>
          <w:caps w:val="0"/>
          <w:color w:val="333333"/>
          <w:spacing w:val="0"/>
          <w:sz w:val="31"/>
          <w:szCs w:val="31"/>
          <w:shd w:val="clear" w:fill="FFFFFF"/>
        </w:rPr>
      </w:pPr>
      <w:r>
        <w:rPr>
          <w:rFonts w:hint="default" w:ascii="Times New Roman" w:hAnsi="Times New Roman" w:eastAsia="黑体" w:cs="Times New Roman"/>
          <w:i w:val="0"/>
          <w:iCs w:val="0"/>
          <w:caps w:val="0"/>
          <w:color w:val="333333"/>
          <w:spacing w:val="0"/>
          <w:sz w:val="31"/>
          <w:szCs w:val="31"/>
          <w:shd w:val="clear" w:fill="FFFFFF"/>
        </w:rPr>
        <w:t>其他需要报告的事项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1、收费情况。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2、人大建议、政协提案办理情况。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我局高度重视人大代表建议和政协委员提案办理，把该项工作作为提升服务管理水平、推动重点工作落实的重要支撑。2021年度我局承办人大代表建议5件，政协委员提案8件，办结率、见面率、满意率均达100%。</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3、落实上级工作要点情况。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282828"/>
          <w:spacing w:val="0"/>
          <w:sz w:val="32"/>
          <w:szCs w:val="32"/>
          <w:shd w:val="clear" w:fill="FFFFFF"/>
          <w:lang w:val="en-US" w:eastAsia="zh-CN"/>
        </w:rPr>
      </w:pPr>
      <w:r>
        <w:rPr>
          <w:rFonts w:hint="default" w:ascii="Times New Roman" w:hAnsi="Times New Roman" w:eastAsia="仿宋_GB2312" w:cs="Times New Roman"/>
          <w:i w:val="0"/>
          <w:iCs w:val="0"/>
          <w:caps w:val="0"/>
          <w:color w:val="282828"/>
          <w:spacing w:val="0"/>
          <w:sz w:val="32"/>
          <w:szCs w:val="32"/>
          <w:shd w:val="clear" w:fill="FFFFFF"/>
          <w:lang w:val="en-US" w:eastAsia="zh-CN"/>
        </w:rPr>
        <w:t>2021年，县发展改革局按照《2021年沂源县政务公开工作要点》（源政办字〔2021〕21号）相关要求,及时调整信息公开目录，在做好基础性公开工作的同时，把业务工作同政务公开工作同部署、同推进、同落实，有效推进上级政务公开工作要点的落实。2022年，县发展改革局将进一步完善信息公开目录，细化信息公开分类，畅通信息公开渠道，实现政务公开化，切实提高办事透明度，努力提高政府行政效能和公信力，为公众提供更加便利的服务。</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2022年1月 22日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D61AC"/>
    <w:multiLevelType w:val="singleLevel"/>
    <w:tmpl w:val="608D61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04782"/>
    <w:rsid w:val="03D0108C"/>
    <w:rsid w:val="07210DA5"/>
    <w:rsid w:val="12CC243B"/>
    <w:rsid w:val="14404782"/>
    <w:rsid w:val="160C7B37"/>
    <w:rsid w:val="172B721F"/>
    <w:rsid w:val="22163452"/>
    <w:rsid w:val="2640412E"/>
    <w:rsid w:val="2CC45CB4"/>
    <w:rsid w:val="2E8638C0"/>
    <w:rsid w:val="2F8C014D"/>
    <w:rsid w:val="35963773"/>
    <w:rsid w:val="367E5C4F"/>
    <w:rsid w:val="450944C0"/>
    <w:rsid w:val="49757CDE"/>
    <w:rsid w:val="4BAD3441"/>
    <w:rsid w:val="4CC132CB"/>
    <w:rsid w:val="4F815954"/>
    <w:rsid w:val="53C6338B"/>
    <w:rsid w:val="53CF6CA9"/>
    <w:rsid w:val="56EA4C31"/>
    <w:rsid w:val="57AE07FF"/>
    <w:rsid w:val="58574487"/>
    <w:rsid w:val="58F20481"/>
    <w:rsid w:val="5ACD036F"/>
    <w:rsid w:val="5F0013CC"/>
    <w:rsid w:val="5FB52769"/>
    <w:rsid w:val="642E1C06"/>
    <w:rsid w:val="6A162648"/>
    <w:rsid w:val="73D9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ind w:firstLine="200" w:firstLineChars="200"/>
      <w:outlineLvl w:val="0"/>
    </w:pPr>
    <w:rPr>
      <w:rFonts w:ascii="Calibri Light" w:hAnsi="Calibri Light" w:eastAsia="黑体" w:cs="Times New Roman"/>
      <w:b/>
      <w:bCs/>
      <w:sz w:val="32"/>
      <w:szCs w:val="3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主动公开</a:t>
            </a:r>
          </a:p>
        </c:rich>
      </c:tx>
      <c:layout/>
      <c:overlay val="0"/>
      <c:spPr>
        <a:noFill/>
        <a:ln>
          <a:noFill/>
        </a:ln>
        <a:effectLst/>
      </c:spPr>
    </c:title>
    <c:autoTitleDeleted val="0"/>
    <c:plotArea>
      <c:layout/>
      <c:pieChart>
        <c:varyColors val="1"/>
        <c:ser>
          <c:idx val="0"/>
          <c:order val="0"/>
          <c:tx>
            <c:strRef>
              <c:f>Sheet1!$B$1</c:f>
              <c:strCache>
                <c:ptCount val="1"/>
                <c:pt idx="0">
                  <c:v> 2</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Pt>
            <c:idx val="8"/>
            <c:bubble3D val="0"/>
            <c:spPr>
              <a:solidFill>
                <a:schemeClr val="accent3">
                  <a:lumMod val="60000"/>
                </a:schemeClr>
              </a:solidFill>
              <a:ln>
                <a:noFill/>
              </a:ln>
              <a:effectLst/>
            </c:spPr>
          </c:dPt>
          <c:dPt>
            <c:idx val="9"/>
            <c:bubble3D val="0"/>
            <c:spPr>
              <a:solidFill>
                <a:schemeClr val="accent4">
                  <a:lumMod val="60000"/>
                </a:schemeClr>
              </a:solidFill>
              <a:ln>
                <a:noFill/>
              </a:ln>
              <a:effectLst/>
            </c:spPr>
          </c:dPt>
          <c:dPt>
            <c:idx val="10"/>
            <c:bubble3D val="0"/>
            <c:spPr>
              <a:solidFill>
                <a:schemeClr val="accent5">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政务公开培训</c:v>
                </c:pt>
                <c:pt idx="1">
                  <c:v>政务公开工作推进</c:v>
                </c:pt>
                <c:pt idx="2">
                  <c:v>政策法规</c:v>
                </c:pt>
                <c:pt idx="3">
                  <c:v>规划计划</c:v>
                </c:pt>
                <c:pt idx="4">
                  <c:v>重大建设项目批准和实施</c:v>
                </c:pt>
                <c:pt idx="5">
                  <c:v>重要部署执行公开</c:v>
                </c:pt>
                <c:pt idx="6">
                  <c:v>建议提案办理</c:v>
                </c:pt>
                <c:pt idx="7">
                  <c:v>优化营商环境</c:v>
                </c:pt>
                <c:pt idx="8">
                  <c:v>管理和服务公开</c:v>
                </c:pt>
                <c:pt idx="9">
                  <c:v>双随机一公开</c:v>
                </c:pt>
                <c:pt idx="10">
                  <c:v>其他信息</c:v>
                </c:pt>
              </c:strCache>
            </c:strRef>
          </c:cat>
          <c:val>
            <c:numRef>
              <c:f>Sheet1!$B$2:$B$12</c:f>
              <c:numCache>
                <c:formatCode>General</c:formatCode>
                <c:ptCount val="11"/>
                <c:pt idx="0">
                  <c:v>4</c:v>
                </c:pt>
                <c:pt idx="1">
                  <c:v>5</c:v>
                </c:pt>
                <c:pt idx="2">
                  <c:v>61</c:v>
                </c:pt>
                <c:pt idx="3">
                  <c:v>4</c:v>
                </c:pt>
                <c:pt idx="4">
                  <c:v>12</c:v>
                </c:pt>
                <c:pt idx="5">
                  <c:v>15</c:v>
                </c:pt>
                <c:pt idx="6">
                  <c:v>15</c:v>
                </c:pt>
                <c:pt idx="7">
                  <c:v>13</c:v>
                </c:pt>
                <c:pt idx="8">
                  <c:v>8</c:v>
                </c:pt>
                <c:pt idx="9">
                  <c:v>4</c:v>
                </c:pt>
                <c:pt idx="10">
                  <c:v>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依申请办理数量</a:t>
            </a:r>
          </a:p>
        </c:rich>
      </c:tx>
      <c:layout>
        <c:manualLayout>
          <c:xMode val="edge"/>
          <c:yMode val="edge"/>
          <c:x val="0.349726839237057"/>
          <c:y val="0.01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2020年</c:v>
                </c:pt>
                <c:pt idx="2">
                  <c:v>2019年</c:v>
                </c:pt>
                <c:pt idx="3">
                  <c:v>2018年</c:v>
                </c:pt>
              </c:strCache>
            </c:strRef>
          </c:cat>
          <c:val>
            <c:numRef>
              <c:f>Sheet1!$B$2:$B$5</c:f>
              <c:numCache>
                <c:formatCode>General</c:formatCode>
                <c:ptCount val="4"/>
                <c:pt idx="0">
                  <c:v>6</c:v>
                </c:pt>
                <c:pt idx="1">
                  <c:v>11</c:v>
                </c:pt>
                <c:pt idx="2">
                  <c:v>2</c:v>
                </c:pt>
                <c:pt idx="3">
                  <c:v>0</c:v>
                </c:pt>
              </c:numCache>
            </c:numRef>
          </c:val>
        </c:ser>
        <c:dLbls>
          <c:showLegendKey val="0"/>
          <c:showVal val="1"/>
          <c:showCatName val="0"/>
          <c:showSerName val="0"/>
          <c:showPercent val="0"/>
          <c:showBubbleSize val="0"/>
        </c:dLbls>
        <c:gapWidth val="219"/>
        <c:overlap val="-27"/>
        <c:axId val="393526539"/>
        <c:axId val="618723845"/>
      </c:barChart>
      <c:catAx>
        <c:axId val="393526539"/>
        <c:scaling>
          <c:orientation val="minMax"/>
        </c:scaling>
        <c:delete val="0"/>
        <c:axPos val="b"/>
        <c:numFmt formatCode="#,##0.00_);[Red]\(#,##0.00\)"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723845"/>
        <c:crosses val="autoZero"/>
        <c:auto val="1"/>
        <c:lblAlgn val="ctr"/>
        <c:lblOffset val="100"/>
        <c:noMultiLvlLbl val="0"/>
      </c:catAx>
      <c:valAx>
        <c:axId val="6187238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5265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2022-01-13T06:50:00Z</dcterms:created>
  <dc:creator>Administrator</dc:creator>
  <cp:lastModifiedBy>Administrator</cp:lastModifiedBy>
  <dcterms:modified xsi:type="dcterms:W3CDTF">2022-01-29T03:05:15Z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8223E48F94F64E029888216F1841AEA1</vt:lpwstr>
  </property>
</Properties>
</file>