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rPr>
      </w:pPr>
      <w:bookmarkStart w:id="0" w:name="_GoBack"/>
      <w:bookmarkEnd w:id="0"/>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tabs>
          <w:tab w:val="left" w:pos="1672"/>
          <w:tab w:val="left" w:pos="2452"/>
          <w:tab w:val="left" w:pos="3232"/>
        </w:tabs>
        <w:adjustRightInd w:val="0"/>
        <w:snapToGrid w:val="0"/>
        <w:spacing w:before="16" w:line="245" w:lineRule="auto"/>
        <w:jc w:val="center"/>
        <w:rPr>
          <w:rFonts w:ascii="方正小标宋简体" w:hAnsi="方正小标宋简体" w:eastAsia="方正小标宋简体" w:cs="方正小标宋简体"/>
          <w:iCs/>
          <w:color w:val="000000" w:themeColor="text1"/>
          <w:sz w:val="56"/>
          <w:lang w:val="en-US"/>
        </w:rPr>
      </w:pPr>
      <w:r>
        <w:rPr>
          <w:rFonts w:hint="eastAsia" w:ascii="方正小标宋简体" w:hAnsi="方正小标宋简体" w:eastAsia="方正小标宋简体" w:cs="方正小标宋简体"/>
          <w:iCs/>
          <w:color w:val="000000" w:themeColor="text1"/>
          <w:sz w:val="56"/>
          <w:lang w:val="en-US"/>
        </w:rPr>
        <w:t>沂   源   县</w:t>
      </w:r>
    </w:p>
    <w:p>
      <w:pPr>
        <w:tabs>
          <w:tab w:val="left" w:pos="1672"/>
          <w:tab w:val="left" w:pos="2452"/>
          <w:tab w:val="left" w:pos="3232"/>
        </w:tabs>
        <w:adjustRightInd w:val="0"/>
        <w:snapToGrid w:val="0"/>
        <w:spacing w:before="16" w:line="245" w:lineRule="auto"/>
        <w:jc w:val="center"/>
        <w:rPr>
          <w:rFonts w:ascii="方正小标宋简体" w:hAnsi="方正小标宋简体" w:eastAsia="方正小标宋简体" w:cs="方正小标宋简体"/>
          <w:iCs/>
          <w:color w:val="000000" w:themeColor="text1"/>
          <w:sz w:val="56"/>
        </w:rPr>
      </w:pPr>
      <w:r>
        <w:rPr>
          <w:rFonts w:hint="eastAsia" w:ascii="方正小标宋简体" w:hAnsi="方正小标宋简体" w:eastAsia="方正小标宋简体" w:cs="方正小标宋简体"/>
          <w:iCs/>
          <w:color w:val="000000" w:themeColor="text1"/>
          <w:spacing w:val="-1"/>
          <w:sz w:val="56"/>
        </w:rPr>
        <w:t>企</w:t>
      </w:r>
      <w:r>
        <w:rPr>
          <w:rFonts w:hint="eastAsia" w:ascii="方正小标宋简体" w:hAnsi="方正小标宋简体" w:eastAsia="方正小标宋简体" w:cs="方正小标宋简体"/>
          <w:iCs/>
          <w:color w:val="000000" w:themeColor="text1"/>
          <w:spacing w:val="-3"/>
          <w:sz w:val="56"/>
        </w:rPr>
        <w:t>业</w:t>
      </w:r>
      <w:r>
        <w:rPr>
          <w:rFonts w:hint="eastAsia" w:ascii="方正小标宋简体" w:hAnsi="方正小标宋简体" w:eastAsia="方正小标宋简体" w:cs="方正小标宋简体"/>
          <w:iCs/>
          <w:color w:val="000000" w:themeColor="text1"/>
          <w:spacing w:val="-1"/>
          <w:sz w:val="56"/>
        </w:rPr>
        <w:t>复工</w:t>
      </w:r>
      <w:r>
        <w:rPr>
          <w:rFonts w:hint="eastAsia" w:ascii="方正小标宋简体" w:hAnsi="方正小标宋简体" w:eastAsia="方正小标宋简体" w:cs="方正小标宋简体"/>
          <w:iCs/>
          <w:color w:val="000000" w:themeColor="text1"/>
          <w:spacing w:val="-3"/>
          <w:sz w:val="56"/>
        </w:rPr>
        <w:t>复</w:t>
      </w:r>
      <w:r>
        <w:rPr>
          <w:rFonts w:hint="eastAsia" w:ascii="方正小标宋简体" w:hAnsi="方正小标宋简体" w:eastAsia="方正小标宋简体" w:cs="方正小标宋简体"/>
          <w:iCs/>
          <w:color w:val="000000" w:themeColor="text1"/>
          <w:sz w:val="56"/>
        </w:rPr>
        <w:t>产和</w:t>
      </w:r>
      <w:r>
        <w:rPr>
          <w:rFonts w:hint="eastAsia" w:ascii="方正小标宋简体" w:hAnsi="方正小标宋简体" w:eastAsia="方正小标宋简体" w:cs="方正小标宋简体"/>
          <w:iCs/>
          <w:color w:val="000000" w:themeColor="text1"/>
          <w:spacing w:val="-3"/>
          <w:sz w:val="56"/>
        </w:rPr>
        <w:t>项</w:t>
      </w:r>
      <w:r>
        <w:rPr>
          <w:rFonts w:hint="eastAsia" w:ascii="方正小标宋简体" w:hAnsi="方正小标宋简体" w:eastAsia="方正小标宋简体" w:cs="方正小标宋简体"/>
          <w:iCs/>
          <w:color w:val="000000" w:themeColor="text1"/>
          <w:sz w:val="56"/>
        </w:rPr>
        <w:t>目复</w:t>
      </w:r>
      <w:r>
        <w:rPr>
          <w:rFonts w:hint="eastAsia" w:ascii="方正小标宋简体" w:hAnsi="方正小标宋简体" w:eastAsia="方正小标宋简体" w:cs="方正小标宋简体"/>
          <w:iCs/>
          <w:color w:val="000000" w:themeColor="text1"/>
          <w:spacing w:val="-3"/>
          <w:sz w:val="56"/>
        </w:rPr>
        <w:t>工</w:t>
      </w:r>
      <w:r>
        <w:rPr>
          <w:rFonts w:hint="eastAsia" w:ascii="方正小标宋简体" w:hAnsi="方正小标宋简体" w:eastAsia="方正小标宋简体" w:cs="方正小标宋简体"/>
          <w:iCs/>
          <w:color w:val="000000" w:themeColor="text1"/>
          <w:sz w:val="56"/>
        </w:rPr>
        <w:t>开工</w:t>
      </w:r>
    </w:p>
    <w:p>
      <w:pPr>
        <w:tabs>
          <w:tab w:val="left" w:pos="1672"/>
          <w:tab w:val="left" w:pos="2452"/>
          <w:tab w:val="left" w:pos="3232"/>
        </w:tabs>
        <w:adjustRightInd w:val="0"/>
        <w:snapToGrid w:val="0"/>
        <w:spacing w:before="16" w:line="245" w:lineRule="auto"/>
        <w:jc w:val="center"/>
        <w:rPr>
          <w:rFonts w:ascii="方正小标宋简体" w:hAnsi="方正小标宋简体" w:eastAsia="方正小标宋简体" w:cs="方正小标宋简体"/>
          <w:iCs/>
          <w:color w:val="000000" w:themeColor="text1"/>
          <w:sz w:val="56"/>
        </w:rPr>
      </w:pPr>
      <w:r>
        <w:rPr>
          <w:rFonts w:hint="eastAsia" w:ascii="方正小标宋简体" w:hAnsi="方正小标宋简体" w:eastAsia="方正小标宋简体" w:cs="方正小标宋简体"/>
          <w:iCs/>
          <w:color w:val="000000" w:themeColor="text1"/>
          <w:sz w:val="56"/>
        </w:rPr>
        <w:t>政  策  汇  编</w:t>
      </w:r>
    </w:p>
    <w:p>
      <w:pPr>
        <w:adjustRightInd w:val="0"/>
        <w:snapToGrid w:val="0"/>
        <w:spacing w:line="915" w:lineRule="exact"/>
        <w:jc w:val="center"/>
        <w:rPr>
          <w:rFonts w:ascii="方正小标宋简体" w:hAnsi="方正小标宋简体" w:eastAsia="方正小标宋简体" w:cs="方正小标宋简体"/>
          <w:iCs/>
          <w:color w:val="000000" w:themeColor="text1"/>
          <w:sz w:val="52"/>
        </w:rPr>
      </w:pPr>
      <w:r>
        <w:rPr>
          <w:rFonts w:hint="eastAsia" w:ascii="方正小标宋简体" w:hAnsi="方正小标宋简体" w:eastAsia="方正小标宋简体" w:cs="方正小标宋简体"/>
          <w:iCs/>
          <w:color w:val="000000" w:themeColor="text1"/>
          <w:sz w:val="52"/>
        </w:rPr>
        <w:t>（</w:t>
      </w:r>
      <w:r>
        <w:rPr>
          <w:rFonts w:hint="eastAsia" w:ascii="方正小标宋简体" w:hAnsi="方正小标宋简体" w:eastAsia="方正小标宋简体" w:cs="方正小标宋简体"/>
          <w:iCs/>
          <w:color w:val="000000" w:themeColor="text1"/>
          <w:sz w:val="52"/>
          <w:lang w:val="en-US" w:eastAsia="zh-CN"/>
        </w:rPr>
        <w:t>二</w:t>
      </w:r>
      <w:r>
        <w:rPr>
          <w:rFonts w:hint="eastAsia" w:ascii="方正小标宋简体" w:hAnsi="方正小标宋简体" w:eastAsia="方正小标宋简体" w:cs="方正小标宋简体"/>
          <w:iCs/>
          <w:color w:val="000000" w:themeColor="text1"/>
          <w:sz w:val="52"/>
        </w:rPr>
        <w:t>）</w:t>
      </w:r>
    </w:p>
    <w:p>
      <w:pPr>
        <w:pStyle w:val="3"/>
        <w:adjustRightInd w:val="0"/>
        <w:snapToGrid w:val="0"/>
        <w:spacing w:line="560" w:lineRule="exact"/>
        <w:rPr>
          <w:rFonts w:ascii="方正小标宋简体"/>
          <w:i/>
          <w:color w:val="000000" w:themeColor="text1"/>
          <w:sz w:val="62"/>
        </w:rPr>
      </w:pPr>
    </w:p>
    <w:p>
      <w:pPr>
        <w:pStyle w:val="3"/>
        <w:adjustRightInd w:val="0"/>
        <w:snapToGrid w:val="0"/>
        <w:spacing w:line="560" w:lineRule="exact"/>
        <w:rPr>
          <w:rFonts w:ascii="方正小标宋简体"/>
          <w:i/>
          <w:color w:val="000000" w:themeColor="text1"/>
          <w:sz w:val="62"/>
        </w:rPr>
      </w:pPr>
    </w:p>
    <w:p>
      <w:pPr>
        <w:pStyle w:val="3"/>
        <w:adjustRightInd w:val="0"/>
        <w:snapToGrid w:val="0"/>
        <w:spacing w:line="560" w:lineRule="exact"/>
        <w:rPr>
          <w:rFonts w:ascii="方正小标宋简体"/>
          <w:i/>
          <w:color w:val="000000" w:themeColor="text1"/>
          <w:sz w:val="62"/>
        </w:rPr>
      </w:pPr>
    </w:p>
    <w:p>
      <w:pPr>
        <w:pStyle w:val="3"/>
        <w:adjustRightInd w:val="0"/>
        <w:snapToGrid w:val="0"/>
        <w:spacing w:line="560" w:lineRule="exact"/>
        <w:rPr>
          <w:rFonts w:ascii="方正小标宋简体"/>
          <w:i/>
          <w:color w:val="000000" w:themeColor="text1"/>
          <w:sz w:val="62"/>
        </w:rPr>
      </w:pPr>
    </w:p>
    <w:p>
      <w:pPr>
        <w:pStyle w:val="3"/>
        <w:adjustRightInd w:val="0"/>
        <w:snapToGrid w:val="0"/>
        <w:spacing w:line="560" w:lineRule="exact"/>
        <w:rPr>
          <w:rFonts w:ascii="方正小标宋简体"/>
          <w:i/>
          <w:color w:val="000000" w:themeColor="text1"/>
          <w:sz w:val="62"/>
        </w:rPr>
      </w:pPr>
    </w:p>
    <w:p>
      <w:pPr>
        <w:pStyle w:val="3"/>
        <w:adjustRightInd w:val="0"/>
        <w:snapToGrid w:val="0"/>
        <w:spacing w:line="560" w:lineRule="exact"/>
        <w:rPr>
          <w:rFonts w:ascii="方正小标宋简体"/>
          <w:i/>
          <w:color w:val="000000" w:themeColor="text1"/>
          <w:sz w:val="62"/>
        </w:rPr>
      </w:pPr>
    </w:p>
    <w:p>
      <w:pPr>
        <w:pStyle w:val="3"/>
        <w:adjustRightInd w:val="0"/>
        <w:snapToGrid w:val="0"/>
        <w:spacing w:line="560" w:lineRule="exact"/>
        <w:rPr>
          <w:rFonts w:ascii="方正小标宋简体"/>
          <w:i/>
          <w:color w:val="000000" w:themeColor="text1"/>
          <w:sz w:val="62"/>
        </w:rPr>
      </w:pPr>
    </w:p>
    <w:p>
      <w:pPr>
        <w:pStyle w:val="3"/>
        <w:adjustRightInd w:val="0"/>
        <w:snapToGrid w:val="0"/>
        <w:spacing w:before="13" w:line="560" w:lineRule="exact"/>
        <w:rPr>
          <w:rFonts w:ascii="方正小标宋简体"/>
          <w:i/>
          <w:color w:val="000000" w:themeColor="text1"/>
          <w:sz w:val="88"/>
        </w:rPr>
      </w:pPr>
    </w:p>
    <w:p>
      <w:pPr>
        <w:adjustRightInd w:val="0"/>
        <w:snapToGrid w:val="0"/>
        <w:spacing w:line="352" w:lineRule="auto"/>
        <w:jc w:val="center"/>
        <w:rPr>
          <w:rFonts w:ascii="方正小标宋简体" w:eastAsia="方正小标宋简体"/>
          <w:iCs/>
          <w:color w:val="000000" w:themeColor="text1"/>
          <w:sz w:val="36"/>
          <w:lang w:val="en-US"/>
        </w:rPr>
      </w:pPr>
      <w:r>
        <w:rPr>
          <w:rFonts w:hint="eastAsia" w:ascii="方正小标宋简体" w:eastAsia="方正小标宋简体"/>
          <w:iCs/>
          <w:color w:val="000000" w:themeColor="text1"/>
          <w:sz w:val="36"/>
          <w:lang w:val="en-US"/>
        </w:rPr>
        <w:t>沂源县</w:t>
      </w:r>
      <w:r>
        <w:rPr>
          <w:rFonts w:hint="eastAsia" w:ascii="方正小标宋简体" w:eastAsia="方正小标宋简体"/>
          <w:iCs/>
          <w:color w:val="000000" w:themeColor="text1"/>
          <w:sz w:val="36"/>
        </w:rPr>
        <w:t>发展和改革</w:t>
      </w:r>
      <w:r>
        <w:rPr>
          <w:rFonts w:hint="eastAsia" w:ascii="方正小标宋简体" w:eastAsia="方正小标宋简体"/>
          <w:iCs/>
          <w:color w:val="000000" w:themeColor="text1"/>
          <w:sz w:val="36"/>
          <w:lang w:val="en-US"/>
        </w:rPr>
        <w:t>局</w:t>
      </w:r>
    </w:p>
    <w:p>
      <w:pPr>
        <w:adjustRightInd w:val="0"/>
        <w:snapToGrid w:val="0"/>
        <w:spacing w:line="352" w:lineRule="auto"/>
        <w:jc w:val="center"/>
        <w:rPr>
          <w:rFonts w:ascii="方正小标宋简体" w:eastAsia="方正小标宋简体"/>
          <w:iCs/>
          <w:color w:val="000000" w:themeColor="text1"/>
          <w:sz w:val="36"/>
        </w:rPr>
        <w:sectPr>
          <w:footerReference r:id="rId3" w:type="even"/>
          <w:pgSz w:w="11910" w:h="16840"/>
          <w:pgMar w:top="1985" w:right="1588" w:bottom="1701" w:left="1588" w:header="720" w:footer="1418" w:gutter="0"/>
          <w:cols w:space="720" w:num="1"/>
        </w:sectPr>
      </w:pPr>
      <w:r>
        <w:rPr>
          <w:rFonts w:hint="eastAsia" w:ascii="方正小标宋简体" w:eastAsia="方正小标宋简体"/>
          <w:iCs/>
          <w:color w:val="000000" w:themeColor="text1"/>
          <w:sz w:val="36"/>
        </w:rPr>
        <w:t xml:space="preserve">2020 年 </w:t>
      </w:r>
      <w:r>
        <w:rPr>
          <w:rFonts w:hint="eastAsia" w:ascii="方正小标宋简体" w:eastAsia="方正小标宋简体"/>
          <w:iCs/>
          <w:color w:val="000000" w:themeColor="text1"/>
          <w:sz w:val="36"/>
          <w:lang w:val="en-US" w:eastAsia="zh-CN"/>
        </w:rPr>
        <w:t>3</w:t>
      </w:r>
      <w:r>
        <w:rPr>
          <w:rFonts w:hint="eastAsia" w:ascii="方正小标宋简体" w:eastAsia="方正小标宋简体"/>
          <w:iCs/>
          <w:color w:val="000000" w:themeColor="text1"/>
          <w:sz w:val="36"/>
        </w:rPr>
        <w:t xml:space="preserve"> 月</w:t>
      </w: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目    录</w:t>
      </w:r>
    </w:p>
    <w:p>
      <w:pPr>
        <w:spacing w:line="560" w:lineRule="exact"/>
        <w:jc w:val="left"/>
        <w:rPr>
          <w:rFonts w:hint="eastAsia" w:ascii="仿宋_GB2312" w:hAnsi="仿宋_GB2312" w:eastAsia="仿宋_GB2312" w:cs="仿宋_GB2312"/>
          <w:sz w:val="32"/>
          <w:szCs w:val="32"/>
        </w:rPr>
      </w:pPr>
    </w:p>
    <w:p>
      <w:pPr>
        <w:spacing w:line="600" w:lineRule="exact"/>
        <w:ind w:firstLine="640" w:firstLineChars="200"/>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1、关于发挥国家农村产业融合发展示范园带动作用进一步做好促生产稳就业工作的通知…………………………………1</w:t>
      </w:r>
    </w:p>
    <w:p>
      <w:pPr>
        <w:spacing w:line="600" w:lineRule="exact"/>
        <w:ind w:firstLine="640" w:firstLineChars="200"/>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2、国家发展改革委办公厅关于组织开展2020年（第27批）国家企业技术中心认定工作的通知……………………………5</w:t>
      </w:r>
    </w:p>
    <w:p>
      <w:pPr>
        <w:autoSpaceDE w:val="0"/>
        <w:autoSpaceDN w:val="0"/>
        <w:adjustRightInd w:val="0"/>
        <w:spacing w:line="600" w:lineRule="exact"/>
        <w:ind w:firstLine="640" w:firstLineChars="200"/>
        <w:jc w:val="distribute"/>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3、中西部和东北重点地区承接产业转移平台建设中央预算内投资专项管理暂行办法………………………………………8</w:t>
      </w:r>
    </w:p>
    <w:p>
      <w:pPr>
        <w:spacing w:line="600" w:lineRule="exact"/>
        <w:ind w:firstLine="640" w:firstLineChars="200"/>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4、国务院办公厅关于应对新冠肺炎疫情影响强化稳就业举措的实施意见……………………………………………………14</w:t>
      </w:r>
    </w:p>
    <w:p>
      <w:pPr>
        <w:spacing w:line="600" w:lineRule="exact"/>
        <w:ind w:firstLine="640" w:firstLineChars="200"/>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5、国务院办公厅关于进一步精简审批优化服务精准稳妥推进企业复工复产的通知…………………………………………23</w:t>
      </w:r>
    </w:p>
    <w:p>
      <w:pPr>
        <w:spacing w:line="600" w:lineRule="exact"/>
        <w:ind w:firstLine="640" w:firstLineChars="200"/>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6、支持疫情防控和经济社会发展税费优惠政策指引……28</w:t>
      </w:r>
    </w:p>
    <w:p>
      <w:pPr>
        <w:spacing w:line="600" w:lineRule="exact"/>
        <w:ind w:firstLine="640" w:firstLineChars="200"/>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7、应对新冠肺炎疫情税费优惠政策指引汇编…………31</w:t>
      </w:r>
    </w:p>
    <w:p>
      <w:pPr>
        <w:spacing w:line="600" w:lineRule="exact"/>
        <w:ind w:firstLine="640" w:firstLineChars="200"/>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8、关于开展志愿服务促进中小企业发展的指导意见……54</w:t>
      </w:r>
    </w:p>
    <w:p>
      <w:pPr>
        <w:spacing w:line="600" w:lineRule="exact"/>
        <w:ind w:firstLine="640" w:firstLineChars="200"/>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9、关于支持商贸流通企业复工营业的通知………………59</w:t>
      </w:r>
    </w:p>
    <w:p>
      <w:pPr>
        <w:spacing w:line="600" w:lineRule="exact"/>
        <w:ind w:firstLine="640" w:firstLineChars="200"/>
        <w:jc w:val="distribute"/>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pacing w:val="-6"/>
          <w:sz w:val="32"/>
          <w:szCs w:val="32"/>
        </w:rPr>
        <w:t>关于加快建立绿色生产和消费法规政策体系的意见…67</w:t>
      </w:r>
    </w:p>
    <w:p>
      <w:pPr>
        <w:spacing w:line="600" w:lineRule="exact"/>
        <w:ind w:firstLine="640" w:firstLineChars="200"/>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11、关于支持民营企业发展生猪生产及相关产业的实施意见…………………………………………………………………77</w:t>
      </w:r>
    </w:p>
    <w:p>
      <w:pPr>
        <w:widowControl/>
        <w:spacing w:line="600" w:lineRule="exact"/>
        <w:ind w:firstLine="640" w:firstLineChars="200"/>
        <w:jc w:val="distribute"/>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12、关于促进消费扩容提质加快形成强大国内市场的实施意见…………………</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……………84</w:t>
      </w:r>
    </w:p>
    <w:p>
      <w:pPr>
        <w:spacing w:line="580" w:lineRule="exact"/>
        <w:ind w:firstLine="640" w:firstLineChars="200"/>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13、国家发展改革委关于应对疫情进一步深化改革做好外资项目有关工作的通知…………………………………………94</w:t>
      </w:r>
    </w:p>
    <w:p>
      <w:pPr>
        <w:spacing w:line="580" w:lineRule="exact"/>
        <w:ind w:firstLine="640" w:firstLineChars="200"/>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14、国家发展改革委办公厅关于做好疫情防控重点保障物资生产企业名单管理有关工作的通知…………………………99</w:t>
      </w:r>
    </w:p>
    <w:p>
      <w:pPr>
        <w:spacing w:line="580" w:lineRule="exact"/>
        <w:ind w:firstLine="640" w:firstLineChars="200"/>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15、关于积极发挥行业协会商会作用支持民营中小企业复工复产的通知…………………………………………………102</w:t>
      </w: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p>
    <w:p>
      <w:pPr>
        <w:ind w:firstLine="640" w:firstLineChars="200"/>
        <w:jc w:val="left"/>
        <w:rPr>
          <w:rFonts w:ascii="仿宋_GB2312" w:hAnsi="仿宋_GB2312" w:eastAsia="仿宋_GB2312" w:cs="仿宋_GB2312"/>
          <w:sz w:val="32"/>
          <w:szCs w:val="32"/>
        </w:rPr>
      </w:pPr>
    </w:p>
    <w:p>
      <w:pPr>
        <w:ind w:firstLine="640" w:firstLineChars="200"/>
        <w:jc w:val="left"/>
        <w:rPr>
          <w:rFonts w:ascii="仿宋_GB2312" w:hAnsi="仿宋_GB2312" w:eastAsia="仿宋_GB2312" w:cs="仿宋_GB2312"/>
          <w:sz w:val="32"/>
          <w:szCs w:val="32"/>
        </w:rPr>
        <w:sectPr>
          <w:footerReference r:id="rId4" w:type="default"/>
          <w:footerReference r:id="rId5" w:type="even"/>
          <w:pgSz w:w="11906" w:h="16838"/>
          <w:pgMar w:top="1985" w:right="1588" w:bottom="1701" w:left="1588" w:header="851" w:footer="1418" w:gutter="0"/>
          <w:pgNumType w:start="0"/>
          <w:cols w:space="425" w:num="1"/>
          <w:docGrid w:type="lines" w:linePitch="312" w:charSpace="0"/>
        </w:sectPr>
      </w:pPr>
    </w:p>
    <w:p>
      <w:pPr>
        <w:spacing w:line="560" w:lineRule="exact"/>
        <w:ind w:firstLine="640" w:firstLineChars="200"/>
        <w:jc w:val="left"/>
        <w:rPr>
          <w:rFonts w:ascii="仿宋_GB2312" w:hAnsi="仿宋_GB2312" w:eastAsia="仿宋_GB2312" w:cs="仿宋_GB2312"/>
          <w:sz w:val="32"/>
          <w:szCs w:val="32"/>
        </w:rPr>
      </w:pPr>
    </w:p>
    <w:p>
      <w:pPr>
        <w:spacing w:line="560" w:lineRule="exact"/>
        <w:jc w:val="center"/>
        <w:rPr>
          <w:rFonts w:ascii="方正小标宋简体" w:eastAsia="方正小标宋简体"/>
          <w:spacing w:val="-16"/>
          <w:sz w:val="44"/>
        </w:rPr>
      </w:pPr>
      <w:r>
        <w:rPr>
          <w:rFonts w:hint="eastAsia" w:ascii="方正小标宋简体" w:eastAsia="方正小标宋简体"/>
          <w:spacing w:val="-16"/>
          <w:sz w:val="44"/>
        </w:rPr>
        <w:t>关于发挥国家农村产业融合发展示范园带动作用</w:t>
      </w:r>
    </w:p>
    <w:p>
      <w:pPr>
        <w:spacing w:line="560" w:lineRule="exact"/>
        <w:jc w:val="center"/>
        <w:rPr>
          <w:rFonts w:ascii="方正小标宋简体" w:eastAsia="方正小标宋简体"/>
          <w:spacing w:val="-16"/>
          <w:sz w:val="44"/>
        </w:rPr>
      </w:pPr>
      <w:r>
        <w:rPr>
          <w:rFonts w:hint="eastAsia" w:ascii="方正小标宋简体" w:eastAsia="方正小标宋简体"/>
          <w:spacing w:val="-16"/>
          <w:sz w:val="44"/>
        </w:rPr>
        <w:t>进一步做好促生产稳就业工作的通知</w:t>
      </w:r>
    </w:p>
    <w:p>
      <w:pPr>
        <w:spacing w:beforeLines="50" w:line="560" w:lineRule="exact"/>
        <w:ind w:firstLine="640" w:firstLineChars="200"/>
        <w:jc w:val="center"/>
        <w:rPr>
          <w:rFonts w:hint="eastAsia" w:ascii="楷体_GB2312" w:eastAsia="楷体_GB2312"/>
          <w:sz w:val="32"/>
        </w:rPr>
      </w:pPr>
      <w:r>
        <w:rPr>
          <w:rFonts w:hint="eastAsia" w:ascii="楷体_GB2312" w:eastAsia="楷体_GB2312"/>
          <w:sz w:val="32"/>
        </w:rPr>
        <w:t>发改办农经〔2020〕236号</w:t>
      </w:r>
    </w:p>
    <w:p>
      <w:pPr>
        <w:spacing w:line="580" w:lineRule="exact"/>
        <w:ind w:firstLine="640" w:firstLineChars="200"/>
        <w:rPr>
          <w:rFonts w:ascii="仿宋_GB2312" w:eastAsia="仿宋_GB2312"/>
          <w:sz w:val="32"/>
        </w:rPr>
      </w:pPr>
    </w:p>
    <w:p>
      <w:pPr>
        <w:spacing w:line="580" w:lineRule="exact"/>
        <w:rPr>
          <w:rFonts w:ascii="仿宋_GB2312" w:eastAsia="仿宋_GB2312"/>
          <w:sz w:val="32"/>
        </w:rPr>
      </w:pPr>
      <w:r>
        <w:rPr>
          <w:rFonts w:hint="eastAsia" w:ascii="仿宋_GB2312" w:eastAsia="仿宋_GB2312"/>
          <w:sz w:val="32"/>
        </w:rPr>
        <w:t>各省、自治区、直辖市及计划单列市、新疆生产建设兵团发展改革委、工业和信息化主管部门、农业农村厅（委、办、局）、商务主管部门、文化和旅游厅（局）：</w:t>
      </w:r>
    </w:p>
    <w:p>
      <w:pPr>
        <w:spacing w:line="580" w:lineRule="exact"/>
        <w:ind w:firstLine="640" w:firstLineChars="200"/>
        <w:rPr>
          <w:rFonts w:ascii="仿宋_GB2312" w:eastAsia="仿宋_GB2312"/>
          <w:sz w:val="32"/>
        </w:rPr>
      </w:pPr>
      <w:r>
        <w:rPr>
          <w:rFonts w:hint="eastAsia" w:ascii="仿宋_GB2312" w:eastAsia="仿宋_GB2312"/>
          <w:sz w:val="32"/>
        </w:rPr>
        <w:t>国家农村产业融合发展示范园（以下简称“示范园”）是推进乡村产业振兴、培育农村发展新动能的重要载体，是促进返乡入乡就业创业、带动农民增收致富的重要平台。为充分发挥首批示范园和第二批示范园创建单位带动作用，加快园区项目建设，吸纳更多农民工就地就近就业创业，有效应对新冠肺炎疫情不利影响，现就有关事项通知如下。</w:t>
      </w:r>
    </w:p>
    <w:p>
      <w:pPr>
        <w:spacing w:line="580" w:lineRule="exact"/>
        <w:ind w:firstLine="640" w:firstLineChars="200"/>
        <w:rPr>
          <w:rFonts w:ascii="仿宋_GB2312" w:eastAsia="仿宋_GB2312"/>
          <w:sz w:val="32"/>
        </w:rPr>
      </w:pPr>
      <w:r>
        <w:rPr>
          <w:rFonts w:hint="eastAsia" w:ascii="黑体" w:hAnsi="黑体" w:eastAsia="黑体"/>
          <w:sz w:val="32"/>
        </w:rPr>
        <w:t>一、加大力度加快推进示范园项目建设。</w:t>
      </w:r>
      <w:r>
        <w:rPr>
          <w:rFonts w:hint="eastAsia" w:ascii="仿宋_GB2312" w:eastAsia="仿宋_GB2312"/>
          <w:sz w:val="32"/>
        </w:rPr>
        <w:t>各地要在落实疫情防控措施的基础上，加快投资计划下达和资金拨付到位，抓紧开展示范园道路、小型水利、垃圾污水处理、公共卫生、冷链物流等基础设施建设，积极推动新上一批带动就业能力强的一二三产业融合发展项目。针对此次疫情暴露出的短板弱项，加快完善园内环保、防疫、应急保障等配套设施，持续提升示范园产业承载能力。指导示范园农业生产基地抢抓农时开展春耕春管，加快园区内的高标准农田和农田水利设施建设。</w:t>
      </w:r>
    </w:p>
    <w:p>
      <w:pPr>
        <w:spacing w:line="580" w:lineRule="exact"/>
        <w:ind w:firstLine="640" w:firstLineChars="200"/>
        <w:rPr>
          <w:rFonts w:ascii="仿宋_GB2312" w:eastAsia="仿宋_GB2312"/>
          <w:sz w:val="32"/>
        </w:rPr>
      </w:pPr>
      <w:r>
        <w:rPr>
          <w:rFonts w:hint="eastAsia" w:ascii="黑体" w:hAnsi="黑体" w:eastAsia="黑体"/>
          <w:sz w:val="32"/>
        </w:rPr>
        <w:t>二、多措并举吸纳农民工入园就业创业。</w:t>
      </w:r>
      <w:r>
        <w:rPr>
          <w:rFonts w:hint="eastAsia" w:ascii="仿宋_GB2312" w:eastAsia="仿宋_GB2312"/>
          <w:sz w:val="32"/>
        </w:rPr>
        <w:t>加强与示范园基础设施建设项目施工单位的沟通协商，组织安排本地无法外出的农民工参与项目建设。做好园区企业用工需求摸底调查，积极协调园区企业优先吸纳本地无法外出的农民工就业。支持示范园设立保洁、保安、消杀等公益性岗位，优先安排本地无法外出的农民工就业。鼓励示范园设立创业指导中心、开展创业辅导培训，鼓励园区企业发挥龙头带动作用，帮助有意愿的农民工创业。具备条件的地区可通过多种方式为农民工入园就业提供交通便利。</w:t>
      </w:r>
    </w:p>
    <w:p>
      <w:pPr>
        <w:spacing w:line="580" w:lineRule="exact"/>
        <w:ind w:firstLine="640" w:firstLineChars="200"/>
        <w:rPr>
          <w:rFonts w:ascii="仿宋_GB2312" w:eastAsia="仿宋_GB2312"/>
          <w:sz w:val="32"/>
        </w:rPr>
      </w:pPr>
      <w:r>
        <w:rPr>
          <w:rFonts w:hint="eastAsia" w:ascii="黑体" w:hAnsi="黑体" w:eastAsia="黑体"/>
          <w:sz w:val="32"/>
        </w:rPr>
        <w:t>三、主动作为帮助园区企业纾困解难。</w:t>
      </w:r>
      <w:r>
        <w:rPr>
          <w:rFonts w:hint="eastAsia" w:ascii="仿宋_GB2312" w:eastAsia="仿宋_GB2312"/>
          <w:sz w:val="32"/>
        </w:rPr>
        <w:t>示范园主管部门要组织力量深入园区一线，实地了解园区企业生产经营面临的难题，采取部门联合现场办理、研究协调解决、事后回访督促等方式，帮助企业纾解困难。组织编制园区企业生产经营相关政策指南，协助受困企业了解和用好各项优惠政策。有条件的地方可将园区企业纳入复工复产重点企业名单，采取备案或告知承诺等方式，推动企业恢复生产经营。支持示范园推广实行线上直播销售、无接触式服务、“不下车式”运输等新方式，尽快恢复发展乡村旅游、健康养生、文化体验、订单农业，拓展更大就业空间，吸引农民就近就地就业。将园区企业纳入防护物资保障范围，优先配备必要的防护物资，并给予一定的资金补助。积极协助园区企业与金融机构沟通衔接，加快办理贷款展期、优惠信贷等。协调组织法律专家为园区企业提供法律援助和咨询服务，帮助应对受疫情影响造成的合同履约、劳资关系等法律问题。</w:t>
      </w:r>
    </w:p>
    <w:p>
      <w:pPr>
        <w:spacing w:line="580" w:lineRule="exact"/>
        <w:ind w:firstLine="627" w:firstLineChars="196"/>
        <w:rPr>
          <w:rFonts w:ascii="仿宋_GB2312" w:eastAsia="仿宋_GB2312"/>
          <w:sz w:val="32"/>
        </w:rPr>
      </w:pPr>
      <w:r>
        <w:rPr>
          <w:rFonts w:hint="eastAsia" w:ascii="黑体" w:hAnsi="黑体" w:eastAsia="黑体"/>
          <w:sz w:val="32"/>
        </w:rPr>
        <w:t>四、落细落地确保相关政策落实到位。</w:t>
      </w:r>
      <w:r>
        <w:rPr>
          <w:rFonts w:hint="eastAsia" w:ascii="仿宋_GB2312" w:eastAsia="仿宋_GB2312"/>
          <w:sz w:val="32"/>
        </w:rPr>
        <w:t>将符合条件的国家级示范园基础设施建设纳入地方政府专项债券支持范围，对符合条件的园区企业给予再贷款、贴息支持和农业信贷担保费用减免政策。鼓励地方政府设立农村产业融合发展示范园投资专项，采取投资补助、贷款贴息等方式支持示范园加快发展。有条件的地区可根据示范园入驻企业数量和吸纳农民工就业成效给予一定资金奖励或社保缴费补助，对园区企业落实房租物业费减免、水电供暖费定额补贴等优惠政策。符合条件的园区企业优先安排支农支小等各项再贷款。协调金融机构对受疫情影响经营困难的园区企业，通过贷款展期、续贷等方式，给予一定期限的临时性延期还本安排。对园区企业新增融资需求，建立绿色通道，做到应贷尽贷快贷。支持符合条件的企业发行农村产业融合发展专项债券，用于示范园项目建设和园区内企业发展。</w:t>
      </w:r>
    </w:p>
    <w:p>
      <w:pPr>
        <w:spacing w:line="580" w:lineRule="exact"/>
        <w:ind w:firstLine="640" w:firstLineChars="200"/>
        <w:rPr>
          <w:rFonts w:ascii="仿宋_GB2312" w:eastAsia="仿宋_GB2312"/>
          <w:sz w:val="32"/>
        </w:rPr>
      </w:pPr>
      <w:r>
        <w:rPr>
          <w:rFonts w:hint="eastAsia" w:ascii="黑体" w:hAnsi="黑体" w:eastAsia="黑体"/>
          <w:sz w:val="32"/>
        </w:rPr>
        <w:t>五、明确责任切实强化工作保障。</w:t>
      </w:r>
      <w:r>
        <w:rPr>
          <w:rFonts w:hint="eastAsia" w:ascii="仿宋_GB2312" w:eastAsia="仿宋_GB2312"/>
          <w:sz w:val="32"/>
        </w:rPr>
        <w:t>各地要建立健全示范园建设部门协调机制，明确任务分工，落实部门责任，加强指导协调。要督促示范园制定工作方案、建立工作专班、明确责任人员，切实做好示范园建设、促生产稳投资和吸纳农民工就业工作。将示范园积极主动加快恢复园区建设、吸纳农民工就业情况与示范园创建认定工作挂钩，并作为认定第二批示范园、确定第三批创建单位的重要评价指标。要加强经验总结推广，围绕示范园建设发展和吸纳农民工就业，遴选一批创新性强、适用面广、示范性好的先进典型，通过召开现场会等方式总结推广经验做法。</w:t>
      </w:r>
    </w:p>
    <w:p>
      <w:pPr>
        <w:spacing w:line="580" w:lineRule="exact"/>
        <w:ind w:firstLine="640" w:firstLineChars="200"/>
        <w:rPr>
          <w:rFonts w:ascii="仿宋_GB2312" w:eastAsia="仿宋_GB2312"/>
          <w:sz w:val="32"/>
        </w:rPr>
      </w:pPr>
    </w:p>
    <w:p>
      <w:pPr>
        <w:spacing w:line="580" w:lineRule="exact"/>
        <w:ind w:firstLine="640" w:firstLineChars="200"/>
        <w:rPr>
          <w:rFonts w:ascii="仿宋_GB2312" w:eastAsia="仿宋_GB2312"/>
          <w:sz w:val="32"/>
        </w:rPr>
      </w:pPr>
    </w:p>
    <w:p>
      <w:pPr>
        <w:spacing w:line="580" w:lineRule="exact"/>
        <w:ind w:right="649" w:rightChars="309" w:firstLine="4643" w:firstLineChars="1451"/>
        <w:jc w:val="distribute"/>
        <w:rPr>
          <w:rFonts w:ascii="仿宋_GB2312" w:eastAsia="仿宋_GB2312"/>
          <w:sz w:val="32"/>
        </w:rPr>
      </w:pPr>
      <w:r>
        <w:rPr>
          <w:rFonts w:hint="eastAsia" w:ascii="仿宋_GB2312" w:eastAsia="仿宋_GB2312"/>
          <w:sz w:val="32"/>
        </w:rPr>
        <w:t>国家发展改革委办公厅</w:t>
      </w:r>
    </w:p>
    <w:p>
      <w:pPr>
        <w:spacing w:line="580" w:lineRule="exact"/>
        <w:ind w:right="649" w:rightChars="309" w:firstLine="4643" w:firstLineChars="1451"/>
        <w:jc w:val="distribute"/>
        <w:rPr>
          <w:rFonts w:ascii="仿宋_GB2312" w:eastAsia="仿宋_GB2312"/>
          <w:sz w:val="32"/>
        </w:rPr>
      </w:pPr>
      <w:r>
        <w:rPr>
          <w:rFonts w:hint="eastAsia" w:ascii="仿宋_GB2312" w:eastAsia="仿宋_GB2312"/>
          <w:sz w:val="32"/>
        </w:rPr>
        <w:t>工业和信息化部办公厅</w:t>
      </w:r>
    </w:p>
    <w:p>
      <w:pPr>
        <w:spacing w:line="580" w:lineRule="exact"/>
        <w:ind w:right="649" w:rightChars="309" w:firstLine="4643" w:firstLineChars="1451"/>
        <w:jc w:val="distribute"/>
        <w:rPr>
          <w:rFonts w:ascii="仿宋_GB2312" w:eastAsia="仿宋_GB2312"/>
          <w:sz w:val="32"/>
        </w:rPr>
      </w:pPr>
      <w:r>
        <w:rPr>
          <w:rFonts w:hint="eastAsia" w:ascii="仿宋_GB2312" w:eastAsia="仿宋_GB2312"/>
          <w:sz w:val="32"/>
        </w:rPr>
        <w:t>农业农村部办公厅</w:t>
      </w:r>
    </w:p>
    <w:p>
      <w:pPr>
        <w:spacing w:line="580" w:lineRule="exact"/>
        <w:ind w:right="649" w:rightChars="309" w:firstLine="4643" w:firstLineChars="1451"/>
        <w:jc w:val="distribute"/>
        <w:rPr>
          <w:rFonts w:ascii="仿宋_GB2312" w:eastAsia="仿宋_GB2312"/>
          <w:sz w:val="32"/>
        </w:rPr>
      </w:pPr>
      <w:r>
        <w:rPr>
          <w:rFonts w:hint="eastAsia" w:ascii="仿宋_GB2312" w:eastAsia="仿宋_GB2312"/>
          <w:sz w:val="32"/>
        </w:rPr>
        <w:t>商务部办公厅</w:t>
      </w:r>
    </w:p>
    <w:p>
      <w:pPr>
        <w:spacing w:line="580" w:lineRule="exact"/>
        <w:ind w:right="649" w:rightChars="309" w:firstLine="4643" w:firstLineChars="1451"/>
        <w:jc w:val="distribute"/>
        <w:rPr>
          <w:rFonts w:ascii="仿宋_GB2312" w:eastAsia="仿宋_GB2312"/>
          <w:sz w:val="32"/>
        </w:rPr>
      </w:pPr>
      <w:r>
        <w:rPr>
          <w:rFonts w:hint="eastAsia" w:ascii="仿宋_GB2312" w:eastAsia="仿宋_GB2312"/>
          <w:sz w:val="32"/>
        </w:rPr>
        <w:t>文化和旅游部办公厅</w:t>
      </w:r>
    </w:p>
    <w:p>
      <w:pPr>
        <w:spacing w:line="580" w:lineRule="exact"/>
        <w:ind w:firstLine="5225" w:firstLineChars="1633"/>
        <w:rPr>
          <w:rFonts w:ascii="仿宋_GB2312" w:eastAsia="仿宋_GB2312"/>
          <w:sz w:val="32"/>
        </w:rPr>
      </w:pPr>
      <w:r>
        <w:rPr>
          <w:rFonts w:hint="eastAsia" w:ascii="仿宋_GB2312" w:eastAsia="仿宋_GB2312"/>
          <w:sz w:val="32"/>
        </w:rPr>
        <w:t>2020年3月23日</w:t>
      </w:r>
    </w:p>
    <w:p>
      <w:pPr>
        <w:spacing w:line="560" w:lineRule="exact"/>
        <w:ind w:firstLine="640" w:firstLineChars="200"/>
        <w:rPr>
          <w:rFonts w:ascii="仿宋_GB2312" w:eastAsia="仿宋_GB2312"/>
          <w:sz w:val="32"/>
        </w:rPr>
      </w:pPr>
    </w:p>
    <w:p>
      <w:pPr>
        <w:spacing w:line="560" w:lineRule="exact"/>
        <w:ind w:firstLine="640" w:firstLineChars="200"/>
        <w:rPr>
          <w:rFonts w:ascii="仿宋_GB2312" w:eastAsia="仿宋_GB2312"/>
          <w:sz w:val="32"/>
        </w:rPr>
      </w:pPr>
    </w:p>
    <w:p>
      <w:pPr>
        <w:spacing w:line="560" w:lineRule="exact"/>
        <w:ind w:firstLine="640" w:firstLineChars="200"/>
        <w:rPr>
          <w:rFonts w:ascii="仿宋_GB2312" w:eastAsia="仿宋_GB2312"/>
          <w:sz w:val="32"/>
        </w:rPr>
      </w:pPr>
    </w:p>
    <w:p>
      <w:pPr>
        <w:spacing w:line="560" w:lineRule="exact"/>
        <w:ind w:firstLine="640" w:firstLineChars="200"/>
        <w:rPr>
          <w:rFonts w:hint="eastAsia" w:ascii="仿宋_GB2312" w:eastAsia="仿宋_GB2312"/>
          <w:sz w:val="32"/>
        </w:rPr>
      </w:pPr>
    </w:p>
    <w:p>
      <w:pPr>
        <w:spacing w:line="560" w:lineRule="exact"/>
        <w:ind w:firstLine="640" w:firstLineChars="200"/>
        <w:rPr>
          <w:rFonts w:hint="eastAsia" w:ascii="仿宋_GB2312" w:eastAsia="仿宋_GB2312"/>
          <w:sz w:val="32"/>
        </w:rPr>
      </w:pPr>
    </w:p>
    <w:p>
      <w:pPr>
        <w:spacing w:line="560" w:lineRule="exact"/>
        <w:ind w:firstLine="640" w:firstLineChars="200"/>
        <w:rPr>
          <w:rFonts w:hint="eastAsia" w:ascii="仿宋_GB2312" w:eastAsia="仿宋_GB2312"/>
          <w:sz w:val="32"/>
        </w:rPr>
      </w:pPr>
    </w:p>
    <w:p>
      <w:pPr>
        <w:spacing w:line="560" w:lineRule="exact"/>
        <w:ind w:firstLine="640" w:firstLineChars="200"/>
        <w:rPr>
          <w:rFonts w:hint="eastAsia" w:ascii="仿宋_GB2312" w:eastAsia="仿宋_GB2312"/>
          <w:sz w:val="32"/>
        </w:rPr>
      </w:pPr>
    </w:p>
    <w:p>
      <w:pPr>
        <w:spacing w:line="560" w:lineRule="exact"/>
        <w:ind w:firstLine="640" w:firstLineChars="200"/>
        <w:rPr>
          <w:rFonts w:ascii="仿宋_GB2312" w:eastAsia="仿宋_GB2312"/>
          <w:sz w:val="32"/>
        </w:rPr>
      </w:pPr>
    </w:p>
    <w:p>
      <w:pPr>
        <w:spacing w:line="560" w:lineRule="exact"/>
        <w:ind w:firstLine="640" w:firstLineChars="200"/>
        <w:rPr>
          <w:rFonts w:ascii="仿宋_GB2312" w:eastAsia="仿宋_GB2312"/>
          <w:sz w:val="32"/>
        </w:rPr>
      </w:pPr>
    </w:p>
    <w:p>
      <w:pPr>
        <w:spacing w:line="560" w:lineRule="exact"/>
        <w:ind w:firstLine="640" w:firstLineChars="200"/>
        <w:rPr>
          <w:rFonts w:ascii="仿宋_GB2312" w:eastAsia="仿宋_GB2312"/>
          <w:sz w:val="32"/>
        </w:rPr>
      </w:pPr>
    </w:p>
    <w:p>
      <w:pPr>
        <w:spacing w:line="560" w:lineRule="exact"/>
        <w:ind w:firstLine="640" w:firstLineChars="200"/>
        <w:rPr>
          <w:rFonts w:ascii="仿宋_GB2312" w:eastAsia="仿宋_GB2312"/>
          <w:sz w:val="32"/>
        </w:rPr>
      </w:pPr>
    </w:p>
    <w:p>
      <w:pPr>
        <w:spacing w:line="560" w:lineRule="exact"/>
        <w:jc w:val="center"/>
        <w:rPr>
          <w:rFonts w:hint="eastAsia" w:ascii="方正小标宋简体" w:eastAsia="方正小标宋简体"/>
          <w:bCs/>
          <w:spacing w:val="-10"/>
          <w:sz w:val="44"/>
          <w:szCs w:val="36"/>
        </w:rPr>
      </w:pPr>
      <w:r>
        <w:rPr>
          <w:rFonts w:hint="eastAsia" w:ascii="方正小标宋简体" w:eastAsia="方正小标宋简体"/>
          <w:bCs/>
          <w:spacing w:val="-10"/>
          <w:sz w:val="44"/>
          <w:szCs w:val="36"/>
        </w:rPr>
        <w:t>国家发展改革委办公厅关于组织开展2020年</w:t>
      </w:r>
    </w:p>
    <w:p>
      <w:pPr>
        <w:spacing w:line="560" w:lineRule="exact"/>
        <w:jc w:val="center"/>
        <w:rPr>
          <w:rFonts w:ascii="方正小标宋简体" w:eastAsia="方正小标宋简体"/>
          <w:spacing w:val="-10"/>
          <w:sz w:val="44"/>
          <w:szCs w:val="36"/>
        </w:rPr>
      </w:pPr>
      <w:r>
        <w:rPr>
          <w:rFonts w:hint="eastAsia" w:ascii="方正小标宋简体" w:eastAsia="方正小标宋简体"/>
          <w:bCs/>
          <w:spacing w:val="-10"/>
          <w:sz w:val="44"/>
          <w:szCs w:val="36"/>
        </w:rPr>
        <w:t>（第27批）国家企业技术中心认定工作的通知</w:t>
      </w:r>
    </w:p>
    <w:p>
      <w:pPr>
        <w:spacing w:beforeLines="50" w:line="560" w:lineRule="exact"/>
        <w:ind w:firstLine="640" w:firstLineChars="200"/>
        <w:jc w:val="center"/>
        <w:rPr>
          <w:rFonts w:hint="eastAsia" w:ascii="楷体_GB2312" w:eastAsia="楷体_GB2312"/>
          <w:sz w:val="32"/>
        </w:rPr>
      </w:pPr>
      <w:r>
        <w:rPr>
          <w:rFonts w:hint="eastAsia" w:ascii="楷体_GB2312" w:eastAsia="楷体_GB2312"/>
          <w:sz w:val="32"/>
        </w:rPr>
        <w:t>发改办高技〔2020〕235号</w:t>
      </w:r>
    </w:p>
    <w:p>
      <w:pPr>
        <w:spacing w:line="560" w:lineRule="exact"/>
        <w:ind w:firstLine="640" w:firstLineChars="200"/>
        <w:rPr>
          <w:rFonts w:hint="eastAsia" w:ascii="仿宋_GB2312" w:eastAsia="仿宋_GB2312"/>
          <w:sz w:val="32"/>
        </w:rPr>
      </w:pPr>
      <w:r>
        <w:rPr>
          <w:rFonts w:ascii="仿宋_GB2312" w:eastAsia="仿宋_GB2312"/>
          <w:sz w:val="32"/>
        </w:rPr>
        <w:br w:type="textWrapping"/>
      </w:r>
      <w:r>
        <w:rPr>
          <w:rFonts w:ascii="仿宋_GB2312" w:eastAsia="仿宋_GB2312"/>
          <w:sz w:val="32"/>
        </w:rPr>
        <w:t>各省、自治区、直辖市及计划单列市、新疆生产建设兵团发展改革委（工信厅、经信委），海南省科技厅：</w:t>
      </w:r>
      <w:r>
        <w:rPr>
          <w:rFonts w:ascii="仿宋_GB2312" w:eastAsia="仿宋_GB2312"/>
          <w:sz w:val="32"/>
        </w:rPr>
        <w:br w:type="textWrapping"/>
      </w:r>
      <w:r>
        <w:rPr>
          <w:rFonts w:ascii="仿宋_GB2312" w:eastAsia="仿宋_GB2312"/>
          <w:sz w:val="32"/>
        </w:rPr>
        <w:t>  为落实《国民经济和社会发展第十三个五年规划纲要》关于“支持企业技术中心建设”有关部署，根据《国家企业技术中心认定管理办法》（国家发展改革委 科技部 财政部 海关总署 税务总局2016年第34号令，以下简称《管理办法》）和《国家企业技术中心认定评价工作指南（试行）》（发改办高技〔2016〕937号，以下简称《工作指南》），现将2020年国家企业技术中心认定工作有关事项通知如下：</w:t>
      </w:r>
      <w:r>
        <w:rPr>
          <w:rFonts w:ascii="仿宋_GB2312" w:eastAsia="仿宋_GB2312"/>
          <w:sz w:val="32"/>
        </w:rPr>
        <w:br w:type="textWrapping"/>
      </w:r>
      <w:r>
        <w:rPr>
          <w:rFonts w:ascii="仿宋_GB2312" w:eastAsia="仿宋_GB2312"/>
          <w:sz w:val="32"/>
        </w:rPr>
        <w:t>  </w:t>
      </w:r>
      <w:r>
        <w:rPr>
          <w:rFonts w:hint="eastAsia" w:ascii="仿宋_GB2312" w:eastAsia="仿宋_GB2312"/>
          <w:sz w:val="32"/>
        </w:rPr>
        <w:t xml:space="preserve"> </w:t>
      </w:r>
      <w:r>
        <w:rPr>
          <w:rFonts w:ascii="仿宋_GB2312" w:eastAsia="仿宋_GB2312"/>
          <w:sz w:val="32"/>
        </w:rPr>
        <w:t>一、请各地发展改革委会同同级科技、财政、海关、税务等部门（或省级政府规定的国家企业技术中心申报、管理部门会同同级发展改革、科技、财政、海关、税务等部门），参照《管理办法》，做好2020年国家企业技术中心推荐工作，具体程序包括：</w:t>
      </w:r>
      <w:r>
        <w:rPr>
          <w:rFonts w:ascii="仿宋_GB2312" w:eastAsia="仿宋_GB2312"/>
          <w:sz w:val="32"/>
        </w:rPr>
        <w:br w:type="textWrapping"/>
      </w:r>
      <w:r>
        <w:rPr>
          <w:rFonts w:ascii="仿宋_GB2312" w:eastAsia="仿宋_GB2312"/>
          <w:sz w:val="32"/>
        </w:rPr>
        <w:t>  （一）按照《工作指南》要求，组织申请企业编写国家企业技术中心申请材料，并对其真实性进行审核；</w:t>
      </w:r>
      <w:r>
        <w:rPr>
          <w:rFonts w:ascii="仿宋_GB2312" w:eastAsia="仿宋_GB2312"/>
          <w:sz w:val="32"/>
        </w:rPr>
        <w:br w:type="textWrapping"/>
      </w:r>
      <w:r>
        <w:rPr>
          <w:rFonts w:ascii="仿宋_GB2312" w:eastAsia="仿宋_GB2312"/>
          <w:sz w:val="32"/>
        </w:rPr>
        <w:t>  （二）依据《战略性新兴产业重点产品和服务指导目录》（国家发展改革委公告2017年第1号，以下简称《战新目录》）明确的范围，对申请企业主营业务是否符合认定领域进行审核（原则上企业技术中心研发的主要产品和服务应属指导目录范围）。在符合《战新目录》前提下，对同时符合《绿色产业指导目录（2019年版）》（发改环资〔2019〕293号）的企业优先予以考虑；</w:t>
      </w:r>
    </w:p>
    <w:p>
      <w:pPr>
        <w:spacing w:line="560" w:lineRule="exact"/>
        <w:ind w:firstLine="640" w:firstLineChars="200"/>
        <w:rPr>
          <w:rFonts w:hint="eastAsia" w:ascii="仿宋_GB2312" w:eastAsia="仿宋_GB2312"/>
          <w:sz w:val="32"/>
        </w:rPr>
      </w:pPr>
      <w:r>
        <w:rPr>
          <w:rFonts w:ascii="仿宋_GB2312" w:eastAsia="仿宋_GB2312"/>
          <w:sz w:val="32"/>
        </w:rPr>
        <w:t>（三）按照国家企业技术中心评价方法（见附件1），对申请企业技术中心进行初评；</w:t>
      </w:r>
    </w:p>
    <w:p>
      <w:pPr>
        <w:spacing w:line="560" w:lineRule="exact"/>
        <w:ind w:firstLine="640" w:firstLineChars="200"/>
        <w:rPr>
          <w:rFonts w:hint="eastAsia" w:ascii="仿宋_GB2312" w:eastAsia="仿宋_GB2312"/>
          <w:sz w:val="32"/>
        </w:rPr>
      </w:pPr>
      <w:r>
        <w:rPr>
          <w:rFonts w:ascii="仿宋_GB2312" w:eastAsia="仿宋_GB2312"/>
          <w:sz w:val="32"/>
        </w:rPr>
        <w:t>（四）采取公平公正公开的适当形式，择优推荐符合领域要求、基本条件符合《管理办法》规定、初评得分高于70分（包含70分）的企业技术中心。</w:t>
      </w:r>
    </w:p>
    <w:p>
      <w:pPr>
        <w:spacing w:line="560" w:lineRule="exact"/>
        <w:ind w:firstLine="640" w:firstLineChars="200"/>
        <w:rPr>
          <w:rFonts w:hint="eastAsia" w:ascii="仿宋_GB2312" w:eastAsia="仿宋_GB2312"/>
          <w:sz w:val="32"/>
        </w:rPr>
      </w:pPr>
      <w:r>
        <w:rPr>
          <w:rFonts w:ascii="仿宋_GB2312" w:eastAsia="仿宋_GB2312"/>
          <w:sz w:val="32"/>
        </w:rPr>
        <w:t>二、每个省、区、市推荐企业技术中心不超过4家。符合下列3类条件之一的省、区、市，可增加2个推荐名额：</w:t>
      </w:r>
    </w:p>
    <w:p>
      <w:pPr>
        <w:spacing w:line="560" w:lineRule="exact"/>
        <w:ind w:firstLine="640" w:firstLineChars="200"/>
        <w:rPr>
          <w:rFonts w:hint="eastAsia" w:ascii="仿宋_GB2312" w:eastAsia="仿宋_GB2312"/>
          <w:sz w:val="32"/>
        </w:rPr>
      </w:pPr>
      <w:r>
        <w:rPr>
          <w:rFonts w:ascii="仿宋_GB2312" w:eastAsia="仿宋_GB2312"/>
          <w:sz w:val="32"/>
        </w:rPr>
        <w:t>（一）国家科技创新中心、综合性国家科学中心所在地方（北京、上海、广东、深圳、重庆、四川、安徽合肥）；</w:t>
      </w:r>
    </w:p>
    <w:p>
      <w:pPr>
        <w:spacing w:line="560" w:lineRule="exact"/>
        <w:ind w:firstLine="640" w:firstLineChars="200"/>
        <w:rPr>
          <w:rFonts w:hint="eastAsia" w:ascii="仿宋_GB2312" w:eastAsia="仿宋_GB2312"/>
          <w:sz w:val="32"/>
        </w:rPr>
      </w:pPr>
      <w:r>
        <w:rPr>
          <w:rFonts w:ascii="仿宋_GB2312" w:eastAsia="仿宋_GB2312"/>
          <w:sz w:val="32"/>
        </w:rPr>
        <w:t>（二）战略性新兴产业集群发展工作真抓实干成效明显地方（名单由国务院办公厅最终印发通知确定）；</w:t>
      </w:r>
    </w:p>
    <w:p>
      <w:pPr>
        <w:spacing w:line="560" w:lineRule="exact"/>
        <w:ind w:firstLine="640" w:firstLineChars="200"/>
        <w:rPr>
          <w:rFonts w:hint="eastAsia" w:ascii="仿宋_GB2312" w:eastAsia="仿宋_GB2312"/>
          <w:sz w:val="32"/>
        </w:rPr>
      </w:pPr>
      <w:r>
        <w:rPr>
          <w:rFonts w:ascii="仿宋_GB2312" w:eastAsia="仿宋_GB2312"/>
          <w:sz w:val="32"/>
        </w:rPr>
        <w:t>（三）实施创新驱动发展战略推进大众创业万众创新工作真抓实干成效明显地方（名单由国务院办公厅最终印发通知确定）。</w:t>
      </w:r>
    </w:p>
    <w:p>
      <w:pPr>
        <w:spacing w:line="560" w:lineRule="exact"/>
        <w:ind w:firstLine="640" w:firstLineChars="200"/>
        <w:rPr>
          <w:rFonts w:hint="eastAsia" w:ascii="仿宋_GB2312" w:eastAsia="仿宋_GB2312"/>
          <w:sz w:val="32"/>
        </w:rPr>
      </w:pPr>
      <w:r>
        <w:rPr>
          <w:rFonts w:ascii="仿宋_GB2312" w:eastAsia="仿宋_GB2312"/>
          <w:sz w:val="32"/>
        </w:rPr>
        <w:t>原则上，增加名额需用于激励国家科技创新中心、综合性国家科学中心所在地方和真抓实干成效明显地方（具体到市、区）。</w:t>
      </w:r>
    </w:p>
    <w:p>
      <w:pPr>
        <w:spacing w:line="560" w:lineRule="exact"/>
        <w:ind w:firstLine="640" w:firstLineChars="200"/>
        <w:rPr>
          <w:rFonts w:hint="eastAsia" w:ascii="仿宋_GB2312" w:eastAsia="仿宋_GB2312"/>
          <w:sz w:val="32"/>
        </w:rPr>
      </w:pPr>
      <w:r>
        <w:rPr>
          <w:rFonts w:ascii="仿宋_GB2312" w:eastAsia="仿宋_GB2312"/>
          <w:sz w:val="32"/>
        </w:rPr>
        <w:t>三、请各地发展改革委会同同级科技、财政、海关、税务等部门（或省级政府规定的国家企业技术中心申报、管理部门会同同级发展改革、科技、财政、海关、税务等部门）行文，将推荐企业的申请材料及评审情况（要求见附件2）报送我委，同时将推荐企业名单抄报科技部、财政部、海关总署、税务总局。</w:t>
      </w:r>
    </w:p>
    <w:p>
      <w:pPr>
        <w:spacing w:line="560" w:lineRule="exact"/>
        <w:ind w:firstLine="640" w:firstLineChars="200"/>
        <w:rPr>
          <w:rFonts w:hint="eastAsia" w:ascii="仿宋_GB2312" w:eastAsia="仿宋_GB2312"/>
          <w:sz w:val="32"/>
        </w:rPr>
      </w:pPr>
      <w:r>
        <w:rPr>
          <w:rFonts w:ascii="仿宋_GB2312" w:eastAsia="仿宋_GB2312"/>
          <w:sz w:val="32"/>
        </w:rPr>
        <w:t>四、请于2020年5月31日前，通过国家企业技术中心数据系统（www.datacidd.cn），填报推荐企业申请材料，并将纸质文件（一式二份）报送国家发展改革委。</w:t>
      </w:r>
      <w:r>
        <w:rPr>
          <w:rFonts w:ascii="仿宋_GB2312" w:eastAsia="仿宋_GB2312"/>
          <w:sz w:val="32"/>
        </w:rPr>
        <w:br w:type="textWrapping"/>
      </w:r>
      <w:r>
        <w:rPr>
          <w:rFonts w:ascii="仿宋_GB2312" w:eastAsia="仿宋_GB2312"/>
          <w:sz w:val="32"/>
        </w:rPr>
        <w:br w:type="textWrapping"/>
      </w:r>
      <w:r>
        <w:rPr>
          <w:rFonts w:ascii="仿宋_GB2312" w:eastAsia="仿宋_GB2312"/>
          <w:sz w:val="32"/>
        </w:rPr>
        <w:t>  附件：1．国家企业技术中心评价方法</w:t>
      </w:r>
      <w:r>
        <w:rPr>
          <w:rFonts w:ascii="仿宋_GB2312" w:eastAsia="仿宋_GB2312"/>
          <w:sz w:val="32"/>
        </w:rPr>
        <w:br w:type="textWrapping"/>
      </w:r>
      <w:r>
        <w:rPr>
          <w:rFonts w:ascii="仿宋_GB2312" w:eastAsia="仿宋_GB2312"/>
          <w:sz w:val="32"/>
        </w:rPr>
        <w:t>    </w:t>
      </w:r>
      <w:r>
        <w:rPr>
          <w:rFonts w:hint="eastAsia" w:ascii="仿宋_GB2312" w:eastAsia="仿宋_GB2312"/>
          <w:sz w:val="32"/>
        </w:rPr>
        <w:t xml:space="preserve"> </w:t>
      </w:r>
      <w:r>
        <w:rPr>
          <w:rFonts w:ascii="仿宋_GB2312" w:eastAsia="仿宋_GB2312"/>
          <w:sz w:val="32"/>
        </w:rPr>
        <w:t> 2．认定评审情况报送要求</w:t>
      </w:r>
      <w:r>
        <w:rPr>
          <w:rFonts w:ascii="仿宋_GB2312" w:eastAsia="仿宋_GB2312"/>
          <w:sz w:val="32"/>
        </w:rPr>
        <w:br w:type="textWrapping"/>
      </w:r>
    </w:p>
    <w:p>
      <w:pPr>
        <w:spacing w:line="560" w:lineRule="exact"/>
        <w:ind w:firstLine="640" w:firstLineChars="200"/>
        <w:rPr>
          <w:rFonts w:ascii="仿宋_GB2312" w:eastAsia="仿宋_GB2312"/>
          <w:sz w:val="32"/>
        </w:rPr>
      </w:pPr>
    </w:p>
    <w:p>
      <w:pPr>
        <w:spacing w:line="560" w:lineRule="exact"/>
        <w:ind w:firstLine="4480" w:firstLineChars="1400"/>
        <w:rPr>
          <w:rFonts w:ascii="仿宋_GB2312" w:eastAsia="仿宋_GB2312"/>
          <w:sz w:val="32"/>
        </w:rPr>
      </w:pPr>
      <w:r>
        <w:rPr>
          <w:rFonts w:ascii="仿宋_GB2312" w:eastAsia="仿宋_GB2312"/>
          <w:sz w:val="32"/>
        </w:rPr>
        <w:t>国家发展改革委办公厅</w:t>
      </w:r>
    </w:p>
    <w:p>
      <w:pPr>
        <w:spacing w:line="560" w:lineRule="exact"/>
        <w:ind w:firstLine="4960" w:firstLineChars="1550"/>
        <w:rPr>
          <w:rFonts w:ascii="仿宋_GB2312" w:eastAsia="仿宋_GB2312"/>
          <w:sz w:val="32"/>
        </w:rPr>
      </w:pPr>
      <w:r>
        <w:rPr>
          <w:rFonts w:ascii="仿宋_GB2312" w:eastAsia="仿宋_GB2312"/>
          <w:sz w:val="32"/>
        </w:rPr>
        <w:t>2020年3月24日</w:t>
      </w:r>
    </w:p>
    <w:p>
      <w:pPr>
        <w:autoSpaceDE w:val="0"/>
        <w:autoSpaceDN w:val="0"/>
        <w:adjustRightInd w:val="0"/>
        <w:spacing w:line="560" w:lineRule="exact"/>
        <w:jc w:val="center"/>
        <w:rPr>
          <w:rFonts w:hint="eastAsia" w:ascii="方正小标宋简体" w:eastAsia="方正小标宋简体" w:cs="FZXBSK--GBK1-0"/>
          <w:kern w:val="0"/>
          <w:sz w:val="40"/>
          <w:szCs w:val="40"/>
        </w:rPr>
      </w:pPr>
    </w:p>
    <w:p>
      <w:pPr>
        <w:autoSpaceDE w:val="0"/>
        <w:autoSpaceDN w:val="0"/>
        <w:adjustRightInd w:val="0"/>
        <w:spacing w:line="560" w:lineRule="exact"/>
        <w:jc w:val="center"/>
        <w:rPr>
          <w:rFonts w:hint="eastAsia" w:ascii="方正小标宋简体" w:eastAsia="方正小标宋简体" w:cs="FZXBSK--GBK1-0"/>
          <w:kern w:val="0"/>
          <w:sz w:val="40"/>
          <w:szCs w:val="40"/>
        </w:rPr>
      </w:pPr>
    </w:p>
    <w:p>
      <w:pPr>
        <w:widowControl/>
        <w:jc w:val="left"/>
        <w:rPr>
          <w:rFonts w:ascii="方正小标宋简体" w:eastAsia="方正小标宋简体" w:cs="FZXBSK--GBK1-0"/>
          <w:kern w:val="0"/>
          <w:sz w:val="40"/>
          <w:szCs w:val="40"/>
        </w:rPr>
      </w:pPr>
      <w:r>
        <w:rPr>
          <w:rFonts w:ascii="方正小标宋简体" w:eastAsia="方正小标宋简体" w:cs="FZXBSK--GBK1-0"/>
          <w:kern w:val="0"/>
          <w:sz w:val="40"/>
          <w:szCs w:val="40"/>
        </w:rPr>
        <w:br w:type="page"/>
      </w:r>
    </w:p>
    <w:p>
      <w:pPr>
        <w:autoSpaceDE w:val="0"/>
        <w:autoSpaceDN w:val="0"/>
        <w:adjustRightInd w:val="0"/>
        <w:spacing w:line="560" w:lineRule="exact"/>
        <w:jc w:val="center"/>
        <w:rPr>
          <w:rFonts w:hint="eastAsia" w:ascii="方正小标宋简体" w:eastAsia="方正小标宋简体" w:cs="FZXBSK--GBK1-0"/>
          <w:kern w:val="0"/>
          <w:sz w:val="40"/>
          <w:szCs w:val="40"/>
        </w:rPr>
      </w:pPr>
    </w:p>
    <w:p>
      <w:pPr>
        <w:autoSpaceDE w:val="0"/>
        <w:autoSpaceDN w:val="0"/>
        <w:adjustRightInd w:val="0"/>
        <w:spacing w:line="560" w:lineRule="exact"/>
        <w:jc w:val="center"/>
        <w:rPr>
          <w:rFonts w:ascii="方正小标宋简体" w:eastAsia="方正小标宋简体" w:cs="FZXBSK--GBK1-0"/>
          <w:kern w:val="0"/>
          <w:sz w:val="44"/>
          <w:szCs w:val="40"/>
        </w:rPr>
      </w:pPr>
      <w:r>
        <w:rPr>
          <w:rFonts w:hint="eastAsia" w:ascii="方正小标宋简体" w:eastAsia="方正小标宋简体" w:cs="FZXBSK--GBK1-0"/>
          <w:kern w:val="0"/>
          <w:sz w:val="44"/>
          <w:szCs w:val="40"/>
        </w:rPr>
        <w:t>中西部和东北重点地区承接产业转移平台建设中央预算内投资专项管理暂行办法</w:t>
      </w:r>
    </w:p>
    <w:p>
      <w:pPr>
        <w:autoSpaceDE w:val="0"/>
        <w:autoSpaceDN w:val="0"/>
        <w:adjustRightInd w:val="0"/>
        <w:spacing w:line="560" w:lineRule="exact"/>
        <w:ind w:firstLine="600" w:firstLineChars="200"/>
        <w:jc w:val="left"/>
        <w:rPr>
          <w:rFonts w:ascii="FZHTK--GBK1-0" w:eastAsia="FZHTK--GBK1-0" w:cs="FZHTK--GBK1-0"/>
          <w:kern w:val="0"/>
          <w:sz w:val="30"/>
          <w:szCs w:val="30"/>
        </w:rPr>
      </w:pPr>
    </w:p>
    <w:p>
      <w:pPr>
        <w:autoSpaceDE w:val="0"/>
        <w:autoSpaceDN w:val="0"/>
        <w:adjustRightInd w:val="0"/>
        <w:spacing w:line="560" w:lineRule="exact"/>
        <w:jc w:val="center"/>
        <w:rPr>
          <w:rFonts w:ascii="黑体" w:hAnsi="黑体" w:eastAsia="黑体" w:cs="FZHTK--GBK1-0"/>
          <w:kern w:val="0"/>
          <w:sz w:val="32"/>
          <w:szCs w:val="30"/>
        </w:rPr>
      </w:pPr>
      <w:r>
        <w:rPr>
          <w:rFonts w:hint="eastAsia" w:ascii="黑体" w:hAnsi="黑体" w:eastAsia="黑体" w:cs="FZHTK--GBK1-0"/>
          <w:kern w:val="0"/>
          <w:sz w:val="32"/>
          <w:szCs w:val="30"/>
        </w:rPr>
        <w:t>第一章  总 则</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HTK--GBK1-0"/>
          <w:kern w:val="0"/>
          <w:sz w:val="32"/>
          <w:szCs w:val="30"/>
        </w:rPr>
        <w:t xml:space="preserve">第一条  </w:t>
      </w:r>
      <w:r>
        <w:rPr>
          <w:rFonts w:hint="eastAsia" w:ascii="仿宋_GB2312" w:eastAsia="仿宋_GB2312" w:cs="FZFSK--GBK1-0"/>
          <w:kern w:val="0"/>
          <w:sz w:val="32"/>
          <w:szCs w:val="30"/>
        </w:rPr>
        <w:t>为促进中西部和东北地区积极有序承接国内外产业转移，加强重点地区承接产业转移平台建设中央预算内投资专项（以下简称专项）管理，提高中央预算内投资使用效率，确保资金安全合规使用， 根据《政府投资条例》（ 国务院令第</w:t>
      </w:r>
      <w:r>
        <w:rPr>
          <w:rFonts w:hint="eastAsia" w:ascii="仿宋_GB2312" w:eastAsia="仿宋_GB2312" w:cs="TimesNewRomanPSMT"/>
          <w:kern w:val="0"/>
          <w:sz w:val="32"/>
          <w:szCs w:val="30"/>
        </w:rPr>
        <w:t>712</w:t>
      </w:r>
      <w:r>
        <w:rPr>
          <w:rFonts w:hint="eastAsia" w:ascii="仿宋_GB2312" w:eastAsia="仿宋_GB2312" w:cs="FZFSK--GBK1-0"/>
          <w:kern w:val="0"/>
          <w:sz w:val="32"/>
          <w:szCs w:val="30"/>
        </w:rPr>
        <w:t>号）、《中央预算内投资补助和贴息项目管理办法》（国家发展改革委令第</w:t>
      </w:r>
      <w:r>
        <w:rPr>
          <w:rFonts w:hint="eastAsia" w:ascii="仿宋_GB2312" w:eastAsia="仿宋_GB2312" w:cs="TimesNewRomanPSMT"/>
          <w:kern w:val="0"/>
          <w:sz w:val="32"/>
          <w:szCs w:val="30"/>
        </w:rPr>
        <w:t xml:space="preserve">45 </w:t>
      </w:r>
      <w:r>
        <w:rPr>
          <w:rFonts w:hint="eastAsia" w:ascii="仿宋_GB2312" w:eastAsia="仿宋_GB2312" w:cs="FZFSK--GBK1-0"/>
          <w:kern w:val="0"/>
          <w:sz w:val="32"/>
          <w:szCs w:val="30"/>
        </w:rPr>
        <w:t>号）、《中央预算内投资监督管理暂行办法》（发改投资〔</w:t>
      </w:r>
      <w:r>
        <w:rPr>
          <w:rFonts w:hint="eastAsia" w:ascii="仿宋_GB2312" w:eastAsia="仿宋_GB2312" w:cs="TimesNewRomanPSMT"/>
          <w:kern w:val="0"/>
          <w:sz w:val="32"/>
          <w:szCs w:val="30"/>
        </w:rPr>
        <w:t>2015</w:t>
      </w:r>
      <w:r>
        <w:rPr>
          <w:rFonts w:hint="eastAsia" w:ascii="仿宋_GB2312" w:eastAsia="仿宋_GB2312" w:cs="FZFSK--GBK1-0"/>
          <w:kern w:val="0"/>
          <w:sz w:val="32"/>
          <w:szCs w:val="30"/>
        </w:rPr>
        <w:t>〕</w:t>
      </w:r>
      <w:r>
        <w:rPr>
          <w:rFonts w:hint="eastAsia" w:ascii="仿宋_GB2312" w:eastAsia="仿宋_GB2312" w:cs="TimesNewRomanPSMT"/>
          <w:kern w:val="0"/>
          <w:sz w:val="32"/>
          <w:szCs w:val="30"/>
        </w:rPr>
        <w:t xml:space="preserve">525 </w:t>
      </w:r>
      <w:r>
        <w:rPr>
          <w:rFonts w:hint="eastAsia" w:ascii="仿宋_GB2312" w:eastAsia="仿宋_GB2312" w:cs="FZFSK--GBK1-0"/>
          <w:kern w:val="0"/>
          <w:sz w:val="32"/>
          <w:szCs w:val="30"/>
        </w:rPr>
        <w:t>号）等，制定本办法。</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HTK--GBK1-0"/>
          <w:kern w:val="0"/>
          <w:sz w:val="32"/>
          <w:szCs w:val="30"/>
        </w:rPr>
        <w:t xml:space="preserve">第二条  </w:t>
      </w:r>
      <w:r>
        <w:rPr>
          <w:rFonts w:hint="eastAsia" w:ascii="仿宋_GB2312" w:eastAsia="仿宋_GB2312" w:cs="FZFSK--GBK1-0"/>
          <w:kern w:val="0"/>
          <w:sz w:val="32"/>
          <w:szCs w:val="30"/>
        </w:rPr>
        <w:t>本办法适用于使用中央预算内投资的中西部和东北重点地区承接产业转移平台及设施建设。</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HTK--GBK1-0"/>
          <w:kern w:val="0"/>
          <w:sz w:val="32"/>
          <w:szCs w:val="30"/>
        </w:rPr>
        <w:t xml:space="preserve">第三条  </w:t>
      </w:r>
      <w:r>
        <w:rPr>
          <w:rFonts w:hint="eastAsia" w:ascii="仿宋_GB2312" w:eastAsia="仿宋_GB2312" w:cs="FZFSK--GBK1-0"/>
          <w:kern w:val="0"/>
          <w:sz w:val="32"/>
          <w:szCs w:val="30"/>
        </w:rPr>
        <w:t>本专项采取直接投资、资本金注入、投资补助等方式安排到项目。国家发展改革委对符合条件的项目予以支持，按项目下达投资计划。</w:t>
      </w:r>
    </w:p>
    <w:p>
      <w:pPr>
        <w:autoSpaceDE w:val="0"/>
        <w:autoSpaceDN w:val="0"/>
        <w:adjustRightInd w:val="0"/>
        <w:spacing w:beforeLines="100" w:afterLines="50" w:line="540" w:lineRule="exact"/>
        <w:jc w:val="center"/>
        <w:rPr>
          <w:rFonts w:ascii="黑体" w:hAnsi="黑体" w:eastAsia="黑体" w:cs="FZHTK--GBK1-0"/>
          <w:kern w:val="0"/>
          <w:sz w:val="32"/>
          <w:szCs w:val="30"/>
        </w:rPr>
      </w:pPr>
      <w:r>
        <w:rPr>
          <w:rFonts w:hint="eastAsia" w:ascii="黑体" w:hAnsi="黑体" w:eastAsia="黑体" w:cs="FZHTK--GBK1-0"/>
          <w:kern w:val="0"/>
          <w:sz w:val="32"/>
          <w:szCs w:val="30"/>
        </w:rPr>
        <w:t>第二章  安排范围和补助标准</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HTK--GBK1-0"/>
          <w:kern w:val="0"/>
          <w:sz w:val="32"/>
          <w:szCs w:val="30"/>
        </w:rPr>
        <w:t xml:space="preserve">第四条  </w:t>
      </w:r>
      <w:r>
        <w:rPr>
          <w:rFonts w:hint="eastAsia" w:ascii="仿宋_GB2312" w:eastAsia="仿宋_GB2312" w:cs="FZFSK--GBK1-0"/>
          <w:kern w:val="0"/>
          <w:sz w:val="32"/>
          <w:szCs w:val="30"/>
        </w:rPr>
        <w:t>本专项支持范围如下：</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FSK--GBK1-0"/>
          <w:kern w:val="0"/>
          <w:sz w:val="32"/>
          <w:szCs w:val="30"/>
        </w:rPr>
        <w:t>（一）中西部、东北地区国家级新区范围内的重点园区；</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FSK--GBK1-0"/>
          <w:kern w:val="0"/>
          <w:sz w:val="32"/>
          <w:szCs w:val="30"/>
        </w:rPr>
        <w:t>（二）国务院或国家发展改革委批复设立的承接产业转移示范区范围内的重点园区。</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HTK--GBK1-0"/>
          <w:kern w:val="0"/>
          <w:sz w:val="32"/>
          <w:szCs w:val="30"/>
        </w:rPr>
        <w:t xml:space="preserve">第五条  </w:t>
      </w:r>
      <w:r>
        <w:rPr>
          <w:rFonts w:hint="eastAsia" w:ascii="仿宋_GB2312" w:eastAsia="仿宋_GB2312" w:cs="FZFSK--GBK1-0"/>
          <w:kern w:val="0"/>
          <w:sz w:val="32"/>
          <w:szCs w:val="30"/>
        </w:rPr>
        <w:t>本专项主要支持园区基础设施项目、公共服务平台项目建设，提高重点地区承接产业转移能力，提升产业发展水平。重点支持方向包括：</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FSK--GBK1-0"/>
          <w:kern w:val="0"/>
          <w:sz w:val="32"/>
          <w:szCs w:val="30"/>
        </w:rPr>
        <w:t>（一）园区基础设施项目，主要包括园区内道路、桥梁、供热、供气、供排水、污水及垃圾处理等基础设施项目；</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FSK--GBK1-0"/>
          <w:kern w:val="0"/>
          <w:sz w:val="32"/>
          <w:szCs w:val="30"/>
        </w:rPr>
        <w:t>（二）公共服务平台项目，主要包括园区产业配套的产业孵化基地、检验检测中心等服务产业发展的支撑平台项目。</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HTK--GBK1-0"/>
          <w:kern w:val="0"/>
          <w:sz w:val="32"/>
          <w:szCs w:val="30"/>
        </w:rPr>
        <w:t xml:space="preserve">第六条  </w:t>
      </w:r>
      <w:r>
        <w:rPr>
          <w:rFonts w:hint="eastAsia" w:ascii="仿宋_GB2312" w:eastAsia="仿宋_GB2312" w:cs="FZFSK--GBK1-0"/>
          <w:kern w:val="0"/>
          <w:sz w:val="32"/>
          <w:szCs w:val="30"/>
        </w:rPr>
        <w:t>中部、西部和东北地区项目，中央预算内投资补助标准分别按照不超过项目总投资的</w:t>
      </w:r>
      <w:r>
        <w:rPr>
          <w:rFonts w:hint="eastAsia" w:ascii="仿宋_GB2312" w:eastAsia="仿宋_GB2312" w:cs="TimesNewRomanPSMT"/>
          <w:kern w:val="0"/>
          <w:sz w:val="32"/>
          <w:szCs w:val="30"/>
        </w:rPr>
        <w:t>30%</w:t>
      </w:r>
      <w:r>
        <w:rPr>
          <w:rFonts w:hint="eastAsia" w:ascii="仿宋_GB2312" w:eastAsia="仿宋_GB2312" w:cs="FZFSK--GBK1-0"/>
          <w:kern w:val="0"/>
          <w:sz w:val="32"/>
          <w:szCs w:val="30"/>
        </w:rPr>
        <w:t>、</w:t>
      </w:r>
      <w:r>
        <w:rPr>
          <w:rFonts w:hint="eastAsia" w:ascii="仿宋_GB2312" w:eastAsia="仿宋_GB2312" w:cs="TimesNewRomanPSMT"/>
          <w:kern w:val="0"/>
          <w:sz w:val="32"/>
          <w:szCs w:val="30"/>
        </w:rPr>
        <w:t>45%</w:t>
      </w:r>
      <w:r>
        <w:rPr>
          <w:rFonts w:hint="eastAsia" w:ascii="仿宋_GB2312" w:eastAsia="仿宋_GB2312" w:cs="FZFSK--GBK1-0"/>
          <w:kern w:val="0"/>
          <w:sz w:val="32"/>
          <w:szCs w:val="30"/>
        </w:rPr>
        <w:t>、</w:t>
      </w:r>
      <w:r>
        <w:rPr>
          <w:rFonts w:hint="eastAsia" w:ascii="仿宋_GB2312" w:eastAsia="仿宋_GB2312" w:cs="TimesNewRomanPSMT"/>
          <w:kern w:val="0"/>
          <w:sz w:val="32"/>
          <w:szCs w:val="30"/>
        </w:rPr>
        <w:t>45%</w:t>
      </w:r>
      <w:r>
        <w:rPr>
          <w:rFonts w:hint="eastAsia" w:ascii="仿宋_GB2312" w:eastAsia="仿宋_GB2312" w:cs="FZFSK--GBK1-0"/>
          <w:kern w:val="0"/>
          <w:sz w:val="32"/>
          <w:szCs w:val="30"/>
        </w:rPr>
        <w:t>控制。</w:t>
      </w:r>
    </w:p>
    <w:p>
      <w:pPr>
        <w:autoSpaceDE w:val="0"/>
        <w:autoSpaceDN w:val="0"/>
        <w:adjustRightInd w:val="0"/>
        <w:spacing w:beforeLines="100" w:afterLines="50" w:line="540" w:lineRule="exact"/>
        <w:jc w:val="center"/>
        <w:rPr>
          <w:rFonts w:ascii="黑体" w:hAnsi="黑体" w:eastAsia="黑体" w:cs="FZHTK--GBK1-0"/>
          <w:kern w:val="0"/>
          <w:sz w:val="32"/>
          <w:szCs w:val="30"/>
        </w:rPr>
      </w:pPr>
      <w:r>
        <w:rPr>
          <w:rFonts w:hint="eastAsia" w:ascii="黑体" w:hAnsi="黑体" w:eastAsia="黑体" w:cs="FZHTK--GBK1-0"/>
          <w:kern w:val="0"/>
          <w:sz w:val="32"/>
          <w:szCs w:val="30"/>
        </w:rPr>
        <w:t>第三章  资金申请和下达</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HTK--GBK1-0"/>
          <w:kern w:val="0"/>
          <w:sz w:val="32"/>
          <w:szCs w:val="30"/>
        </w:rPr>
        <w:t xml:space="preserve">第七条  </w:t>
      </w:r>
      <w:r>
        <w:rPr>
          <w:rFonts w:hint="eastAsia" w:ascii="仿宋_GB2312" w:eastAsia="仿宋_GB2312" w:cs="FZFSK--GBK1-0"/>
          <w:kern w:val="0"/>
          <w:sz w:val="32"/>
          <w:szCs w:val="30"/>
        </w:rPr>
        <w:t>国家发展改革委研究提出年度投资计划工作的总体要求，组织有关省级发展改革委申报年度投资，审核下达投资计划。有关省级发展改革委是年度投资计划的汇总申报、转发下达、组织实施和监管部门，依托重大建设项目库做好项目储备工作，编制项目三年滚动投资计划。持续动态更新储备项目信息，提高项目储备质量。</w:t>
      </w:r>
    </w:p>
    <w:p>
      <w:pPr>
        <w:autoSpaceDE w:val="0"/>
        <w:autoSpaceDN w:val="0"/>
        <w:adjustRightInd w:val="0"/>
        <w:spacing w:line="540" w:lineRule="exact"/>
        <w:ind w:firstLine="640" w:firstLineChars="200"/>
        <w:rPr>
          <w:rFonts w:ascii="仿宋_GB2312" w:eastAsia="仿宋_GB2312" w:cs="FZFSK--GBK1-0"/>
          <w:spacing w:val="-4"/>
          <w:kern w:val="0"/>
          <w:sz w:val="32"/>
          <w:szCs w:val="30"/>
        </w:rPr>
      </w:pPr>
      <w:r>
        <w:rPr>
          <w:rFonts w:hint="eastAsia" w:ascii="仿宋_GB2312" w:eastAsia="仿宋_GB2312" w:cs="FZHTK--GBK1-0"/>
          <w:kern w:val="0"/>
          <w:sz w:val="32"/>
          <w:szCs w:val="30"/>
        </w:rPr>
        <w:t xml:space="preserve">第八条  </w:t>
      </w:r>
      <w:r>
        <w:rPr>
          <w:rFonts w:hint="eastAsia" w:ascii="仿宋_GB2312" w:eastAsia="仿宋_GB2312" w:cs="FZFSK--GBK1-0"/>
          <w:kern w:val="0"/>
          <w:sz w:val="32"/>
          <w:szCs w:val="30"/>
        </w:rPr>
        <w:t>有关省级发展改革委按照国家投资管理规定，组织相关市县发展改革部门和相关单位申报项目，提交资金申请报告。项目</w:t>
      </w:r>
      <w:r>
        <w:rPr>
          <w:rFonts w:hint="eastAsia" w:ascii="仿宋_GB2312" w:eastAsia="仿宋_GB2312" w:cs="FZFSK--GBK1-0"/>
          <w:spacing w:val="-4"/>
          <w:kern w:val="0"/>
          <w:sz w:val="32"/>
          <w:szCs w:val="30"/>
        </w:rPr>
        <w:t>申报单位对申报材料的真实性负主体责任。有关省级发展改革委指导做好项目审批和规划选址、用地、用海等方面前期工作，确保投资计划下达后能够尽快执行，避免资金闲置。</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HTK--GBK1-0"/>
          <w:kern w:val="0"/>
          <w:sz w:val="32"/>
          <w:szCs w:val="30"/>
        </w:rPr>
        <w:t xml:space="preserve">第九条  </w:t>
      </w:r>
      <w:r>
        <w:rPr>
          <w:rFonts w:hint="eastAsia" w:ascii="仿宋_GB2312" w:eastAsia="仿宋_GB2312" w:cs="FZFSK--GBK1-0"/>
          <w:kern w:val="0"/>
          <w:sz w:val="32"/>
          <w:szCs w:val="30"/>
        </w:rPr>
        <w:t>有关省级发展改革委应当对资金申请报告的下列事项进行审核，并对审核结果和申报材料的真实性、合规性负责。</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FSK--GBK1-0"/>
          <w:kern w:val="0"/>
          <w:sz w:val="32"/>
          <w:szCs w:val="30"/>
        </w:rPr>
        <w:t>（一）符合专项的支持方向和相关要求；</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FSK--GBK1-0"/>
          <w:kern w:val="0"/>
          <w:sz w:val="32"/>
          <w:szCs w:val="30"/>
        </w:rPr>
        <w:t>（二）项目的主要建设条件基本落实，确保在申报资金当年度开工；</w:t>
      </w:r>
    </w:p>
    <w:p>
      <w:pPr>
        <w:autoSpaceDE w:val="0"/>
        <w:autoSpaceDN w:val="0"/>
        <w:adjustRightInd w:val="0"/>
        <w:spacing w:line="540" w:lineRule="exact"/>
        <w:ind w:firstLine="640" w:firstLineChars="200"/>
        <w:rPr>
          <w:rFonts w:ascii="仿宋_GB2312" w:eastAsia="仿宋_GB2312" w:cs="FZFSK--GBK1-0"/>
          <w:spacing w:val="-6"/>
          <w:kern w:val="0"/>
          <w:sz w:val="32"/>
          <w:szCs w:val="30"/>
        </w:rPr>
      </w:pPr>
      <w:r>
        <w:rPr>
          <w:rFonts w:hint="eastAsia" w:ascii="仿宋_GB2312" w:eastAsia="仿宋_GB2312" w:cs="FZFSK--GBK1-0"/>
          <w:kern w:val="0"/>
          <w:sz w:val="32"/>
          <w:szCs w:val="30"/>
        </w:rPr>
        <w:t>（三）</w:t>
      </w:r>
      <w:r>
        <w:rPr>
          <w:rFonts w:hint="eastAsia" w:ascii="仿宋_GB2312" w:eastAsia="仿宋_GB2312" w:cs="FZFSK--GBK1-0"/>
          <w:spacing w:val="-6"/>
          <w:kern w:val="0"/>
          <w:sz w:val="32"/>
          <w:szCs w:val="30"/>
        </w:rPr>
        <w:t>已纳入重大建设项目库，并列入三年滚动投资计划；</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FSK--GBK1-0"/>
          <w:kern w:val="0"/>
          <w:sz w:val="32"/>
          <w:szCs w:val="30"/>
        </w:rPr>
        <w:t>（四）未申请、使用国家发展改革委其他专项中央预算内投资或其他中央资金（前期费除外）；</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FSK--GBK1-0"/>
          <w:kern w:val="0"/>
          <w:sz w:val="32"/>
          <w:szCs w:val="30"/>
        </w:rPr>
        <w:t>（五）</w:t>
      </w:r>
      <w:r>
        <w:rPr>
          <w:rFonts w:hint="eastAsia" w:ascii="仿宋_GB2312" w:eastAsia="仿宋_GB2312" w:cs="FZFSK--GBK1-0"/>
          <w:spacing w:val="-6"/>
          <w:kern w:val="0"/>
          <w:sz w:val="32"/>
          <w:szCs w:val="30"/>
        </w:rPr>
        <w:t>项目（法人）单位未被列入失信联合惩戒对象名单；</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FSK--GBK1-0"/>
          <w:kern w:val="0"/>
          <w:sz w:val="32"/>
          <w:szCs w:val="30"/>
        </w:rPr>
        <w:t>（六）项目建设符合地方财政承受能力和政府投资能力，不会造成地方政府隐性债务；</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FSK--GBK1-0"/>
          <w:kern w:val="0"/>
          <w:sz w:val="32"/>
          <w:szCs w:val="30"/>
        </w:rPr>
        <w:t>（七）符合法律法规等要求的其他条件。</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HTK--GBK1-0"/>
          <w:kern w:val="0"/>
          <w:sz w:val="32"/>
          <w:szCs w:val="30"/>
        </w:rPr>
        <w:t xml:space="preserve">第十条  </w:t>
      </w:r>
      <w:r>
        <w:rPr>
          <w:rFonts w:hint="eastAsia" w:ascii="仿宋_GB2312" w:eastAsia="仿宋_GB2312" w:cs="FZFSK--GBK1-0"/>
          <w:kern w:val="0"/>
          <w:sz w:val="32"/>
          <w:szCs w:val="30"/>
        </w:rPr>
        <w:t>有关省级发展改革委按照国家发展改革委组织编制中央预算内投资计划的通知要求，根据重大建设项目库有关项目储备和审核情况，合理提出拟申请下一年度中央预算内投资项目，根据项目性质提出每个项目的拟安排方式（直接投资、资本金注入或投资补助），按国家级新区、承接产业转移示范区两个方向报送年度投资计划申请报告和资金申请报告。建议安排的项目应当同步报送至重大建设项目库年度投资计划申报区。</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FSK--GBK1-0"/>
          <w:kern w:val="0"/>
          <w:sz w:val="32"/>
          <w:szCs w:val="30"/>
        </w:rPr>
        <w:t>同时，按照《中共中央国务院关于全面实施预算绩效管理的意见》（中发〔</w:t>
      </w:r>
      <w:r>
        <w:rPr>
          <w:rFonts w:hint="eastAsia" w:ascii="仿宋_GB2312" w:eastAsia="仿宋_GB2312" w:cs="TimesNewRomanPSMT"/>
          <w:kern w:val="0"/>
          <w:sz w:val="32"/>
          <w:szCs w:val="30"/>
        </w:rPr>
        <w:t>2018</w:t>
      </w:r>
      <w:r>
        <w:rPr>
          <w:rFonts w:hint="eastAsia" w:ascii="仿宋_GB2312" w:eastAsia="仿宋_GB2312" w:cs="FZFSK--GBK1-0"/>
          <w:kern w:val="0"/>
          <w:sz w:val="32"/>
          <w:szCs w:val="30"/>
        </w:rPr>
        <w:t>〕</w:t>
      </w:r>
      <w:r>
        <w:rPr>
          <w:rFonts w:hint="eastAsia" w:ascii="仿宋_GB2312" w:eastAsia="仿宋_GB2312" w:cs="TimesNewRomanPSMT"/>
          <w:kern w:val="0"/>
          <w:sz w:val="32"/>
          <w:szCs w:val="30"/>
        </w:rPr>
        <w:t xml:space="preserve">34 </w:t>
      </w:r>
      <w:r>
        <w:rPr>
          <w:rFonts w:hint="eastAsia" w:ascii="仿宋_GB2312" w:eastAsia="仿宋_GB2312" w:cs="FZFSK--GBK1-0"/>
          <w:kern w:val="0"/>
          <w:sz w:val="32"/>
          <w:szCs w:val="30"/>
        </w:rPr>
        <w:t>号）和《关于加强中央预算内投资绩效管理有关工作的通知》（发改投资〔</w:t>
      </w:r>
      <w:r>
        <w:rPr>
          <w:rFonts w:hint="eastAsia" w:ascii="仿宋_GB2312" w:eastAsia="仿宋_GB2312" w:cs="TimesNewRomanPSMT"/>
          <w:kern w:val="0"/>
          <w:sz w:val="32"/>
          <w:szCs w:val="30"/>
        </w:rPr>
        <w:t>2019</w:t>
      </w:r>
      <w:r>
        <w:rPr>
          <w:rFonts w:hint="eastAsia" w:ascii="仿宋_GB2312" w:eastAsia="仿宋_GB2312" w:cs="FZFSK--GBK1-0"/>
          <w:kern w:val="0"/>
          <w:sz w:val="32"/>
          <w:szCs w:val="30"/>
        </w:rPr>
        <w:t>〕</w:t>
      </w:r>
      <w:r>
        <w:rPr>
          <w:rFonts w:hint="eastAsia" w:ascii="仿宋_GB2312" w:eastAsia="仿宋_GB2312" w:cs="TimesNewRomanPSMT"/>
          <w:kern w:val="0"/>
          <w:sz w:val="32"/>
          <w:szCs w:val="30"/>
        </w:rPr>
        <w:t xml:space="preserve">220 </w:t>
      </w:r>
      <w:r>
        <w:rPr>
          <w:rFonts w:hint="eastAsia" w:ascii="仿宋_GB2312" w:eastAsia="仿宋_GB2312" w:cs="FZFSK--GBK1-0"/>
          <w:kern w:val="0"/>
          <w:sz w:val="32"/>
          <w:szCs w:val="30"/>
        </w:rPr>
        <w:t>号）的要求，组织做好中央预算内投资绩效申报工作，填报专项投资计划绩效目标，随年度投资计划申请报告一并申报。</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HTK--GBK1-0"/>
          <w:kern w:val="0"/>
          <w:sz w:val="32"/>
          <w:szCs w:val="30"/>
        </w:rPr>
        <w:t xml:space="preserve">第十一条  </w:t>
      </w:r>
      <w:r>
        <w:rPr>
          <w:rFonts w:hint="eastAsia" w:ascii="仿宋_GB2312" w:eastAsia="仿宋_GB2312" w:cs="FZFSK--GBK1-0"/>
          <w:kern w:val="0"/>
          <w:sz w:val="32"/>
          <w:szCs w:val="30"/>
        </w:rPr>
        <w:t>国家发展改革委受理资金申请报告后，视情况对相关事项进行审查。根据地方报送的年度投资计划申请报告，同步下达年度投资计划和绩效目标，明确建设任务、补助投资规模、资金安排方式，一并批复资金申请报告。</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HTK--GBK1-0"/>
          <w:kern w:val="0"/>
          <w:sz w:val="32"/>
          <w:szCs w:val="30"/>
        </w:rPr>
        <w:t xml:space="preserve">第十二条  </w:t>
      </w:r>
      <w:r>
        <w:rPr>
          <w:rFonts w:hint="eastAsia" w:ascii="仿宋_GB2312" w:eastAsia="仿宋_GB2312" w:cs="FZFSK--GBK1-0"/>
          <w:kern w:val="0"/>
          <w:sz w:val="32"/>
          <w:szCs w:val="30"/>
        </w:rPr>
        <w:t>有关省级发展改革委在收到投资计划下达文件后，在</w:t>
      </w:r>
      <w:r>
        <w:rPr>
          <w:rFonts w:hint="eastAsia" w:ascii="仿宋_GB2312" w:eastAsia="仿宋_GB2312" w:cs="TimesNewRomanPSMT"/>
          <w:kern w:val="0"/>
          <w:sz w:val="32"/>
          <w:szCs w:val="30"/>
        </w:rPr>
        <w:t xml:space="preserve">10 </w:t>
      </w:r>
      <w:r>
        <w:rPr>
          <w:rFonts w:hint="eastAsia" w:ascii="仿宋_GB2312" w:eastAsia="仿宋_GB2312" w:cs="FZFSK--GBK1-0"/>
          <w:kern w:val="0"/>
          <w:sz w:val="32"/>
          <w:szCs w:val="30"/>
        </w:rPr>
        <w:t>个工作日内转发下达，同时下达具体项目绩效目标。</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FSK--GBK1-0"/>
          <w:kern w:val="0"/>
          <w:sz w:val="32"/>
          <w:szCs w:val="30"/>
        </w:rPr>
        <w:t>有关省级发展改革委要加强财力统筹，及时足额落实和到位地方建设资金，严格落实国家在贫困地区安排的公益性建设项目取消县级和西部连片特困地区地市级建设资金的政策，除中央预算内补助投资外，切实落实省市级建设资金，确保项目地方投资及时到位。</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HTK--GBK1-0"/>
          <w:kern w:val="0"/>
          <w:sz w:val="32"/>
          <w:szCs w:val="30"/>
        </w:rPr>
        <w:t xml:space="preserve">第十三条  </w:t>
      </w:r>
      <w:r>
        <w:rPr>
          <w:rFonts w:hint="eastAsia" w:ascii="仿宋_GB2312" w:eastAsia="仿宋_GB2312" w:cs="FZFSK--GBK1-0"/>
          <w:kern w:val="0"/>
          <w:sz w:val="32"/>
          <w:szCs w:val="30"/>
        </w:rPr>
        <w:t>年度投资计划下达后，原则上不得擅自调整。确实无法按原计划实施、需在该专项内进行投资计划调整的，应当按照投资计划调整、存量资金调整的有关规定及时调整。</w:t>
      </w:r>
    </w:p>
    <w:p>
      <w:pPr>
        <w:autoSpaceDE w:val="0"/>
        <w:autoSpaceDN w:val="0"/>
        <w:adjustRightInd w:val="0"/>
        <w:spacing w:beforeLines="100" w:afterLines="50" w:line="540" w:lineRule="exact"/>
        <w:jc w:val="center"/>
        <w:rPr>
          <w:rFonts w:ascii="黑体" w:hAnsi="黑体" w:eastAsia="黑体" w:cs="FZHTK--GBK1-0"/>
          <w:kern w:val="0"/>
          <w:sz w:val="32"/>
          <w:szCs w:val="30"/>
        </w:rPr>
      </w:pPr>
      <w:r>
        <w:rPr>
          <w:rFonts w:hint="eastAsia" w:ascii="黑体" w:hAnsi="黑体" w:eastAsia="黑体" w:cs="FZHTK--GBK1-0"/>
          <w:kern w:val="0"/>
          <w:sz w:val="32"/>
          <w:szCs w:val="30"/>
        </w:rPr>
        <w:t>第四章项目实施管理和监督检查</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HTK--GBK1-0"/>
          <w:kern w:val="0"/>
          <w:sz w:val="32"/>
          <w:szCs w:val="30"/>
        </w:rPr>
        <w:t xml:space="preserve">第十四条  </w:t>
      </w:r>
      <w:r>
        <w:rPr>
          <w:rFonts w:hint="eastAsia" w:ascii="仿宋_GB2312" w:eastAsia="仿宋_GB2312" w:cs="FZFSK--GBK1-0"/>
          <w:kern w:val="0"/>
          <w:sz w:val="32"/>
          <w:szCs w:val="30"/>
        </w:rPr>
        <w:t>项目管理执行项目法人责任制、招标投标制、合同制和监理制，以及中央预算内投资相关财务管理的有关规定。</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FSK--GBK1-0"/>
          <w:kern w:val="0"/>
          <w:sz w:val="32"/>
          <w:szCs w:val="30"/>
        </w:rPr>
        <w:t>对于专项投资，应当做到独立核算、专款专用，严禁滞留、挤占、截留或挪用。</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HTK--GBK1-0"/>
          <w:kern w:val="0"/>
          <w:sz w:val="32"/>
          <w:szCs w:val="30"/>
        </w:rPr>
        <w:t xml:space="preserve">第十五条  </w:t>
      </w:r>
      <w:r>
        <w:rPr>
          <w:rFonts w:hint="eastAsia" w:ascii="仿宋_GB2312" w:eastAsia="仿宋_GB2312" w:cs="FZFSK--GBK1-0"/>
          <w:kern w:val="0"/>
          <w:sz w:val="32"/>
          <w:szCs w:val="30"/>
        </w:rPr>
        <w:t>项目单位作为年度投资计划申报和执行，以及项目建设和管理的责任主体，应当严格履行项目审批程序，落实建设资金，严格按照规定履行报建手续，并按照批复建设内容、规模和工期组织建设。项目完工后，及时按照有关规定做好竣工验收工作。加强项目审批和实施过程中的有关文件、资料档案管理。主动接受并配合相关部门做好审查，如实提供项目相关文件资料和情况。</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HTK--GBK1-0"/>
          <w:kern w:val="0"/>
          <w:sz w:val="32"/>
          <w:szCs w:val="30"/>
        </w:rPr>
        <w:t xml:space="preserve">第十六条  </w:t>
      </w:r>
      <w:r>
        <w:rPr>
          <w:rFonts w:hint="eastAsia" w:ascii="仿宋_GB2312" w:eastAsia="仿宋_GB2312" w:cs="FZFSK--GBK1-0"/>
          <w:kern w:val="0"/>
          <w:sz w:val="32"/>
          <w:szCs w:val="30"/>
        </w:rPr>
        <w:t>项目日常监管直接责任单位及监管责任人对项目申报、建设管理、信息报送等履行日常监管直接责任。项目单位应当自觉接受审计、监察等部门的监督检查，保证中央预算内投资的合理使用和项目顺利实施。</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HTK--GBK1-0"/>
          <w:kern w:val="0"/>
          <w:sz w:val="32"/>
          <w:szCs w:val="30"/>
        </w:rPr>
        <w:t xml:space="preserve">第十七条  </w:t>
      </w:r>
      <w:r>
        <w:rPr>
          <w:rFonts w:hint="eastAsia" w:ascii="仿宋_GB2312" w:eastAsia="仿宋_GB2312" w:cs="FZFSK--GBK1-0"/>
          <w:kern w:val="0"/>
          <w:sz w:val="32"/>
          <w:szCs w:val="30"/>
        </w:rPr>
        <w:t>有关省级发展改革委制定项目监管方案并向国家发展改革委备案，加强项目实施过程的调度跟踪和绩效评价，组织市县和新区发展改革部门督促有关方面于每月</w:t>
      </w:r>
      <w:r>
        <w:rPr>
          <w:rFonts w:hint="eastAsia" w:ascii="仿宋_GB2312" w:eastAsia="仿宋_GB2312" w:cs="TimesNewRomanPSMT"/>
          <w:kern w:val="0"/>
          <w:sz w:val="32"/>
          <w:szCs w:val="30"/>
        </w:rPr>
        <w:t xml:space="preserve">10 </w:t>
      </w:r>
      <w:r>
        <w:rPr>
          <w:rFonts w:hint="eastAsia" w:ascii="仿宋_GB2312" w:eastAsia="仿宋_GB2312" w:cs="FZFSK--GBK1-0"/>
          <w:kern w:val="0"/>
          <w:sz w:val="32"/>
          <w:szCs w:val="30"/>
        </w:rPr>
        <w:t>日前，如实将项目建设进展等情况，通过重大建设项目库报送国家发展改革委，并于下年初报送年度计划评价结果。会同有关部门，依据职责分工加强监管，督促项目单位规范资金使用与管理，保障政府投资资金的合理使用和项目顺利建设实施。每年末省级发展改革委将本年度内监管及整改落实情况报国家发展改革委。</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HTK--GBK1-0"/>
          <w:kern w:val="0"/>
          <w:sz w:val="32"/>
          <w:szCs w:val="30"/>
        </w:rPr>
        <w:t xml:space="preserve">第十八条  </w:t>
      </w:r>
      <w:r>
        <w:rPr>
          <w:rFonts w:hint="eastAsia" w:ascii="仿宋_GB2312" w:eastAsia="仿宋_GB2312" w:cs="FZFSK--GBK1-0"/>
          <w:kern w:val="0"/>
          <w:sz w:val="32"/>
          <w:szCs w:val="30"/>
        </w:rPr>
        <w:t>市县发展改革部门采取督促自查、现场督导等多种方式开展项目检查。定期对项目开展调度，并督促项目单位填报重大建设项目库数据。</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HTK--GBK1-0"/>
          <w:kern w:val="0"/>
          <w:sz w:val="32"/>
          <w:szCs w:val="30"/>
        </w:rPr>
        <w:t xml:space="preserve">第十九条  </w:t>
      </w:r>
      <w:r>
        <w:rPr>
          <w:rFonts w:hint="eastAsia" w:ascii="仿宋_GB2312" w:eastAsia="仿宋_GB2312" w:cs="FZFSK--GBK1-0"/>
          <w:kern w:val="0"/>
          <w:sz w:val="32"/>
          <w:szCs w:val="30"/>
        </w:rPr>
        <w:t>国家发展改革委在日常监测过程中督促相关方面做好重大建设项目库数据调度和数据填报工作，扎实提高数据质量，及时掌握中央预算内投资计划执行和项目实施进展情况，持续开展日常监测，对发现的问题严格按照有关法律法规及相关规定进行处理。年末对投资计划执行情况进行总结，视情况开展评估督导，将结果作为后续安排的参考依据。</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HTK--GBK1-0"/>
          <w:kern w:val="0"/>
          <w:sz w:val="32"/>
          <w:szCs w:val="30"/>
        </w:rPr>
        <w:t xml:space="preserve">第二十条  </w:t>
      </w:r>
      <w:r>
        <w:rPr>
          <w:rFonts w:hint="eastAsia" w:ascii="仿宋_GB2312" w:eastAsia="仿宋_GB2312" w:cs="FZFSK--GBK1-0"/>
          <w:kern w:val="0"/>
          <w:sz w:val="32"/>
          <w:szCs w:val="30"/>
        </w:rPr>
        <w:t>对出现下列情形之一的项目，责令其限期整改，核减、收回</w:t>
      </w:r>
      <w:r>
        <w:rPr>
          <w:rFonts w:hint="eastAsia" w:ascii="仿宋_GB2312" w:eastAsia="仿宋_GB2312" w:cs="FZFSK--GBK1-0"/>
          <w:spacing w:val="-6"/>
          <w:kern w:val="0"/>
          <w:sz w:val="32"/>
          <w:szCs w:val="30"/>
        </w:rPr>
        <w:t>或者停止拨付中央预算内投资，并视情节轻重提请或移交有关机关依法追究有关责任人的行政或者法律责任。</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FSK--GBK1-0"/>
          <w:kern w:val="0"/>
          <w:sz w:val="32"/>
          <w:szCs w:val="30"/>
        </w:rPr>
        <w:t>（一）提供虚假情况，骗取中央预算内投资的；</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FSK--GBK1-0"/>
          <w:kern w:val="0"/>
          <w:sz w:val="32"/>
          <w:szCs w:val="30"/>
        </w:rPr>
        <w:t>（二）违反规定程序或原则要求下达投资计划或安排项目的；</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FSK--GBK1-0"/>
          <w:kern w:val="0"/>
          <w:sz w:val="32"/>
          <w:szCs w:val="30"/>
        </w:rPr>
        <w:t>（三）擅自变更建设规模、内容和建设标准的；</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FSK--GBK1-0"/>
          <w:kern w:val="0"/>
          <w:sz w:val="32"/>
          <w:szCs w:val="30"/>
        </w:rPr>
        <w:t>（四）拖欠、截留、挪用、挤占、骗取、贪污中央预算内投资的；</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FSK--GBK1-0"/>
          <w:kern w:val="0"/>
          <w:sz w:val="32"/>
          <w:szCs w:val="30"/>
        </w:rPr>
        <w:t>（五）无正当理由未及时建设实施的；</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FSK--GBK1-0"/>
          <w:kern w:val="0"/>
          <w:sz w:val="32"/>
          <w:szCs w:val="30"/>
        </w:rPr>
        <w:t>（六）拒不接受依法进行的审计或者监督检查的；</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FSK--GBK1-0"/>
          <w:kern w:val="0"/>
          <w:sz w:val="32"/>
          <w:szCs w:val="30"/>
        </w:rPr>
        <w:t>（七）未按要求通过在线平台报告相关项目信息的；</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FSK--GBK1-0"/>
          <w:kern w:val="0"/>
          <w:sz w:val="32"/>
          <w:szCs w:val="30"/>
        </w:rPr>
        <w:t>（八）其他违反国家法律法规和本办法规定的行为。</w:t>
      </w:r>
    </w:p>
    <w:p>
      <w:pPr>
        <w:autoSpaceDE w:val="0"/>
        <w:autoSpaceDN w:val="0"/>
        <w:adjustRightInd w:val="0"/>
        <w:spacing w:beforeLines="100" w:afterLines="50" w:line="540" w:lineRule="exact"/>
        <w:jc w:val="center"/>
        <w:rPr>
          <w:rFonts w:ascii="黑体" w:hAnsi="黑体" w:eastAsia="黑体" w:cs="FZHTK--GBK1-0"/>
          <w:kern w:val="0"/>
          <w:sz w:val="32"/>
          <w:szCs w:val="30"/>
        </w:rPr>
      </w:pPr>
      <w:r>
        <w:rPr>
          <w:rFonts w:hint="eastAsia" w:ascii="黑体" w:hAnsi="黑体" w:eastAsia="黑体" w:cs="FZHTK--GBK1-0"/>
          <w:kern w:val="0"/>
          <w:sz w:val="32"/>
          <w:szCs w:val="30"/>
        </w:rPr>
        <w:t>第五章  附  则</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HTK--GBK1-0"/>
          <w:kern w:val="0"/>
          <w:sz w:val="32"/>
          <w:szCs w:val="30"/>
        </w:rPr>
        <w:t xml:space="preserve">第二十一条  </w:t>
      </w:r>
      <w:r>
        <w:rPr>
          <w:rFonts w:hint="eastAsia" w:ascii="仿宋_GB2312" w:eastAsia="仿宋_GB2312" w:cs="FZFSK--GBK1-0"/>
          <w:kern w:val="0"/>
          <w:sz w:val="32"/>
          <w:szCs w:val="30"/>
        </w:rPr>
        <w:t xml:space="preserve">有关省级发展改革委可根据办法制定省级项目管理细则。 </w:t>
      </w:r>
    </w:p>
    <w:p>
      <w:pPr>
        <w:autoSpaceDE w:val="0"/>
        <w:autoSpaceDN w:val="0"/>
        <w:adjustRightInd w:val="0"/>
        <w:spacing w:line="540" w:lineRule="exact"/>
        <w:ind w:firstLine="640" w:firstLineChars="200"/>
        <w:rPr>
          <w:rFonts w:ascii="仿宋_GB2312" w:eastAsia="仿宋_GB2312" w:cs="FZFSK--GBK1-0"/>
          <w:kern w:val="0"/>
          <w:sz w:val="32"/>
          <w:szCs w:val="30"/>
        </w:rPr>
      </w:pPr>
      <w:r>
        <w:rPr>
          <w:rFonts w:hint="eastAsia" w:ascii="仿宋_GB2312" w:eastAsia="仿宋_GB2312" w:cs="FZHTK--GBK1-0"/>
          <w:kern w:val="0"/>
          <w:sz w:val="32"/>
          <w:szCs w:val="30"/>
        </w:rPr>
        <w:t xml:space="preserve">第二十二条  </w:t>
      </w:r>
      <w:r>
        <w:rPr>
          <w:rFonts w:hint="eastAsia" w:ascii="仿宋_GB2312" w:eastAsia="仿宋_GB2312" w:cs="FZFSK--GBK1-0"/>
          <w:kern w:val="0"/>
          <w:sz w:val="32"/>
          <w:szCs w:val="30"/>
        </w:rPr>
        <w:t>本办法由国家发展改革委负责解释。</w:t>
      </w:r>
    </w:p>
    <w:p>
      <w:pPr>
        <w:autoSpaceDE w:val="0"/>
        <w:autoSpaceDN w:val="0"/>
        <w:adjustRightInd w:val="0"/>
        <w:spacing w:line="540" w:lineRule="exact"/>
        <w:ind w:firstLine="640" w:firstLineChars="200"/>
        <w:rPr>
          <w:rFonts w:hint="eastAsia" w:ascii="仿宋_GB2312" w:eastAsia="仿宋_GB2312" w:cs="FZFSK--GBK1-0"/>
          <w:kern w:val="0"/>
          <w:sz w:val="32"/>
          <w:szCs w:val="30"/>
        </w:rPr>
      </w:pPr>
      <w:r>
        <w:rPr>
          <w:rFonts w:hint="eastAsia" w:ascii="仿宋_GB2312" w:eastAsia="仿宋_GB2312" w:cs="FZHTK--GBK1-0"/>
          <w:kern w:val="0"/>
          <w:sz w:val="32"/>
          <w:szCs w:val="30"/>
        </w:rPr>
        <w:t xml:space="preserve">第二十三条  </w:t>
      </w:r>
      <w:r>
        <w:rPr>
          <w:rFonts w:hint="eastAsia" w:ascii="仿宋_GB2312" w:eastAsia="仿宋_GB2312" w:cs="FZFSK--GBK1-0"/>
          <w:kern w:val="0"/>
          <w:sz w:val="32"/>
          <w:szCs w:val="30"/>
        </w:rPr>
        <w:t>本办法自发布之日起施行，有效期至</w:t>
      </w:r>
      <w:r>
        <w:rPr>
          <w:rFonts w:hint="eastAsia" w:ascii="仿宋_GB2312" w:eastAsia="仿宋_GB2312" w:cs="TimesNewRomanPSMT"/>
          <w:kern w:val="0"/>
          <w:sz w:val="32"/>
          <w:szCs w:val="30"/>
        </w:rPr>
        <w:t>2024</w:t>
      </w:r>
      <w:r>
        <w:rPr>
          <w:rFonts w:hint="eastAsia" w:ascii="仿宋_GB2312" w:eastAsia="仿宋_GB2312" w:cs="FZFSK--GBK1-0"/>
          <w:kern w:val="0"/>
          <w:sz w:val="32"/>
          <w:szCs w:val="30"/>
        </w:rPr>
        <w:t>年</w:t>
      </w:r>
      <w:r>
        <w:rPr>
          <w:rFonts w:hint="eastAsia" w:ascii="仿宋_GB2312" w:eastAsia="仿宋_GB2312" w:cs="TimesNewRomanPSMT"/>
          <w:kern w:val="0"/>
          <w:sz w:val="32"/>
          <w:szCs w:val="30"/>
        </w:rPr>
        <w:t>12</w:t>
      </w:r>
      <w:r>
        <w:rPr>
          <w:rFonts w:hint="eastAsia" w:ascii="仿宋_GB2312" w:eastAsia="仿宋_GB2312" w:cs="FZFSK--GBK1-0"/>
          <w:kern w:val="0"/>
          <w:sz w:val="32"/>
          <w:szCs w:val="30"/>
        </w:rPr>
        <w:t>月</w:t>
      </w:r>
      <w:r>
        <w:rPr>
          <w:rFonts w:hint="eastAsia" w:ascii="仿宋_GB2312" w:eastAsia="仿宋_GB2312" w:cs="TimesNewRomanPSMT"/>
          <w:kern w:val="0"/>
          <w:sz w:val="32"/>
          <w:szCs w:val="30"/>
        </w:rPr>
        <w:t xml:space="preserve">31 </w:t>
      </w:r>
      <w:r>
        <w:rPr>
          <w:rFonts w:hint="eastAsia" w:ascii="仿宋_GB2312" w:eastAsia="仿宋_GB2312" w:cs="FZFSK--GBK1-0"/>
          <w:kern w:val="0"/>
          <w:sz w:val="32"/>
          <w:szCs w:val="30"/>
        </w:rPr>
        <w:t>日。</w:t>
      </w:r>
    </w:p>
    <w:p>
      <w:pPr>
        <w:widowControl/>
        <w:jc w:val="left"/>
        <w:rPr>
          <w:rFonts w:ascii="仿宋_GB2312" w:eastAsia="仿宋_GB2312" w:cs="FZFSK--GBK1-0"/>
          <w:kern w:val="0"/>
          <w:sz w:val="32"/>
          <w:szCs w:val="30"/>
        </w:rPr>
      </w:pPr>
      <w:r>
        <w:rPr>
          <w:rFonts w:ascii="仿宋_GB2312" w:eastAsia="仿宋_GB2312" w:cs="FZFSK--GBK1-0"/>
          <w:kern w:val="0"/>
          <w:sz w:val="32"/>
          <w:szCs w:val="30"/>
        </w:rPr>
        <w:br w:type="page"/>
      </w:r>
    </w:p>
    <w:p>
      <w:pPr>
        <w:autoSpaceDE w:val="0"/>
        <w:autoSpaceDN w:val="0"/>
        <w:adjustRightInd w:val="0"/>
        <w:spacing w:line="540" w:lineRule="exact"/>
        <w:ind w:firstLine="800" w:firstLineChars="200"/>
        <w:rPr>
          <w:rFonts w:hint="eastAsia" w:ascii="方正小标宋简体" w:eastAsia="方正小标宋简体"/>
          <w:sz w:val="40"/>
        </w:rPr>
      </w:pPr>
    </w:p>
    <w:p>
      <w:pPr>
        <w:spacing w:line="560" w:lineRule="exact"/>
        <w:jc w:val="center"/>
        <w:rPr>
          <w:rFonts w:ascii="方正小标宋简体" w:eastAsia="方正小标宋简体"/>
          <w:sz w:val="44"/>
        </w:rPr>
      </w:pPr>
      <w:r>
        <w:rPr>
          <w:rFonts w:hint="eastAsia" w:ascii="方正小标宋简体" w:eastAsia="方正小标宋简体"/>
          <w:sz w:val="44"/>
        </w:rPr>
        <w:t>国务院办公厅关于应对新冠肺炎疫情影响</w:t>
      </w:r>
    </w:p>
    <w:p>
      <w:pPr>
        <w:spacing w:line="560" w:lineRule="exact"/>
        <w:jc w:val="center"/>
        <w:rPr>
          <w:rFonts w:ascii="方正小标宋简体" w:eastAsia="方正小标宋简体"/>
          <w:sz w:val="44"/>
        </w:rPr>
      </w:pPr>
      <w:r>
        <w:rPr>
          <w:rFonts w:hint="eastAsia" w:ascii="方正小标宋简体" w:eastAsia="方正小标宋简体"/>
          <w:sz w:val="44"/>
        </w:rPr>
        <w:t>强化稳就业举措的实施意见</w:t>
      </w:r>
    </w:p>
    <w:p>
      <w:pPr>
        <w:spacing w:beforeLines="50" w:line="560" w:lineRule="exact"/>
        <w:jc w:val="center"/>
        <w:rPr>
          <w:rFonts w:hint="eastAsia" w:ascii="楷体_GB2312" w:eastAsia="楷体_GB2312"/>
          <w:sz w:val="32"/>
        </w:rPr>
      </w:pPr>
      <w:r>
        <w:rPr>
          <w:rFonts w:hint="eastAsia" w:ascii="楷体_GB2312" w:eastAsia="楷体_GB2312"/>
          <w:sz w:val="32"/>
        </w:rPr>
        <w:t>国办发〔2020〕6号</w:t>
      </w:r>
    </w:p>
    <w:p>
      <w:pPr>
        <w:spacing w:line="560" w:lineRule="exact"/>
        <w:rPr>
          <w:rFonts w:ascii="仿宋_GB2312" w:eastAsia="仿宋_GB2312"/>
          <w:sz w:val="32"/>
        </w:rPr>
      </w:pPr>
    </w:p>
    <w:p>
      <w:pPr>
        <w:spacing w:line="560" w:lineRule="exact"/>
        <w:rPr>
          <w:rFonts w:ascii="仿宋_GB2312" w:eastAsia="仿宋_GB2312"/>
          <w:sz w:val="32"/>
        </w:rPr>
      </w:pPr>
      <w:r>
        <w:rPr>
          <w:rFonts w:hint="eastAsia" w:ascii="仿宋_GB2312" w:eastAsia="仿宋_GB2312"/>
          <w:sz w:val="32"/>
        </w:rPr>
        <w:t>各省、自治区、直辖市人民政府，国务院各部委、各直属机构：</w:t>
      </w:r>
    </w:p>
    <w:p>
      <w:pPr>
        <w:spacing w:line="560" w:lineRule="exact"/>
        <w:ind w:firstLine="640" w:firstLineChars="200"/>
        <w:rPr>
          <w:rFonts w:ascii="仿宋_GB2312" w:eastAsia="仿宋_GB2312"/>
          <w:sz w:val="32"/>
        </w:rPr>
      </w:pPr>
      <w:r>
        <w:rPr>
          <w:rFonts w:hint="eastAsia" w:ascii="仿宋_GB2312" w:eastAsia="仿宋_GB2312"/>
          <w:sz w:val="32"/>
        </w:rPr>
        <w:t>为深入贯彻习近平总书记关于统筹推进新冠肺炎疫情防控和经济社会发展工作的重要指示精神，加快恢复和稳定就业，经国务院同意，现提出如下意见：</w:t>
      </w:r>
    </w:p>
    <w:p>
      <w:pPr>
        <w:spacing w:line="560" w:lineRule="exact"/>
        <w:ind w:firstLine="640" w:firstLineChars="200"/>
        <w:rPr>
          <w:rFonts w:ascii="黑体" w:hAnsi="黑体" w:eastAsia="黑体"/>
          <w:sz w:val="32"/>
        </w:rPr>
      </w:pPr>
      <w:r>
        <w:rPr>
          <w:rFonts w:hint="eastAsia" w:ascii="黑体" w:hAnsi="黑体" w:eastAsia="黑体"/>
          <w:sz w:val="32"/>
        </w:rPr>
        <w:t>一、更好实施就业优先政策</w:t>
      </w:r>
    </w:p>
    <w:p>
      <w:pPr>
        <w:spacing w:line="560" w:lineRule="exact"/>
        <w:ind w:firstLine="640" w:firstLineChars="200"/>
        <w:rPr>
          <w:rFonts w:ascii="仿宋_GB2312" w:eastAsia="仿宋_GB2312"/>
          <w:sz w:val="32"/>
        </w:rPr>
      </w:pPr>
      <w:r>
        <w:rPr>
          <w:rFonts w:hint="eastAsia" w:ascii="楷体_GB2312" w:eastAsia="楷体_GB2312"/>
          <w:sz w:val="32"/>
        </w:rPr>
        <w:t>（一）推动企业复工复产</w:t>
      </w:r>
      <w:r>
        <w:rPr>
          <w:rFonts w:hint="eastAsia" w:ascii="仿宋_GB2312" w:eastAsia="仿宋_GB2312"/>
          <w:sz w:val="32"/>
        </w:rPr>
        <w:t>。坚持分区分级精准防控，提高复工复产服务便利度，取消不合理审批，坚决纠正限制劳动者返岗的不合理规定。加快重大工程项目、出口重点企业开复工，以制造业、建筑业、物流业、公共服务业和农业生产等为突破口，全力以赴推动重点行业和低风险地区就业，循序渐进带动其他行业和地区就业。协调解决复工复产企业日常防护物资需求，督促其落实工作场所、食堂宿舍等防控措施。</w:t>
      </w:r>
      <w:r>
        <w:rPr>
          <w:rFonts w:hint="eastAsia" w:ascii="楷体_GB2312" w:eastAsia="楷体_GB2312"/>
          <w:sz w:val="32"/>
        </w:rPr>
        <w:t>（发展改革委、工业和信息化部、交通运输部、卫生健康委按职责分工负责）</w:t>
      </w:r>
    </w:p>
    <w:p>
      <w:pPr>
        <w:spacing w:line="560" w:lineRule="exact"/>
        <w:ind w:firstLine="640" w:firstLineChars="200"/>
        <w:rPr>
          <w:rFonts w:ascii="仿宋_GB2312" w:eastAsia="仿宋_GB2312"/>
          <w:sz w:val="32"/>
        </w:rPr>
      </w:pPr>
      <w:r>
        <w:rPr>
          <w:rFonts w:hint="eastAsia" w:ascii="仿宋_GB2312" w:eastAsia="仿宋_GB2312"/>
          <w:sz w:val="32"/>
        </w:rPr>
        <w:t>（二）加大减负稳岗力度。加快实施阶段性、有针对性的减税降费政策。加大失业保险稳岗返还，对不裁员或少裁员的中小微企业，返还标准最高可提至企业及其职工上年度缴纳失业保险费的100%，湖北省可放宽到所有企业；对暂时生产经营困难且恢复有望、坚持不裁员或少裁员的参保企业，适当放宽其稳岗返还政策认定标准，重点向受疫情影响企业倾斜，返还标准可按不超过6个月的当地月人均失业保险金和参保职工人数确定，或按不超过3个月的企业及其职工应缴纳社会保险费确定。2020年6月底前，允许工程建设项目暂缓缴存农民工工资保证金，支付记录良好的企业可免缴。切实落实企业吸纳重点群体就业的定额税收减免、担保贷款及贴息、就业补贴等政策。加快实施阶段性减免、缓缴社会保险费政策，减免期间企业吸纳就业困难人员的社会保险补贴期限可顺延。</w:t>
      </w:r>
      <w:r>
        <w:rPr>
          <w:rFonts w:hint="eastAsia" w:ascii="楷体_GB2312" w:eastAsia="楷体_GB2312"/>
          <w:sz w:val="32"/>
        </w:rPr>
        <w:t>（财政部、人力资源社会保障部、住房城乡建设部、交通运输部、水利部、人民银行、税务总局按职责分工负责）</w:t>
      </w:r>
    </w:p>
    <w:p>
      <w:pPr>
        <w:spacing w:line="560" w:lineRule="exact"/>
        <w:ind w:firstLine="640" w:firstLineChars="200"/>
        <w:rPr>
          <w:rFonts w:ascii="仿宋_GB2312" w:eastAsia="仿宋_GB2312"/>
          <w:sz w:val="32"/>
        </w:rPr>
      </w:pPr>
      <w:r>
        <w:rPr>
          <w:rFonts w:hint="eastAsia" w:ascii="楷体_GB2312" w:eastAsia="楷体_GB2312"/>
          <w:sz w:val="32"/>
        </w:rPr>
        <w:t>（三）提升投资和产业带动就业能力。</w:t>
      </w:r>
      <w:r>
        <w:rPr>
          <w:rFonts w:hint="eastAsia" w:ascii="仿宋_GB2312" w:eastAsia="仿宋_GB2312"/>
          <w:sz w:val="32"/>
        </w:rPr>
        <w:t>实施重大产业就业影响评估，明确重要产业规划带动就业目标，优先投资就业带动能力强、有利于农村劳动力就地就近就业和高校毕业生就业的产业。加快制定和完善引导相关产业向中西部地区转移的政策措施。对部分带动就业能力强、环境影响可控的项目，制定环评审批正面清单，加大环评“放管服”改革力度，审慎采取查封扣押、限产停产等措施。</w:t>
      </w:r>
      <w:r>
        <w:rPr>
          <w:rFonts w:hint="eastAsia" w:ascii="楷体_GB2312" w:eastAsia="楷体_GB2312"/>
          <w:sz w:val="32"/>
        </w:rPr>
        <w:t>（发展改革委、人力资源社会保障部、生态环境部、商务部按职责分工负责）</w:t>
      </w:r>
    </w:p>
    <w:p>
      <w:pPr>
        <w:spacing w:line="560" w:lineRule="exact"/>
        <w:ind w:firstLine="640" w:firstLineChars="200"/>
        <w:rPr>
          <w:rFonts w:ascii="仿宋_GB2312" w:eastAsia="仿宋_GB2312"/>
          <w:sz w:val="32"/>
        </w:rPr>
      </w:pPr>
      <w:r>
        <w:rPr>
          <w:rFonts w:hint="eastAsia" w:ascii="楷体_GB2312" w:eastAsia="楷体_GB2312"/>
          <w:sz w:val="32"/>
        </w:rPr>
        <w:t>（四）优化自主创业环境。</w:t>
      </w:r>
      <w:r>
        <w:rPr>
          <w:rFonts w:hint="eastAsia" w:ascii="仿宋_GB2312" w:eastAsia="仿宋_GB2312"/>
          <w:sz w:val="32"/>
        </w:rPr>
        <w:t>深化“证照分离”改革，推进“照后减证”和简化审批，简化住所（经营场所）登记手续，申请人提交场所合法使用证明即可登记。充分发挥创业投资促进“双创”和增加就业的独特作用，对带动就业能力强的创业投资企业予以引导基金扶持、政府项目对接等政策支持。加大创业担保贷款支持力度，扩大政策覆盖范围，优先支持受疫情影响的重点群体，对优质创业项目免除反担保要求。政府投资开发的孵化基地等创业载体应安排一定比例场地，免费向高校毕业生、农民工等重点群体提供。各类城市创优评先项目应将带动就业能力强的“小店经济”、步行街发展状况作为重要条件。</w:t>
      </w:r>
      <w:r>
        <w:rPr>
          <w:rFonts w:hint="eastAsia" w:ascii="楷体_GB2312" w:eastAsia="楷体_GB2312"/>
          <w:sz w:val="32"/>
        </w:rPr>
        <w:t>（发展改革委、工业和信息化部、财政部、人力资源社会保障部、商务部、人民银行、市场监管总局、银保监会、全国妇联按职责分工负责）</w:t>
      </w:r>
    </w:p>
    <w:p>
      <w:pPr>
        <w:spacing w:line="560" w:lineRule="exact"/>
        <w:ind w:firstLine="640" w:firstLineChars="200"/>
        <w:rPr>
          <w:rFonts w:ascii="仿宋_GB2312" w:eastAsia="仿宋_GB2312"/>
          <w:sz w:val="32"/>
        </w:rPr>
      </w:pPr>
      <w:r>
        <w:rPr>
          <w:rFonts w:hint="eastAsia" w:ascii="楷体_GB2312" w:eastAsia="楷体_GB2312"/>
          <w:sz w:val="32"/>
        </w:rPr>
        <w:t>（五）支持多渠道灵活就业。</w:t>
      </w:r>
      <w:r>
        <w:rPr>
          <w:rFonts w:hint="eastAsia" w:ascii="仿宋_GB2312" w:eastAsia="仿宋_GB2312"/>
          <w:sz w:val="32"/>
        </w:rPr>
        <w:t>合理设定无固定经营场所摊贩管理模式，预留自由市场、摊点群等经营网点。支持劳动者依托平台就业，平台就业人员购置生产经营必需工具的，可申请创业担保贷款及贴息；引导平台企业放宽入驻条件、降低管理服务费，与平台就业人员就劳动报酬、工作时间、劳动保护等建立制度化、常态化沟通协调机制。取消灵活就业人员参加企业职工基本养老保险的省内城乡户籍限制，对就业困难人员、离校2年内未就业高校毕业生灵活就业后缴纳社会保险费的，按规定给予一定的社会保险补贴。</w:t>
      </w:r>
      <w:r>
        <w:rPr>
          <w:rFonts w:hint="eastAsia" w:ascii="楷体_GB2312" w:eastAsia="楷体_GB2312"/>
          <w:sz w:val="32"/>
        </w:rPr>
        <w:t>（财政部、人力资源社会保障部、自然资源部、人民银行、市场监管总局按职责分工负责）</w:t>
      </w:r>
    </w:p>
    <w:p>
      <w:pPr>
        <w:spacing w:line="560" w:lineRule="exact"/>
        <w:ind w:firstLine="640" w:firstLineChars="200"/>
        <w:rPr>
          <w:rFonts w:ascii="黑体" w:hAnsi="黑体" w:eastAsia="黑体"/>
          <w:sz w:val="32"/>
        </w:rPr>
      </w:pPr>
      <w:r>
        <w:rPr>
          <w:rFonts w:hint="eastAsia" w:ascii="黑体" w:hAnsi="黑体" w:eastAsia="黑体"/>
          <w:sz w:val="32"/>
        </w:rPr>
        <w:t>二、引导农民工安全有序转移就业</w:t>
      </w:r>
    </w:p>
    <w:p>
      <w:pPr>
        <w:spacing w:line="580" w:lineRule="exact"/>
        <w:ind w:firstLine="640" w:firstLineChars="200"/>
        <w:rPr>
          <w:rFonts w:ascii="仿宋_GB2312" w:eastAsia="仿宋_GB2312"/>
          <w:sz w:val="32"/>
        </w:rPr>
      </w:pPr>
      <w:r>
        <w:rPr>
          <w:rFonts w:hint="eastAsia" w:ascii="楷体_GB2312" w:eastAsia="楷体_GB2312"/>
          <w:sz w:val="32"/>
        </w:rPr>
        <w:t>（六）引导有序外出就业。</w:t>
      </w:r>
      <w:r>
        <w:rPr>
          <w:rFonts w:hint="eastAsia" w:ascii="仿宋_GB2312" w:eastAsia="仿宋_GB2312"/>
          <w:sz w:val="32"/>
        </w:rPr>
        <w:t>强化重点企业用工调度保障、农民工“点对点、一站式”返岗复工服务，推广健康信息互认等机制，提升对成规模集中返岗劳动者的输送保障能力。引导劳动者有序求职就业，及时收集发布用工信息，加强输出地和输入地信息对接，鼓励低风险地区农民工尽快返岗复工。对组织集中返岗、劳务输出涉及的交通运输、卫生防疫等给予支持。对人力资源服务机构、劳务经纪人开展跨区域有组织劳务输出的，给予就业创业服务补助。</w:t>
      </w:r>
      <w:r>
        <w:rPr>
          <w:rFonts w:hint="eastAsia" w:ascii="楷体_GB2312" w:eastAsia="楷体_GB2312"/>
          <w:sz w:val="32"/>
        </w:rPr>
        <w:t>（公安部、财政部、人力资源社会保障部、交通运输部、卫生健康委按职责分工负责）</w:t>
      </w:r>
    </w:p>
    <w:p>
      <w:pPr>
        <w:spacing w:line="580" w:lineRule="exact"/>
        <w:ind w:firstLine="640" w:firstLineChars="200"/>
        <w:rPr>
          <w:rFonts w:ascii="仿宋_GB2312" w:eastAsia="仿宋_GB2312"/>
          <w:sz w:val="32"/>
        </w:rPr>
      </w:pPr>
      <w:r>
        <w:rPr>
          <w:rFonts w:hint="eastAsia" w:ascii="楷体_GB2312" w:eastAsia="楷体_GB2312"/>
          <w:sz w:val="32"/>
        </w:rPr>
        <w:t>（七）支持就地就近就业。</w:t>
      </w:r>
      <w:r>
        <w:rPr>
          <w:rFonts w:hint="eastAsia" w:ascii="仿宋_GB2312" w:eastAsia="仿宋_GB2312"/>
          <w:sz w:val="32"/>
        </w:rPr>
        <w:t>抓好春季农业生产，大力发展新型农业经营主体，组织暂时无法外出的农民工投入春耕备耕，从事特色养殖、精深加工、生态旅游等行业。在县城和中心镇建设一批城镇基础设施、公共服务设施，加强农业基础设施建设，实施农村人居环境改善工程，开展以工代赈工程建设，优先吸纳农村贫困劳动力和低收入群体就业。</w:t>
      </w:r>
      <w:r>
        <w:rPr>
          <w:rFonts w:hint="eastAsia" w:ascii="楷体_GB2312" w:eastAsia="楷体_GB2312"/>
          <w:sz w:val="32"/>
        </w:rPr>
        <w:t>（发展改革委、人力资源社会保障部、交通运输部、农业农村部、卫生健康委按职责分工负责）</w:t>
      </w:r>
    </w:p>
    <w:p>
      <w:pPr>
        <w:spacing w:line="580" w:lineRule="exact"/>
        <w:ind w:firstLine="640" w:firstLineChars="200"/>
        <w:rPr>
          <w:rFonts w:ascii="仿宋_GB2312" w:eastAsia="仿宋_GB2312"/>
          <w:sz w:val="32"/>
        </w:rPr>
      </w:pPr>
      <w:r>
        <w:rPr>
          <w:rFonts w:hint="eastAsia" w:ascii="楷体_GB2312" w:eastAsia="楷体_GB2312"/>
          <w:sz w:val="32"/>
        </w:rPr>
        <w:t>（八）优先支持贫困劳动力就业。</w:t>
      </w:r>
      <w:r>
        <w:rPr>
          <w:rFonts w:hint="eastAsia" w:ascii="仿宋_GB2312" w:eastAsia="仿宋_GB2312"/>
          <w:sz w:val="32"/>
        </w:rPr>
        <w:t>企业复工复产、重大项目开工、物流体系建设等优先组织和使用贫困劳动力，鼓励企业更多招用贫困劳动力。支持扶贫龙头企业、扶贫车间尽快复工。利用公益性岗位提供更多就地就近就业机会，优先对贫困劳动力托底安置。加大对“三区三州”等深度贫困地区、52个未摘帽贫困县、易地扶贫搬迁大型安置区的支持力度。对吸纳贫困劳动力就业规模大的，各地可通过财政专项扶贫资金给予一次性奖励。</w:t>
      </w:r>
      <w:r>
        <w:rPr>
          <w:rFonts w:hint="eastAsia" w:ascii="楷体_GB2312" w:eastAsia="楷体_GB2312"/>
          <w:sz w:val="32"/>
        </w:rPr>
        <w:t>（发展改革委、财政部、人力资源社会保障部、农业农村部、扶贫办按职责分工负责）</w:t>
      </w:r>
    </w:p>
    <w:p>
      <w:pPr>
        <w:spacing w:line="560" w:lineRule="exact"/>
        <w:ind w:firstLine="640" w:firstLineChars="200"/>
        <w:rPr>
          <w:rFonts w:ascii="黑体" w:hAnsi="黑体" w:eastAsia="黑体"/>
          <w:sz w:val="32"/>
        </w:rPr>
      </w:pPr>
      <w:r>
        <w:rPr>
          <w:rFonts w:hint="eastAsia" w:ascii="黑体" w:hAnsi="黑体" w:eastAsia="黑体"/>
          <w:sz w:val="32"/>
        </w:rPr>
        <w:t>三、拓宽高校毕业生就业渠道</w:t>
      </w:r>
    </w:p>
    <w:p>
      <w:pPr>
        <w:spacing w:line="560" w:lineRule="exact"/>
        <w:ind w:firstLine="640" w:firstLineChars="200"/>
        <w:rPr>
          <w:rFonts w:ascii="仿宋_GB2312" w:eastAsia="仿宋_GB2312"/>
          <w:sz w:val="32"/>
        </w:rPr>
      </w:pPr>
      <w:r>
        <w:rPr>
          <w:rFonts w:hint="eastAsia" w:ascii="楷体_GB2312" w:eastAsia="楷体_GB2312"/>
          <w:sz w:val="32"/>
        </w:rPr>
        <w:t>（九）扩大企业吸纳规模。</w:t>
      </w:r>
      <w:r>
        <w:rPr>
          <w:rFonts w:hint="eastAsia" w:ascii="仿宋_GB2312" w:eastAsia="仿宋_GB2312"/>
          <w:sz w:val="32"/>
        </w:rPr>
        <w:t>对中小微企业招用毕业年度高校毕业生并签订1年以上劳动合同的，给予一次性吸纳就业补贴。国有企业今明两年连续扩大高校毕业生招聘规模，不得随意毁约，不得将本单位实习期限作为招聘入职的前提条件。</w:t>
      </w:r>
      <w:r>
        <w:rPr>
          <w:rFonts w:hint="eastAsia" w:ascii="楷体_GB2312" w:eastAsia="楷体_GB2312"/>
          <w:sz w:val="32"/>
        </w:rPr>
        <w:t>（财政部、人力资源社会保障部、国资委、烟草局、邮政局等部门和企业按职责分工负责）</w:t>
      </w:r>
    </w:p>
    <w:p>
      <w:pPr>
        <w:spacing w:line="560" w:lineRule="exact"/>
        <w:ind w:firstLine="640" w:firstLineChars="200"/>
        <w:rPr>
          <w:rFonts w:ascii="仿宋_GB2312" w:eastAsia="仿宋_GB2312"/>
          <w:sz w:val="32"/>
        </w:rPr>
      </w:pPr>
      <w:r>
        <w:rPr>
          <w:rFonts w:hint="eastAsia" w:ascii="楷体_GB2312" w:eastAsia="楷体_GB2312"/>
          <w:sz w:val="32"/>
        </w:rPr>
        <w:t>（十）扩大基层就业规模。</w:t>
      </w:r>
      <w:r>
        <w:rPr>
          <w:rFonts w:hint="eastAsia" w:ascii="仿宋_GB2312" w:eastAsia="仿宋_GB2312"/>
          <w:sz w:val="32"/>
        </w:rPr>
        <w:t>各级事业单位空缺岗位今明两年提高专项招聘高校毕业生的比例。开发城乡社区等基层公共管理和社会服务岗位。扩大“三支一扶”计划等基层服务项目招募规模。出台改革措施，允许部分专业高校毕业生免试取得相关职业资格证书。畅通民营企业专业技术职称评审渠道。</w:t>
      </w:r>
      <w:r>
        <w:rPr>
          <w:rFonts w:hint="eastAsia" w:ascii="楷体_GB2312" w:eastAsia="楷体_GB2312"/>
          <w:sz w:val="32"/>
        </w:rPr>
        <w:t>（教育部、民政部、财政部、人力资源社会保障部、农业农村部按职责分工负责）</w:t>
      </w:r>
    </w:p>
    <w:p>
      <w:pPr>
        <w:spacing w:line="560" w:lineRule="exact"/>
        <w:ind w:firstLine="640" w:firstLineChars="200"/>
        <w:rPr>
          <w:rFonts w:ascii="仿宋_GB2312" w:eastAsia="仿宋_GB2312"/>
          <w:sz w:val="32"/>
        </w:rPr>
      </w:pPr>
      <w:r>
        <w:rPr>
          <w:rFonts w:hint="eastAsia" w:ascii="楷体_GB2312" w:eastAsia="楷体_GB2312"/>
          <w:sz w:val="32"/>
        </w:rPr>
        <w:t>（十一）扩大招生入伍规模。</w:t>
      </w:r>
      <w:r>
        <w:rPr>
          <w:rFonts w:hint="eastAsia" w:ascii="仿宋_GB2312" w:eastAsia="仿宋_GB2312"/>
          <w:sz w:val="32"/>
        </w:rPr>
        <w:t>扩大2020年硕士研究生招生和普通高校专升本招生规模。扩大大学生应征入伍规模，健全参军入伍激励政策，大力提高应届毕业生征集比例。</w:t>
      </w:r>
      <w:r>
        <w:rPr>
          <w:rFonts w:hint="eastAsia" w:ascii="楷体_GB2312" w:eastAsia="楷体_GB2312"/>
          <w:sz w:val="32"/>
        </w:rPr>
        <w:t>（发展改革委、教育部、财政部、退役军人部、中央军委政治工作部、中央军委国防动员部按职责分工负责）</w:t>
      </w:r>
    </w:p>
    <w:p>
      <w:pPr>
        <w:spacing w:line="560" w:lineRule="exact"/>
        <w:ind w:firstLine="640" w:firstLineChars="200"/>
        <w:rPr>
          <w:rFonts w:ascii="仿宋_GB2312" w:eastAsia="仿宋_GB2312"/>
          <w:sz w:val="32"/>
        </w:rPr>
      </w:pPr>
      <w:r>
        <w:rPr>
          <w:rFonts w:hint="eastAsia" w:ascii="楷体_GB2312" w:eastAsia="楷体_GB2312"/>
          <w:sz w:val="32"/>
        </w:rPr>
        <w:t>（十二）扩大就业见习规模。</w:t>
      </w:r>
      <w:r>
        <w:rPr>
          <w:rFonts w:hint="eastAsia" w:ascii="仿宋_GB2312" w:eastAsia="仿宋_GB2312"/>
          <w:sz w:val="32"/>
        </w:rPr>
        <w:t>支持企业、政府投资项目、科研项目设立见习岗位。对因疫情影响见习暂时中断的，相应延长见习单位补贴期限。对见习期未满与高校毕业生签订劳动合同的，给予见习单位剩余期限见习补贴。</w:t>
      </w:r>
      <w:r>
        <w:rPr>
          <w:rFonts w:hint="eastAsia" w:ascii="楷体_GB2312" w:eastAsia="楷体_GB2312"/>
          <w:sz w:val="32"/>
        </w:rPr>
        <w:t>（财政部、人力资源社会保障部、商务部、国资委、共青团中央按职责分工负责）</w:t>
      </w:r>
    </w:p>
    <w:p>
      <w:pPr>
        <w:spacing w:line="560" w:lineRule="exact"/>
        <w:ind w:firstLine="640" w:firstLineChars="200"/>
        <w:rPr>
          <w:rFonts w:ascii="仿宋_GB2312" w:eastAsia="仿宋_GB2312"/>
          <w:sz w:val="32"/>
        </w:rPr>
      </w:pPr>
      <w:r>
        <w:rPr>
          <w:rFonts w:hint="eastAsia" w:ascii="楷体_GB2312" w:eastAsia="楷体_GB2312"/>
          <w:sz w:val="32"/>
        </w:rPr>
        <w:t>（十三）适当延迟录用接收。</w:t>
      </w:r>
      <w:r>
        <w:rPr>
          <w:rFonts w:hint="eastAsia" w:ascii="仿宋_GB2312" w:eastAsia="仿宋_GB2312"/>
          <w:sz w:val="32"/>
        </w:rPr>
        <w:t>引导用人单位推迟面试体检和签约录取时间。对延迟离校的应届毕业生，相应延长报到接收、档案转递、落户办理时限。离校未就业毕业生可根据本人意愿，将户口、档案在学校保留2年或转入生源地公共就业人才服务机构，以应届毕业生身份参加用人单位考试、录用，落实工作单位后参照应届毕业生办理相关手续。</w:t>
      </w:r>
      <w:r>
        <w:rPr>
          <w:rFonts w:hint="eastAsia" w:ascii="楷体_GB2312" w:eastAsia="楷体_GB2312"/>
          <w:sz w:val="32"/>
        </w:rPr>
        <w:t>（教育部、人力资源社会保障部、国资委按职责分工负责）</w:t>
      </w:r>
    </w:p>
    <w:p>
      <w:pPr>
        <w:spacing w:line="560" w:lineRule="exact"/>
        <w:ind w:firstLine="640" w:firstLineChars="200"/>
        <w:rPr>
          <w:rFonts w:ascii="黑体" w:hAnsi="黑体" w:eastAsia="黑体"/>
          <w:sz w:val="32"/>
        </w:rPr>
      </w:pPr>
      <w:r>
        <w:rPr>
          <w:rFonts w:hint="eastAsia" w:ascii="黑体" w:hAnsi="黑体" w:eastAsia="黑体"/>
          <w:sz w:val="32"/>
        </w:rPr>
        <w:t>四、加强困难人员兜底保障</w:t>
      </w:r>
    </w:p>
    <w:p>
      <w:pPr>
        <w:spacing w:line="560" w:lineRule="exact"/>
        <w:ind w:firstLine="640" w:firstLineChars="200"/>
        <w:rPr>
          <w:rFonts w:ascii="仿宋_GB2312" w:eastAsia="仿宋_GB2312"/>
          <w:sz w:val="32"/>
        </w:rPr>
      </w:pPr>
      <w:r>
        <w:rPr>
          <w:rFonts w:hint="eastAsia" w:ascii="楷体_GB2312" w:eastAsia="楷体_GB2312"/>
          <w:sz w:val="32"/>
        </w:rPr>
        <w:t>（十四）保障失业人员基本生活。</w:t>
      </w:r>
      <w:r>
        <w:rPr>
          <w:rFonts w:hint="eastAsia" w:ascii="仿宋_GB2312" w:eastAsia="仿宋_GB2312"/>
          <w:sz w:val="32"/>
        </w:rPr>
        <w:t>畅通失业保险金申领渠道，放宽失业保险申领期限，2020年4月底前实现线上申领失业保险金。对领取失业保险金期满仍未就业的失业人员、不符合领取失业保险金条件的参保失业人员，发放6个月的失业补助金，标准不高于当地失业保险金的80%。对生活困难的失业人员及家庭，按规定及时纳入最低生活保障、临时救助等社会救助范围。</w:t>
      </w:r>
      <w:r>
        <w:rPr>
          <w:rFonts w:hint="eastAsia" w:ascii="楷体_GB2312" w:eastAsia="楷体_GB2312"/>
          <w:sz w:val="32"/>
        </w:rPr>
        <w:t>（民政部、财政部、人力资源社会保障部按职责分工负责）</w:t>
      </w:r>
    </w:p>
    <w:p>
      <w:pPr>
        <w:spacing w:line="560" w:lineRule="exact"/>
        <w:ind w:firstLine="640" w:firstLineChars="200"/>
        <w:rPr>
          <w:rFonts w:ascii="楷体_GB2312" w:eastAsia="楷体_GB2312"/>
          <w:sz w:val="32"/>
        </w:rPr>
      </w:pPr>
      <w:r>
        <w:rPr>
          <w:rFonts w:hint="eastAsia" w:ascii="楷体_GB2312" w:eastAsia="楷体_GB2312"/>
          <w:sz w:val="32"/>
        </w:rPr>
        <w:t>（十五）强化困难人员就业援助。</w:t>
      </w:r>
      <w:r>
        <w:rPr>
          <w:rFonts w:hint="eastAsia" w:ascii="仿宋_GB2312" w:eastAsia="仿宋_GB2312"/>
          <w:sz w:val="32"/>
        </w:rPr>
        <w:t>动态调整就业困难人员认定标准，及时将受疫情影响人员纳入就业援助范围，确保零就业家庭动态清零。对通过市场渠道确实难以就业的，利用公益性岗位托底安置。开发一批消杀防疫、保洁环卫等临时性公益岗位，根据工作任务和工作时间，给予一定的岗位补贴和社会保险补贴，补贴期限最长不超过6个月，所需资金可从就业补助资金中列支。</w:t>
      </w:r>
      <w:r>
        <w:rPr>
          <w:rFonts w:hint="eastAsia" w:ascii="楷体_GB2312" w:eastAsia="楷体_GB2312"/>
          <w:sz w:val="32"/>
        </w:rPr>
        <w:t>（财政部、人力资源社会保障部、中国残联按职责分工负责）</w:t>
      </w:r>
    </w:p>
    <w:p>
      <w:pPr>
        <w:spacing w:line="560" w:lineRule="exact"/>
        <w:ind w:firstLine="640" w:firstLineChars="200"/>
        <w:rPr>
          <w:rFonts w:ascii="仿宋_GB2312" w:eastAsia="仿宋_GB2312"/>
          <w:sz w:val="32"/>
        </w:rPr>
      </w:pPr>
      <w:r>
        <w:rPr>
          <w:rFonts w:hint="eastAsia" w:ascii="楷体_GB2312" w:eastAsia="楷体_GB2312"/>
          <w:sz w:val="32"/>
        </w:rPr>
        <w:t>（十六）加大对湖北等疫情严重地区就业支持。</w:t>
      </w:r>
      <w:r>
        <w:rPr>
          <w:rFonts w:hint="eastAsia" w:ascii="仿宋_GB2312" w:eastAsia="仿宋_GB2312"/>
          <w:sz w:val="32"/>
        </w:rPr>
        <w:t>建立农资点对点保障运输绿色通道，支持湖北省组织农业生产。对湖北高校及湖北籍2020届高校毕业生给予一次性求职创业补贴，湖北省各级事业单位可面向湖北高校及湖北籍高校毕业生开展专项招聘，高校毕业生基层服务项目向湖北省倾斜。做好湖北省疫情解除后的就业工作，加大资金、政策、项目倾斜，开展专场招聘和专项帮扶。维护就业公平，坚决纠正针对疫情严重地区劳动者的就业歧视。</w:t>
      </w:r>
      <w:r>
        <w:rPr>
          <w:rFonts w:hint="eastAsia" w:ascii="楷体_GB2312" w:eastAsia="楷体_GB2312"/>
          <w:sz w:val="32"/>
        </w:rPr>
        <w:t>（发展改革委、教育部、工业和信息化部、财政部、人力资源社会保障部、农业农村部按职责分工负责）</w:t>
      </w:r>
    </w:p>
    <w:p>
      <w:pPr>
        <w:spacing w:line="560" w:lineRule="exact"/>
        <w:ind w:firstLine="640" w:firstLineChars="200"/>
        <w:rPr>
          <w:rFonts w:ascii="黑体" w:hAnsi="黑体" w:eastAsia="黑体"/>
          <w:sz w:val="32"/>
        </w:rPr>
      </w:pPr>
      <w:r>
        <w:rPr>
          <w:rFonts w:hint="eastAsia" w:ascii="黑体" w:hAnsi="黑体" w:eastAsia="黑体"/>
          <w:sz w:val="32"/>
        </w:rPr>
        <w:t>五、完善职业培训和就业服务</w:t>
      </w:r>
    </w:p>
    <w:p>
      <w:pPr>
        <w:spacing w:line="560" w:lineRule="exact"/>
        <w:ind w:firstLine="640" w:firstLineChars="200"/>
        <w:rPr>
          <w:rFonts w:ascii="楷体_GB2312" w:eastAsia="楷体_GB2312"/>
          <w:sz w:val="32"/>
        </w:rPr>
      </w:pPr>
      <w:r>
        <w:rPr>
          <w:rFonts w:hint="eastAsia" w:ascii="楷体_GB2312" w:eastAsia="楷体_GB2312"/>
          <w:sz w:val="32"/>
        </w:rPr>
        <w:t>（十七）大规模开展职业技能培训。</w:t>
      </w:r>
      <w:r>
        <w:rPr>
          <w:rFonts w:hint="eastAsia" w:ascii="仿宋_GB2312" w:eastAsia="仿宋_GB2312"/>
          <w:sz w:val="32"/>
        </w:rPr>
        <w:t>加大失业人员、农民工等职业技能培训力度，实施农民工等重点群体专项培训，适当延长培训时间。对企业组织职工参加线上线下培训，组织新招用农民工、高校毕业生参加岗前培训的，给予职业培训补贴。动态发布新职业，组织制定急需紧缺职业技能标准。</w:t>
      </w:r>
      <w:r>
        <w:rPr>
          <w:rFonts w:hint="eastAsia" w:ascii="楷体_GB2312" w:eastAsia="楷体_GB2312"/>
          <w:sz w:val="32"/>
        </w:rPr>
        <w:t>（财政部、人力资源社会保障部按职责分工负责）</w:t>
      </w:r>
    </w:p>
    <w:p>
      <w:pPr>
        <w:spacing w:line="560" w:lineRule="exact"/>
        <w:ind w:firstLine="640" w:firstLineChars="200"/>
        <w:rPr>
          <w:rFonts w:ascii="仿宋_GB2312" w:eastAsia="仿宋_GB2312"/>
          <w:sz w:val="32"/>
        </w:rPr>
      </w:pPr>
      <w:r>
        <w:rPr>
          <w:rFonts w:hint="eastAsia" w:ascii="楷体_GB2312" w:eastAsia="楷体_GB2312"/>
          <w:sz w:val="32"/>
        </w:rPr>
        <w:t>（十八）优化就业服务。</w:t>
      </w:r>
      <w:r>
        <w:rPr>
          <w:rFonts w:hint="eastAsia" w:ascii="仿宋_GB2312" w:eastAsia="仿宋_GB2312"/>
          <w:sz w:val="32"/>
        </w:rPr>
        <w:t>2020年3月底前开放线上失业登记。推进在线办理就业服务和补贴申领。持续开展线上招聘服务，发挥公共就业服务机构、高校就业指导机构、经营性人力资源服务机构作用，加大岗位信息、职业指导、网上面试等服务供给。对大龄和低技能劳动者，通过电话、短信等方式推送岗位信息，提供求职、应聘等专门服务。低风险地区可有序开展小型专项供需对接活动。优化用工指导服务，鼓励困难企业与职工协商采取调整薪酬、轮岗轮休、灵活安排工作时间等方式稳定岗位，依法规范裁员行为</w:t>
      </w:r>
      <w:r>
        <w:rPr>
          <w:rFonts w:hint="eastAsia" w:ascii="楷体_GB2312" w:eastAsia="楷体_GB2312"/>
          <w:sz w:val="32"/>
        </w:rPr>
        <w:t>。（教育部、财政部、人力资源社会保障部、全国总工会、全国工商联按职责分工负责）</w:t>
      </w:r>
    </w:p>
    <w:p>
      <w:pPr>
        <w:spacing w:line="560" w:lineRule="exact"/>
        <w:ind w:firstLine="640" w:firstLineChars="200"/>
        <w:rPr>
          <w:rFonts w:ascii="黑体" w:hAnsi="黑体" w:eastAsia="黑体"/>
          <w:sz w:val="32"/>
        </w:rPr>
      </w:pPr>
      <w:r>
        <w:rPr>
          <w:rFonts w:hint="eastAsia" w:ascii="黑体" w:hAnsi="黑体" w:eastAsia="黑体"/>
          <w:sz w:val="32"/>
        </w:rPr>
        <w:t>六、压实就业工作责任</w:t>
      </w:r>
    </w:p>
    <w:p>
      <w:pPr>
        <w:spacing w:line="560" w:lineRule="exact"/>
        <w:ind w:firstLine="640" w:firstLineChars="200"/>
        <w:rPr>
          <w:rFonts w:ascii="仿宋_GB2312" w:eastAsia="仿宋_GB2312"/>
          <w:sz w:val="32"/>
        </w:rPr>
      </w:pPr>
      <w:r>
        <w:rPr>
          <w:rFonts w:hint="eastAsia" w:ascii="楷体_GB2312" w:eastAsia="楷体_GB2312"/>
          <w:sz w:val="32"/>
        </w:rPr>
        <w:t>（十九）强化组织领导。</w:t>
      </w:r>
      <w:r>
        <w:rPr>
          <w:rFonts w:hint="eastAsia" w:ascii="仿宋_GB2312" w:eastAsia="仿宋_GB2312"/>
          <w:sz w:val="32"/>
        </w:rPr>
        <w:t>各地区各有关部门要在确保疫情防控到位的前提下，毫不放松抓紧抓实抓细稳就业各项工作。县级以上地方政府要加快建立由政府负责人牵头的就业工作领导机制，压实工作责任，细化实化扶持政策。各有关部门要同向发力，围绕稳就业需要，落实完善政策措施，形成工作合力。要健全公共就业服务体系，加强基层公共就业服务能力建设，提升基本公共就业服务水平。</w:t>
      </w:r>
      <w:r>
        <w:rPr>
          <w:rFonts w:hint="eastAsia" w:ascii="楷体_GB2312" w:eastAsia="楷体_GB2312"/>
          <w:sz w:val="32"/>
        </w:rPr>
        <w:t>（各有关部门和单位、各省级人民政府按职责分工负责）</w:t>
      </w:r>
    </w:p>
    <w:p>
      <w:pPr>
        <w:spacing w:line="560" w:lineRule="exact"/>
        <w:ind w:firstLine="640" w:firstLineChars="200"/>
        <w:rPr>
          <w:rFonts w:ascii="楷体_GB2312" w:eastAsia="楷体_GB2312"/>
          <w:sz w:val="32"/>
        </w:rPr>
      </w:pPr>
      <w:r>
        <w:rPr>
          <w:rFonts w:hint="eastAsia" w:ascii="楷体_GB2312" w:eastAsia="楷体_GB2312"/>
          <w:sz w:val="32"/>
        </w:rPr>
        <w:t>（二十）加强资金保障。</w:t>
      </w:r>
      <w:r>
        <w:rPr>
          <w:rFonts w:hint="eastAsia" w:ascii="仿宋_GB2312" w:eastAsia="仿宋_GB2312"/>
          <w:sz w:val="32"/>
        </w:rPr>
        <w:t>加大就业补助资金和稳岗补贴投入力度。支持市县政府根据稳就业工作推进和政策实施需要，统筹用好就业创业、职业培训、风险储备等方面资金。失业保险基金结余大的地区，要加速稳岗返还、保生活政策落地见效。</w:t>
      </w:r>
      <w:r>
        <w:rPr>
          <w:rFonts w:hint="eastAsia" w:ascii="楷体_GB2312" w:eastAsia="楷体_GB2312"/>
          <w:sz w:val="32"/>
        </w:rPr>
        <w:t>（财政部、人力资源社会保障部、各省级人民政府按职责分工负责）</w:t>
      </w:r>
    </w:p>
    <w:p>
      <w:pPr>
        <w:spacing w:line="560" w:lineRule="exact"/>
        <w:ind w:firstLine="640" w:firstLineChars="200"/>
        <w:rPr>
          <w:rFonts w:ascii="楷体_GB2312" w:eastAsia="楷体_GB2312"/>
          <w:sz w:val="32"/>
        </w:rPr>
      </w:pPr>
      <w:r>
        <w:rPr>
          <w:rFonts w:hint="eastAsia" w:ascii="楷体_GB2312" w:eastAsia="楷体_GB2312"/>
          <w:sz w:val="32"/>
        </w:rPr>
        <w:t>（二十一）强化表扬激励。</w:t>
      </w:r>
      <w:r>
        <w:rPr>
          <w:rFonts w:hint="eastAsia" w:ascii="仿宋_GB2312" w:eastAsia="仿宋_GB2312"/>
          <w:sz w:val="32"/>
        </w:rPr>
        <w:t>持续开展就业工作表扬激励，完善激励办法，对落实稳就业政策措施工作力度大、促进重点群体就业创业等任务完成较好的地方，及时予以资金支持等方面的表扬激励。</w:t>
      </w:r>
      <w:r>
        <w:rPr>
          <w:rFonts w:hint="eastAsia" w:ascii="楷体_GB2312" w:eastAsia="楷体_GB2312"/>
          <w:sz w:val="32"/>
        </w:rPr>
        <w:t>（人力资源社会保障部、财政部牵头，各有关部门和单位、各省级人民政府按职责分工负责）</w:t>
      </w:r>
    </w:p>
    <w:p>
      <w:pPr>
        <w:spacing w:line="560" w:lineRule="exact"/>
        <w:ind w:firstLine="640" w:firstLineChars="200"/>
        <w:rPr>
          <w:rFonts w:ascii="仿宋_GB2312" w:eastAsia="仿宋_GB2312"/>
          <w:sz w:val="32"/>
        </w:rPr>
      </w:pPr>
      <w:r>
        <w:rPr>
          <w:rFonts w:hint="eastAsia" w:ascii="楷体_GB2312" w:eastAsia="楷体_GB2312"/>
          <w:sz w:val="32"/>
        </w:rPr>
        <w:t>（二十二）加强督促落实。</w:t>
      </w:r>
      <w:r>
        <w:rPr>
          <w:rFonts w:hint="eastAsia" w:ascii="仿宋_GB2312" w:eastAsia="仿宋_GB2312"/>
          <w:sz w:val="32"/>
        </w:rPr>
        <w:t>细化分解目标任务，在相关督查工作中将稳就业作为重要内容，重点督促政策服务落地及重点群体就业、资金保障落实等。对不履行促进就业职责，产生严重后果或造成恶劣社会影响的，依法依规严肃问责。完善劳动力调查，研究建立省级调查失业率按月统计发布制度，启动就业岗位调查，做好化解失业风险的政策储备和应对预案。</w:t>
      </w:r>
      <w:r>
        <w:rPr>
          <w:rFonts w:hint="eastAsia" w:ascii="楷体_GB2312" w:eastAsia="楷体_GB2312"/>
          <w:sz w:val="32"/>
        </w:rPr>
        <w:t>（人力资源社会保障部、统计局牵头，各有关部门和单位、各省级人民政府按职责分工负责）</w:t>
      </w:r>
    </w:p>
    <w:p>
      <w:pPr>
        <w:spacing w:line="560" w:lineRule="exact"/>
        <w:ind w:firstLine="640" w:firstLineChars="200"/>
        <w:rPr>
          <w:rFonts w:ascii="仿宋_GB2312" w:eastAsia="仿宋_GB2312"/>
          <w:sz w:val="32"/>
        </w:rPr>
      </w:pPr>
      <w:r>
        <w:rPr>
          <w:rFonts w:hint="eastAsia" w:ascii="仿宋_GB2312" w:eastAsia="仿宋_GB2312"/>
          <w:sz w:val="32"/>
        </w:rPr>
        <w:t>上述新增补贴政策，受理截止期限为2020年12月31日。各地区各有关部门要抓紧政策实施，发挥政策最大效应，工作中遇到的重要情况和重大问题及时报告国务院。</w:t>
      </w:r>
    </w:p>
    <w:p>
      <w:pPr>
        <w:spacing w:line="560" w:lineRule="exact"/>
        <w:ind w:firstLine="640" w:firstLineChars="200"/>
        <w:rPr>
          <w:rFonts w:ascii="仿宋_GB2312" w:eastAsia="仿宋_GB2312"/>
          <w:sz w:val="32"/>
        </w:rPr>
      </w:pPr>
    </w:p>
    <w:p>
      <w:pPr>
        <w:spacing w:line="560" w:lineRule="exact"/>
        <w:ind w:firstLine="640" w:firstLineChars="200"/>
        <w:rPr>
          <w:rFonts w:ascii="仿宋_GB2312" w:eastAsia="仿宋_GB2312"/>
          <w:sz w:val="32"/>
        </w:rPr>
      </w:pPr>
    </w:p>
    <w:p>
      <w:pPr>
        <w:spacing w:line="560" w:lineRule="exact"/>
        <w:ind w:firstLine="5120" w:firstLineChars="1600"/>
        <w:rPr>
          <w:rFonts w:ascii="仿宋_GB2312" w:eastAsia="仿宋_GB2312"/>
          <w:sz w:val="32"/>
        </w:rPr>
      </w:pPr>
      <w:r>
        <w:rPr>
          <w:rFonts w:hint="eastAsia" w:ascii="仿宋_GB2312" w:eastAsia="仿宋_GB2312"/>
          <w:sz w:val="32"/>
        </w:rPr>
        <w:t xml:space="preserve">国务院办公厅 </w:t>
      </w:r>
    </w:p>
    <w:p>
      <w:pPr>
        <w:spacing w:line="560" w:lineRule="exact"/>
        <w:ind w:firstLine="4960" w:firstLineChars="1550"/>
        <w:rPr>
          <w:rFonts w:ascii="仿宋_GB2312" w:eastAsia="仿宋_GB2312"/>
          <w:sz w:val="32"/>
        </w:rPr>
      </w:pPr>
      <w:r>
        <w:rPr>
          <w:rFonts w:hint="eastAsia" w:ascii="仿宋_GB2312" w:eastAsia="仿宋_GB2312"/>
          <w:sz w:val="32"/>
        </w:rPr>
        <w:t>2020年3月18日</w:t>
      </w:r>
    </w:p>
    <w:p>
      <w:pPr>
        <w:widowControl/>
        <w:jc w:val="left"/>
        <w:rPr>
          <w:rFonts w:ascii="仿宋_GB2312" w:eastAsia="仿宋_GB2312"/>
          <w:sz w:val="32"/>
        </w:rPr>
      </w:pPr>
      <w:r>
        <w:rPr>
          <w:rFonts w:ascii="仿宋_GB2312" w:eastAsia="仿宋_GB2312"/>
          <w:sz w:val="32"/>
        </w:rPr>
        <w:br w:type="page"/>
      </w:r>
    </w:p>
    <w:p>
      <w:pPr>
        <w:spacing w:line="560" w:lineRule="exact"/>
        <w:jc w:val="left"/>
        <w:rPr>
          <w:rFonts w:ascii="仿宋_GB2312"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bCs/>
          <w:sz w:val="44"/>
        </w:rPr>
        <w:t>国务院办公厅关于进一步精简审批优化服务</w:t>
      </w:r>
    </w:p>
    <w:p>
      <w:pPr>
        <w:spacing w:line="560" w:lineRule="exact"/>
        <w:jc w:val="center"/>
        <w:rPr>
          <w:rFonts w:ascii="方正小标宋简体" w:eastAsia="方正小标宋简体"/>
          <w:sz w:val="44"/>
        </w:rPr>
      </w:pPr>
      <w:r>
        <w:rPr>
          <w:rFonts w:hint="eastAsia" w:ascii="方正小标宋简体" w:eastAsia="方正小标宋简体"/>
          <w:bCs/>
          <w:sz w:val="44"/>
        </w:rPr>
        <w:t>精准稳妥推进企业复工复产的通知</w:t>
      </w:r>
    </w:p>
    <w:p>
      <w:pPr>
        <w:spacing w:beforeLines="50" w:line="560" w:lineRule="exact"/>
        <w:jc w:val="center"/>
        <w:rPr>
          <w:rFonts w:hint="eastAsia" w:ascii="楷体_GB2312" w:eastAsia="楷体_GB2312"/>
          <w:sz w:val="32"/>
        </w:rPr>
      </w:pPr>
      <w:r>
        <w:rPr>
          <w:rFonts w:hint="eastAsia" w:ascii="楷体_GB2312" w:eastAsia="楷体_GB2312"/>
          <w:sz w:val="32"/>
        </w:rPr>
        <w:t>国办发明电〔2020〕6号</w:t>
      </w:r>
    </w:p>
    <w:p>
      <w:pPr>
        <w:spacing w:line="560" w:lineRule="exact"/>
        <w:jc w:val="left"/>
        <w:rPr>
          <w:rFonts w:ascii="仿宋_GB2312" w:eastAsia="仿宋_GB2312"/>
          <w:sz w:val="32"/>
        </w:rPr>
      </w:pPr>
    </w:p>
    <w:p>
      <w:pPr>
        <w:spacing w:line="560" w:lineRule="exact"/>
        <w:jc w:val="left"/>
        <w:rPr>
          <w:rFonts w:ascii="仿宋_GB2312" w:eastAsia="仿宋_GB2312"/>
          <w:sz w:val="32"/>
        </w:rPr>
      </w:pPr>
      <w:r>
        <w:rPr>
          <w:rFonts w:hint="eastAsia" w:ascii="仿宋_GB2312" w:eastAsia="仿宋_GB2312"/>
          <w:sz w:val="32"/>
        </w:rPr>
        <w:t>各省、自治区、直辖市人民政府，国务院各部委、各直属机构：</w:t>
      </w:r>
    </w:p>
    <w:p>
      <w:pPr>
        <w:spacing w:line="560" w:lineRule="exact"/>
        <w:ind w:firstLine="640" w:firstLineChars="200"/>
        <w:jc w:val="left"/>
        <w:rPr>
          <w:rFonts w:ascii="仿宋_GB2312" w:eastAsia="仿宋_GB2312"/>
          <w:sz w:val="32"/>
        </w:rPr>
      </w:pPr>
      <w:r>
        <w:rPr>
          <w:rFonts w:hint="eastAsia" w:ascii="仿宋_GB2312" w:eastAsia="仿宋_GB2312"/>
          <w:sz w:val="32"/>
        </w:rPr>
        <w:t>为贯彻落实党中央关于统筹推进疫情防控和经济社会发展工作的决策部署，深化“放管服”改革，取消不合理审批，规范审批事项和行为，提供便利服务，精准稳妥推进企业复工复产，现就除湖北省、北京市以外地区复工复产有关事项通知如下：</w:t>
      </w:r>
    </w:p>
    <w:p>
      <w:pPr>
        <w:spacing w:line="560" w:lineRule="exact"/>
        <w:ind w:firstLine="640" w:firstLineChars="200"/>
        <w:jc w:val="left"/>
        <w:rPr>
          <w:rFonts w:ascii="黑体" w:hAnsi="黑体" w:eastAsia="黑体"/>
          <w:sz w:val="32"/>
        </w:rPr>
      </w:pPr>
      <w:r>
        <w:rPr>
          <w:rFonts w:hint="eastAsia" w:ascii="黑体" w:hAnsi="黑体" w:eastAsia="黑体"/>
          <w:bCs/>
          <w:sz w:val="32"/>
        </w:rPr>
        <w:t>一、提高复工复产服务便利度</w:t>
      </w:r>
    </w:p>
    <w:p>
      <w:pPr>
        <w:spacing w:line="560" w:lineRule="exact"/>
        <w:ind w:firstLine="640" w:firstLineChars="200"/>
        <w:jc w:val="left"/>
        <w:rPr>
          <w:rFonts w:ascii="仿宋_GB2312" w:eastAsia="仿宋_GB2312"/>
          <w:sz w:val="32"/>
        </w:rPr>
      </w:pPr>
      <w:r>
        <w:rPr>
          <w:rFonts w:hint="eastAsia" w:ascii="楷体_GB2312" w:eastAsia="楷体_GB2312"/>
          <w:sz w:val="32"/>
        </w:rPr>
        <w:t>（一）简化复工复产审批和条件。</w:t>
      </w:r>
      <w:r>
        <w:rPr>
          <w:rFonts w:hint="eastAsia" w:ascii="仿宋_GB2312" w:eastAsia="仿宋_GB2312"/>
          <w:sz w:val="32"/>
        </w:rPr>
        <w:t>各地区要压实属地管理责任，继续依法依规、科学有序做好防控工作，并按照分区分级原则，以县域为单位采取差异化防控和复工复产措施。低风险地区不得采取审批、备案等方式延缓开工。对于中、高风险两类地区，各省（自治区、直辖市）政府要在满足疫情防控要求的基础上，按照最少、必需原则分别制定公布全省统一的复工复产条件，对确有必要的审批和证明事项实行清单管理，逐项列明办理程序、材料和时限，清单之外一律不得实施审批或索要证明，防止出现层层加码、互为前置审批、循环证明等现象。严禁向企业收取复工复产保证金等。对重点行业企业复工复产可设置审批绿色通道，加快提高复工复产率。</w:t>
      </w:r>
    </w:p>
    <w:p>
      <w:pPr>
        <w:spacing w:line="560" w:lineRule="exact"/>
        <w:ind w:firstLine="640" w:firstLineChars="200"/>
        <w:jc w:val="left"/>
        <w:rPr>
          <w:rFonts w:ascii="仿宋_GB2312" w:eastAsia="仿宋_GB2312"/>
          <w:sz w:val="32"/>
        </w:rPr>
      </w:pPr>
      <w:r>
        <w:rPr>
          <w:rFonts w:hint="eastAsia" w:ascii="楷体_GB2312" w:eastAsia="楷体_GB2312"/>
          <w:sz w:val="32"/>
        </w:rPr>
        <w:t>（二）优化复工复产办理流程。</w:t>
      </w:r>
      <w:r>
        <w:rPr>
          <w:rFonts w:hint="eastAsia" w:ascii="仿宋_GB2312" w:eastAsia="仿宋_GB2312"/>
          <w:sz w:val="32"/>
        </w:rPr>
        <w:t>相关地区要积极推行复工复产一站式办理、上门办理、自助办理等服务，全面实行企业复工复产申请“一口受理、并行办理”，在本行政区域内明确一家牵头部门，统一受理申请、一次性收取材料，相关部门并行办理、限时办结，原则上要在2个工作日内作出答复。有条件的地方可将复工复产审批制改为备案制或告知承诺制，企业按规定做好防疫、达到复工复产条件，提交备案信息或承诺书后，即可组织复工复产，相关部门通过开展事后现场核查等，确保企业全面落实各项防疫措施。</w:t>
      </w:r>
    </w:p>
    <w:p>
      <w:pPr>
        <w:spacing w:line="560" w:lineRule="exact"/>
        <w:ind w:firstLine="640" w:firstLineChars="200"/>
        <w:jc w:val="left"/>
        <w:rPr>
          <w:rFonts w:ascii="黑体" w:hAnsi="黑体" w:eastAsia="黑体"/>
          <w:bCs/>
          <w:sz w:val="32"/>
        </w:rPr>
      </w:pPr>
      <w:r>
        <w:rPr>
          <w:rFonts w:hint="eastAsia" w:ascii="黑体" w:hAnsi="黑体" w:eastAsia="黑体"/>
          <w:bCs/>
          <w:sz w:val="32"/>
        </w:rPr>
        <w:t>二、大力推行政务服务网上办</w:t>
      </w:r>
    </w:p>
    <w:p>
      <w:pPr>
        <w:spacing w:line="560" w:lineRule="exact"/>
        <w:ind w:firstLine="640" w:firstLineChars="200"/>
        <w:jc w:val="left"/>
        <w:rPr>
          <w:rFonts w:ascii="仿宋_GB2312" w:eastAsia="仿宋_GB2312"/>
          <w:sz w:val="32"/>
        </w:rPr>
      </w:pPr>
      <w:r>
        <w:rPr>
          <w:rFonts w:hint="eastAsia" w:ascii="楷体_GB2312" w:eastAsia="楷体_GB2312"/>
          <w:sz w:val="32"/>
        </w:rPr>
        <w:t>（三）加快实现复工复产等重点事项网上办。</w:t>
      </w:r>
      <w:r>
        <w:rPr>
          <w:rFonts w:hint="eastAsia" w:ascii="仿宋_GB2312" w:eastAsia="仿宋_GB2312"/>
          <w:sz w:val="32"/>
        </w:rPr>
        <w:t>各地区各部门要将疫情防控、复工复产等专题服务接入国家政务服务平台，为企业和群众获取疫情防控信息、办理复工复产等提供便利。同时，抓紧梳理一批与企业复工复产、群众生活密切相关的政务服务事项，率先实现全程网办。对确需现场办理的事项，要大力推行就近办、帮代办、一次办，并采取网上预审、预约排队、邮寄送达等方式，减少现场排队和业务办理时间，最大限度避免人员聚集。</w:t>
      </w:r>
    </w:p>
    <w:p>
      <w:pPr>
        <w:spacing w:line="560" w:lineRule="exact"/>
        <w:ind w:firstLine="640" w:firstLineChars="200"/>
        <w:jc w:val="left"/>
        <w:rPr>
          <w:rFonts w:ascii="仿宋_GB2312" w:eastAsia="仿宋_GB2312"/>
          <w:sz w:val="32"/>
        </w:rPr>
      </w:pPr>
      <w:r>
        <w:rPr>
          <w:rFonts w:hint="eastAsia" w:ascii="楷体_GB2312" w:eastAsia="楷体_GB2312"/>
          <w:sz w:val="32"/>
        </w:rPr>
        <w:t>（四）依托线上平台促进惠企政策落地。</w:t>
      </w:r>
      <w:r>
        <w:rPr>
          <w:rFonts w:hint="eastAsia" w:ascii="仿宋_GB2312" w:eastAsia="仿宋_GB2312"/>
          <w:sz w:val="32"/>
        </w:rPr>
        <w:t>充分发挥全国一体化政务服务平台“小微企业和个体工商户服务专栏”作用，使各项政策易于知晓、服务事项一站办理。各地区各部门要及时梳理相关惠企政策措施及网上办事服务，抓紧接入全国一体化政务服务平台，不断完善服务专栏内容，鼓励引导小微企业和个体工商户及时获取相关服务，有效扩大政策惠及面。</w:t>
      </w:r>
    </w:p>
    <w:p>
      <w:pPr>
        <w:spacing w:line="560" w:lineRule="exact"/>
        <w:ind w:firstLine="640" w:firstLineChars="200"/>
        <w:jc w:val="left"/>
        <w:rPr>
          <w:rFonts w:ascii="仿宋_GB2312" w:eastAsia="仿宋_GB2312"/>
          <w:sz w:val="32"/>
        </w:rPr>
      </w:pPr>
      <w:r>
        <w:rPr>
          <w:rFonts w:hint="eastAsia" w:ascii="楷体_GB2312" w:eastAsia="楷体_GB2312"/>
          <w:sz w:val="32"/>
        </w:rPr>
        <w:t>（五）围绕复工复产需求抓紧推动政务数据共享。</w:t>
      </w:r>
      <w:r>
        <w:rPr>
          <w:rFonts w:hint="eastAsia" w:ascii="仿宋_GB2312" w:eastAsia="仿宋_GB2312"/>
          <w:sz w:val="32"/>
        </w:rPr>
        <w:t>依托全国一体化政务服务平台统一受理政务数据共享需求，优化数据共享流程，按照“急用先行、分批推动，成熟一批、共享一批”的原则，对地方和部门在疫情防控、复工复产等工作中急需的政务数据，加快推动实现共享。</w:t>
      </w:r>
    </w:p>
    <w:p>
      <w:pPr>
        <w:spacing w:line="560" w:lineRule="exact"/>
        <w:ind w:firstLine="640" w:firstLineChars="200"/>
        <w:jc w:val="left"/>
        <w:rPr>
          <w:rFonts w:ascii="黑体" w:hAnsi="黑体" w:eastAsia="黑体"/>
          <w:bCs/>
          <w:sz w:val="32"/>
        </w:rPr>
      </w:pPr>
      <w:r>
        <w:rPr>
          <w:rFonts w:hint="eastAsia" w:ascii="黑体" w:hAnsi="黑体" w:eastAsia="黑体"/>
          <w:bCs/>
          <w:sz w:val="32"/>
        </w:rPr>
        <w:t>三、完善为复工复产企业服务机制</w:t>
      </w:r>
    </w:p>
    <w:p>
      <w:pPr>
        <w:spacing w:line="560" w:lineRule="exact"/>
        <w:ind w:firstLine="640" w:firstLineChars="200"/>
        <w:jc w:val="left"/>
        <w:rPr>
          <w:rFonts w:ascii="仿宋_GB2312" w:eastAsia="仿宋_GB2312"/>
          <w:sz w:val="32"/>
        </w:rPr>
      </w:pPr>
      <w:r>
        <w:rPr>
          <w:rFonts w:hint="eastAsia" w:ascii="楷体_GB2312" w:eastAsia="楷体_GB2312"/>
          <w:sz w:val="32"/>
        </w:rPr>
        <w:t>（六）提升企业投资生产经营事项审批效率。</w:t>
      </w:r>
      <w:r>
        <w:rPr>
          <w:rFonts w:hint="eastAsia" w:ascii="仿宋_GB2312" w:eastAsia="仿宋_GB2312"/>
          <w:sz w:val="32"/>
        </w:rPr>
        <w:t>对建设项目涉及的用地、规划、能评、环评、水电气接入等审批服务事项，要加强部门协同联动，简化审批流程，压缩审批时限。凡可通过线上办理的审批、备案等事项不得要求申请人到现场办理，鼓励通过网络、视频等开展项目评估评审，对确需提交纸质材料的可以实行容缺受理、先行办理，待疫情结束后再补交纸质原件。对疫情防控期间到期的许可证，可延期到疫情结束后一定期限内再办理延续、变更、换发等业务。</w:t>
      </w:r>
    </w:p>
    <w:p>
      <w:pPr>
        <w:spacing w:line="560" w:lineRule="exact"/>
        <w:ind w:firstLine="640" w:firstLineChars="200"/>
        <w:jc w:val="left"/>
        <w:rPr>
          <w:rFonts w:ascii="仿宋_GB2312" w:eastAsia="仿宋_GB2312"/>
          <w:sz w:val="32"/>
        </w:rPr>
      </w:pPr>
      <w:r>
        <w:rPr>
          <w:rFonts w:hint="eastAsia" w:ascii="楷体_GB2312" w:eastAsia="楷体_GB2312"/>
          <w:sz w:val="32"/>
        </w:rPr>
        <w:t>（七）为推进全产业链协同复工复产提供服务保障。</w:t>
      </w:r>
      <w:r>
        <w:rPr>
          <w:rFonts w:hint="eastAsia" w:ascii="仿宋_GB2312" w:eastAsia="仿宋_GB2312"/>
          <w:sz w:val="32"/>
        </w:rPr>
        <w:t>加强跨区域联动，帮助企业协调解决上下游协同等问题。重点抓好核心配套供应商等产业链关键环节企业复工复产，带动上下游中小企业复工复产。鼓励地方建立重点企业服务保障制度，探索推行“企业管家”、“企业服务包”等举措，主动靠前服务，帮助企业办理复工复产手续，抓好用工、原材料、资金等要素保障。</w:t>
      </w:r>
    </w:p>
    <w:p>
      <w:pPr>
        <w:spacing w:line="560" w:lineRule="exact"/>
        <w:ind w:firstLine="640" w:firstLineChars="200"/>
        <w:jc w:val="left"/>
        <w:rPr>
          <w:rFonts w:ascii="仿宋_GB2312" w:eastAsia="仿宋_GB2312"/>
          <w:sz w:val="32"/>
        </w:rPr>
      </w:pPr>
      <w:r>
        <w:rPr>
          <w:rFonts w:hint="eastAsia" w:ascii="楷体_GB2312" w:eastAsia="楷体_GB2312"/>
          <w:sz w:val="32"/>
        </w:rPr>
        <w:t>（八）建立健全企业复工复产诉求响应机制。</w:t>
      </w:r>
      <w:r>
        <w:rPr>
          <w:rFonts w:hint="eastAsia" w:ascii="仿宋_GB2312" w:eastAsia="仿宋_GB2312"/>
          <w:sz w:val="32"/>
        </w:rPr>
        <w:t>各地区要依托互联网、电话热线等，及时掌握和解决企业复工复产中遇到的实际困难。完善企业信用修复机制，协助受疫情影响出现订单交付不及时、合同逾期等失信行为的企业开展信用修复工作。鼓励开设中小企业法律援助绿色通道，就不可抗力免责等法律问题为企业提供服务指导。鼓励保险机构开展企业疫情防控综合保险业务，对复工复产后因发生疫情造成损失的企业提供保险保障，提高理赔服务便利度，消除企业后顾之忧。</w:t>
      </w:r>
    </w:p>
    <w:p>
      <w:pPr>
        <w:spacing w:line="560" w:lineRule="exact"/>
        <w:ind w:firstLine="640" w:firstLineChars="200"/>
        <w:jc w:val="left"/>
        <w:rPr>
          <w:rFonts w:ascii="黑体" w:hAnsi="黑体" w:eastAsia="黑体"/>
          <w:bCs/>
          <w:sz w:val="32"/>
        </w:rPr>
      </w:pPr>
      <w:r>
        <w:rPr>
          <w:rFonts w:hint="eastAsia" w:ascii="黑体" w:hAnsi="黑体" w:eastAsia="黑体"/>
          <w:bCs/>
          <w:sz w:val="32"/>
        </w:rPr>
        <w:t>四、及时纠正不合理的人流物流管控措施</w:t>
      </w:r>
    </w:p>
    <w:p>
      <w:pPr>
        <w:spacing w:line="560" w:lineRule="exact"/>
        <w:ind w:firstLine="640" w:firstLineChars="200"/>
        <w:jc w:val="left"/>
        <w:rPr>
          <w:rFonts w:ascii="仿宋_GB2312" w:eastAsia="仿宋_GB2312"/>
          <w:sz w:val="32"/>
        </w:rPr>
      </w:pPr>
      <w:r>
        <w:rPr>
          <w:rFonts w:hint="eastAsia" w:ascii="楷体_GB2312" w:eastAsia="楷体_GB2312"/>
          <w:sz w:val="32"/>
        </w:rPr>
        <w:t>（九）清理取消阻碍劳动力有序返岗和物资运输的繁琐手续。</w:t>
      </w:r>
      <w:r>
        <w:rPr>
          <w:rFonts w:hint="eastAsia" w:ascii="仿宋_GB2312" w:eastAsia="仿宋_GB2312"/>
          <w:sz w:val="32"/>
        </w:rPr>
        <w:t>非疫情防控重点地区原则上不得限制返岗务工人员出行。对确需开具健康证明的，相关地区要大力推进健康证明跨省互认，劳动力输出地可对在省内连续居住14天以上、无可疑症状且不属于隔离观察对象（或已解除隔离观察）的人员出具健康证明，输入地对持输出地（非疫情防控重点地区）健康证明、乘坐“点对点”特定交通工具到达的人员，可不再实施隔离观察。运用大数据等技术手段建立各地互认的流动人口健康标准。加强输入地与输出地对接，鼓励采取“点对点、一站式”直达运输服务，实施全程防疫管控，实现“家门到车门、车门到厂门”精准流动，确保务工人员安全返岗。各省（自治区、直辖市）要加强与周边省（自治区、直辖市）对接，推进货运车辆司乘人员检疫检测结果互认，对在周边省（自治区、直辖市）已经进行检疫检测且未途经疫情防控重点地区的货运车辆快速放行，减少重复检查。</w:t>
      </w:r>
    </w:p>
    <w:p>
      <w:pPr>
        <w:spacing w:line="560" w:lineRule="exact"/>
        <w:ind w:firstLine="640" w:firstLineChars="200"/>
        <w:jc w:val="left"/>
        <w:rPr>
          <w:rFonts w:ascii="黑体" w:hAnsi="黑体" w:eastAsia="黑体"/>
          <w:bCs/>
          <w:sz w:val="32"/>
        </w:rPr>
      </w:pPr>
      <w:r>
        <w:rPr>
          <w:rFonts w:hint="eastAsia" w:ascii="黑体" w:hAnsi="黑体" w:eastAsia="黑体"/>
          <w:bCs/>
          <w:sz w:val="32"/>
        </w:rPr>
        <w:t>五、加强对复工复产企业防疫工作的监管服务</w:t>
      </w:r>
    </w:p>
    <w:p>
      <w:pPr>
        <w:spacing w:line="560" w:lineRule="exact"/>
        <w:ind w:firstLine="640" w:firstLineChars="200"/>
        <w:jc w:val="left"/>
        <w:rPr>
          <w:rFonts w:ascii="仿宋_GB2312" w:eastAsia="仿宋_GB2312"/>
          <w:sz w:val="32"/>
        </w:rPr>
      </w:pPr>
      <w:r>
        <w:rPr>
          <w:rFonts w:hint="eastAsia" w:ascii="楷体_GB2312" w:eastAsia="楷体_GB2312"/>
          <w:sz w:val="32"/>
        </w:rPr>
        <w:t>（十）督促和帮助复工复产企业落实防疫安全措施。</w:t>
      </w:r>
      <w:r>
        <w:rPr>
          <w:rFonts w:hint="eastAsia" w:ascii="仿宋_GB2312" w:eastAsia="仿宋_GB2312"/>
          <w:sz w:val="32"/>
        </w:rPr>
        <w:t>各地区各部门要督促指导企业严格落实《企事业单位复工复产疫情防控措施指南》等规定，强化防控主体责任，并积极开发运用大数据产品和方案用于支持服务企业防控疫情，建立复工复产企业防疫情况报告制度，及时跟踪掌握人员健康状况。帮助企业协调调度防疫物资。对出现的感染病例，要第一时间进行科学精准的应急处置，最大限度降低聚集性传染风险。</w:t>
      </w:r>
    </w:p>
    <w:p>
      <w:pPr>
        <w:spacing w:line="560" w:lineRule="exact"/>
        <w:ind w:firstLine="640" w:firstLineChars="200"/>
        <w:jc w:val="left"/>
        <w:rPr>
          <w:rFonts w:ascii="仿宋_GB2312" w:eastAsia="仿宋_GB2312"/>
          <w:sz w:val="32"/>
        </w:rPr>
      </w:pPr>
      <w:r>
        <w:rPr>
          <w:rFonts w:hint="eastAsia" w:ascii="仿宋_GB2312" w:eastAsia="仿宋_GB2312"/>
          <w:sz w:val="32"/>
        </w:rPr>
        <w:t>各地区各部门要加强组织领导和督促落实，统筹做好疫情防控和复工复产，把支持企业有序复工复产各项工作做细做扎实。同时，要及时总结疫情防控期间深化“放管服”改革支持复工复产的典型经验，把一些好的政策和做法规范化、制度化，重要情况及时报送国务院办公厅。</w:t>
      </w:r>
    </w:p>
    <w:p>
      <w:pPr>
        <w:spacing w:line="560" w:lineRule="exact"/>
        <w:ind w:firstLine="640" w:firstLineChars="200"/>
        <w:jc w:val="left"/>
        <w:rPr>
          <w:rFonts w:ascii="仿宋_GB2312" w:eastAsia="仿宋_GB2312"/>
          <w:sz w:val="32"/>
        </w:rPr>
      </w:pPr>
    </w:p>
    <w:p>
      <w:pPr>
        <w:spacing w:line="560" w:lineRule="exact"/>
        <w:ind w:firstLine="640" w:firstLineChars="200"/>
        <w:jc w:val="left"/>
        <w:rPr>
          <w:rFonts w:ascii="仿宋_GB2312" w:eastAsia="仿宋_GB2312"/>
          <w:sz w:val="32"/>
        </w:rPr>
      </w:pPr>
    </w:p>
    <w:p>
      <w:pPr>
        <w:spacing w:line="560" w:lineRule="exact"/>
        <w:ind w:firstLine="5120" w:firstLineChars="1600"/>
        <w:jc w:val="left"/>
        <w:rPr>
          <w:rFonts w:ascii="仿宋_GB2312" w:eastAsia="仿宋_GB2312"/>
          <w:sz w:val="32"/>
        </w:rPr>
      </w:pPr>
      <w:r>
        <w:rPr>
          <w:rFonts w:hint="eastAsia" w:ascii="仿宋_GB2312" w:eastAsia="仿宋_GB2312"/>
          <w:sz w:val="32"/>
        </w:rPr>
        <w:t>国务院办公厅     </w:t>
      </w:r>
    </w:p>
    <w:p>
      <w:pPr>
        <w:spacing w:line="560" w:lineRule="exact"/>
        <w:ind w:firstLine="4800" w:firstLineChars="1500"/>
        <w:jc w:val="left"/>
        <w:rPr>
          <w:rFonts w:hint="eastAsia" w:ascii="仿宋_GB2312" w:eastAsia="仿宋_GB2312"/>
          <w:sz w:val="32"/>
        </w:rPr>
      </w:pPr>
      <w:r>
        <w:rPr>
          <w:rFonts w:hint="eastAsia" w:ascii="仿宋_GB2312" w:eastAsia="仿宋_GB2312"/>
          <w:sz w:val="32"/>
        </w:rPr>
        <w:t>2020年3月3日 </w:t>
      </w:r>
    </w:p>
    <w:p>
      <w:pPr>
        <w:widowControl/>
        <w:jc w:val="left"/>
        <w:rPr>
          <w:rFonts w:ascii="仿宋_GB2312" w:eastAsia="仿宋_GB2312"/>
          <w:sz w:val="32"/>
        </w:rPr>
      </w:pPr>
      <w:r>
        <w:rPr>
          <w:rFonts w:ascii="仿宋_GB2312" w:eastAsia="仿宋_GB2312"/>
          <w:sz w:val="32"/>
        </w:rPr>
        <w:br w:type="page"/>
      </w:r>
    </w:p>
    <w:p>
      <w:pPr>
        <w:spacing w:line="560" w:lineRule="exact"/>
        <w:ind w:firstLine="4800" w:firstLineChars="1500"/>
        <w:jc w:val="left"/>
        <w:rPr>
          <w:rFonts w:ascii="仿宋_GB2312" w:eastAsia="仿宋_GB2312"/>
          <w:sz w:val="32"/>
        </w:rPr>
      </w:pPr>
    </w:p>
    <w:p>
      <w:pPr>
        <w:spacing w:line="560" w:lineRule="exact"/>
        <w:jc w:val="center"/>
        <w:rPr>
          <w:rFonts w:hint="eastAsia" w:ascii="方正小标宋简体" w:eastAsia="方正小标宋简体"/>
          <w:bCs/>
          <w:sz w:val="44"/>
        </w:rPr>
      </w:pPr>
      <w:r>
        <w:rPr>
          <w:rFonts w:hint="eastAsia" w:ascii="方正小标宋简体" w:eastAsia="方正小标宋简体"/>
          <w:bCs/>
          <w:sz w:val="44"/>
        </w:rPr>
        <w:t>支持疫情防控和经济社会发展税费</w:t>
      </w:r>
    </w:p>
    <w:p>
      <w:pPr>
        <w:spacing w:line="560" w:lineRule="exact"/>
        <w:jc w:val="center"/>
        <w:rPr>
          <w:rFonts w:ascii="方正小标宋简体" w:eastAsia="方正小标宋简体"/>
          <w:bCs/>
          <w:sz w:val="44"/>
        </w:rPr>
      </w:pPr>
      <w:r>
        <w:rPr>
          <w:rFonts w:hint="eastAsia" w:ascii="方正小标宋简体" w:eastAsia="方正小标宋简体"/>
          <w:bCs/>
          <w:sz w:val="44"/>
        </w:rPr>
        <w:t>优惠政策指引</w:t>
      </w:r>
    </w:p>
    <w:p>
      <w:pPr>
        <w:spacing w:line="560" w:lineRule="exact"/>
        <w:ind w:firstLine="640" w:firstLineChars="200"/>
        <w:rPr>
          <w:rFonts w:ascii="仿宋_GB2312" w:eastAsia="仿宋_GB2312"/>
          <w:sz w:val="32"/>
        </w:rPr>
      </w:pPr>
    </w:p>
    <w:p>
      <w:pPr>
        <w:spacing w:line="560" w:lineRule="exact"/>
        <w:ind w:firstLine="640" w:firstLineChars="200"/>
        <w:rPr>
          <w:rFonts w:ascii="仿宋_GB2312" w:eastAsia="仿宋_GB2312"/>
          <w:sz w:val="32"/>
        </w:rPr>
      </w:pPr>
      <w:r>
        <w:rPr>
          <w:rFonts w:hint="eastAsia" w:ascii="仿宋_GB2312" w:eastAsia="仿宋_GB2312"/>
          <w:sz w:val="32"/>
        </w:rPr>
        <w:t>面对新冠肺炎疫情防控和复工复产的形势，税务部门深入贯彻落实习近平总书记一系列重要指示精神，坚决执行党中央、国务院决策部署，积极发挥税收职能作用，全力参与疫情防控工作，支持企业复工复产。</w:t>
      </w:r>
    </w:p>
    <w:p>
      <w:pPr>
        <w:spacing w:line="560" w:lineRule="exact"/>
        <w:ind w:firstLine="640" w:firstLineChars="200"/>
        <w:rPr>
          <w:rFonts w:ascii="仿宋_GB2312" w:eastAsia="仿宋_GB2312"/>
          <w:sz w:val="32"/>
        </w:rPr>
      </w:pPr>
      <w:r>
        <w:rPr>
          <w:rFonts w:hint="eastAsia" w:ascii="仿宋_GB2312" w:eastAsia="仿宋_GB2312"/>
          <w:sz w:val="32"/>
        </w:rPr>
        <w:t>疫情发生以来，党中央、国务院部署出台了三批支持疫情防控和复工复产的税费政策。第一批政策主要聚焦疫情防控工作，既注重直接支持医疗救治工作，又注重支持相关保障物资的生产和运输，还注重调动各方面力量积极资助和支持疫情防控。第二批政策主要聚焦减轻企业社保费负担，阶段性减免企业养老、失业、工伤保险单位缴费，减征基本医疗保险费，降低企业用工成本、增强其复工复产信心。第三批政策主要聚焦小微企业和个体工商户，对增值税小规模纳税人，按单位参保养老、失业、工伤保险的个体工商户，为个体工商户减免物业租金的出租方给予税费优惠，增强其抗风险能力，助其渡过难关。</w:t>
      </w:r>
    </w:p>
    <w:p>
      <w:pPr>
        <w:spacing w:line="560" w:lineRule="exact"/>
        <w:ind w:firstLine="640" w:firstLineChars="200"/>
        <w:rPr>
          <w:rFonts w:ascii="仿宋_GB2312" w:eastAsia="仿宋_GB2312"/>
          <w:sz w:val="32"/>
        </w:rPr>
      </w:pPr>
      <w:r>
        <w:rPr>
          <w:rFonts w:hint="eastAsia" w:ascii="仿宋_GB2312" w:eastAsia="仿宋_GB2312"/>
          <w:sz w:val="32"/>
        </w:rPr>
        <w:t>疫情就是命令、防控就是责任。确保国家支持新冠肺炎疫情防控和复工复产税费优惠政策落实到位，让纳税人实实在在享受到相关税费优惠，为纳税人提供高效便捷安全的办税缴费服务，是税务部门当前的首要任务。</w:t>
      </w:r>
    </w:p>
    <w:p>
      <w:pPr>
        <w:spacing w:line="560" w:lineRule="exact"/>
        <w:ind w:firstLine="640" w:firstLineChars="200"/>
        <w:rPr>
          <w:rFonts w:ascii="仿宋_GB2312" w:eastAsia="仿宋_GB2312"/>
          <w:sz w:val="32"/>
        </w:rPr>
      </w:pPr>
      <w:r>
        <w:rPr>
          <w:rFonts w:hint="eastAsia" w:ascii="仿宋_GB2312" w:eastAsia="仿宋_GB2312"/>
          <w:sz w:val="32"/>
        </w:rPr>
        <w:t>为更好发挥税收支持疫情防控的职能作用，帮助纳税人准确掌握和及时适用各项税费优惠政策，税务总局对新出台的支持疫情防控和复工复产税费优惠政策进行了梳理和动态更新，形成了本指引，主要包括以下内容：</w:t>
      </w:r>
    </w:p>
    <w:p>
      <w:pPr>
        <w:spacing w:line="560" w:lineRule="exact"/>
        <w:ind w:firstLine="640" w:firstLineChars="200"/>
        <w:rPr>
          <w:rFonts w:ascii="黑体" w:hAnsi="黑体" w:eastAsia="黑体"/>
          <w:sz w:val="32"/>
        </w:rPr>
      </w:pPr>
      <w:r>
        <w:rPr>
          <w:rFonts w:hint="eastAsia" w:ascii="黑体" w:hAnsi="黑体" w:eastAsia="黑体"/>
          <w:bCs/>
          <w:sz w:val="32"/>
        </w:rPr>
        <w:t>一、支持防护救治</w:t>
      </w:r>
    </w:p>
    <w:p>
      <w:pPr>
        <w:spacing w:line="560" w:lineRule="exact"/>
        <w:ind w:firstLine="640" w:firstLineChars="200"/>
        <w:rPr>
          <w:rFonts w:ascii="仿宋_GB2312" w:eastAsia="仿宋_GB2312"/>
          <w:sz w:val="32"/>
        </w:rPr>
      </w:pPr>
      <w:r>
        <w:rPr>
          <w:rFonts w:hint="eastAsia" w:ascii="仿宋_GB2312" w:eastAsia="仿宋_GB2312"/>
          <w:sz w:val="32"/>
        </w:rPr>
        <w:t>1.取得政府规定标准的疫情防治临时性工作补助和奖金免征个人所得税；</w:t>
      </w:r>
    </w:p>
    <w:p>
      <w:pPr>
        <w:spacing w:line="560" w:lineRule="exact"/>
        <w:ind w:firstLine="640" w:firstLineChars="200"/>
        <w:rPr>
          <w:rFonts w:ascii="仿宋_GB2312" w:eastAsia="仿宋_GB2312"/>
          <w:sz w:val="32"/>
        </w:rPr>
      </w:pPr>
      <w:r>
        <w:rPr>
          <w:rFonts w:hint="eastAsia" w:ascii="仿宋_GB2312" w:eastAsia="仿宋_GB2312"/>
          <w:sz w:val="32"/>
        </w:rPr>
        <w:t>2.个人取得单位发放的预防新型冠状病毒感染肺炎的医药防护用品等免征个人所得税。</w:t>
      </w:r>
    </w:p>
    <w:p>
      <w:pPr>
        <w:spacing w:line="560" w:lineRule="exact"/>
        <w:ind w:firstLine="640" w:firstLineChars="200"/>
        <w:rPr>
          <w:rFonts w:ascii="黑体" w:hAnsi="黑体" w:eastAsia="黑体"/>
          <w:bCs/>
          <w:sz w:val="32"/>
        </w:rPr>
      </w:pPr>
      <w:r>
        <w:rPr>
          <w:rFonts w:hint="eastAsia" w:ascii="黑体" w:hAnsi="黑体" w:eastAsia="黑体"/>
          <w:bCs/>
          <w:sz w:val="32"/>
        </w:rPr>
        <w:t>二、支持物资供应</w:t>
      </w:r>
    </w:p>
    <w:p>
      <w:pPr>
        <w:spacing w:line="560" w:lineRule="exact"/>
        <w:ind w:firstLine="640" w:firstLineChars="200"/>
        <w:rPr>
          <w:rFonts w:ascii="仿宋_GB2312" w:eastAsia="仿宋_GB2312"/>
          <w:sz w:val="32"/>
        </w:rPr>
      </w:pPr>
      <w:r>
        <w:rPr>
          <w:rFonts w:hint="eastAsia" w:ascii="仿宋_GB2312" w:eastAsia="仿宋_GB2312"/>
          <w:sz w:val="32"/>
        </w:rPr>
        <w:t>3.对疫情防控重点保障物资生产企业全额退还增值税增量留抵税额；</w:t>
      </w:r>
    </w:p>
    <w:p>
      <w:pPr>
        <w:spacing w:line="560" w:lineRule="exact"/>
        <w:ind w:firstLine="640" w:firstLineChars="200"/>
        <w:rPr>
          <w:rFonts w:ascii="仿宋_GB2312" w:eastAsia="仿宋_GB2312"/>
          <w:sz w:val="32"/>
        </w:rPr>
      </w:pPr>
      <w:r>
        <w:rPr>
          <w:rFonts w:hint="eastAsia" w:ascii="仿宋_GB2312" w:eastAsia="仿宋_GB2312"/>
          <w:sz w:val="32"/>
        </w:rPr>
        <w:t>4.纳税人提供疫情防控重点保障物资运输收入免征增值税；</w:t>
      </w:r>
    </w:p>
    <w:p>
      <w:pPr>
        <w:spacing w:line="560" w:lineRule="exact"/>
        <w:ind w:firstLine="640" w:firstLineChars="200"/>
        <w:rPr>
          <w:rFonts w:ascii="仿宋_GB2312" w:eastAsia="仿宋_GB2312"/>
          <w:sz w:val="32"/>
        </w:rPr>
      </w:pPr>
      <w:r>
        <w:rPr>
          <w:rFonts w:hint="eastAsia" w:ascii="仿宋_GB2312" w:eastAsia="仿宋_GB2312"/>
          <w:sz w:val="32"/>
        </w:rPr>
        <w:t>5.纳税人提供公共交通运输服务、生活服务及居民必需生活物资快递收派服务收入免征增值税；</w:t>
      </w:r>
    </w:p>
    <w:p>
      <w:pPr>
        <w:spacing w:line="560" w:lineRule="exact"/>
        <w:ind w:firstLine="640" w:firstLineChars="200"/>
        <w:rPr>
          <w:rFonts w:ascii="仿宋_GB2312" w:eastAsia="仿宋_GB2312"/>
          <w:sz w:val="32"/>
        </w:rPr>
      </w:pPr>
      <w:r>
        <w:rPr>
          <w:rFonts w:hint="eastAsia" w:ascii="仿宋_GB2312" w:eastAsia="仿宋_GB2312"/>
          <w:sz w:val="32"/>
        </w:rPr>
        <w:t>6.对疫情防控重点物资生产企业扩大产能购置设备允许企业所得税税前一次性扣除；</w:t>
      </w:r>
    </w:p>
    <w:p>
      <w:pPr>
        <w:spacing w:line="560" w:lineRule="exact"/>
        <w:ind w:firstLine="640" w:firstLineChars="200"/>
        <w:rPr>
          <w:rFonts w:ascii="仿宋_GB2312" w:eastAsia="仿宋_GB2312"/>
          <w:sz w:val="32"/>
        </w:rPr>
      </w:pPr>
      <w:r>
        <w:rPr>
          <w:rFonts w:hint="eastAsia" w:ascii="仿宋_GB2312" w:eastAsia="仿宋_GB2312"/>
          <w:sz w:val="32"/>
        </w:rPr>
        <w:t>7.对卫生健康主管部门组织进口的直接用于防控疫情物资免征关税。</w:t>
      </w:r>
    </w:p>
    <w:p>
      <w:pPr>
        <w:spacing w:line="560" w:lineRule="exact"/>
        <w:ind w:firstLine="640" w:firstLineChars="200"/>
        <w:rPr>
          <w:rFonts w:ascii="黑体" w:hAnsi="黑体" w:eastAsia="黑体"/>
          <w:bCs/>
          <w:sz w:val="32"/>
        </w:rPr>
      </w:pPr>
      <w:r>
        <w:rPr>
          <w:rFonts w:hint="eastAsia" w:ascii="黑体" w:hAnsi="黑体" w:eastAsia="黑体"/>
          <w:bCs/>
          <w:sz w:val="32"/>
        </w:rPr>
        <w:t>三、鼓励公益捐赠</w:t>
      </w:r>
    </w:p>
    <w:p>
      <w:pPr>
        <w:spacing w:line="560" w:lineRule="exact"/>
        <w:ind w:firstLine="640" w:firstLineChars="200"/>
        <w:rPr>
          <w:rFonts w:ascii="仿宋_GB2312" w:eastAsia="仿宋_GB2312"/>
          <w:sz w:val="32"/>
        </w:rPr>
      </w:pPr>
      <w:r>
        <w:rPr>
          <w:rFonts w:hint="eastAsia" w:ascii="仿宋_GB2312" w:eastAsia="仿宋_GB2312"/>
          <w:sz w:val="32"/>
        </w:rPr>
        <w:t>8.通过公益性社会组织或县级以上人民政府及其部门等国家机关捐赠应对疫情的现金和物品允许企业所得税或个人所得税税前全额扣除；</w:t>
      </w:r>
    </w:p>
    <w:p>
      <w:pPr>
        <w:spacing w:line="560" w:lineRule="exact"/>
        <w:ind w:firstLine="640" w:firstLineChars="200"/>
        <w:rPr>
          <w:rFonts w:ascii="仿宋_GB2312" w:eastAsia="仿宋_GB2312"/>
          <w:sz w:val="32"/>
        </w:rPr>
      </w:pPr>
      <w:r>
        <w:rPr>
          <w:rFonts w:hint="eastAsia" w:ascii="仿宋_GB2312" w:eastAsia="仿宋_GB2312"/>
          <w:sz w:val="32"/>
        </w:rPr>
        <w:t>9.直接向承担疫情防治任务的医院捐赠应对疫情物品允许企业所得税或个人所得税税前全额扣除；</w:t>
      </w:r>
    </w:p>
    <w:p>
      <w:pPr>
        <w:spacing w:line="560" w:lineRule="exact"/>
        <w:ind w:firstLine="640" w:firstLineChars="200"/>
        <w:rPr>
          <w:rFonts w:ascii="仿宋_GB2312" w:eastAsia="仿宋_GB2312"/>
          <w:sz w:val="32"/>
        </w:rPr>
      </w:pPr>
      <w:r>
        <w:rPr>
          <w:rFonts w:hint="eastAsia" w:ascii="仿宋_GB2312" w:eastAsia="仿宋_GB2312"/>
          <w:sz w:val="32"/>
        </w:rPr>
        <w:t>10.无偿捐赠应对疫情的货物免征增值税、消费税、城市维护建设税、教育费附加、地方教育附加；</w:t>
      </w:r>
    </w:p>
    <w:p>
      <w:pPr>
        <w:spacing w:line="560" w:lineRule="exact"/>
        <w:ind w:firstLine="640" w:firstLineChars="200"/>
        <w:rPr>
          <w:rFonts w:ascii="仿宋_GB2312" w:eastAsia="仿宋_GB2312"/>
          <w:sz w:val="32"/>
        </w:rPr>
      </w:pPr>
      <w:r>
        <w:rPr>
          <w:rFonts w:hint="eastAsia" w:ascii="仿宋_GB2312" w:eastAsia="仿宋_GB2312"/>
          <w:sz w:val="32"/>
        </w:rPr>
        <w:t>11.扩大捐赠免税进口物资范围。</w:t>
      </w:r>
    </w:p>
    <w:p>
      <w:pPr>
        <w:spacing w:line="560" w:lineRule="exact"/>
        <w:ind w:firstLine="640" w:firstLineChars="200"/>
        <w:rPr>
          <w:rFonts w:ascii="黑体" w:hAnsi="黑体" w:eastAsia="黑体"/>
          <w:bCs/>
          <w:sz w:val="32"/>
        </w:rPr>
      </w:pPr>
      <w:r>
        <w:rPr>
          <w:rFonts w:hint="eastAsia" w:ascii="黑体" w:hAnsi="黑体" w:eastAsia="黑体"/>
          <w:bCs/>
          <w:sz w:val="32"/>
        </w:rPr>
        <w:t>四、支持复工复产</w:t>
      </w:r>
    </w:p>
    <w:p>
      <w:pPr>
        <w:spacing w:line="560" w:lineRule="exact"/>
        <w:ind w:firstLine="640" w:firstLineChars="200"/>
        <w:rPr>
          <w:rFonts w:ascii="仿宋_GB2312" w:eastAsia="仿宋_GB2312"/>
          <w:sz w:val="32"/>
        </w:rPr>
      </w:pPr>
      <w:r>
        <w:rPr>
          <w:rFonts w:hint="eastAsia" w:ascii="仿宋_GB2312" w:eastAsia="仿宋_GB2312"/>
          <w:sz w:val="32"/>
        </w:rPr>
        <w:t>12.受疫情影响较大的困难行业企业2020年度发生的亏损最长结转年限延长至8年；</w:t>
      </w:r>
    </w:p>
    <w:p>
      <w:pPr>
        <w:spacing w:line="560" w:lineRule="exact"/>
        <w:ind w:firstLine="640" w:firstLineChars="200"/>
        <w:rPr>
          <w:rFonts w:ascii="仿宋_GB2312" w:eastAsia="仿宋_GB2312"/>
          <w:sz w:val="32"/>
        </w:rPr>
      </w:pPr>
      <w:r>
        <w:rPr>
          <w:rFonts w:hint="eastAsia" w:ascii="仿宋_GB2312" w:eastAsia="仿宋_GB2312"/>
          <w:sz w:val="32"/>
        </w:rPr>
        <w:t>13.阶段性减免增值税小规模纳税人增值税；</w:t>
      </w:r>
    </w:p>
    <w:p>
      <w:pPr>
        <w:spacing w:line="560" w:lineRule="exact"/>
        <w:ind w:firstLine="640" w:firstLineChars="200"/>
        <w:rPr>
          <w:rFonts w:ascii="仿宋_GB2312" w:eastAsia="仿宋_GB2312"/>
          <w:sz w:val="32"/>
        </w:rPr>
      </w:pPr>
      <w:r>
        <w:rPr>
          <w:rFonts w:hint="eastAsia" w:ascii="仿宋_GB2312" w:eastAsia="仿宋_GB2312"/>
          <w:sz w:val="32"/>
        </w:rPr>
        <w:t>14.阶段性减免企业养老、失业、工伤保险单位缴费；</w:t>
      </w:r>
    </w:p>
    <w:p>
      <w:pPr>
        <w:spacing w:line="560" w:lineRule="exact"/>
        <w:ind w:firstLine="640" w:firstLineChars="200"/>
        <w:rPr>
          <w:rFonts w:ascii="仿宋_GB2312" w:eastAsia="仿宋_GB2312"/>
          <w:sz w:val="32"/>
        </w:rPr>
      </w:pPr>
      <w:r>
        <w:rPr>
          <w:rFonts w:hint="eastAsia" w:ascii="仿宋_GB2312" w:eastAsia="仿宋_GB2312"/>
          <w:sz w:val="32"/>
        </w:rPr>
        <w:t>15.阶段性减免以单位方式参保的个体工商户职工养老、失业、工伤保险；</w:t>
      </w:r>
    </w:p>
    <w:p>
      <w:pPr>
        <w:spacing w:line="560" w:lineRule="exact"/>
        <w:ind w:firstLine="640" w:firstLineChars="200"/>
        <w:rPr>
          <w:rFonts w:ascii="仿宋_GB2312" w:eastAsia="仿宋_GB2312"/>
          <w:sz w:val="32"/>
        </w:rPr>
      </w:pPr>
      <w:r>
        <w:rPr>
          <w:rFonts w:hint="eastAsia" w:ascii="仿宋_GB2312" w:eastAsia="仿宋_GB2312"/>
          <w:sz w:val="32"/>
        </w:rPr>
        <w:t>16.阶段性减征职工基本医疗保险单位缴费；</w:t>
      </w:r>
    </w:p>
    <w:p>
      <w:pPr>
        <w:spacing w:line="560" w:lineRule="exact"/>
        <w:ind w:firstLine="640" w:firstLineChars="200"/>
        <w:rPr>
          <w:rFonts w:hint="eastAsia" w:ascii="仿宋_GB2312" w:eastAsia="仿宋_GB2312"/>
          <w:sz w:val="32"/>
        </w:rPr>
      </w:pPr>
      <w:r>
        <w:rPr>
          <w:rFonts w:hint="eastAsia" w:ascii="仿宋_GB2312" w:eastAsia="仿宋_GB2312"/>
          <w:sz w:val="32"/>
        </w:rPr>
        <w:t>17.鼓励各地通过减免城镇土地使用税等方式支持出租方为个体工商户减免物业租金。</w:t>
      </w:r>
    </w:p>
    <w:p>
      <w:pPr>
        <w:widowControl/>
        <w:jc w:val="left"/>
        <w:rPr>
          <w:rFonts w:ascii="仿宋_GB2312" w:eastAsia="仿宋_GB2312"/>
          <w:sz w:val="32"/>
        </w:rPr>
      </w:pPr>
      <w:r>
        <w:rPr>
          <w:rFonts w:ascii="仿宋_GB2312" w:eastAsia="仿宋_GB2312"/>
          <w:sz w:val="32"/>
        </w:rPr>
        <w:br w:type="page"/>
      </w:r>
    </w:p>
    <w:p>
      <w:pPr>
        <w:spacing w:line="560" w:lineRule="exact"/>
        <w:ind w:firstLine="640" w:firstLineChars="200"/>
        <w:rPr>
          <w:rFonts w:hint="eastAsia" w:ascii="仿宋_GB2312"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bCs/>
          <w:sz w:val="44"/>
        </w:rPr>
        <w:t>应对新冠肺炎疫情税费优惠政策指引汇编</w:t>
      </w:r>
    </w:p>
    <w:p>
      <w:pPr>
        <w:spacing w:line="560" w:lineRule="exact"/>
        <w:ind w:firstLine="640" w:firstLineChars="200"/>
        <w:rPr>
          <w:rFonts w:ascii="仿宋_GB2312" w:eastAsia="仿宋_GB2312"/>
          <w:sz w:val="32"/>
        </w:rPr>
      </w:pPr>
    </w:p>
    <w:p>
      <w:pPr>
        <w:spacing w:line="600" w:lineRule="exact"/>
        <w:ind w:firstLine="640" w:firstLineChars="200"/>
        <w:rPr>
          <w:rFonts w:ascii="黑体" w:hAnsi="黑体" w:eastAsia="黑体"/>
          <w:sz w:val="32"/>
        </w:rPr>
      </w:pPr>
      <w:r>
        <w:rPr>
          <w:rFonts w:ascii="黑体" w:hAnsi="黑体" w:eastAsia="黑体"/>
          <w:bCs/>
          <w:sz w:val="32"/>
        </w:rPr>
        <w:t>一、支持防护救治</w:t>
      </w:r>
    </w:p>
    <w:p>
      <w:pPr>
        <w:spacing w:line="600" w:lineRule="exact"/>
        <w:ind w:firstLine="640" w:firstLineChars="200"/>
        <w:rPr>
          <w:rFonts w:ascii="黑体" w:hAnsi="黑体" w:eastAsia="黑体"/>
          <w:bCs/>
          <w:sz w:val="32"/>
        </w:rPr>
      </w:pPr>
      <w:r>
        <w:rPr>
          <w:rFonts w:ascii="黑体" w:hAnsi="黑体" w:eastAsia="黑体"/>
          <w:bCs/>
          <w:sz w:val="32"/>
        </w:rPr>
        <w:t>1.取得政府规定标准的疫情防治临时性工作补助和奖金免征个人所得税</w:t>
      </w:r>
    </w:p>
    <w:p>
      <w:pPr>
        <w:spacing w:line="600" w:lineRule="exact"/>
        <w:ind w:firstLine="640" w:firstLineChars="200"/>
        <w:rPr>
          <w:rFonts w:ascii="仿宋_GB2312" w:eastAsia="仿宋_GB2312"/>
          <w:sz w:val="32"/>
        </w:rPr>
      </w:pPr>
      <w:r>
        <w:rPr>
          <w:rFonts w:ascii="仿宋_GB2312" w:eastAsia="仿宋_GB2312"/>
          <w:sz w:val="32"/>
        </w:rPr>
        <w:t>【享受主体】</w:t>
      </w:r>
    </w:p>
    <w:p>
      <w:pPr>
        <w:spacing w:line="600" w:lineRule="exact"/>
        <w:ind w:firstLine="640" w:firstLineChars="200"/>
        <w:rPr>
          <w:rFonts w:ascii="仿宋_GB2312" w:eastAsia="仿宋_GB2312"/>
          <w:sz w:val="32"/>
        </w:rPr>
      </w:pPr>
      <w:r>
        <w:rPr>
          <w:rFonts w:ascii="仿宋_GB2312" w:eastAsia="仿宋_GB2312"/>
          <w:sz w:val="32"/>
        </w:rPr>
        <w:t>参加疫情防治工作的医务人员和防疫工作者</w:t>
      </w:r>
    </w:p>
    <w:p>
      <w:pPr>
        <w:spacing w:line="600" w:lineRule="exact"/>
        <w:ind w:firstLine="640" w:firstLineChars="200"/>
        <w:rPr>
          <w:rFonts w:ascii="仿宋_GB2312" w:eastAsia="仿宋_GB2312"/>
          <w:sz w:val="32"/>
        </w:rPr>
      </w:pPr>
      <w:r>
        <w:rPr>
          <w:rFonts w:ascii="仿宋_GB2312" w:eastAsia="仿宋_GB2312"/>
          <w:sz w:val="32"/>
        </w:rPr>
        <w:t>【优惠内容】</w:t>
      </w:r>
    </w:p>
    <w:p>
      <w:pPr>
        <w:spacing w:line="600" w:lineRule="exact"/>
        <w:ind w:firstLine="640" w:firstLineChars="200"/>
        <w:rPr>
          <w:rFonts w:ascii="仿宋_GB2312" w:eastAsia="仿宋_GB2312"/>
          <w:sz w:val="32"/>
        </w:rPr>
      </w:pPr>
      <w:r>
        <w:rPr>
          <w:rFonts w:ascii="仿宋_GB2312" w:eastAsia="仿宋_GB2312"/>
          <w:sz w:val="32"/>
        </w:rPr>
        <w:t>自2020年1月1日起，对参加疫情防治工作的医务人员和防疫工作者按照政府规定标准取得的临时性工作补助和奖金，免征个人所得税。政府规定标准包括各级政府规定的补助和奖金标准。</w:t>
      </w:r>
    </w:p>
    <w:p>
      <w:pPr>
        <w:spacing w:line="600" w:lineRule="exact"/>
        <w:ind w:firstLine="640" w:firstLineChars="200"/>
        <w:rPr>
          <w:rFonts w:ascii="仿宋_GB2312" w:eastAsia="仿宋_GB2312"/>
          <w:sz w:val="32"/>
        </w:rPr>
      </w:pPr>
      <w:r>
        <w:rPr>
          <w:rFonts w:ascii="仿宋_GB2312" w:eastAsia="仿宋_GB2312"/>
          <w:sz w:val="32"/>
        </w:rPr>
        <w:t>对省级及省级以上人民政府规定的对参与疫情防控人员的临时性工作补助和奖金，比照执行。</w:t>
      </w:r>
    </w:p>
    <w:p>
      <w:pPr>
        <w:spacing w:line="600" w:lineRule="exact"/>
        <w:ind w:firstLine="640" w:firstLineChars="200"/>
        <w:rPr>
          <w:rFonts w:ascii="仿宋_GB2312" w:eastAsia="仿宋_GB2312"/>
          <w:sz w:val="32"/>
        </w:rPr>
      </w:pPr>
      <w:r>
        <w:rPr>
          <w:rFonts w:ascii="仿宋_GB2312" w:eastAsia="仿宋_GB2312"/>
          <w:sz w:val="32"/>
        </w:rPr>
        <w:t>上述优惠政策适用的截止日期将视疫情情况另行公告。</w:t>
      </w:r>
    </w:p>
    <w:p>
      <w:pPr>
        <w:spacing w:line="600" w:lineRule="exact"/>
        <w:ind w:firstLine="640" w:firstLineChars="200"/>
        <w:rPr>
          <w:rFonts w:ascii="仿宋_GB2312" w:eastAsia="仿宋_GB2312"/>
          <w:sz w:val="32"/>
        </w:rPr>
      </w:pPr>
      <w:r>
        <w:rPr>
          <w:rFonts w:ascii="仿宋_GB2312" w:eastAsia="仿宋_GB2312"/>
          <w:sz w:val="32"/>
        </w:rPr>
        <w:t>【政策依据】</w:t>
      </w:r>
    </w:p>
    <w:p>
      <w:pPr>
        <w:spacing w:line="600" w:lineRule="exact"/>
        <w:ind w:firstLine="640" w:firstLineChars="200"/>
        <w:rPr>
          <w:rFonts w:ascii="仿宋_GB2312" w:eastAsia="仿宋_GB2312"/>
          <w:sz w:val="32"/>
        </w:rPr>
      </w:pPr>
      <w:r>
        <w:rPr>
          <w:rFonts w:ascii="仿宋_GB2312" w:eastAsia="仿宋_GB2312"/>
          <w:sz w:val="32"/>
        </w:rPr>
        <w:t>《财政部 税务总局关于支持新型冠状病毒感染的肺炎疫情防控有关个人所得税政策的公告》（2020年第10号）</w:t>
      </w:r>
    </w:p>
    <w:p>
      <w:pPr>
        <w:spacing w:line="600" w:lineRule="exact"/>
        <w:ind w:firstLine="640" w:firstLineChars="200"/>
        <w:rPr>
          <w:rFonts w:ascii="黑体" w:hAnsi="黑体" w:eastAsia="黑体"/>
          <w:bCs/>
          <w:sz w:val="32"/>
        </w:rPr>
      </w:pPr>
      <w:r>
        <w:rPr>
          <w:rFonts w:ascii="黑体" w:hAnsi="黑体" w:eastAsia="黑体"/>
          <w:bCs/>
          <w:sz w:val="32"/>
        </w:rPr>
        <w:t>2.个人取得单位发放的预防新型冠状病毒感染肺炎的医药防护用品等免征个人所得税</w:t>
      </w:r>
    </w:p>
    <w:p>
      <w:pPr>
        <w:spacing w:line="600" w:lineRule="exact"/>
        <w:ind w:firstLine="640" w:firstLineChars="200"/>
        <w:rPr>
          <w:rFonts w:ascii="仿宋_GB2312" w:eastAsia="仿宋_GB2312"/>
          <w:sz w:val="32"/>
        </w:rPr>
      </w:pPr>
      <w:r>
        <w:rPr>
          <w:rFonts w:ascii="仿宋_GB2312" w:eastAsia="仿宋_GB2312"/>
          <w:sz w:val="32"/>
        </w:rPr>
        <w:t>【享受主体】</w:t>
      </w:r>
    </w:p>
    <w:p>
      <w:pPr>
        <w:spacing w:line="600" w:lineRule="exact"/>
        <w:ind w:firstLine="640" w:firstLineChars="200"/>
        <w:rPr>
          <w:rFonts w:ascii="仿宋_GB2312" w:eastAsia="仿宋_GB2312"/>
          <w:sz w:val="32"/>
        </w:rPr>
      </w:pPr>
      <w:r>
        <w:rPr>
          <w:rFonts w:ascii="仿宋_GB2312" w:eastAsia="仿宋_GB2312"/>
          <w:sz w:val="32"/>
        </w:rPr>
        <w:t>取得单位发放的用于预防新型冠状病毒感染的肺炎的药品、医疗用品和防护用品等实物（不包括现金）的个人</w:t>
      </w:r>
    </w:p>
    <w:p>
      <w:pPr>
        <w:spacing w:line="600" w:lineRule="exact"/>
        <w:ind w:firstLine="640" w:firstLineChars="200"/>
        <w:rPr>
          <w:rFonts w:ascii="仿宋_GB2312" w:eastAsia="仿宋_GB2312"/>
          <w:sz w:val="32"/>
        </w:rPr>
      </w:pPr>
      <w:r>
        <w:rPr>
          <w:rFonts w:ascii="仿宋_GB2312" w:eastAsia="仿宋_GB2312"/>
          <w:sz w:val="32"/>
        </w:rPr>
        <w:t>【优惠内容】</w:t>
      </w:r>
    </w:p>
    <w:p>
      <w:pPr>
        <w:spacing w:line="600" w:lineRule="exact"/>
        <w:ind w:firstLine="640" w:firstLineChars="200"/>
        <w:rPr>
          <w:rFonts w:ascii="仿宋_GB2312" w:eastAsia="仿宋_GB2312"/>
          <w:sz w:val="32"/>
        </w:rPr>
      </w:pPr>
      <w:r>
        <w:rPr>
          <w:rFonts w:ascii="仿宋_GB2312" w:eastAsia="仿宋_GB2312"/>
          <w:sz w:val="32"/>
        </w:rPr>
        <w:t>自2020年1月1日起，单位发给个人用于预防新型冠状病毒感染的肺炎的药品、医疗用品和防护用品等实物（不包括现金），不计入工资、薪金收入，免征个人所得税。</w:t>
      </w:r>
    </w:p>
    <w:p>
      <w:pPr>
        <w:spacing w:line="600" w:lineRule="exact"/>
        <w:ind w:firstLine="640" w:firstLineChars="200"/>
        <w:rPr>
          <w:rFonts w:ascii="仿宋_GB2312" w:eastAsia="仿宋_GB2312"/>
          <w:sz w:val="32"/>
        </w:rPr>
      </w:pPr>
      <w:r>
        <w:rPr>
          <w:rFonts w:ascii="仿宋_GB2312" w:eastAsia="仿宋_GB2312"/>
          <w:sz w:val="32"/>
        </w:rPr>
        <w:t>上述优惠政策适用的截止日期将视疫情情况另行公告。</w:t>
      </w:r>
    </w:p>
    <w:p>
      <w:pPr>
        <w:spacing w:line="600" w:lineRule="exact"/>
        <w:ind w:firstLine="640" w:firstLineChars="200"/>
        <w:rPr>
          <w:rFonts w:ascii="仿宋_GB2312" w:eastAsia="仿宋_GB2312"/>
          <w:sz w:val="32"/>
        </w:rPr>
      </w:pPr>
      <w:r>
        <w:rPr>
          <w:rFonts w:ascii="仿宋_GB2312" w:eastAsia="仿宋_GB2312"/>
          <w:sz w:val="32"/>
        </w:rPr>
        <w:t>【政策依据】</w:t>
      </w:r>
    </w:p>
    <w:p>
      <w:pPr>
        <w:spacing w:line="600" w:lineRule="exact"/>
        <w:ind w:firstLine="640" w:firstLineChars="200"/>
        <w:rPr>
          <w:rFonts w:ascii="仿宋_GB2312" w:eastAsia="仿宋_GB2312"/>
          <w:sz w:val="32"/>
        </w:rPr>
      </w:pPr>
      <w:r>
        <w:rPr>
          <w:rFonts w:ascii="仿宋_GB2312" w:eastAsia="仿宋_GB2312"/>
          <w:sz w:val="32"/>
        </w:rPr>
        <w:t>《财政部 税务总局关于支持新型冠状病毒感染的肺炎疫情防控有关个人所得税政策的公告》（2020年第10号）</w:t>
      </w:r>
    </w:p>
    <w:p>
      <w:pPr>
        <w:spacing w:line="600" w:lineRule="exact"/>
        <w:ind w:firstLine="640" w:firstLineChars="200"/>
        <w:rPr>
          <w:rFonts w:ascii="黑体" w:hAnsi="黑体" w:eastAsia="黑体"/>
          <w:bCs/>
          <w:sz w:val="32"/>
        </w:rPr>
      </w:pPr>
      <w:r>
        <w:rPr>
          <w:rFonts w:ascii="黑体" w:hAnsi="黑体" w:eastAsia="黑体"/>
          <w:bCs/>
          <w:sz w:val="32"/>
        </w:rPr>
        <w:t>二、支持物资供应</w:t>
      </w:r>
    </w:p>
    <w:p>
      <w:pPr>
        <w:spacing w:line="600" w:lineRule="exact"/>
        <w:ind w:firstLine="640" w:firstLineChars="200"/>
        <w:rPr>
          <w:rFonts w:ascii="黑体" w:hAnsi="黑体" w:eastAsia="黑体"/>
          <w:bCs/>
          <w:sz w:val="32"/>
        </w:rPr>
      </w:pPr>
      <w:r>
        <w:rPr>
          <w:rFonts w:ascii="黑体" w:hAnsi="黑体" w:eastAsia="黑体"/>
          <w:bCs/>
          <w:sz w:val="32"/>
        </w:rPr>
        <w:t>3.对疫情防控重点保障物资生产企业全额退还增值税增量留抵税额</w:t>
      </w:r>
    </w:p>
    <w:p>
      <w:pPr>
        <w:spacing w:line="600" w:lineRule="exact"/>
        <w:ind w:firstLine="640" w:firstLineChars="200"/>
        <w:rPr>
          <w:rFonts w:ascii="仿宋_GB2312" w:eastAsia="仿宋_GB2312"/>
          <w:sz w:val="32"/>
        </w:rPr>
      </w:pPr>
      <w:r>
        <w:rPr>
          <w:rFonts w:ascii="仿宋_GB2312" w:eastAsia="仿宋_GB2312"/>
          <w:sz w:val="32"/>
        </w:rPr>
        <w:t>【享受主体】</w:t>
      </w:r>
    </w:p>
    <w:p>
      <w:pPr>
        <w:spacing w:line="600" w:lineRule="exact"/>
        <w:ind w:firstLine="640" w:firstLineChars="200"/>
        <w:rPr>
          <w:rFonts w:ascii="仿宋_GB2312" w:eastAsia="仿宋_GB2312"/>
          <w:sz w:val="32"/>
        </w:rPr>
      </w:pPr>
      <w:r>
        <w:rPr>
          <w:rFonts w:ascii="仿宋_GB2312" w:eastAsia="仿宋_GB2312"/>
          <w:sz w:val="32"/>
        </w:rPr>
        <w:t>疫情防控重点保障物资生产企业</w:t>
      </w:r>
    </w:p>
    <w:p>
      <w:pPr>
        <w:spacing w:line="600" w:lineRule="exact"/>
        <w:ind w:firstLine="640" w:firstLineChars="200"/>
        <w:rPr>
          <w:rFonts w:ascii="仿宋_GB2312" w:eastAsia="仿宋_GB2312"/>
          <w:sz w:val="32"/>
        </w:rPr>
      </w:pPr>
      <w:r>
        <w:rPr>
          <w:rFonts w:ascii="仿宋_GB2312" w:eastAsia="仿宋_GB2312"/>
          <w:sz w:val="32"/>
        </w:rPr>
        <w:t>【优惠内容】</w:t>
      </w:r>
    </w:p>
    <w:p>
      <w:pPr>
        <w:spacing w:line="600" w:lineRule="exact"/>
        <w:ind w:firstLine="640" w:firstLineChars="200"/>
        <w:rPr>
          <w:rFonts w:ascii="仿宋_GB2312" w:eastAsia="仿宋_GB2312"/>
          <w:sz w:val="32"/>
        </w:rPr>
      </w:pPr>
      <w:r>
        <w:rPr>
          <w:rFonts w:ascii="仿宋_GB2312" w:eastAsia="仿宋_GB2312"/>
          <w:sz w:val="32"/>
        </w:rPr>
        <w:t>自</w:t>
      </w:r>
      <w:r>
        <w:rPr>
          <w:rFonts w:ascii="仿宋_GB2312" w:eastAsia="仿宋_GB2312"/>
          <w:spacing w:val="-6"/>
          <w:sz w:val="32"/>
        </w:rPr>
        <w:t>2020年1月1日起，疫情防控重点保障物资生产企业可以按月向主管税务机关申请全额退还增值税增量留抵税额。增量留抵税额，是指与2019年12月底相比新增加的期末留抵税额。</w:t>
      </w:r>
    </w:p>
    <w:p>
      <w:pPr>
        <w:spacing w:line="600" w:lineRule="exact"/>
        <w:ind w:firstLine="640" w:firstLineChars="200"/>
        <w:rPr>
          <w:rFonts w:ascii="仿宋_GB2312" w:eastAsia="仿宋_GB2312"/>
          <w:sz w:val="32"/>
        </w:rPr>
      </w:pPr>
      <w:r>
        <w:rPr>
          <w:rFonts w:ascii="仿宋_GB2312" w:eastAsia="仿宋_GB2312"/>
          <w:sz w:val="32"/>
        </w:rPr>
        <w:t>企业名单由省级及省级以上发展改革部门、工业和信息化部门确定。</w:t>
      </w:r>
    </w:p>
    <w:p>
      <w:pPr>
        <w:spacing w:line="600" w:lineRule="exact"/>
        <w:ind w:firstLine="640" w:firstLineChars="200"/>
        <w:rPr>
          <w:rFonts w:ascii="仿宋_GB2312" w:eastAsia="仿宋_GB2312"/>
          <w:sz w:val="32"/>
        </w:rPr>
      </w:pPr>
      <w:r>
        <w:rPr>
          <w:rFonts w:ascii="仿宋_GB2312" w:eastAsia="仿宋_GB2312"/>
          <w:sz w:val="32"/>
        </w:rPr>
        <w:t>上述优惠政策适用的截止日期将视疫情情况另行公告。</w:t>
      </w:r>
    </w:p>
    <w:p>
      <w:pPr>
        <w:spacing w:line="600" w:lineRule="exact"/>
        <w:ind w:firstLine="640" w:firstLineChars="200"/>
        <w:rPr>
          <w:rFonts w:ascii="仿宋_GB2312" w:eastAsia="仿宋_GB2312"/>
          <w:sz w:val="32"/>
        </w:rPr>
      </w:pPr>
      <w:r>
        <w:rPr>
          <w:rFonts w:ascii="仿宋_GB2312" w:eastAsia="仿宋_GB2312"/>
          <w:sz w:val="32"/>
        </w:rPr>
        <w:t>疫情防控重点保障物资生产企业适用增值税增量留抵退税政策的，应当在增值税纳税申报期内，完成本期增值税纳税申报后，向主管税务机关申请退还增量留抵税额。</w:t>
      </w:r>
    </w:p>
    <w:p>
      <w:pPr>
        <w:spacing w:line="600" w:lineRule="exact"/>
        <w:ind w:firstLine="640" w:firstLineChars="200"/>
        <w:rPr>
          <w:rFonts w:ascii="仿宋_GB2312" w:eastAsia="仿宋_GB2312"/>
          <w:sz w:val="32"/>
        </w:rPr>
      </w:pPr>
      <w:r>
        <w:rPr>
          <w:rFonts w:ascii="仿宋_GB2312" w:eastAsia="仿宋_GB2312"/>
          <w:sz w:val="32"/>
        </w:rPr>
        <w:t>【政策依据】</w:t>
      </w:r>
    </w:p>
    <w:p>
      <w:pPr>
        <w:spacing w:line="600" w:lineRule="exact"/>
        <w:ind w:firstLine="640" w:firstLineChars="200"/>
        <w:rPr>
          <w:rFonts w:ascii="仿宋_GB2312" w:eastAsia="仿宋_GB2312"/>
          <w:sz w:val="32"/>
        </w:rPr>
      </w:pPr>
      <w:r>
        <w:rPr>
          <w:rFonts w:ascii="仿宋_GB2312" w:eastAsia="仿宋_GB2312"/>
          <w:sz w:val="32"/>
        </w:rPr>
        <w:t>（1）《财政部 税务总局关于支持新型冠状病毒感染的肺炎疫情防控有关税收政策的公告》（2020年第8号）</w:t>
      </w:r>
    </w:p>
    <w:p>
      <w:pPr>
        <w:spacing w:line="600" w:lineRule="exact"/>
        <w:ind w:firstLine="640" w:firstLineChars="200"/>
        <w:rPr>
          <w:rFonts w:ascii="仿宋_GB2312" w:eastAsia="仿宋_GB2312"/>
          <w:sz w:val="32"/>
        </w:rPr>
      </w:pPr>
      <w:r>
        <w:rPr>
          <w:rFonts w:ascii="仿宋_GB2312" w:eastAsia="仿宋_GB2312"/>
          <w:sz w:val="32"/>
        </w:rPr>
        <w:t>（2）《国家税务总局关于支持新型冠状病毒感染的肺炎疫情防控有关税收征收管理事项的公告》（2020年第4号）</w:t>
      </w:r>
    </w:p>
    <w:p>
      <w:pPr>
        <w:spacing w:line="600" w:lineRule="exact"/>
        <w:ind w:firstLine="640" w:firstLineChars="200"/>
        <w:rPr>
          <w:rFonts w:ascii="黑体" w:hAnsi="黑体" w:eastAsia="黑体"/>
          <w:bCs/>
          <w:sz w:val="32"/>
        </w:rPr>
      </w:pPr>
      <w:r>
        <w:rPr>
          <w:rFonts w:ascii="黑体" w:hAnsi="黑体" w:eastAsia="黑体"/>
          <w:bCs/>
          <w:sz w:val="32"/>
        </w:rPr>
        <w:t>4.纳税人提供疫情防控重点保障物资运输收入免征增值税</w:t>
      </w:r>
    </w:p>
    <w:p>
      <w:pPr>
        <w:spacing w:line="600" w:lineRule="exact"/>
        <w:ind w:firstLine="640" w:firstLineChars="200"/>
        <w:rPr>
          <w:rFonts w:ascii="仿宋_GB2312" w:eastAsia="仿宋_GB2312"/>
          <w:sz w:val="32"/>
        </w:rPr>
      </w:pPr>
      <w:r>
        <w:rPr>
          <w:rFonts w:ascii="仿宋_GB2312" w:eastAsia="仿宋_GB2312"/>
          <w:sz w:val="32"/>
        </w:rPr>
        <w:t>【享受主体】</w:t>
      </w:r>
    </w:p>
    <w:p>
      <w:pPr>
        <w:spacing w:line="600" w:lineRule="exact"/>
        <w:ind w:firstLine="640" w:firstLineChars="200"/>
        <w:rPr>
          <w:rFonts w:ascii="仿宋_GB2312" w:eastAsia="仿宋_GB2312"/>
          <w:sz w:val="32"/>
        </w:rPr>
      </w:pPr>
      <w:r>
        <w:rPr>
          <w:rFonts w:ascii="仿宋_GB2312" w:eastAsia="仿宋_GB2312"/>
          <w:sz w:val="32"/>
        </w:rPr>
        <w:t>提供疫情防控重点保障物资运输服务的纳税人</w:t>
      </w:r>
    </w:p>
    <w:p>
      <w:pPr>
        <w:spacing w:line="600" w:lineRule="exact"/>
        <w:ind w:firstLine="640" w:firstLineChars="200"/>
        <w:rPr>
          <w:rFonts w:ascii="仿宋_GB2312" w:eastAsia="仿宋_GB2312"/>
          <w:sz w:val="32"/>
        </w:rPr>
      </w:pPr>
      <w:r>
        <w:rPr>
          <w:rFonts w:ascii="仿宋_GB2312" w:eastAsia="仿宋_GB2312"/>
          <w:sz w:val="32"/>
        </w:rPr>
        <w:t>【优惠内容】</w:t>
      </w:r>
    </w:p>
    <w:p>
      <w:pPr>
        <w:spacing w:line="600" w:lineRule="exact"/>
        <w:ind w:firstLine="640" w:firstLineChars="200"/>
        <w:rPr>
          <w:rFonts w:ascii="仿宋_GB2312" w:eastAsia="仿宋_GB2312"/>
          <w:sz w:val="32"/>
        </w:rPr>
      </w:pPr>
      <w:r>
        <w:rPr>
          <w:rFonts w:ascii="仿宋_GB2312" w:eastAsia="仿宋_GB2312"/>
          <w:sz w:val="32"/>
        </w:rPr>
        <w:t>自2020年1月1日起，对纳税人运输疫情防控重点保障物资取得的收入，免征增值税。优惠政策适用的截止日期将视疫情情况另行公告。</w:t>
      </w:r>
    </w:p>
    <w:p>
      <w:pPr>
        <w:spacing w:line="600" w:lineRule="exact"/>
        <w:ind w:firstLine="640" w:firstLineChars="200"/>
        <w:rPr>
          <w:rFonts w:hint="eastAsia" w:ascii="仿宋_GB2312" w:eastAsia="仿宋_GB2312"/>
          <w:sz w:val="32"/>
        </w:rPr>
      </w:pPr>
      <w:r>
        <w:rPr>
          <w:rFonts w:ascii="仿宋_GB2312" w:eastAsia="仿宋_GB2312"/>
          <w:sz w:val="32"/>
        </w:rPr>
        <w:t>疫情防控重点保障物资的具体范围，由国家发展改革委、工业和信息化部确定，具体内容如下：</w:t>
      </w:r>
    </w:p>
    <w:p>
      <w:pPr>
        <w:spacing w:line="600" w:lineRule="exact"/>
        <w:ind w:firstLine="640" w:firstLineChars="200"/>
        <w:rPr>
          <w:rFonts w:hint="eastAsia" w:ascii="仿宋_GB2312" w:eastAsia="仿宋_GB2312"/>
          <w:sz w:val="32"/>
        </w:rPr>
      </w:pPr>
    </w:p>
    <w:p>
      <w:pPr>
        <w:spacing w:line="600" w:lineRule="exact"/>
        <w:ind w:firstLine="640" w:firstLineChars="200"/>
        <w:rPr>
          <w:rFonts w:ascii="仿宋_GB2312" w:eastAsia="仿宋_GB2312"/>
          <w:sz w:val="32"/>
        </w:rPr>
      </w:pPr>
    </w:p>
    <w:p>
      <w:pPr>
        <w:spacing w:line="560" w:lineRule="exact"/>
        <w:jc w:val="center"/>
        <w:rPr>
          <w:rFonts w:ascii="黑体" w:hAnsi="黑体" w:eastAsia="黑体"/>
          <w:sz w:val="36"/>
        </w:rPr>
      </w:pPr>
      <w:r>
        <w:rPr>
          <w:rFonts w:ascii="黑体" w:hAnsi="黑体" w:eastAsia="黑体"/>
          <w:bCs/>
          <w:sz w:val="36"/>
        </w:rPr>
        <w:t>国家发展改革委疫情防控重点保障物资清单</w:t>
      </w:r>
    </w:p>
    <w:tbl>
      <w:tblPr>
        <w:tblStyle w:val="8"/>
        <w:tblW w:w="8834" w:type="dxa"/>
        <w:tblInd w:w="0" w:type="dxa"/>
        <w:tblLayout w:type="autofit"/>
        <w:tblCellMar>
          <w:top w:w="0" w:type="dxa"/>
          <w:left w:w="0" w:type="dxa"/>
          <w:bottom w:w="0" w:type="dxa"/>
          <w:right w:w="0" w:type="dxa"/>
        </w:tblCellMar>
      </w:tblPr>
      <w:tblGrid>
        <w:gridCol w:w="1001"/>
        <w:gridCol w:w="1161"/>
        <w:gridCol w:w="6672"/>
      </w:tblGrid>
      <w:tr>
        <w:tblPrEx>
          <w:tblCellMar>
            <w:top w:w="0" w:type="dxa"/>
            <w:left w:w="0" w:type="dxa"/>
            <w:bottom w:w="0" w:type="dxa"/>
            <w:right w:w="0" w:type="dxa"/>
          </w:tblCellMar>
        </w:tblPrEx>
        <w:trPr>
          <w:trHeight w:val="779" w:hRule="atLeast"/>
        </w:trPr>
        <w:tc>
          <w:tcPr>
            <w:tcW w:w="100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60" w:lineRule="exact"/>
              <w:jc w:val="center"/>
              <w:rPr>
                <w:rFonts w:ascii="仿宋_GB2312" w:eastAsia="仿宋_GB2312"/>
                <w:sz w:val="28"/>
              </w:rPr>
            </w:pPr>
            <w:r>
              <w:rPr>
                <w:rFonts w:hint="eastAsia" w:ascii="仿宋_GB2312" w:eastAsia="仿宋_GB2312"/>
                <w:sz w:val="28"/>
              </w:rPr>
              <w:t>序号</w:t>
            </w:r>
          </w:p>
        </w:tc>
        <w:tc>
          <w:tcPr>
            <w:tcW w:w="1161" w:type="dxa"/>
            <w:tcBorders>
              <w:top w:val="single" w:color="000000" w:sz="6" w:space="0"/>
              <w:left w:val="single" w:color="auto" w:sz="6" w:space="0"/>
              <w:bottom w:val="single" w:color="000000" w:sz="6" w:space="0"/>
              <w:right w:val="single" w:color="000000" w:sz="6" w:space="0"/>
            </w:tcBorders>
            <w:tcMar>
              <w:top w:w="0" w:type="dxa"/>
              <w:left w:w="108" w:type="dxa"/>
              <w:bottom w:w="0" w:type="dxa"/>
              <w:right w:w="108" w:type="dxa"/>
            </w:tcMar>
            <w:vAlign w:val="center"/>
          </w:tcPr>
          <w:p>
            <w:pPr>
              <w:spacing w:line="560" w:lineRule="exact"/>
              <w:jc w:val="center"/>
              <w:rPr>
                <w:rFonts w:ascii="仿宋_GB2312" w:eastAsia="仿宋_GB2312"/>
                <w:sz w:val="28"/>
              </w:rPr>
            </w:pPr>
            <w:r>
              <w:rPr>
                <w:rFonts w:hint="eastAsia" w:ascii="仿宋_GB2312" w:eastAsia="仿宋_GB2312"/>
                <w:sz w:val="28"/>
              </w:rPr>
              <w:t>类</w:t>
            </w:r>
          </w:p>
        </w:tc>
        <w:tc>
          <w:tcPr>
            <w:tcW w:w="6672" w:type="dxa"/>
            <w:tcBorders>
              <w:top w:val="single" w:color="000000" w:sz="6" w:space="0"/>
              <w:left w:val="single" w:color="auto" w:sz="6" w:space="0"/>
              <w:bottom w:val="single" w:color="000000" w:sz="6" w:space="0"/>
              <w:right w:val="single" w:color="000000" w:sz="6" w:space="0"/>
            </w:tcBorders>
            <w:tcMar>
              <w:top w:w="0" w:type="dxa"/>
              <w:left w:w="108" w:type="dxa"/>
              <w:bottom w:w="0" w:type="dxa"/>
              <w:right w:w="108" w:type="dxa"/>
            </w:tcMar>
            <w:vAlign w:val="center"/>
          </w:tcPr>
          <w:p>
            <w:pPr>
              <w:spacing w:line="560" w:lineRule="exact"/>
              <w:ind w:firstLine="560" w:firstLineChars="200"/>
              <w:rPr>
                <w:rFonts w:ascii="仿宋_GB2312" w:eastAsia="仿宋_GB2312"/>
                <w:sz w:val="28"/>
              </w:rPr>
            </w:pPr>
            <w:r>
              <w:rPr>
                <w:rFonts w:hint="eastAsia" w:ascii="仿宋_GB2312" w:eastAsia="仿宋_GB2312"/>
                <w:sz w:val="28"/>
              </w:rPr>
              <w:t>物资清单</w:t>
            </w:r>
          </w:p>
        </w:tc>
      </w:tr>
      <w:tr>
        <w:tblPrEx>
          <w:tblCellMar>
            <w:top w:w="0" w:type="dxa"/>
            <w:left w:w="0" w:type="dxa"/>
            <w:bottom w:w="0" w:type="dxa"/>
            <w:right w:w="0" w:type="dxa"/>
          </w:tblCellMar>
        </w:tblPrEx>
        <w:trPr>
          <w:trHeight w:val="3583" w:hRule="atLeast"/>
        </w:trPr>
        <w:tc>
          <w:tcPr>
            <w:tcW w:w="1001" w:type="dxa"/>
            <w:vMerge w:val="restart"/>
            <w:tcBorders>
              <w:top w:val="single" w:color="auto"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60" w:lineRule="exact"/>
              <w:jc w:val="center"/>
              <w:rPr>
                <w:rFonts w:ascii="仿宋_GB2312" w:eastAsia="仿宋_GB2312"/>
                <w:sz w:val="28"/>
              </w:rPr>
            </w:pPr>
            <w:r>
              <w:rPr>
                <w:rFonts w:hint="eastAsia" w:ascii="仿宋_GB2312" w:eastAsia="仿宋_GB2312"/>
                <w:sz w:val="28"/>
              </w:rPr>
              <w:t>一</w:t>
            </w:r>
          </w:p>
        </w:tc>
        <w:tc>
          <w:tcPr>
            <w:tcW w:w="1161" w:type="dxa"/>
            <w:vMerge w:val="restart"/>
            <w:tcBorders>
              <w:top w:val="single" w:color="auto" w:sz="6" w:space="0"/>
              <w:left w:val="single" w:color="auto" w:sz="6" w:space="0"/>
              <w:bottom w:val="single" w:color="000000" w:sz="6" w:space="0"/>
              <w:right w:val="single" w:color="000000" w:sz="6" w:space="0"/>
            </w:tcBorders>
            <w:tcMar>
              <w:top w:w="0" w:type="dxa"/>
              <w:left w:w="108" w:type="dxa"/>
              <w:bottom w:w="0" w:type="dxa"/>
              <w:right w:w="108" w:type="dxa"/>
            </w:tcMar>
            <w:vAlign w:val="center"/>
          </w:tcPr>
          <w:p>
            <w:pPr>
              <w:spacing w:line="560" w:lineRule="exact"/>
              <w:jc w:val="center"/>
              <w:rPr>
                <w:rFonts w:ascii="仿宋_GB2312" w:eastAsia="仿宋_GB2312"/>
                <w:sz w:val="28"/>
              </w:rPr>
            </w:pPr>
            <w:r>
              <w:rPr>
                <w:rFonts w:hint="eastAsia" w:ascii="仿宋_GB2312" w:eastAsia="仿宋_GB2312"/>
                <w:sz w:val="28"/>
              </w:rPr>
              <w:t>医疗应急物资</w:t>
            </w:r>
          </w:p>
        </w:tc>
        <w:tc>
          <w:tcPr>
            <w:tcW w:w="6672" w:type="dxa"/>
            <w:tcBorders>
              <w:top w:val="single" w:color="auto" w:sz="6" w:space="0"/>
              <w:left w:val="single" w:color="auto" w:sz="6" w:space="0"/>
              <w:bottom w:val="single" w:color="000000" w:sz="6" w:space="0"/>
              <w:right w:val="single" w:color="000000" w:sz="6" w:space="0"/>
            </w:tcBorders>
            <w:tcMar>
              <w:top w:w="0" w:type="dxa"/>
              <w:left w:w="108" w:type="dxa"/>
              <w:bottom w:w="0" w:type="dxa"/>
              <w:right w:w="108" w:type="dxa"/>
            </w:tcMar>
            <w:vAlign w:val="center"/>
          </w:tcPr>
          <w:p>
            <w:pPr>
              <w:spacing w:line="520" w:lineRule="exact"/>
              <w:ind w:firstLine="560" w:firstLineChars="200"/>
              <w:rPr>
                <w:rFonts w:ascii="仿宋_GB2312" w:eastAsia="仿宋_GB2312"/>
                <w:sz w:val="28"/>
              </w:rPr>
            </w:pPr>
            <w:r>
              <w:rPr>
                <w:rFonts w:hint="eastAsia" w:ascii="仿宋_GB2312" w:eastAsia="仿宋_GB2312"/>
                <w:sz w:val="28"/>
              </w:rPr>
              <w:t>1.应对疫情使用的医用防护服、隔离服、隔离面罩、医用及具有防护作用的民用口罩、医用护目镜、新型冠状病毒检测试剂盒、负压救护车、消毒机、消杀用品、红外测温仪、智能监测检测系统、相关医疗器械、酒精和药品等重要医用物资。</w:t>
            </w:r>
          </w:p>
        </w:tc>
      </w:tr>
      <w:tr>
        <w:tblPrEx>
          <w:tblCellMar>
            <w:top w:w="0" w:type="dxa"/>
            <w:left w:w="0" w:type="dxa"/>
            <w:bottom w:w="0" w:type="dxa"/>
            <w:right w:w="0" w:type="dxa"/>
          </w:tblCellMar>
        </w:tblPrEx>
        <w:trPr>
          <w:trHeight w:val="200" w:hRule="atLeast"/>
        </w:trPr>
        <w:tc>
          <w:tcPr>
            <w:tcW w:w="0" w:type="auto"/>
            <w:vMerge w:val="continue"/>
            <w:tcBorders>
              <w:top w:val="single" w:color="auto" w:sz="6" w:space="0"/>
              <w:left w:val="single" w:color="000000" w:sz="6" w:space="0"/>
              <w:bottom w:val="single" w:color="000000" w:sz="6" w:space="0"/>
              <w:right w:val="single" w:color="000000" w:sz="6" w:space="0"/>
            </w:tcBorders>
            <w:vAlign w:val="center"/>
          </w:tcPr>
          <w:p>
            <w:pPr>
              <w:spacing w:line="560" w:lineRule="exact"/>
              <w:ind w:firstLine="560" w:firstLineChars="200"/>
              <w:jc w:val="center"/>
              <w:rPr>
                <w:rFonts w:ascii="仿宋_GB2312" w:eastAsia="仿宋_GB2312"/>
                <w:sz w:val="28"/>
              </w:rPr>
            </w:pPr>
          </w:p>
        </w:tc>
        <w:tc>
          <w:tcPr>
            <w:tcW w:w="1161" w:type="dxa"/>
            <w:vMerge w:val="continue"/>
            <w:tcBorders>
              <w:top w:val="single" w:color="auto" w:sz="6" w:space="0"/>
              <w:left w:val="single" w:color="auto" w:sz="6" w:space="0"/>
              <w:bottom w:val="single" w:color="000000" w:sz="6" w:space="0"/>
              <w:right w:val="single" w:color="000000" w:sz="6" w:space="0"/>
            </w:tcBorders>
            <w:vAlign w:val="center"/>
          </w:tcPr>
          <w:p>
            <w:pPr>
              <w:spacing w:line="560" w:lineRule="exact"/>
              <w:ind w:firstLine="560" w:firstLineChars="200"/>
              <w:jc w:val="center"/>
              <w:rPr>
                <w:rFonts w:ascii="仿宋_GB2312" w:eastAsia="仿宋_GB2312"/>
                <w:sz w:val="28"/>
              </w:rPr>
            </w:pPr>
          </w:p>
        </w:tc>
        <w:tc>
          <w:tcPr>
            <w:tcW w:w="6672" w:type="dxa"/>
            <w:tcBorders>
              <w:top w:val="single" w:color="auto" w:sz="6" w:space="0"/>
              <w:left w:val="single" w:color="auto" w:sz="6" w:space="0"/>
              <w:bottom w:val="single" w:color="000000" w:sz="6" w:space="0"/>
              <w:right w:val="single" w:color="000000" w:sz="6" w:space="0"/>
            </w:tcBorders>
            <w:tcMar>
              <w:top w:w="0" w:type="dxa"/>
              <w:left w:w="108" w:type="dxa"/>
              <w:bottom w:w="0" w:type="dxa"/>
              <w:right w:w="108" w:type="dxa"/>
            </w:tcMar>
            <w:vAlign w:val="center"/>
          </w:tcPr>
          <w:p>
            <w:pPr>
              <w:spacing w:line="520" w:lineRule="exact"/>
              <w:ind w:firstLine="560" w:firstLineChars="200"/>
              <w:rPr>
                <w:rFonts w:ascii="仿宋_GB2312" w:eastAsia="仿宋_GB2312"/>
                <w:sz w:val="28"/>
              </w:rPr>
            </w:pPr>
            <w:r>
              <w:rPr>
                <w:rFonts w:hint="eastAsia" w:ascii="仿宋_GB2312" w:eastAsia="仿宋_GB2312"/>
                <w:sz w:val="28"/>
              </w:rPr>
              <w:t>2.生产上述物资所需的重要原辅材料、重要设备和相关配套设备。</w:t>
            </w:r>
          </w:p>
        </w:tc>
      </w:tr>
      <w:tr>
        <w:tblPrEx>
          <w:tblCellMar>
            <w:top w:w="0" w:type="dxa"/>
            <w:left w:w="0" w:type="dxa"/>
            <w:bottom w:w="0" w:type="dxa"/>
            <w:right w:w="0" w:type="dxa"/>
          </w:tblCellMar>
        </w:tblPrEx>
        <w:trPr>
          <w:trHeight w:val="200" w:hRule="atLeast"/>
        </w:trPr>
        <w:tc>
          <w:tcPr>
            <w:tcW w:w="0" w:type="auto"/>
            <w:vMerge w:val="continue"/>
            <w:tcBorders>
              <w:top w:val="single" w:color="auto" w:sz="6" w:space="0"/>
              <w:left w:val="single" w:color="000000" w:sz="6" w:space="0"/>
              <w:bottom w:val="single" w:color="000000" w:sz="6" w:space="0"/>
              <w:right w:val="single" w:color="000000" w:sz="6" w:space="0"/>
            </w:tcBorders>
            <w:vAlign w:val="center"/>
          </w:tcPr>
          <w:p>
            <w:pPr>
              <w:spacing w:line="560" w:lineRule="exact"/>
              <w:ind w:firstLine="560" w:firstLineChars="200"/>
              <w:jc w:val="center"/>
              <w:rPr>
                <w:rFonts w:ascii="仿宋_GB2312" w:eastAsia="仿宋_GB2312"/>
                <w:sz w:val="28"/>
              </w:rPr>
            </w:pPr>
          </w:p>
        </w:tc>
        <w:tc>
          <w:tcPr>
            <w:tcW w:w="1161" w:type="dxa"/>
            <w:vMerge w:val="continue"/>
            <w:tcBorders>
              <w:top w:val="single" w:color="auto" w:sz="6" w:space="0"/>
              <w:left w:val="single" w:color="auto" w:sz="6" w:space="0"/>
              <w:bottom w:val="single" w:color="000000" w:sz="6" w:space="0"/>
              <w:right w:val="single" w:color="000000" w:sz="6" w:space="0"/>
            </w:tcBorders>
            <w:vAlign w:val="center"/>
          </w:tcPr>
          <w:p>
            <w:pPr>
              <w:spacing w:line="560" w:lineRule="exact"/>
              <w:ind w:firstLine="560" w:firstLineChars="200"/>
              <w:jc w:val="center"/>
              <w:rPr>
                <w:rFonts w:ascii="仿宋_GB2312" w:eastAsia="仿宋_GB2312"/>
                <w:sz w:val="28"/>
              </w:rPr>
            </w:pPr>
          </w:p>
        </w:tc>
        <w:tc>
          <w:tcPr>
            <w:tcW w:w="6672" w:type="dxa"/>
            <w:tcBorders>
              <w:top w:val="single" w:color="auto" w:sz="6" w:space="0"/>
              <w:left w:val="single" w:color="auto" w:sz="6" w:space="0"/>
              <w:bottom w:val="single" w:color="000000" w:sz="6" w:space="0"/>
              <w:right w:val="single" w:color="000000" w:sz="6" w:space="0"/>
            </w:tcBorders>
            <w:tcMar>
              <w:top w:w="0" w:type="dxa"/>
              <w:left w:w="108" w:type="dxa"/>
              <w:bottom w:w="0" w:type="dxa"/>
              <w:right w:w="108" w:type="dxa"/>
            </w:tcMar>
            <w:vAlign w:val="center"/>
          </w:tcPr>
          <w:p>
            <w:pPr>
              <w:spacing w:line="520" w:lineRule="exact"/>
              <w:ind w:firstLine="560" w:firstLineChars="200"/>
              <w:rPr>
                <w:rFonts w:ascii="仿宋_GB2312" w:eastAsia="仿宋_GB2312"/>
                <w:sz w:val="28"/>
              </w:rPr>
            </w:pPr>
            <w:r>
              <w:rPr>
                <w:rFonts w:hint="eastAsia" w:ascii="仿宋_GB2312" w:eastAsia="仿宋_GB2312"/>
                <w:sz w:val="28"/>
              </w:rPr>
              <w:t>3.为应对疫情提供相关信息的通信设备。</w:t>
            </w:r>
          </w:p>
        </w:tc>
      </w:tr>
      <w:tr>
        <w:tblPrEx>
          <w:tblCellMar>
            <w:top w:w="0" w:type="dxa"/>
            <w:left w:w="0" w:type="dxa"/>
            <w:bottom w:w="0" w:type="dxa"/>
            <w:right w:w="0" w:type="dxa"/>
          </w:tblCellMar>
        </w:tblPrEx>
        <w:trPr>
          <w:trHeight w:val="229" w:hRule="atLeast"/>
        </w:trPr>
        <w:tc>
          <w:tcPr>
            <w:tcW w:w="1001" w:type="dxa"/>
            <w:vMerge w:val="restart"/>
            <w:tcBorders>
              <w:top w:val="single" w:color="auto"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60" w:lineRule="exact"/>
              <w:jc w:val="center"/>
              <w:rPr>
                <w:rFonts w:ascii="仿宋_GB2312" w:eastAsia="仿宋_GB2312"/>
                <w:sz w:val="28"/>
              </w:rPr>
            </w:pPr>
            <w:r>
              <w:rPr>
                <w:rFonts w:hint="eastAsia" w:ascii="仿宋_GB2312" w:eastAsia="仿宋_GB2312"/>
                <w:sz w:val="28"/>
              </w:rPr>
              <w:t>二</w:t>
            </w:r>
          </w:p>
        </w:tc>
        <w:tc>
          <w:tcPr>
            <w:tcW w:w="1161" w:type="dxa"/>
            <w:vMerge w:val="restart"/>
            <w:tcBorders>
              <w:top w:val="single" w:color="auto" w:sz="6" w:space="0"/>
              <w:left w:val="single" w:color="auto" w:sz="6" w:space="0"/>
              <w:bottom w:val="single" w:color="000000" w:sz="6" w:space="0"/>
              <w:right w:val="single" w:color="000000" w:sz="6" w:space="0"/>
            </w:tcBorders>
            <w:tcMar>
              <w:top w:w="0" w:type="dxa"/>
              <w:left w:w="108" w:type="dxa"/>
              <w:bottom w:w="0" w:type="dxa"/>
              <w:right w:w="108" w:type="dxa"/>
            </w:tcMar>
            <w:vAlign w:val="center"/>
          </w:tcPr>
          <w:p>
            <w:pPr>
              <w:spacing w:line="560" w:lineRule="exact"/>
              <w:jc w:val="center"/>
              <w:rPr>
                <w:rFonts w:ascii="仿宋_GB2312" w:eastAsia="仿宋_GB2312"/>
                <w:sz w:val="28"/>
              </w:rPr>
            </w:pPr>
            <w:r>
              <w:rPr>
                <w:rFonts w:hint="eastAsia" w:ascii="仿宋_GB2312" w:eastAsia="仿宋_GB2312"/>
                <w:sz w:val="28"/>
              </w:rPr>
              <w:t>生活物资</w:t>
            </w:r>
          </w:p>
        </w:tc>
        <w:tc>
          <w:tcPr>
            <w:tcW w:w="6672" w:type="dxa"/>
            <w:tcBorders>
              <w:top w:val="single" w:color="auto" w:sz="6" w:space="0"/>
              <w:left w:val="single" w:color="auto" w:sz="6" w:space="0"/>
              <w:bottom w:val="single" w:color="000000" w:sz="6" w:space="0"/>
              <w:right w:val="single" w:color="000000" w:sz="6" w:space="0"/>
            </w:tcBorders>
            <w:tcMar>
              <w:top w:w="0" w:type="dxa"/>
              <w:left w:w="108" w:type="dxa"/>
              <w:bottom w:w="0" w:type="dxa"/>
              <w:right w:w="108" w:type="dxa"/>
            </w:tcMar>
            <w:vAlign w:val="center"/>
          </w:tcPr>
          <w:p>
            <w:pPr>
              <w:spacing w:line="520" w:lineRule="exact"/>
              <w:ind w:firstLine="560" w:firstLineChars="200"/>
              <w:rPr>
                <w:rFonts w:ascii="仿宋_GB2312" w:eastAsia="仿宋_GB2312"/>
                <w:sz w:val="28"/>
              </w:rPr>
            </w:pPr>
            <w:r>
              <w:rPr>
                <w:rFonts w:hint="eastAsia" w:ascii="仿宋_GB2312" w:eastAsia="仿宋_GB2312"/>
                <w:sz w:val="28"/>
              </w:rPr>
              <w:t>1.帐篷、棉被、棉大衣、折叠床等救灾物资。</w:t>
            </w:r>
          </w:p>
        </w:tc>
      </w:tr>
      <w:tr>
        <w:tblPrEx>
          <w:tblCellMar>
            <w:top w:w="0" w:type="dxa"/>
            <w:left w:w="0" w:type="dxa"/>
            <w:bottom w:w="0" w:type="dxa"/>
            <w:right w:w="0" w:type="dxa"/>
          </w:tblCellMar>
        </w:tblPrEx>
        <w:trPr>
          <w:trHeight w:val="200" w:hRule="atLeast"/>
        </w:trPr>
        <w:tc>
          <w:tcPr>
            <w:tcW w:w="0" w:type="auto"/>
            <w:vMerge w:val="continue"/>
            <w:tcBorders>
              <w:top w:val="single" w:color="auto" w:sz="6" w:space="0"/>
              <w:left w:val="single" w:color="000000" w:sz="6" w:space="0"/>
              <w:bottom w:val="single" w:color="000000" w:sz="6" w:space="0"/>
              <w:right w:val="single" w:color="000000" w:sz="6" w:space="0"/>
            </w:tcBorders>
            <w:vAlign w:val="center"/>
          </w:tcPr>
          <w:p>
            <w:pPr>
              <w:spacing w:line="560" w:lineRule="exact"/>
              <w:ind w:firstLine="560" w:firstLineChars="200"/>
              <w:rPr>
                <w:rFonts w:ascii="仿宋_GB2312" w:eastAsia="仿宋_GB2312"/>
                <w:sz w:val="28"/>
              </w:rPr>
            </w:pPr>
          </w:p>
        </w:tc>
        <w:tc>
          <w:tcPr>
            <w:tcW w:w="1161" w:type="dxa"/>
            <w:vMerge w:val="continue"/>
            <w:tcBorders>
              <w:top w:val="single" w:color="auto" w:sz="6" w:space="0"/>
              <w:left w:val="single" w:color="auto" w:sz="6" w:space="0"/>
              <w:bottom w:val="single" w:color="000000" w:sz="6" w:space="0"/>
              <w:right w:val="single" w:color="000000" w:sz="6" w:space="0"/>
            </w:tcBorders>
            <w:vAlign w:val="center"/>
          </w:tcPr>
          <w:p>
            <w:pPr>
              <w:spacing w:line="560" w:lineRule="exact"/>
              <w:ind w:firstLine="560" w:firstLineChars="200"/>
              <w:rPr>
                <w:rFonts w:ascii="仿宋_GB2312" w:eastAsia="仿宋_GB2312"/>
                <w:sz w:val="28"/>
              </w:rPr>
            </w:pPr>
          </w:p>
        </w:tc>
        <w:tc>
          <w:tcPr>
            <w:tcW w:w="6672" w:type="dxa"/>
            <w:tcBorders>
              <w:top w:val="single" w:color="auto" w:sz="6" w:space="0"/>
              <w:left w:val="single" w:color="auto" w:sz="6" w:space="0"/>
              <w:bottom w:val="single" w:color="000000" w:sz="6" w:space="0"/>
              <w:right w:val="single" w:color="000000" w:sz="6" w:space="0"/>
            </w:tcBorders>
            <w:tcMar>
              <w:top w:w="0" w:type="dxa"/>
              <w:left w:w="108" w:type="dxa"/>
              <w:bottom w:w="0" w:type="dxa"/>
              <w:right w:w="108" w:type="dxa"/>
            </w:tcMar>
            <w:vAlign w:val="center"/>
          </w:tcPr>
          <w:p>
            <w:pPr>
              <w:spacing w:line="520" w:lineRule="exact"/>
              <w:ind w:firstLine="560" w:firstLineChars="200"/>
              <w:rPr>
                <w:rFonts w:ascii="仿宋_GB2312" w:eastAsia="仿宋_GB2312"/>
                <w:sz w:val="28"/>
              </w:rPr>
            </w:pPr>
            <w:r>
              <w:rPr>
                <w:rFonts w:hint="eastAsia" w:ascii="仿宋_GB2312" w:eastAsia="仿宋_GB2312"/>
                <w:sz w:val="28"/>
              </w:rPr>
              <w:t>2.疫情防控期间市场需要重点保供的粮食、食用油、食盐、糖，以及蔬菜、肉蛋奶、水产品等"菜篮子"产品，方便和速冻食品等重要生活必需品。</w:t>
            </w:r>
          </w:p>
        </w:tc>
      </w:tr>
      <w:tr>
        <w:tblPrEx>
          <w:tblCellMar>
            <w:top w:w="0" w:type="dxa"/>
            <w:left w:w="0" w:type="dxa"/>
            <w:bottom w:w="0" w:type="dxa"/>
            <w:right w:w="0" w:type="dxa"/>
          </w:tblCellMar>
        </w:tblPrEx>
        <w:trPr>
          <w:trHeight w:val="200" w:hRule="atLeast"/>
        </w:trPr>
        <w:tc>
          <w:tcPr>
            <w:tcW w:w="0" w:type="auto"/>
            <w:vMerge w:val="continue"/>
            <w:tcBorders>
              <w:top w:val="single" w:color="auto" w:sz="6" w:space="0"/>
              <w:left w:val="single" w:color="000000" w:sz="6" w:space="0"/>
              <w:bottom w:val="single" w:color="000000" w:sz="6" w:space="0"/>
              <w:right w:val="single" w:color="000000" w:sz="6" w:space="0"/>
            </w:tcBorders>
            <w:vAlign w:val="center"/>
          </w:tcPr>
          <w:p>
            <w:pPr>
              <w:spacing w:line="560" w:lineRule="exact"/>
              <w:ind w:firstLine="560" w:firstLineChars="200"/>
              <w:rPr>
                <w:rFonts w:ascii="仿宋_GB2312" w:eastAsia="仿宋_GB2312"/>
                <w:sz w:val="28"/>
              </w:rPr>
            </w:pPr>
          </w:p>
        </w:tc>
        <w:tc>
          <w:tcPr>
            <w:tcW w:w="1161" w:type="dxa"/>
            <w:vMerge w:val="continue"/>
            <w:tcBorders>
              <w:top w:val="single" w:color="auto" w:sz="6" w:space="0"/>
              <w:left w:val="single" w:color="auto" w:sz="6" w:space="0"/>
              <w:bottom w:val="single" w:color="000000" w:sz="6" w:space="0"/>
              <w:right w:val="single" w:color="000000" w:sz="6" w:space="0"/>
            </w:tcBorders>
            <w:vAlign w:val="center"/>
          </w:tcPr>
          <w:p>
            <w:pPr>
              <w:spacing w:line="560" w:lineRule="exact"/>
              <w:ind w:firstLine="560" w:firstLineChars="200"/>
              <w:rPr>
                <w:rFonts w:ascii="仿宋_GB2312" w:eastAsia="仿宋_GB2312"/>
                <w:sz w:val="28"/>
              </w:rPr>
            </w:pPr>
          </w:p>
        </w:tc>
        <w:tc>
          <w:tcPr>
            <w:tcW w:w="6672" w:type="dxa"/>
            <w:tcBorders>
              <w:top w:val="single" w:color="auto" w:sz="6" w:space="0"/>
              <w:left w:val="single" w:color="auto" w:sz="6" w:space="0"/>
              <w:bottom w:val="single" w:color="000000" w:sz="6" w:space="0"/>
              <w:right w:val="single" w:color="000000" w:sz="6" w:space="0"/>
            </w:tcBorders>
            <w:tcMar>
              <w:top w:w="0" w:type="dxa"/>
              <w:left w:w="108" w:type="dxa"/>
              <w:bottom w:w="0" w:type="dxa"/>
              <w:right w:w="108" w:type="dxa"/>
            </w:tcMar>
            <w:vAlign w:val="center"/>
          </w:tcPr>
          <w:p>
            <w:pPr>
              <w:spacing w:line="520" w:lineRule="exact"/>
              <w:ind w:firstLine="560" w:firstLineChars="200"/>
              <w:rPr>
                <w:rFonts w:ascii="仿宋_GB2312" w:eastAsia="仿宋_GB2312"/>
                <w:sz w:val="28"/>
              </w:rPr>
            </w:pPr>
            <w:r>
              <w:rPr>
                <w:rFonts w:hint="eastAsia" w:ascii="仿宋_GB2312" w:eastAsia="仿宋_GB2312"/>
                <w:sz w:val="28"/>
              </w:rPr>
              <w:t>3.蔬菜种苗、仔畜雏禽及种畜禽、水产种苗、饲料、化肥、种子、农药等农用物资。</w:t>
            </w:r>
          </w:p>
        </w:tc>
      </w:tr>
    </w:tbl>
    <w:p>
      <w:pPr>
        <w:spacing w:line="560" w:lineRule="exact"/>
        <w:ind w:firstLine="640" w:firstLineChars="200"/>
        <w:rPr>
          <w:rFonts w:hint="eastAsia" w:ascii="仿宋_GB2312" w:eastAsia="仿宋_GB2312"/>
          <w:sz w:val="32"/>
        </w:rPr>
      </w:pPr>
      <w:r>
        <w:rPr>
          <w:rFonts w:hint="eastAsia" w:ascii="仿宋_GB2312" w:eastAsia="仿宋_GB2312"/>
          <w:sz w:val="32"/>
        </w:rPr>
        <w:t> </w:t>
      </w:r>
    </w:p>
    <w:p>
      <w:pPr>
        <w:spacing w:line="560" w:lineRule="exact"/>
        <w:ind w:firstLine="640" w:firstLineChars="200"/>
        <w:rPr>
          <w:rFonts w:hint="eastAsia" w:ascii="仿宋_GB2312" w:eastAsia="仿宋_GB2312"/>
          <w:sz w:val="32"/>
        </w:rPr>
      </w:pPr>
    </w:p>
    <w:p>
      <w:pPr>
        <w:spacing w:line="560" w:lineRule="exact"/>
        <w:ind w:firstLine="640" w:firstLineChars="200"/>
        <w:rPr>
          <w:rFonts w:hint="eastAsia" w:ascii="仿宋_GB2312" w:eastAsia="仿宋_GB2312"/>
          <w:sz w:val="32"/>
        </w:rPr>
      </w:pPr>
    </w:p>
    <w:p>
      <w:pPr>
        <w:spacing w:line="560" w:lineRule="exact"/>
        <w:ind w:firstLine="640" w:firstLineChars="200"/>
        <w:rPr>
          <w:rFonts w:hint="eastAsia" w:ascii="仿宋_GB2312" w:eastAsia="仿宋_GB2312"/>
          <w:sz w:val="32"/>
        </w:rPr>
      </w:pPr>
    </w:p>
    <w:p>
      <w:pPr>
        <w:spacing w:line="560" w:lineRule="exact"/>
        <w:ind w:firstLine="640" w:firstLineChars="200"/>
        <w:rPr>
          <w:rFonts w:ascii="仿宋_GB2312" w:eastAsia="仿宋_GB2312"/>
          <w:sz w:val="32"/>
        </w:rPr>
      </w:pPr>
    </w:p>
    <w:p>
      <w:pPr>
        <w:spacing w:line="560" w:lineRule="exact"/>
        <w:jc w:val="center"/>
        <w:rPr>
          <w:rFonts w:ascii="黑体" w:hAnsi="黑体" w:eastAsia="黑体"/>
          <w:bCs/>
          <w:sz w:val="32"/>
        </w:rPr>
      </w:pPr>
      <w:r>
        <w:rPr>
          <w:rFonts w:ascii="黑体" w:hAnsi="黑体" w:eastAsia="黑体"/>
          <w:bCs/>
          <w:sz w:val="32"/>
        </w:rPr>
        <w:t>工业和信息化部疫情防控重点保障物资（医疗应急）清单</w:t>
      </w:r>
    </w:p>
    <w:tbl>
      <w:tblPr>
        <w:tblStyle w:val="8"/>
        <w:tblW w:w="9229" w:type="dxa"/>
        <w:jc w:val="center"/>
        <w:tblLayout w:type="autofit"/>
        <w:tblCellMar>
          <w:top w:w="0" w:type="dxa"/>
          <w:left w:w="0" w:type="dxa"/>
          <w:bottom w:w="0" w:type="dxa"/>
          <w:right w:w="0" w:type="dxa"/>
        </w:tblCellMar>
      </w:tblPr>
      <w:tblGrid>
        <w:gridCol w:w="510"/>
        <w:gridCol w:w="960"/>
        <w:gridCol w:w="2220"/>
        <w:gridCol w:w="5539"/>
      </w:tblGrid>
      <w:tr>
        <w:tblPrEx>
          <w:tblCellMar>
            <w:top w:w="0" w:type="dxa"/>
            <w:left w:w="0" w:type="dxa"/>
            <w:bottom w:w="0" w:type="dxa"/>
            <w:right w:w="0" w:type="dxa"/>
          </w:tblCellMar>
        </w:tblPrEx>
        <w:trPr>
          <w:trHeight w:val="450" w:hRule="atLeast"/>
          <w:tblHeader/>
          <w:jc w:val="center"/>
        </w:trPr>
        <w:tc>
          <w:tcPr>
            <w:tcW w:w="51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jc w:val="center"/>
              <w:rPr>
                <w:rFonts w:hint="eastAsia" w:ascii="仿宋_GB2312" w:eastAsia="仿宋_GB2312"/>
                <w:sz w:val="28"/>
                <w:szCs w:val="28"/>
              </w:rPr>
            </w:pPr>
            <w:r>
              <w:rPr>
                <w:rFonts w:hint="eastAsia" w:ascii="仿宋_GB2312" w:eastAsia="仿宋_GB2312"/>
                <w:sz w:val="28"/>
                <w:szCs w:val="28"/>
              </w:rPr>
              <w:t>序</w:t>
            </w:r>
          </w:p>
          <w:p>
            <w:pPr>
              <w:spacing w:line="380" w:lineRule="exact"/>
              <w:jc w:val="center"/>
              <w:rPr>
                <w:rFonts w:ascii="仿宋_GB2312" w:eastAsia="仿宋_GB2312"/>
                <w:sz w:val="28"/>
                <w:szCs w:val="28"/>
              </w:rPr>
            </w:pPr>
            <w:r>
              <w:rPr>
                <w:rFonts w:hint="eastAsia" w:ascii="仿宋_GB2312" w:eastAsia="仿宋_GB2312"/>
                <w:sz w:val="28"/>
                <w:szCs w:val="28"/>
              </w:rPr>
              <w:t>号</w:t>
            </w:r>
          </w:p>
        </w:tc>
        <w:tc>
          <w:tcPr>
            <w:tcW w:w="96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jc w:val="center"/>
              <w:rPr>
                <w:rFonts w:hint="eastAsia" w:ascii="仿宋_GB2312" w:eastAsia="仿宋_GB2312"/>
                <w:sz w:val="28"/>
                <w:szCs w:val="28"/>
              </w:rPr>
            </w:pPr>
            <w:r>
              <w:rPr>
                <w:rFonts w:hint="eastAsia" w:ascii="仿宋_GB2312" w:eastAsia="仿宋_GB2312"/>
                <w:sz w:val="28"/>
                <w:szCs w:val="28"/>
              </w:rPr>
              <w:t>一级</w:t>
            </w:r>
          </w:p>
          <w:p>
            <w:pPr>
              <w:spacing w:line="380" w:lineRule="exact"/>
              <w:jc w:val="center"/>
              <w:rPr>
                <w:rFonts w:ascii="仿宋_GB2312" w:eastAsia="仿宋_GB2312"/>
                <w:sz w:val="28"/>
                <w:szCs w:val="28"/>
              </w:rPr>
            </w:pPr>
            <w:r>
              <w:rPr>
                <w:rFonts w:hint="eastAsia" w:ascii="仿宋_GB2312" w:eastAsia="仿宋_GB2312"/>
                <w:sz w:val="28"/>
                <w:szCs w:val="28"/>
              </w:rPr>
              <w:t>分类</w:t>
            </w:r>
          </w:p>
        </w:tc>
        <w:tc>
          <w:tcPr>
            <w:tcW w:w="222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jc w:val="center"/>
              <w:rPr>
                <w:rFonts w:ascii="仿宋_GB2312" w:eastAsia="仿宋_GB2312"/>
                <w:sz w:val="28"/>
                <w:szCs w:val="28"/>
              </w:rPr>
            </w:pPr>
            <w:r>
              <w:rPr>
                <w:rFonts w:hint="eastAsia" w:ascii="仿宋_GB2312" w:eastAsia="仿宋_GB2312"/>
                <w:sz w:val="28"/>
                <w:szCs w:val="28"/>
              </w:rPr>
              <w:t>二级分类</w:t>
            </w:r>
          </w:p>
        </w:tc>
        <w:tc>
          <w:tcPr>
            <w:tcW w:w="55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jc w:val="center"/>
              <w:rPr>
                <w:rFonts w:ascii="仿宋_GB2312" w:eastAsia="仿宋_GB2312"/>
                <w:sz w:val="28"/>
                <w:szCs w:val="28"/>
              </w:rPr>
            </w:pPr>
            <w:r>
              <w:rPr>
                <w:rFonts w:hint="eastAsia" w:ascii="仿宋_GB2312" w:eastAsia="仿宋_GB2312"/>
                <w:sz w:val="28"/>
                <w:szCs w:val="28"/>
              </w:rPr>
              <w:t>物资清单</w:t>
            </w:r>
          </w:p>
        </w:tc>
      </w:tr>
      <w:tr>
        <w:tblPrEx>
          <w:tblCellMar>
            <w:top w:w="0" w:type="dxa"/>
            <w:left w:w="0" w:type="dxa"/>
            <w:bottom w:w="0" w:type="dxa"/>
            <w:right w:w="0" w:type="dxa"/>
          </w:tblCellMar>
        </w:tblPrEx>
        <w:trPr>
          <w:trHeight w:val="885" w:hRule="atLeast"/>
          <w:jc w:val="center"/>
        </w:trPr>
        <w:tc>
          <w:tcPr>
            <w:tcW w:w="51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jc w:val="center"/>
              <w:rPr>
                <w:rFonts w:ascii="仿宋_GB2312" w:eastAsia="仿宋_GB2312"/>
                <w:sz w:val="28"/>
                <w:szCs w:val="28"/>
              </w:rPr>
            </w:pPr>
            <w:r>
              <w:rPr>
                <w:rFonts w:hint="eastAsia" w:ascii="仿宋_GB2312" w:eastAsia="仿宋_GB2312"/>
                <w:sz w:val="28"/>
                <w:szCs w:val="28"/>
              </w:rPr>
              <w:t>1</w:t>
            </w:r>
          </w:p>
        </w:tc>
        <w:tc>
          <w:tcPr>
            <w:tcW w:w="960" w:type="dxa"/>
            <w:vMerge w:val="restart"/>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一、药品</w:t>
            </w:r>
          </w:p>
        </w:tc>
        <w:tc>
          <w:tcPr>
            <w:tcW w:w="222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（一）一般治疗</w:t>
            </w:r>
            <w:r>
              <w:rPr>
                <w:rFonts w:ascii="仿宋_GB2312" w:eastAsia="仿宋_GB2312"/>
                <w:sz w:val="28"/>
                <w:szCs w:val="28"/>
              </w:rPr>
              <w:t>及重</w:t>
            </w:r>
            <w:r>
              <w:rPr>
                <w:rFonts w:hint="eastAsia" w:ascii="仿宋_GB2312" w:eastAsia="仿宋_GB2312"/>
                <w:sz w:val="28"/>
                <w:szCs w:val="28"/>
              </w:rPr>
              <w:t>型、危重型病例治疗药品</w:t>
            </w:r>
          </w:p>
        </w:tc>
        <w:tc>
          <w:tcPr>
            <w:tcW w:w="55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α-干扰素、洛匹那韦利托那韦片（盒）、抗菌药物、甲泼尼龙、糖皮质激素等经卫生健康、药监部门依程序确认治疗有效的药品和疫苗（以国家卫健委新型冠状病毒感染的肺炎诊疗方案为准）。</w:t>
            </w:r>
          </w:p>
        </w:tc>
      </w:tr>
      <w:tr>
        <w:tblPrEx>
          <w:tblCellMar>
            <w:top w:w="0" w:type="dxa"/>
            <w:left w:w="0" w:type="dxa"/>
            <w:bottom w:w="0" w:type="dxa"/>
            <w:right w:w="0" w:type="dxa"/>
          </w:tblCellMar>
        </w:tblPrEx>
        <w:trPr>
          <w:trHeight w:val="2220" w:hRule="atLeast"/>
          <w:jc w:val="center"/>
        </w:trPr>
        <w:tc>
          <w:tcPr>
            <w:tcW w:w="51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jc w:val="center"/>
              <w:rPr>
                <w:rFonts w:ascii="仿宋_GB2312" w:eastAsia="仿宋_GB2312"/>
                <w:sz w:val="28"/>
                <w:szCs w:val="28"/>
              </w:rPr>
            </w:pPr>
            <w:r>
              <w:rPr>
                <w:rFonts w:hint="eastAsia" w:ascii="仿宋_GB2312" w:eastAsia="仿宋_GB2312"/>
                <w:sz w:val="28"/>
                <w:szCs w:val="28"/>
              </w:rPr>
              <w:t>2</w:t>
            </w:r>
          </w:p>
        </w:tc>
        <w:tc>
          <w:tcPr>
            <w:tcW w:w="0" w:type="auto"/>
            <w:vMerge w:val="continue"/>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ind w:firstLine="560" w:firstLineChars="200"/>
              <w:rPr>
                <w:rFonts w:ascii="仿宋_GB2312" w:eastAsia="仿宋_GB2312"/>
                <w:sz w:val="28"/>
                <w:szCs w:val="28"/>
              </w:rPr>
            </w:pPr>
          </w:p>
        </w:tc>
        <w:tc>
          <w:tcPr>
            <w:tcW w:w="222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（二）中医治疗药品</w:t>
            </w:r>
          </w:p>
        </w:tc>
        <w:tc>
          <w:tcPr>
            <w:tcW w:w="55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藿香正气胶囊（丸、水、口服液）、金花清感颗粒、连花清瘟胶囊（颗粒）、疏风解毒胶囊（颗粒）、防风通圣丸（颗粒）、喜炎平注射剂、血必净注射剂、参附注射液、生脉注射液、苏合香丸、安宫牛黄丸等中成药（以国家卫健委新型冠状病毒感染的肺炎诊疗方案为准）。苍术、陈皮、厚朴、藿香、草果、生麻黄、羌活、生姜、槟郎、杏仁、生石膏、瓜蒌、生大黄、葶苈子、桃仁、人参、黑顺片、山茱萸、法半夏、党参、炙黄芪、茯苓、砂仁等中药饮片（以国家卫健委新型冠状病毒感染的肺炎诊疗方案为准）。</w:t>
            </w:r>
          </w:p>
        </w:tc>
      </w:tr>
      <w:tr>
        <w:tblPrEx>
          <w:tblCellMar>
            <w:top w:w="0" w:type="dxa"/>
            <w:left w:w="0" w:type="dxa"/>
            <w:bottom w:w="0" w:type="dxa"/>
            <w:right w:w="0" w:type="dxa"/>
          </w:tblCellMar>
        </w:tblPrEx>
        <w:trPr>
          <w:trHeight w:val="225" w:hRule="atLeast"/>
          <w:jc w:val="center"/>
        </w:trPr>
        <w:tc>
          <w:tcPr>
            <w:tcW w:w="51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jc w:val="center"/>
              <w:rPr>
                <w:rFonts w:ascii="仿宋_GB2312" w:eastAsia="仿宋_GB2312"/>
                <w:sz w:val="28"/>
                <w:szCs w:val="28"/>
              </w:rPr>
            </w:pPr>
            <w:r>
              <w:rPr>
                <w:rFonts w:hint="eastAsia" w:ascii="仿宋_GB2312" w:eastAsia="仿宋_GB2312"/>
                <w:sz w:val="28"/>
                <w:szCs w:val="28"/>
              </w:rPr>
              <w:t>3</w:t>
            </w:r>
          </w:p>
        </w:tc>
        <w:tc>
          <w:tcPr>
            <w:tcW w:w="96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二、试剂</w:t>
            </w:r>
          </w:p>
        </w:tc>
        <w:tc>
          <w:tcPr>
            <w:tcW w:w="222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（一）检验检测用品</w:t>
            </w:r>
          </w:p>
        </w:tc>
        <w:tc>
          <w:tcPr>
            <w:tcW w:w="55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ind w:firstLine="560" w:firstLineChars="200"/>
              <w:rPr>
                <w:rFonts w:ascii="仿宋_GB2312" w:eastAsia="仿宋_GB2312"/>
                <w:sz w:val="28"/>
                <w:szCs w:val="28"/>
              </w:rPr>
            </w:pPr>
            <w:r>
              <w:rPr>
                <w:rFonts w:hint="eastAsia" w:ascii="仿宋_GB2312" w:eastAsia="仿宋_GB2312"/>
                <w:sz w:val="28"/>
                <w:szCs w:val="28"/>
              </w:rPr>
              <w:t>型冠状病毒检测试剂盒等。</w:t>
            </w:r>
          </w:p>
        </w:tc>
      </w:tr>
      <w:tr>
        <w:tblPrEx>
          <w:tblCellMar>
            <w:top w:w="0" w:type="dxa"/>
            <w:left w:w="0" w:type="dxa"/>
            <w:bottom w:w="0" w:type="dxa"/>
            <w:right w:w="0" w:type="dxa"/>
          </w:tblCellMar>
        </w:tblPrEx>
        <w:trPr>
          <w:trHeight w:val="1610" w:hRule="atLeast"/>
          <w:jc w:val="center"/>
        </w:trPr>
        <w:tc>
          <w:tcPr>
            <w:tcW w:w="51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jc w:val="center"/>
              <w:rPr>
                <w:rFonts w:ascii="仿宋_GB2312" w:eastAsia="仿宋_GB2312"/>
                <w:sz w:val="28"/>
                <w:szCs w:val="28"/>
              </w:rPr>
            </w:pPr>
            <w:r>
              <w:rPr>
                <w:rFonts w:hint="eastAsia" w:ascii="仿宋_GB2312" w:eastAsia="仿宋_GB2312"/>
                <w:sz w:val="28"/>
                <w:szCs w:val="28"/>
              </w:rPr>
              <w:t>4</w:t>
            </w:r>
          </w:p>
        </w:tc>
        <w:tc>
          <w:tcPr>
            <w:tcW w:w="960" w:type="dxa"/>
            <w:vMerge w:val="restart"/>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三、消杀用品及其主要原料、包装材料</w:t>
            </w:r>
          </w:p>
        </w:tc>
        <w:tc>
          <w:tcPr>
            <w:tcW w:w="222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（一）消杀用品</w:t>
            </w:r>
          </w:p>
        </w:tc>
        <w:tc>
          <w:tcPr>
            <w:tcW w:w="55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医用酒精、84消毒液、过氧乙酸消毒液、过氧化氢（3%）消毒液、含氯泡腾片、免洗手消毒液、速干手消毒剂等。</w:t>
            </w:r>
          </w:p>
        </w:tc>
      </w:tr>
      <w:tr>
        <w:tblPrEx>
          <w:tblCellMar>
            <w:top w:w="0" w:type="dxa"/>
            <w:left w:w="0" w:type="dxa"/>
            <w:bottom w:w="0" w:type="dxa"/>
            <w:right w:w="0" w:type="dxa"/>
          </w:tblCellMar>
        </w:tblPrEx>
        <w:trPr>
          <w:trHeight w:val="1117" w:hRule="atLeast"/>
          <w:jc w:val="center"/>
        </w:trPr>
        <w:tc>
          <w:tcPr>
            <w:tcW w:w="51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jc w:val="center"/>
              <w:rPr>
                <w:rFonts w:ascii="仿宋_GB2312" w:eastAsia="仿宋_GB2312"/>
                <w:sz w:val="28"/>
                <w:szCs w:val="28"/>
              </w:rPr>
            </w:pPr>
            <w:r>
              <w:rPr>
                <w:rFonts w:hint="eastAsia" w:ascii="仿宋_GB2312" w:eastAsia="仿宋_GB2312"/>
                <w:sz w:val="28"/>
                <w:szCs w:val="28"/>
              </w:rPr>
              <w:t>5</w:t>
            </w:r>
          </w:p>
        </w:tc>
        <w:tc>
          <w:tcPr>
            <w:tcW w:w="0" w:type="auto"/>
            <w:vMerge w:val="continue"/>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ind w:firstLine="560" w:firstLineChars="200"/>
              <w:rPr>
                <w:rFonts w:ascii="仿宋_GB2312" w:eastAsia="仿宋_GB2312"/>
                <w:sz w:val="28"/>
                <w:szCs w:val="28"/>
              </w:rPr>
            </w:pPr>
          </w:p>
        </w:tc>
        <w:tc>
          <w:tcPr>
            <w:tcW w:w="222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（二）消杀用品主要原料</w:t>
            </w:r>
          </w:p>
        </w:tc>
        <w:tc>
          <w:tcPr>
            <w:tcW w:w="55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次氯酸钠、双氧水、95%食品级酒精等。</w:t>
            </w:r>
          </w:p>
        </w:tc>
      </w:tr>
      <w:tr>
        <w:tblPrEx>
          <w:tblCellMar>
            <w:top w:w="0" w:type="dxa"/>
            <w:left w:w="0" w:type="dxa"/>
            <w:bottom w:w="0" w:type="dxa"/>
            <w:right w:w="0" w:type="dxa"/>
          </w:tblCellMar>
        </w:tblPrEx>
        <w:trPr>
          <w:trHeight w:val="1197" w:hRule="atLeast"/>
          <w:jc w:val="center"/>
        </w:trPr>
        <w:tc>
          <w:tcPr>
            <w:tcW w:w="51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jc w:val="center"/>
              <w:rPr>
                <w:rFonts w:ascii="仿宋_GB2312" w:eastAsia="仿宋_GB2312"/>
                <w:sz w:val="28"/>
                <w:szCs w:val="28"/>
              </w:rPr>
            </w:pPr>
            <w:r>
              <w:rPr>
                <w:rFonts w:hint="eastAsia" w:ascii="仿宋_GB2312" w:eastAsia="仿宋_GB2312"/>
                <w:sz w:val="28"/>
                <w:szCs w:val="28"/>
              </w:rPr>
              <w:t>6</w:t>
            </w:r>
          </w:p>
        </w:tc>
        <w:tc>
          <w:tcPr>
            <w:tcW w:w="0" w:type="auto"/>
            <w:vMerge w:val="continue"/>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ind w:firstLine="560" w:firstLineChars="200"/>
              <w:rPr>
                <w:rFonts w:ascii="仿宋_GB2312" w:eastAsia="仿宋_GB2312"/>
                <w:sz w:val="28"/>
                <w:szCs w:val="28"/>
              </w:rPr>
            </w:pPr>
          </w:p>
        </w:tc>
        <w:tc>
          <w:tcPr>
            <w:tcW w:w="222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（三）消杀用品包装材料</w:t>
            </w:r>
          </w:p>
        </w:tc>
        <w:tc>
          <w:tcPr>
            <w:tcW w:w="55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ind w:firstLine="560" w:firstLineChars="200"/>
              <w:rPr>
                <w:rFonts w:ascii="仿宋_GB2312" w:eastAsia="仿宋_GB2312"/>
                <w:sz w:val="28"/>
                <w:szCs w:val="28"/>
              </w:rPr>
            </w:pPr>
            <w:r>
              <w:rPr>
                <w:rFonts w:hint="eastAsia" w:ascii="仿宋_GB2312" w:eastAsia="仿宋_GB2312"/>
                <w:sz w:val="28"/>
                <w:szCs w:val="28"/>
              </w:rPr>
              <w:t>挤压泵、塑料瓶（桶）、玻璃瓶（桶）、纸箱、标签等。</w:t>
            </w:r>
          </w:p>
        </w:tc>
      </w:tr>
      <w:tr>
        <w:tblPrEx>
          <w:tblCellMar>
            <w:top w:w="0" w:type="dxa"/>
            <w:left w:w="0" w:type="dxa"/>
            <w:bottom w:w="0" w:type="dxa"/>
            <w:right w:w="0" w:type="dxa"/>
          </w:tblCellMar>
        </w:tblPrEx>
        <w:trPr>
          <w:trHeight w:val="1275" w:hRule="atLeast"/>
          <w:jc w:val="center"/>
        </w:trPr>
        <w:tc>
          <w:tcPr>
            <w:tcW w:w="51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jc w:val="center"/>
              <w:rPr>
                <w:rFonts w:ascii="仿宋_GB2312" w:eastAsia="仿宋_GB2312"/>
                <w:sz w:val="28"/>
                <w:szCs w:val="28"/>
              </w:rPr>
            </w:pPr>
            <w:r>
              <w:rPr>
                <w:rFonts w:hint="eastAsia" w:ascii="仿宋_GB2312" w:eastAsia="仿宋_GB2312"/>
                <w:sz w:val="28"/>
                <w:szCs w:val="28"/>
              </w:rPr>
              <w:t>7</w:t>
            </w:r>
          </w:p>
        </w:tc>
        <w:tc>
          <w:tcPr>
            <w:tcW w:w="960" w:type="dxa"/>
            <w:vMerge w:val="restart"/>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四、防护用品及其主要原料、生产设备</w:t>
            </w:r>
          </w:p>
        </w:tc>
        <w:tc>
          <w:tcPr>
            <w:tcW w:w="222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（一）防护用品</w:t>
            </w:r>
          </w:p>
        </w:tc>
        <w:tc>
          <w:tcPr>
            <w:tcW w:w="55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ind w:firstLine="560" w:firstLineChars="200"/>
              <w:rPr>
                <w:rFonts w:ascii="仿宋_GB2312" w:eastAsia="仿宋_GB2312"/>
                <w:sz w:val="28"/>
                <w:szCs w:val="28"/>
              </w:rPr>
            </w:pPr>
            <w:r>
              <w:rPr>
                <w:rFonts w:hint="eastAsia" w:ascii="仿宋_GB2312" w:eastAsia="仿宋_GB2312"/>
                <w:sz w:val="28"/>
                <w:szCs w:val="28"/>
              </w:rPr>
              <w:t>医用防护口罩、医用外科口罩、医用防护服、负压防护头罩、医用靴套、医用全面型呼吸防护机（器）、医用隔离眼罩/医用隔离面罩、一次性乳胶手套、手术服（衣）、隔离衣、一次性工作帽、一次性医用帽（病人用）等。</w:t>
            </w:r>
          </w:p>
        </w:tc>
      </w:tr>
      <w:tr>
        <w:tblPrEx>
          <w:tblCellMar>
            <w:top w:w="0" w:type="dxa"/>
            <w:left w:w="0" w:type="dxa"/>
            <w:bottom w:w="0" w:type="dxa"/>
            <w:right w:w="0" w:type="dxa"/>
          </w:tblCellMar>
        </w:tblPrEx>
        <w:trPr>
          <w:trHeight w:val="930" w:hRule="atLeast"/>
          <w:jc w:val="center"/>
        </w:trPr>
        <w:tc>
          <w:tcPr>
            <w:tcW w:w="51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8</w:t>
            </w:r>
          </w:p>
        </w:tc>
        <w:tc>
          <w:tcPr>
            <w:tcW w:w="0" w:type="auto"/>
            <w:vMerge w:val="continue"/>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ind w:firstLine="560" w:firstLineChars="200"/>
              <w:rPr>
                <w:rFonts w:ascii="仿宋_GB2312" w:eastAsia="仿宋_GB2312"/>
                <w:sz w:val="28"/>
                <w:szCs w:val="28"/>
              </w:rPr>
            </w:pPr>
          </w:p>
        </w:tc>
        <w:tc>
          <w:tcPr>
            <w:tcW w:w="222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（二）防护用品主要原料</w:t>
            </w:r>
          </w:p>
        </w:tc>
        <w:tc>
          <w:tcPr>
            <w:tcW w:w="55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ind w:firstLine="560" w:firstLineChars="200"/>
              <w:rPr>
                <w:rFonts w:ascii="仿宋_GB2312" w:eastAsia="仿宋_GB2312"/>
                <w:sz w:val="28"/>
                <w:szCs w:val="28"/>
              </w:rPr>
            </w:pPr>
            <w:r>
              <w:rPr>
                <w:rFonts w:hint="eastAsia" w:ascii="仿宋_GB2312" w:eastAsia="仿宋_GB2312"/>
                <w:sz w:val="28"/>
                <w:szCs w:val="28"/>
              </w:rPr>
              <w:t>覆膜纺粘布、透气膜、熔喷无纺布、隔离眼罩及面罩用PET/PC防雾卷材以及片材、密封条、拉链、抗静电剂以及其他生产医用防护服、医用口罩等的重要原材料。</w:t>
            </w:r>
          </w:p>
        </w:tc>
      </w:tr>
      <w:tr>
        <w:tblPrEx>
          <w:tblCellMar>
            <w:top w:w="0" w:type="dxa"/>
            <w:left w:w="0" w:type="dxa"/>
            <w:bottom w:w="0" w:type="dxa"/>
            <w:right w:w="0" w:type="dxa"/>
          </w:tblCellMar>
        </w:tblPrEx>
        <w:trPr>
          <w:trHeight w:val="375" w:hRule="atLeast"/>
          <w:jc w:val="center"/>
        </w:trPr>
        <w:tc>
          <w:tcPr>
            <w:tcW w:w="51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9</w:t>
            </w:r>
          </w:p>
        </w:tc>
        <w:tc>
          <w:tcPr>
            <w:tcW w:w="0" w:type="auto"/>
            <w:vMerge w:val="continue"/>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ind w:firstLine="560" w:firstLineChars="200"/>
              <w:rPr>
                <w:rFonts w:ascii="仿宋_GB2312" w:eastAsia="仿宋_GB2312"/>
                <w:sz w:val="28"/>
                <w:szCs w:val="28"/>
              </w:rPr>
            </w:pPr>
          </w:p>
        </w:tc>
        <w:tc>
          <w:tcPr>
            <w:tcW w:w="222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（三）防护用品生产设备</w:t>
            </w:r>
          </w:p>
        </w:tc>
        <w:tc>
          <w:tcPr>
            <w:tcW w:w="55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ind w:firstLine="560" w:firstLineChars="200"/>
              <w:rPr>
                <w:rFonts w:ascii="仿宋_GB2312" w:eastAsia="仿宋_GB2312"/>
                <w:sz w:val="28"/>
                <w:szCs w:val="28"/>
              </w:rPr>
            </w:pPr>
            <w:r>
              <w:rPr>
                <w:rFonts w:hint="eastAsia" w:ascii="仿宋_GB2312" w:eastAsia="仿宋_GB2312"/>
                <w:sz w:val="28"/>
                <w:szCs w:val="28"/>
              </w:rPr>
              <w:t>防护服压条机、口罩机等。</w:t>
            </w:r>
          </w:p>
        </w:tc>
      </w:tr>
      <w:tr>
        <w:tblPrEx>
          <w:tblCellMar>
            <w:top w:w="0" w:type="dxa"/>
            <w:left w:w="0" w:type="dxa"/>
            <w:bottom w:w="0" w:type="dxa"/>
            <w:right w:w="0" w:type="dxa"/>
          </w:tblCellMar>
        </w:tblPrEx>
        <w:trPr>
          <w:trHeight w:val="2070" w:hRule="atLeast"/>
          <w:jc w:val="center"/>
        </w:trPr>
        <w:tc>
          <w:tcPr>
            <w:tcW w:w="51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10</w:t>
            </w:r>
          </w:p>
        </w:tc>
        <w:tc>
          <w:tcPr>
            <w:tcW w:w="960" w:type="dxa"/>
            <w:vMerge w:val="restart"/>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ind w:firstLine="560" w:firstLineChars="200"/>
              <w:rPr>
                <w:rFonts w:ascii="仿宋_GB2312" w:eastAsia="仿宋_GB2312"/>
                <w:sz w:val="28"/>
                <w:szCs w:val="28"/>
              </w:rPr>
            </w:pPr>
            <w:r>
              <w:rPr>
                <w:rFonts w:hint="eastAsia" w:ascii="仿宋_GB2312" w:eastAsia="仿宋_GB2312"/>
                <w:sz w:val="28"/>
                <w:szCs w:val="28"/>
              </w:rPr>
              <w:br w:type="textWrapping"/>
            </w:r>
            <w:r>
              <w:rPr>
                <w:rFonts w:hint="eastAsia" w:ascii="仿宋_GB2312" w:eastAsia="仿宋_GB2312"/>
                <w:sz w:val="28"/>
                <w:szCs w:val="28"/>
              </w:rPr>
              <w:br w:type="textWrapping"/>
            </w:r>
            <w:r>
              <w:rPr>
                <w:rFonts w:hint="eastAsia" w:ascii="仿宋_GB2312" w:eastAsia="仿宋_GB2312"/>
                <w:sz w:val="28"/>
                <w:szCs w:val="28"/>
              </w:rPr>
              <w:t>五、专用车辆、装备、仪器及关键元器件</w:t>
            </w:r>
          </w:p>
        </w:tc>
        <w:tc>
          <w:tcPr>
            <w:tcW w:w="222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（一）车辆装备</w:t>
            </w:r>
          </w:p>
        </w:tc>
        <w:tc>
          <w:tcPr>
            <w:tcW w:w="55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ind w:firstLine="536" w:firstLineChars="200"/>
              <w:rPr>
                <w:rFonts w:ascii="仿宋_GB2312" w:eastAsia="仿宋_GB2312"/>
                <w:spacing w:val="-6"/>
                <w:sz w:val="28"/>
                <w:szCs w:val="28"/>
              </w:rPr>
            </w:pPr>
            <w:r>
              <w:rPr>
                <w:rFonts w:hint="eastAsia" w:ascii="仿宋_GB2312" w:eastAsia="仿宋_GB2312"/>
                <w:spacing w:val="-6"/>
                <w:sz w:val="28"/>
                <w:szCs w:val="28"/>
              </w:rPr>
              <w:t>负压救护车及其他类型救护车、专用作业车辆；负压隔离舱、可快速展开的负压隔离病房、负压隔离帐篷系统；车载负压系统、正压智能防护系统；CT、便携式DR、心电图机、彩超超声仪等，电子喉镜、纤支镜等；呼吸机、监护仪、除颤仪、高流量呼吸湿化治疗仪、医用电动病床；血色分析仪、PCR仪、ACT检测仪等；注射泵、输液泵、人工心肺（ECMO）、CRRT等。</w:t>
            </w:r>
          </w:p>
        </w:tc>
      </w:tr>
      <w:tr>
        <w:tblPrEx>
          <w:tblCellMar>
            <w:top w:w="0" w:type="dxa"/>
            <w:left w:w="0" w:type="dxa"/>
            <w:bottom w:w="0" w:type="dxa"/>
            <w:right w:w="0" w:type="dxa"/>
          </w:tblCellMar>
        </w:tblPrEx>
        <w:trPr>
          <w:trHeight w:val="960" w:hRule="atLeast"/>
          <w:jc w:val="center"/>
        </w:trPr>
        <w:tc>
          <w:tcPr>
            <w:tcW w:w="51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11</w:t>
            </w:r>
          </w:p>
        </w:tc>
        <w:tc>
          <w:tcPr>
            <w:tcW w:w="0" w:type="auto"/>
            <w:vMerge w:val="continue"/>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ind w:firstLine="560" w:firstLineChars="200"/>
              <w:rPr>
                <w:rFonts w:ascii="仿宋_GB2312" w:eastAsia="仿宋_GB2312"/>
                <w:sz w:val="28"/>
                <w:szCs w:val="28"/>
              </w:rPr>
            </w:pPr>
          </w:p>
        </w:tc>
        <w:tc>
          <w:tcPr>
            <w:tcW w:w="222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（二）消杀装备</w:t>
            </w:r>
          </w:p>
        </w:tc>
        <w:tc>
          <w:tcPr>
            <w:tcW w:w="55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ind w:firstLine="560" w:firstLineChars="200"/>
              <w:rPr>
                <w:rFonts w:ascii="仿宋_GB2312" w:eastAsia="仿宋_GB2312"/>
                <w:sz w:val="28"/>
                <w:szCs w:val="28"/>
              </w:rPr>
            </w:pPr>
            <w:r>
              <w:rPr>
                <w:rFonts w:hint="eastAsia" w:ascii="仿宋_GB2312" w:eastAsia="仿宋_GB2312"/>
                <w:sz w:val="28"/>
                <w:szCs w:val="28"/>
              </w:rPr>
              <w:t>背负式充电超低容量喷雾机、背负式充电超低容量喷雾器、过氧化氢消毒机、等离子空气消毒机、终末空气消毒机等。</w:t>
            </w:r>
          </w:p>
        </w:tc>
      </w:tr>
      <w:tr>
        <w:tblPrEx>
          <w:tblCellMar>
            <w:top w:w="0" w:type="dxa"/>
            <w:left w:w="0" w:type="dxa"/>
            <w:bottom w:w="0" w:type="dxa"/>
            <w:right w:w="0" w:type="dxa"/>
          </w:tblCellMar>
        </w:tblPrEx>
        <w:trPr>
          <w:trHeight w:val="825" w:hRule="atLeast"/>
          <w:jc w:val="center"/>
        </w:trPr>
        <w:tc>
          <w:tcPr>
            <w:tcW w:w="51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12</w:t>
            </w:r>
          </w:p>
        </w:tc>
        <w:tc>
          <w:tcPr>
            <w:tcW w:w="0" w:type="auto"/>
            <w:vMerge w:val="continue"/>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ind w:firstLine="560" w:firstLineChars="200"/>
              <w:rPr>
                <w:rFonts w:ascii="仿宋_GB2312" w:eastAsia="仿宋_GB2312"/>
                <w:sz w:val="28"/>
                <w:szCs w:val="28"/>
              </w:rPr>
            </w:pPr>
          </w:p>
        </w:tc>
        <w:tc>
          <w:tcPr>
            <w:tcW w:w="222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（三）电子仪器仪表</w:t>
            </w:r>
          </w:p>
        </w:tc>
        <w:tc>
          <w:tcPr>
            <w:tcW w:w="55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ind w:firstLine="560" w:firstLineChars="200"/>
              <w:rPr>
                <w:rFonts w:ascii="仿宋_GB2312" w:eastAsia="仿宋_GB2312"/>
                <w:sz w:val="28"/>
                <w:szCs w:val="28"/>
              </w:rPr>
            </w:pPr>
            <w:r>
              <w:rPr>
                <w:rFonts w:hint="eastAsia" w:ascii="仿宋_GB2312" w:eastAsia="仿宋_GB2312"/>
                <w:sz w:val="28"/>
                <w:szCs w:val="28"/>
              </w:rPr>
              <w:t>全自动红外体温监测仪、门式体温监测仪、手持式红外测温仪等红外体温检测设备及其他智能监测检测系统。</w:t>
            </w:r>
          </w:p>
        </w:tc>
      </w:tr>
      <w:tr>
        <w:tblPrEx>
          <w:tblCellMar>
            <w:top w:w="0" w:type="dxa"/>
            <w:left w:w="0" w:type="dxa"/>
            <w:bottom w:w="0" w:type="dxa"/>
            <w:right w:w="0" w:type="dxa"/>
          </w:tblCellMar>
        </w:tblPrEx>
        <w:trPr>
          <w:trHeight w:val="778" w:hRule="atLeast"/>
          <w:jc w:val="center"/>
        </w:trPr>
        <w:tc>
          <w:tcPr>
            <w:tcW w:w="51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13</w:t>
            </w:r>
          </w:p>
        </w:tc>
        <w:tc>
          <w:tcPr>
            <w:tcW w:w="0" w:type="auto"/>
            <w:vMerge w:val="continue"/>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ind w:firstLine="560" w:firstLineChars="200"/>
              <w:rPr>
                <w:rFonts w:ascii="仿宋_GB2312" w:eastAsia="仿宋_GB2312"/>
                <w:sz w:val="28"/>
                <w:szCs w:val="28"/>
              </w:rPr>
            </w:pPr>
          </w:p>
        </w:tc>
        <w:tc>
          <w:tcPr>
            <w:tcW w:w="222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（四）关键元器件</w:t>
            </w:r>
          </w:p>
        </w:tc>
        <w:tc>
          <w:tcPr>
            <w:tcW w:w="55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ind w:firstLine="560" w:firstLineChars="200"/>
              <w:rPr>
                <w:rFonts w:ascii="仿宋_GB2312" w:eastAsia="仿宋_GB2312"/>
                <w:sz w:val="28"/>
                <w:szCs w:val="28"/>
              </w:rPr>
            </w:pPr>
            <w:r>
              <w:rPr>
                <w:rFonts w:hint="eastAsia" w:ascii="仿宋_GB2312" w:eastAsia="仿宋_GB2312"/>
                <w:sz w:val="28"/>
                <w:szCs w:val="28"/>
              </w:rPr>
              <w:t>黑体、温度传感器、传感器芯片、显示面板、阻容元件、探测器、电接插元件、锂电池、印制电路板等。</w:t>
            </w:r>
          </w:p>
        </w:tc>
      </w:tr>
      <w:tr>
        <w:tblPrEx>
          <w:tblCellMar>
            <w:top w:w="0" w:type="dxa"/>
            <w:left w:w="0" w:type="dxa"/>
            <w:bottom w:w="0" w:type="dxa"/>
            <w:right w:w="0" w:type="dxa"/>
          </w:tblCellMar>
        </w:tblPrEx>
        <w:trPr>
          <w:trHeight w:val="225" w:hRule="atLeast"/>
          <w:jc w:val="center"/>
        </w:trPr>
        <w:tc>
          <w:tcPr>
            <w:tcW w:w="510"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14</w:t>
            </w:r>
          </w:p>
        </w:tc>
        <w:tc>
          <w:tcPr>
            <w:tcW w:w="3180" w:type="dxa"/>
            <w:gridSpan w:val="2"/>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rPr>
                <w:rFonts w:ascii="仿宋_GB2312" w:eastAsia="仿宋_GB2312"/>
                <w:sz w:val="28"/>
                <w:szCs w:val="28"/>
              </w:rPr>
            </w:pPr>
            <w:r>
              <w:rPr>
                <w:rFonts w:hint="eastAsia" w:ascii="仿宋_GB2312" w:eastAsia="仿宋_GB2312"/>
                <w:sz w:val="28"/>
                <w:szCs w:val="28"/>
              </w:rPr>
              <w:t>六、生产上述医用物资的重要设备</w:t>
            </w:r>
          </w:p>
        </w:tc>
        <w:tc>
          <w:tcPr>
            <w:tcW w:w="5539"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spacing w:line="380" w:lineRule="exact"/>
              <w:ind w:firstLine="560" w:firstLineChars="200"/>
              <w:rPr>
                <w:rFonts w:ascii="仿宋_GB2312" w:eastAsia="仿宋_GB2312"/>
                <w:sz w:val="28"/>
                <w:szCs w:val="28"/>
              </w:rPr>
            </w:pPr>
          </w:p>
        </w:tc>
      </w:tr>
    </w:tbl>
    <w:p>
      <w:pPr>
        <w:spacing w:line="560" w:lineRule="exact"/>
        <w:ind w:firstLine="640" w:firstLineChars="200"/>
        <w:rPr>
          <w:rFonts w:ascii="仿宋_GB2312" w:eastAsia="仿宋_GB2312"/>
          <w:sz w:val="32"/>
        </w:rPr>
      </w:pPr>
      <w:r>
        <w:rPr>
          <w:rFonts w:ascii="仿宋_GB2312" w:eastAsia="仿宋_GB2312"/>
          <w:sz w:val="32"/>
        </w:rPr>
        <w:t>纳税人运输疫情防控重点保障物资取得的收入免征增值税的，免征城市维护建设税、教育费附加、地方教育附加。</w:t>
      </w:r>
    </w:p>
    <w:p>
      <w:pPr>
        <w:spacing w:line="560" w:lineRule="exact"/>
        <w:ind w:firstLine="640" w:firstLineChars="200"/>
        <w:rPr>
          <w:rFonts w:ascii="仿宋_GB2312" w:eastAsia="仿宋_GB2312"/>
          <w:sz w:val="32"/>
        </w:rPr>
      </w:pPr>
      <w:r>
        <w:rPr>
          <w:rFonts w:ascii="仿宋_GB2312" w:eastAsia="仿宋_GB2312"/>
          <w:sz w:val="32"/>
        </w:rPr>
        <w:t>纳税人按规定享受免征增值税优惠的，可自主进行免税申报，无需办理有关免税备案手续，但应将相关证明材料留存备查。在办理增值税纳税申报时，应当填写增值税纳税申报表及《增值税减免税申报明细表》相应栏次。</w:t>
      </w:r>
    </w:p>
    <w:p>
      <w:pPr>
        <w:spacing w:line="580" w:lineRule="exact"/>
        <w:ind w:firstLine="640" w:firstLineChars="200"/>
        <w:rPr>
          <w:rFonts w:ascii="仿宋_GB2312" w:eastAsia="仿宋_GB2312"/>
          <w:sz w:val="32"/>
        </w:rPr>
      </w:pPr>
      <w:r>
        <w:rPr>
          <w:rFonts w:ascii="仿宋_GB2312" w:eastAsia="仿宋_GB2312"/>
          <w:sz w:val="32"/>
        </w:rPr>
        <w:t>纳税人按规定适用免征增值税政策的，不得开具增值税专用发票；已开具增值税专用发票的，应当开具对应红字发票或者作废原发票，再按规定适用免征增值税政策并开具普通发票。纳税人在疫情防控期间已经开具增值税专用发票，按规定应当开具对应红字发票而未及时开具的，可以先适用免征增值税政策，对应红字发票应当于相关免征增值税政策执行到期后1个月内完成开具。</w:t>
      </w:r>
    </w:p>
    <w:p>
      <w:pPr>
        <w:spacing w:line="580" w:lineRule="exact"/>
        <w:ind w:firstLine="640" w:firstLineChars="200"/>
        <w:rPr>
          <w:rFonts w:ascii="仿宋_GB2312" w:eastAsia="仿宋_GB2312"/>
          <w:sz w:val="32"/>
        </w:rPr>
      </w:pPr>
      <w:r>
        <w:rPr>
          <w:rFonts w:ascii="仿宋_GB2312" w:eastAsia="仿宋_GB2312"/>
          <w:sz w:val="32"/>
        </w:rPr>
        <w:t>纳税人已将适用免税政策的销售额、销售数量，按照征税销售额、销售数量进行增值税申报的，可以选择更正当期申报或者在下期申报时调整。已征应予免征的增值税税款，可以予以退还或者抵减纳税人以后应缴纳的增值税税款。</w:t>
      </w:r>
    </w:p>
    <w:p>
      <w:pPr>
        <w:spacing w:line="580" w:lineRule="exact"/>
        <w:ind w:firstLine="640" w:firstLineChars="200"/>
        <w:rPr>
          <w:rFonts w:ascii="仿宋_GB2312" w:eastAsia="仿宋_GB2312"/>
          <w:sz w:val="32"/>
        </w:rPr>
      </w:pPr>
      <w:r>
        <w:rPr>
          <w:rFonts w:ascii="仿宋_GB2312" w:eastAsia="仿宋_GB2312"/>
          <w:sz w:val="32"/>
        </w:rPr>
        <w:t>【政策依据】</w:t>
      </w:r>
    </w:p>
    <w:p>
      <w:pPr>
        <w:spacing w:line="580" w:lineRule="exact"/>
        <w:ind w:firstLine="640" w:firstLineChars="200"/>
        <w:rPr>
          <w:rFonts w:ascii="仿宋_GB2312" w:eastAsia="仿宋_GB2312"/>
          <w:sz w:val="32"/>
        </w:rPr>
      </w:pPr>
      <w:r>
        <w:rPr>
          <w:rFonts w:ascii="仿宋_GB2312" w:eastAsia="仿宋_GB2312"/>
          <w:sz w:val="32"/>
        </w:rPr>
        <w:t>（1）《财政部 税务总局关于支持新型冠状病毒感染的肺炎疫情防控有关税收政策的公告》（2020年第8号）</w:t>
      </w:r>
    </w:p>
    <w:p>
      <w:pPr>
        <w:spacing w:line="580" w:lineRule="exact"/>
        <w:ind w:firstLine="640" w:firstLineChars="200"/>
        <w:rPr>
          <w:rFonts w:ascii="仿宋_GB2312" w:eastAsia="仿宋_GB2312"/>
          <w:sz w:val="32"/>
        </w:rPr>
      </w:pPr>
      <w:r>
        <w:rPr>
          <w:rFonts w:ascii="仿宋_GB2312" w:eastAsia="仿宋_GB2312"/>
          <w:sz w:val="32"/>
        </w:rPr>
        <w:t>（2）《国家税务总局关于支持新型冠状病毒感染的肺炎疫情防控有关税收征收管理事项的公告》（2020年第4号）</w:t>
      </w:r>
    </w:p>
    <w:p>
      <w:pPr>
        <w:spacing w:line="560" w:lineRule="exact"/>
        <w:ind w:firstLine="640" w:firstLineChars="200"/>
        <w:rPr>
          <w:rFonts w:ascii="黑体" w:hAnsi="黑体" w:eastAsia="黑体"/>
          <w:bCs/>
          <w:sz w:val="32"/>
        </w:rPr>
      </w:pPr>
      <w:r>
        <w:rPr>
          <w:rFonts w:ascii="黑体" w:hAnsi="黑体" w:eastAsia="黑体"/>
          <w:bCs/>
          <w:sz w:val="32"/>
        </w:rPr>
        <w:t>5.纳税人提供公共交通运输服务、生活服务及居民必需生活物资快递收派服务收入免征增值税</w:t>
      </w:r>
    </w:p>
    <w:p>
      <w:pPr>
        <w:spacing w:line="560" w:lineRule="exact"/>
        <w:ind w:firstLine="640" w:firstLineChars="200"/>
        <w:rPr>
          <w:rFonts w:ascii="仿宋_GB2312" w:eastAsia="仿宋_GB2312"/>
          <w:sz w:val="32"/>
        </w:rPr>
      </w:pPr>
      <w:r>
        <w:rPr>
          <w:rFonts w:ascii="仿宋_GB2312" w:eastAsia="仿宋_GB2312"/>
          <w:sz w:val="32"/>
        </w:rPr>
        <w:t>【享受主体】</w:t>
      </w:r>
    </w:p>
    <w:p>
      <w:pPr>
        <w:spacing w:line="560" w:lineRule="exact"/>
        <w:ind w:firstLine="640" w:firstLineChars="200"/>
        <w:rPr>
          <w:rFonts w:ascii="仿宋_GB2312" w:eastAsia="仿宋_GB2312"/>
          <w:sz w:val="32"/>
        </w:rPr>
      </w:pPr>
      <w:r>
        <w:rPr>
          <w:rFonts w:ascii="仿宋_GB2312" w:eastAsia="仿宋_GB2312"/>
          <w:sz w:val="32"/>
        </w:rPr>
        <w:t>提供公共交通运输服务、生活服务，以及为居民提供必需生活物资快递收派服务的纳税人</w:t>
      </w:r>
    </w:p>
    <w:p>
      <w:pPr>
        <w:spacing w:line="560" w:lineRule="exact"/>
        <w:ind w:firstLine="640" w:firstLineChars="200"/>
        <w:rPr>
          <w:rFonts w:ascii="仿宋_GB2312" w:eastAsia="仿宋_GB2312"/>
          <w:sz w:val="32"/>
        </w:rPr>
      </w:pPr>
      <w:r>
        <w:rPr>
          <w:rFonts w:ascii="仿宋_GB2312" w:eastAsia="仿宋_GB2312"/>
          <w:sz w:val="32"/>
        </w:rPr>
        <w:t>【优惠内容】</w:t>
      </w:r>
    </w:p>
    <w:p>
      <w:pPr>
        <w:spacing w:line="560" w:lineRule="exact"/>
        <w:ind w:firstLine="640" w:firstLineChars="200"/>
        <w:rPr>
          <w:rFonts w:ascii="仿宋_GB2312" w:eastAsia="仿宋_GB2312"/>
          <w:sz w:val="32"/>
        </w:rPr>
      </w:pPr>
      <w:r>
        <w:rPr>
          <w:rFonts w:ascii="仿宋_GB2312" w:eastAsia="仿宋_GB2312"/>
          <w:sz w:val="32"/>
        </w:rPr>
        <w:t>自2020年1月1日起，对纳税人提供公共交通运输服务、生活服务，以及为居民提供必需生活物资快递收派服务取得的收入，免征增值税。</w:t>
      </w:r>
    </w:p>
    <w:p>
      <w:pPr>
        <w:spacing w:line="560" w:lineRule="exact"/>
        <w:ind w:firstLine="640" w:firstLineChars="200"/>
        <w:rPr>
          <w:rFonts w:ascii="仿宋_GB2312" w:eastAsia="仿宋_GB2312"/>
          <w:sz w:val="32"/>
        </w:rPr>
      </w:pPr>
      <w:r>
        <w:rPr>
          <w:rFonts w:ascii="仿宋_GB2312" w:eastAsia="仿宋_GB2312"/>
          <w:sz w:val="32"/>
        </w:rPr>
        <w:t>公共交通运输服务的具体范围，按照《营业税改征增值税试点有关事项的规定》（财税〔2016〕36号印发）执行。</w:t>
      </w:r>
    </w:p>
    <w:p>
      <w:pPr>
        <w:spacing w:line="560" w:lineRule="exact"/>
        <w:ind w:firstLine="640" w:firstLineChars="200"/>
        <w:rPr>
          <w:rFonts w:ascii="仿宋_GB2312" w:eastAsia="仿宋_GB2312"/>
          <w:sz w:val="32"/>
        </w:rPr>
      </w:pPr>
      <w:r>
        <w:rPr>
          <w:rFonts w:ascii="仿宋_GB2312" w:eastAsia="仿宋_GB2312"/>
          <w:sz w:val="32"/>
        </w:rPr>
        <w:t>生活服务、快递收派服务的具体范围，按照《销售服务、无形资产、不动产注释》（财税〔2016〕36号印发）执行。</w:t>
      </w:r>
    </w:p>
    <w:tbl>
      <w:tblPr>
        <w:tblStyle w:val="8"/>
        <w:tblW w:w="9180" w:type="dxa"/>
        <w:tblInd w:w="0" w:type="dxa"/>
        <w:tblLayout w:type="autofit"/>
        <w:tblCellMar>
          <w:top w:w="0" w:type="dxa"/>
          <w:left w:w="0" w:type="dxa"/>
          <w:bottom w:w="0" w:type="dxa"/>
          <w:right w:w="0" w:type="dxa"/>
        </w:tblCellMar>
      </w:tblPr>
      <w:tblGrid>
        <w:gridCol w:w="1020"/>
        <w:gridCol w:w="8160"/>
      </w:tblGrid>
      <w:tr>
        <w:tblPrEx>
          <w:tblCellMar>
            <w:top w:w="0" w:type="dxa"/>
            <w:left w:w="0" w:type="dxa"/>
            <w:bottom w:w="0" w:type="dxa"/>
            <w:right w:w="0" w:type="dxa"/>
          </w:tblCellMar>
        </w:tblPrEx>
        <w:tc>
          <w:tcPr>
            <w:tcW w:w="10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00" w:lineRule="exact"/>
              <w:jc w:val="center"/>
              <w:rPr>
                <w:rFonts w:hint="eastAsia" w:ascii="仿宋_GB2312" w:eastAsia="仿宋_GB2312"/>
                <w:sz w:val="28"/>
                <w:szCs w:val="28"/>
              </w:rPr>
            </w:pPr>
            <w:r>
              <w:rPr>
                <w:rFonts w:hint="eastAsia" w:ascii="仿宋_GB2312" w:eastAsia="仿宋_GB2312"/>
                <w:sz w:val="28"/>
                <w:szCs w:val="28"/>
              </w:rPr>
              <w:t>公共</w:t>
            </w:r>
          </w:p>
          <w:p>
            <w:pPr>
              <w:spacing w:line="400" w:lineRule="exact"/>
              <w:jc w:val="center"/>
              <w:rPr>
                <w:rFonts w:hint="eastAsia" w:ascii="仿宋_GB2312" w:eastAsia="仿宋_GB2312"/>
                <w:sz w:val="28"/>
                <w:szCs w:val="28"/>
              </w:rPr>
            </w:pPr>
            <w:r>
              <w:rPr>
                <w:rFonts w:hint="eastAsia" w:ascii="仿宋_GB2312" w:eastAsia="仿宋_GB2312"/>
                <w:sz w:val="28"/>
                <w:szCs w:val="28"/>
              </w:rPr>
              <w:t>交通</w:t>
            </w:r>
          </w:p>
          <w:p>
            <w:pPr>
              <w:spacing w:line="400" w:lineRule="exact"/>
              <w:jc w:val="center"/>
              <w:rPr>
                <w:rFonts w:hint="eastAsia" w:ascii="仿宋_GB2312" w:eastAsia="仿宋_GB2312"/>
                <w:sz w:val="28"/>
                <w:szCs w:val="28"/>
              </w:rPr>
            </w:pPr>
            <w:r>
              <w:rPr>
                <w:rFonts w:hint="eastAsia" w:ascii="仿宋_GB2312" w:eastAsia="仿宋_GB2312"/>
                <w:sz w:val="28"/>
                <w:szCs w:val="28"/>
              </w:rPr>
              <w:t>运输</w:t>
            </w:r>
          </w:p>
          <w:p>
            <w:pPr>
              <w:spacing w:line="400" w:lineRule="exact"/>
              <w:jc w:val="center"/>
              <w:rPr>
                <w:rFonts w:ascii="仿宋_GB2312" w:eastAsia="仿宋_GB2312"/>
                <w:sz w:val="28"/>
                <w:szCs w:val="28"/>
              </w:rPr>
            </w:pPr>
            <w:r>
              <w:rPr>
                <w:rFonts w:hint="eastAsia" w:ascii="仿宋_GB2312" w:eastAsia="仿宋_GB2312"/>
                <w:sz w:val="28"/>
                <w:szCs w:val="28"/>
              </w:rPr>
              <w:t>服务</w:t>
            </w:r>
          </w:p>
        </w:tc>
        <w:tc>
          <w:tcPr>
            <w:tcW w:w="8160" w:type="dxa"/>
            <w:tcBorders>
              <w:top w:val="single" w:color="000000" w:sz="6" w:space="0"/>
              <w:left w:val="single" w:color="auto" w:sz="6" w:space="0"/>
              <w:bottom w:val="single" w:color="000000" w:sz="6" w:space="0"/>
              <w:right w:val="single" w:color="000000" w:sz="6" w:space="0"/>
            </w:tcBorders>
            <w:tcMar>
              <w:top w:w="0" w:type="dxa"/>
              <w:left w:w="108" w:type="dxa"/>
              <w:bottom w:w="0" w:type="dxa"/>
              <w:right w:w="108" w:type="dxa"/>
            </w:tcMar>
          </w:tcPr>
          <w:p>
            <w:pPr>
              <w:spacing w:line="400" w:lineRule="exact"/>
              <w:ind w:firstLine="560" w:firstLineChars="200"/>
              <w:rPr>
                <w:rFonts w:ascii="仿宋_GB2312" w:eastAsia="仿宋_GB2312"/>
                <w:sz w:val="28"/>
                <w:szCs w:val="28"/>
              </w:rPr>
            </w:pPr>
            <w:r>
              <w:rPr>
                <w:rFonts w:hint="eastAsia" w:ascii="仿宋_GB2312" w:eastAsia="仿宋_GB2312"/>
                <w:sz w:val="28"/>
                <w:szCs w:val="28"/>
              </w:rPr>
              <w:t>包括轮客渡、公交客运、地铁、城市轻轨、出租车、长途客运、班车。其中，班车是指按固定路线、固定时间运营并在固定站点停靠的运送旅客的陆路运输服务。</w:t>
            </w:r>
          </w:p>
        </w:tc>
      </w:tr>
      <w:tr>
        <w:tblPrEx>
          <w:tblCellMar>
            <w:top w:w="0" w:type="dxa"/>
            <w:left w:w="0" w:type="dxa"/>
            <w:bottom w:w="0" w:type="dxa"/>
            <w:right w:w="0" w:type="dxa"/>
          </w:tblCellMar>
        </w:tblPrEx>
        <w:tc>
          <w:tcPr>
            <w:tcW w:w="1020" w:type="dxa"/>
            <w:tcBorders>
              <w:top w:val="single" w:color="auto"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00" w:lineRule="exact"/>
              <w:jc w:val="right"/>
              <w:rPr>
                <w:rFonts w:hint="eastAsia" w:ascii="仿宋_GB2312" w:eastAsia="仿宋_GB2312"/>
                <w:sz w:val="28"/>
                <w:szCs w:val="28"/>
              </w:rPr>
            </w:pPr>
          </w:p>
          <w:p>
            <w:pPr>
              <w:spacing w:line="400" w:lineRule="exact"/>
              <w:jc w:val="right"/>
              <w:rPr>
                <w:rFonts w:hint="eastAsia" w:ascii="仿宋_GB2312" w:eastAsia="仿宋_GB2312"/>
                <w:sz w:val="28"/>
                <w:szCs w:val="28"/>
              </w:rPr>
            </w:pPr>
          </w:p>
          <w:p>
            <w:pPr>
              <w:spacing w:line="400" w:lineRule="exact"/>
              <w:jc w:val="right"/>
              <w:rPr>
                <w:rFonts w:hint="eastAsia" w:ascii="仿宋_GB2312" w:eastAsia="仿宋_GB2312"/>
                <w:sz w:val="28"/>
                <w:szCs w:val="28"/>
              </w:rPr>
            </w:pPr>
          </w:p>
          <w:p>
            <w:pPr>
              <w:spacing w:line="400" w:lineRule="exact"/>
              <w:jc w:val="right"/>
              <w:rPr>
                <w:rFonts w:hint="eastAsia" w:ascii="仿宋_GB2312" w:eastAsia="仿宋_GB2312"/>
                <w:sz w:val="28"/>
                <w:szCs w:val="28"/>
              </w:rPr>
            </w:pPr>
          </w:p>
          <w:p>
            <w:pPr>
              <w:spacing w:line="400" w:lineRule="exact"/>
              <w:jc w:val="right"/>
              <w:rPr>
                <w:rFonts w:hint="eastAsia" w:ascii="仿宋_GB2312" w:eastAsia="仿宋_GB2312"/>
                <w:sz w:val="28"/>
                <w:szCs w:val="28"/>
              </w:rPr>
            </w:pPr>
            <w:r>
              <w:rPr>
                <w:rFonts w:hint="eastAsia" w:ascii="仿宋_GB2312" w:eastAsia="仿宋_GB2312"/>
                <w:sz w:val="28"/>
                <w:szCs w:val="28"/>
              </w:rPr>
              <w:t>生活服务</w:t>
            </w:r>
          </w:p>
          <w:p>
            <w:pPr>
              <w:spacing w:line="400" w:lineRule="exact"/>
              <w:jc w:val="right"/>
              <w:rPr>
                <w:rFonts w:hint="eastAsia" w:ascii="仿宋_GB2312" w:eastAsia="仿宋_GB2312"/>
                <w:sz w:val="28"/>
                <w:szCs w:val="28"/>
              </w:rPr>
            </w:pPr>
          </w:p>
          <w:p>
            <w:pPr>
              <w:spacing w:line="400" w:lineRule="exact"/>
              <w:jc w:val="right"/>
              <w:rPr>
                <w:rFonts w:hint="eastAsia" w:ascii="仿宋_GB2312" w:eastAsia="仿宋_GB2312"/>
                <w:sz w:val="28"/>
                <w:szCs w:val="28"/>
              </w:rPr>
            </w:pPr>
          </w:p>
          <w:p>
            <w:pPr>
              <w:spacing w:line="400" w:lineRule="exact"/>
              <w:jc w:val="right"/>
              <w:rPr>
                <w:rFonts w:hint="eastAsia" w:ascii="仿宋_GB2312" w:eastAsia="仿宋_GB2312"/>
                <w:sz w:val="28"/>
                <w:szCs w:val="28"/>
              </w:rPr>
            </w:pPr>
          </w:p>
          <w:p>
            <w:pPr>
              <w:spacing w:line="400" w:lineRule="exact"/>
              <w:jc w:val="right"/>
              <w:rPr>
                <w:rFonts w:hint="eastAsia" w:ascii="仿宋_GB2312" w:eastAsia="仿宋_GB2312"/>
                <w:sz w:val="28"/>
                <w:szCs w:val="28"/>
              </w:rPr>
            </w:pPr>
          </w:p>
          <w:p>
            <w:pPr>
              <w:spacing w:line="400" w:lineRule="exact"/>
              <w:jc w:val="right"/>
              <w:rPr>
                <w:rFonts w:hint="eastAsia" w:ascii="仿宋_GB2312" w:eastAsia="仿宋_GB2312"/>
                <w:sz w:val="28"/>
                <w:szCs w:val="28"/>
              </w:rPr>
            </w:pPr>
          </w:p>
          <w:p>
            <w:pPr>
              <w:spacing w:line="400" w:lineRule="exact"/>
              <w:jc w:val="right"/>
              <w:rPr>
                <w:rFonts w:hint="eastAsia" w:ascii="仿宋_GB2312" w:eastAsia="仿宋_GB2312"/>
                <w:sz w:val="28"/>
                <w:szCs w:val="28"/>
              </w:rPr>
            </w:pPr>
          </w:p>
          <w:p>
            <w:pPr>
              <w:spacing w:line="400" w:lineRule="exact"/>
              <w:jc w:val="right"/>
              <w:rPr>
                <w:rFonts w:hint="eastAsia" w:ascii="仿宋_GB2312" w:eastAsia="仿宋_GB2312"/>
                <w:sz w:val="28"/>
                <w:szCs w:val="28"/>
              </w:rPr>
            </w:pPr>
          </w:p>
          <w:p>
            <w:pPr>
              <w:spacing w:line="400" w:lineRule="exact"/>
              <w:jc w:val="right"/>
              <w:rPr>
                <w:rFonts w:hint="eastAsia" w:ascii="仿宋_GB2312" w:eastAsia="仿宋_GB2312"/>
                <w:sz w:val="28"/>
                <w:szCs w:val="28"/>
              </w:rPr>
            </w:pPr>
          </w:p>
          <w:p>
            <w:pPr>
              <w:spacing w:line="400" w:lineRule="exact"/>
              <w:jc w:val="right"/>
              <w:rPr>
                <w:rFonts w:hint="eastAsia" w:ascii="仿宋_GB2312" w:eastAsia="仿宋_GB2312"/>
                <w:sz w:val="28"/>
                <w:szCs w:val="28"/>
              </w:rPr>
            </w:pPr>
          </w:p>
          <w:p>
            <w:pPr>
              <w:spacing w:line="400" w:lineRule="exact"/>
              <w:jc w:val="right"/>
              <w:rPr>
                <w:rFonts w:hint="eastAsia" w:ascii="仿宋_GB2312" w:eastAsia="仿宋_GB2312"/>
                <w:sz w:val="28"/>
                <w:szCs w:val="28"/>
              </w:rPr>
            </w:pPr>
          </w:p>
          <w:p>
            <w:pPr>
              <w:spacing w:line="400" w:lineRule="exact"/>
              <w:jc w:val="right"/>
              <w:rPr>
                <w:rFonts w:hint="eastAsia" w:ascii="仿宋_GB2312" w:eastAsia="仿宋_GB2312"/>
                <w:sz w:val="28"/>
                <w:szCs w:val="28"/>
              </w:rPr>
            </w:pPr>
          </w:p>
          <w:p>
            <w:pPr>
              <w:spacing w:line="400" w:lineRule="exact"/>
              <w:jc w:val="right"/>
              <w:rPr>
                <w:rFonts w:ascii="仿宋_GB2312" w:eastAsia="仿宋_GB2312"/>
                <w:sz w:val="28"/>
                <w:szCs w:val="28"/>
              </w:rPr>
            </w:pPr>
            <w:r>
              <w:rPr>
                <w:rFonts w:hint="eastAsia" w:ascii="仿宋_GB2312" w:eastAsia="仿宋_GB2312"/>
                <w:sz w:val="28"/>
                <w:szCs w:val="28"/>
              </w:rPr>
              <w:t>生活服务</w:t>
            </w:r>
          </w:p>
        </w:tc>
        <w:tc>
          <w:tcPr>
            <w:tcW w:w="8160" w:type="dxa"/>
            <w:tcBorders>
              <w:top w:val="single" w:color="auto" w:sz="6" w:space="0"/>
              <w:left w:val="single" w:color="auto" w:sz="6" w:space="0"/>
              <w:bottom w:val="single" w:color="000000" w:sz="6" w:space="0"/>
              <w:right w:val="single" w:color="000000" w:sz="6" w:space="0"/>
            </w:tcBorders>
            <w:tcMar>
              <w:top w:w="0" w:type="dxa"/>
              <w:left w:w="108" w:type="dxa"/>
              <w:bottom w:w="0" w:type="dxa"/>
              <w:right w:w="108" w:type="dxa"/>
            </w:tcMar>
          </w:tcPr>
          <w:p>
            <w:pPr>
              <w:spacing w:line="400" w:lineRule="exact"/>
              <w:ind w:firstLine="560" w:firstLineChars="200"/>
              <w:rPr>
                <w:rFonts w:ascii="仿宋_GB2312" w:eastAsia="仿宋_GB2312"/>
                <w:sz w:val="28"/>
                <w:szCs w:val="28"/>
              </w:rPr>
            </w:pPr>
            <w:r>
              <w:rPr>
                <w:rFonts w:hint="eastAsia" w:ascii="仿宋_GB2312" w:eastAsia="仿宋_GB2312"/>
                <w:sz w:val="28"/>
                <w:szCs w:val="28"/>
              </w:rPr>
              <w:t>是指为满足城乡居民日常生活需求提供的各类服务活动。包括文化体育服务、教育医疗服务、旅游娱乐服务、餐饮住宿服务、居民日常服务和其他生活服务。</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文化体育服务，包括文化服务和体育服务。（1）文化服务，是指为满足社会公众文化生活需求提供的各种服务。包括：文艺创作、文艺表演、文化比赛，图书馆的图书和资料借阅，档案馆的档案管理，文物及非物质遗产保护，组织举办宗教活动、科技活动、文化活动，提供游览场所。（2）体育服务，是指组织举办体育比赛、体育表演、体育活动，以及提供体育训练、体育指导、体育管理的业务活动。</w:t>
            </w:r>
          </w:p>
          <w:p>
            <w:pPr>
              <w:spacing w:line="360" w:lineRule="exact"/>
              <w:ind w:firstLine="560" w:firstLineChars="200"/>
              <w:rPr>
                <w:rFonts w:ascii="仿宋_GB2312" w:eastAsia="仿宋_GB2312"/>
                <w:sz w:val="28"/>
                <w:szCs w:val="28"/>
              </w:rPr>
            </w:pPr>
            <w:r>
              <w:rPr>
                <w:rFonts w:hint="eastAsia" w:ascii="仿宋_GB2312" w:eastAsia="仿宋_GB2312"/>
                <w:sz w:val="28"/>
                <w:szCs w:val="28"/>
              </w:rPr>
              <w:t>■教育医疗服务，包括教育服务和医疗服务。（1）教育服务，是指提供学历教育服务、非学历教育服务、教育辅助服务的业务活动。学历教育服务，是指根据教育行政管理部门确定或者认可的招生和教学计划组织教学，并颁发相应学历证书的业务活动。包括初等教育、初级中等教育、高级中等教育、高等教育等。非学历教育服务，包括学前教育、各类培训、演讲、讲座、报告会等。教育辅助服务，包括教育测评、考试、招生等服务。（2）医疗服务，是指提供医学检查、诊断、治疗、康复、预防、保健、接生、计划生育、防疫服务等方面的服务，以及与这些服务有关的提供药品、医用材料器具、救护车、病房住宿和伙食的业务。</w:t>
            </w:r>
          </w:p>
          <w:p>
            <w:pPr>
              <w:spacing w:line="360" w:lineRule="exact"/>
              <w:ind w:firstLine="560" w:firstLineChars="200"/>
              <w:rPr>
                <w:rFonts w:ascii="仿宋_GB2312" w:eastAsia="仿宋_GB2312"/>
                <w:sz w:val="28"/>
                <w:szCs w:val="28"/>
              </w:rPr>
            </w:pPr>
            <w:r>
              <w:rPr>
                <w:rFonts w:hint="eastAsia" w:ascii="仿宋_GB2312" w:eastAsia="仿宋_GB2312"/>
                <w:sz w:val="28"/>
                <w:szCs w:val="28"/>
              </w:rPr>
              <w:t>■旅游娱乐服务，包括旅游服务和娱乐服务。（1）旅游服务，是指根据旅游者的要求，组织安排交通、游览、住宿、餐饮、购物、文娱、商务等服务的业务活动。（2）娱乐服务，是指为娱乐活动同时提供场所和服务的业务。具体包括：歌厅、舞厅、夜总会、酒吧、台球、高尔夫球、保龄球、游艺（包括射击、狩猎、跑马、游戏机、蹦极、卡丁车、热气球、动力伞、射箭、飞镖）。</w:t>
            </w:r>
          </w:p>
          <w:p>
            <w:pPr>
              <w:spacing w:line="360" w:lineRule="exact"/>
              <w:ind w:firstLine="560" w:firstLineChars="200"/>
              <w:rPr>
                <w:rFonts w:ascii="仿宋_GB2312" w:eastAsia="仿宋_GB2312"/>
                <w:sz w:val="28"/>
                <w:szCs w:val="28"/>
              </w:rPr>
            </w:pPr>
            <w:r>
              <w:rPr>
                <w:rFonts w:hint="eastAsia" w:ascii="仿宋_GB2312" w:eastAsia="仿宋_GB2312"/>
                <w:sz w:val="28"/>
                <w:szCs w:val="28"/>
              </w:rPr>
              <w:t>■餐饮住宿服务，包括餐饮服务和住宿服务。（1）餐饮服务，是指通过同时提供饮食和饮食场所的方式为消费者提供饮食消费服务的业务活动。（2）住宿服务，是指提供住宿场所及配套服务等的活动。包括宾馆、旅馆、旅社、度假村和其他经营性住宿场所提供的住宿服务。</w:t>
            </w:r>
          </w:p>
          <w:p>
            <w:pPr>
              <w:spacing w:line="360" w:lineRule="exact"/>
              <w:ind w:firstLine="560" w:firstLineChars="200"/>
              <w:rPr>
                <w:rFonts w:ascii="仿宋_GB2312" w:eastAsia="仿宋_GB2312"/>
                <w:sz w:val="28"/>
                <w:szCs w:val="28"/>
              </w:rPr>
            </w:pPr>
            <w:r>
              <w:rPr>
                <w:rFonts w:hint="eastAsia" w:ascii="仿宋_GB2312" w:eastAsia="仿宋_GB2312"/>
                <w:sz w:val="28"/>
                <w:szCs w:val="28"/>
              </w:rPr>
              <w:t>■居民日常服务，是指主要为满足居民个人及其家庭日常生活需求提供的服务，包括市容市政管理、家政、婚庆、养老、殡葬、照料和护理、救助救济、美容美发、按摩、桑拿、氧吧、足疗、沐浴、洗染、摄影扩印等服务。</w:t>
            </w:r>
          </w:p>
          <w:p>
            <w:pPr>
              <w:spacing w:line="360" w:lineRule="exact"/>
              <w:ind w:firstLine="560" w:firstLineChars="200"/>
              <w:rPr>
                <w:rFonts w:ascii="仿宋_GB2312" w:eastAsia="仿宋_GB2312"/>
                <w:sz w:val="28"/>
                <w:szCs w:val="28"/>
              </w:rPr>
            </w:pPr>
            <w:r>
              <w:rPr>
                <w:rFonts w:hint="eastAsia" w:ascii="仿宋_GB2312" w:eastAsia="仿宋_GB2312"/>
                <w:sz w:val="28"/>
                <w:szCs w:val="28"/>
              </w:rPr>
              <w:t>■其他生活服务，是指除文化体育服务、教育医疗服务、旅游娱乐服务、餐饮住宿服务和居民日常服务之外的生活服务。</w:t>
            </w:r>
          </w:p>
        </w:tc>
      </w:tr>
      <w:tr>
        <w:tblPrEx>
          <w:tblCellMar>
            <w:top w:w="0" w:type="dxa"/>
            <w:left w:w="0" w:type="dxa"/>
            <w:bottom w:w="0" w:type="dxa"/>
            <w:right w:w="0" w:type="dxa"/>
          </w:tblCellMar>
        </w:tblPrEx>
        <w:tc>
          <w:tcPr>
            <w:tcW w:w="1020" w:type="dxa"/>
            <w:tcBorders>
              <w:top w:val="single" w:color="auto" w:sz="6" w:space="0"/>
              <w:left w:val="single" w:color="000000" w:sz="6" w:space="0"/>
              <w:bottom w:val="single" w:color="000000" w:sz="6" w:space="0"/>
              <w:right w:val="single" w:color="000000" w:sz="6" w:space="0"/>
            </w:tcBorders>
            <w:tcMar>
              <w:top w:w="0" w:type="dxa"/>
              <w:left w:w="108" w:type="dxa"/>
              <w:bottom w:w="0" w:type="dxa"/>
              <w:right w:w="108" w:type="dxa"/>
            </w:tcMar>
          </w:tcPr>
          <w:p>
            <w:pPr>
              <w:spacing w:line="400" w:lineRule="exact"/>
              <w:jc w:val="right"/>
              <w:rPr>
                <w:rFonts w:ascii="仿宋_GB2312" w:eastAsia="仿宋_GB2312"/>
                <w:sz w:val="28"/>
                <w:szCs w:val="28"/>
              </w:rPr>
            </w:pPr>
            <w:r>
              <w:rPr>
                <w:rFonts w:hint="eastAsia" w:ascii="仿宋_GB2312" w:eastAsia="仿宋_GB2312"/>
                <w:sz w:val="28"/>
                <w:szCs w:val="28"/>
              </w:rPr>
              <w:t>收派服务</w:t>
            </w:r>
          </w:p>
        </w:tc>
        <w:tc>
          <w:tcPr>
            <w:tcW w:w="8160" w:type="dxa"/>
            <w:tcBorders>
              <w:top w:val="single" w:color="auto" w:sz="6" w:space="0"/>
              <w:left w:val="single" w:color="auto" w:sz="6" w:space="0"/>
              <w:bottom w:val="single" w:color="000000" w:sz="6" w:space="0"/>
              <w:right w:val="single" w:color="000000" w:sz="6" w:space="0"/>
            </w:tcBorders>
            <w:tcMar>
              <w:top w:w="0" w:type="dxa"/>
              <w:left w:w="108" w:type="dxa"/>
              <w:bottom w:w="0" w:type="dxa"/>
              <w:right w:w="108" w:type="dxa"/>
            </w:tcMar>
          </w:tcPr>
          <w:p>
            <w:pPr>
              <w:spacing w:line="400" w:lineRule="exact"/>
              <w:ind w:firstLine="560" w:firstLineChars="200"/>
              <w:rPr>
                <w:rFonts w:ascii="仿宋_GB2312" w:eastAsia="仿宋_GB2312"/>
                <w:sz w:val="28"/>
                <w:szCs w:val="28"/>
              </w:rPr>
            </w:pPr>
            <w:r>
              <w:rPr>
                <w:rFonts w:hint="eastAsia" w:ascii="仿宋_GB2312" w:eastAsia="仿宋_GB2312"/>
                <w:sz w:val="28"/>
                <w:szCs w:val="28"/>
              </w:rPr>
              <w:t>是指接受寄件人委托，在承诺的时限内完成函件和包裹的收件、分拣、派送服务的业务活动。</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■收件服务，是指从寄件人收取函件和包裹，并运送到服务提供方同城的集散中心的业务活动。</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■分拣服务，是指服务提供方在其集散中心对函件和包裹进行归类、分发的业务活动。</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■派送服务，是指服务提供方从其集散中心将函件和包裹送达同城的收件人的业务活动。</w:t>
            </w:r>
          </w:p>
        </w:tc>
      </w:tr>
    </w:tbl>
    <w:p>
      <w:pPr>
        <w:spacing w:line="560" w:lineRule="exact"/>
        <w:ind w:firstLine="640" w:firstLineChars="200"/>
        <w:rPr>
          <w:rFonts w:ascii="仿宋_GB2312" w:eastAsia="仿宋_GB2312"/>
          <w:sz w:val="32"/>
        </w:rPr>
      </w:pPr>
      <w:r>
        <w:rPr>
          <w:rFonts w:hint="eastAsia" w:ascii="仿宋_GB2312" w:eastAsia="仿宋_GB2312"/>
          <w:sz w:val="32"/>
        </w:rPr>
        <w:t>上述优惠政策适用的截止日期将视疫情情况另行公告。</w:t>
      </w:r>
    </w:p>
    <w:p>
      <w:pPr>
        <w:spacing w:line="560" w:lineRule="exact"/>
        <w:ind w:firstLine="640" w:firstLineChars="200"/>
        <w:rPr>
          <w:rFonts w:ascii="仿宋_GB2312" w:eastAsia="仿宋_GB2312"/>
          <w:sz w:val="32"/>
        </w:rPr>
      </w:pPr>
      <w:r>
        <w:rPr>
          <w:rFonts w:ascii="仿宋_GB2312" w:eastAsia="仿宋_GB2312"/>
          <w:sz w:val="32"/>
        </w:rPr>
        <w:t>纳税人提供公共交通运输服务、生活服务，以及为居民提供必需生活物资快递收派服务取得的收入免征增值税的，免征城市维护建设税、教育费附加、地方教育附加。</w:t>
      </w:r>
    </w:p>
    <w:p>
      <w:pPr>
        <w:spacing w:line="560" w:lineRule="exact"/>
        <w:ind w:firstLine="640" w:firstLineChars="200"/>
        <w:rPr>
          <w:rFonts w:ascii="仿宋_GB2312" w:eastAsia="仿宋_GB2312"/>
          <w:sz w:val="32"/>
        </w:rPr>
      </w:pPr>
      <w:r>
        <w:rPr>
          <w:rFonts w:ascii="仿宋_GB2312" w:eastAsia="仿宋_GB2312"/>
          <w:sz w:val="32"/>
        </w:rPr>
        <w:t>纳税人按规定享受免征增值税优惠的，可自主进行免税申报，无需办理有关免税备案手续，但应将相关证明材料留存备查。在办理增值税纳税申报时，应当填写增值税纳税申报表及《增值税减免税申报明细表》相应栏次。</w:t>
      </w:r>
    </w:p>
    <w:p>
      <w:pPr>
        <w:spacing w:line="560" w:lineRule="exact"/>
        <w:ind w:firstLine="640" w:firstLineChars="200"/>
        <w:rPr>
          <w:rFonts w:ascii="仿宋_GB2312" w:eastAsia="仿宋_GB2312"/>
          <w:sz w:val="32"/>
        </w:rPr>
      </w:pPr>
      <w:r>
        <w:rPr>
          <w:rFonts w:ascii="仿宋_GB2312" w:eastAsia="仿宋_GB2312"/>
          <w:sz w:val="32"/>
        </w:rPr>
        <w:t>纳税人按规定适用免征增值税政策的，不得开具增值税专用发票；已开具增值税专用发票的，应当开具对应红字发票或者作废原发票，再按规定适用免征增值税政策并开具普通发票。纳税人在疫情防控期间已经开具增值税专用发票，按规定应当开具对应红字发票而未及时开具的，可以先适用免征增值税政策，对应红字发票应当于相关免征增值税政策执行到期后1个月内完成开具。</w:t>
      </w:r>
    </w:p>
    <w:p>
      <w:pPr>
        <w:spacing w:line="560" w:lineRule="exact"/>
        <w:ind w:firstLine="640" w:firstLineChars="200"/>
        <w:rPr>
          <w:rFonts w:ascii="仿宋_GB2312" w:eastAsia="仿宋_GB2312"/>
          <w:sz w:val="32"/>
        </w:rPr>
      </w:pPr>
      <w:r>
        <w:rPr>
          <w:rFonts w:ascii="仿宋_GB2312" w:eastAsia="仿宋_GB2312"/>
          <w:sz w:val="32"/>
        </w:rPr>
        <w:t>纳税人已将适用免税政策的销售额、销售数量，按照征税销售额、销售数量进行增值税申报的，可以选择更正当期申报或者在下期申报时调整。已征应予免征的增值税税款，可以予以退还或者抵减纳税人以后应缴纳的增值税税款。</w:t>
      </w:r>
    </w:p>
    <w:p>
      <w:pPr>
        <w:spacing w:line="560" w:lineRule="exact"/>
        <w:ind w:firstLine="640" w:firstLineChars="200"/>
        <w:rPr>
          <w:rFonts w:ascii="仿宋_GB2312" w:eastAsia="仿宋_GB2312"/>
          <w:sz w:val="32"/>
        </w:rPr>
      </w:pPr>
      <w:r>
        <w:rPr>
          <w:rFonts w:ascii="仿宋_GB2312" w:eastAsia="仿宋_GB2312"/>
          <w:sz w:val="32"/>
        </w:rPr>
        <w:t>【政策依据】</w:t>
      </w:r>
    </w:p>
    <w:p>
      <w:pPr>
        <w:spacing w:line="560" w:lineRule="exact"/>
        <w:ind w:firstLine="640" w:firstLineChars="200"/>
        <w:rPr>
          <w:rFonts w:ascii="仿宋_GB2312" w:eastAsia="仿宋_GB2312"/>
          <w:sz w:val="32"/>
        </w:rPr>
      </w:pPr>
      <w:r>
        <w:rPr>
          <w:rFonts w:ascii="仿宋_GB2312" w:eastAsia="仿宋_GB2312"/>
          <w:sz w:val="32"/>
        </w:rPr>
        <w:t>（1）《财政部 税务总局关于支持新型冠状病毒感染的肺炎疫情防控有关税收政策的公告》（2020年第8号）</w:t>
      </w:r>
    </w:p>
    <w:p>
      <w:pPr>
        <w:spacing w:line="560" w:lineRule="exact"/>
        <w:ind w:firstLine="640" w:firstLineChars="200"/>
        <w:rPr>
          <w:rFonts w:ascii="仿宋_GB2312" w:eastAsia="仿宋_GB2312"/>
          <w:sz w:val="32"/>
        </w:rPr>
      </w:pPr>
      <w:r>
        <w:rPr>
          <w:rFonts w:ascii="仿宋_GB2312" w:eastAsia="仿宋_GB2312"/>
          <w:sz w:val="32"/>
        </w:rPr>
        <w:t>（2）《财政部 税务总局关于全面推开营业税改征增值税试点的通知》（财税〔2016〕36号）</w:t>
      </w:r>
    </w:p>
    <w:p>
      <w:pPr>
        <w:spacing w:line="560" w:lineRule="exact"/>
        <w:ind w:firstLine="640" w:firstLineChars="200"/>
        <w:rPr>
          <w:rFonts w:ascii="仿宋_GB2312" w:eastAsia="仿宋_GB2312"/>
          <w:sz w:val="32"/>
        </w:rPr>
      </w:pPr>
      <w:r>
        <w:rPr>
          <w:rFonts w:ascii="仿宋_GB2312" w:eastAsia="仿宋_GB2312"/>
          <w:sz w:val="32"/>
        </w:rPr>
        <w:t>（3）《国家税务总局关于支持新型冠状病毒感染的肺炎疫情防控有关税收征收管理事项的公告》（2020年第4号）</w:t>
      </w:r>
    </w:p>
    <w:p>
      <w:pPr>
        <w:spacing w:line="560" w:lineRule="exact"/>
        <w:ind w:firstLine="640" w:firstLineChars="200"/>
        <w:rPr>
          <w:rFonts w:ascii="黑体" w:hAnsi="黑体" w:eastAsia="黑体"/>
          <w:bCs/>
          <w:sz w:val="32"/>
        </w:rPr>
      </w:pPr>
      <w:r>
        <w:rPr>
          <w:rFonts w:ascii="黑体" w:hAnsi="黑体" w:eastAsia="黑体"/>
          <w:bCs/>
          <w:sz w:val="32"/>
        </w:rPr>
        <w:t>6.对疫情防控重点保障物资生产企业扩大产能购置设备允许企业所得税税前一次性扣除</w:t>
      </w:r>
    </w:p>
    <w:p>
      <w:pPr>
        <w:spacing w:line="560" w:lineRule="exact"/>
        <w:ind w:firstLine="640" w:firstLineChars="200"/>
        <w:rPr>
          <w:rFonts w:ascii="仿宋_GB2312" w:eastAsia="仿宋_GB2312"/>
          <w:sz w:val="32"/>
        </w:rPr>
      </w:pPr>
      <w:r>
        <w:rPr>
          <w:rFonts w:ascii="仿宋_GB2312" w:eastAsia="仿宋_GB2312"/>
          <w:sz w:val="32"/>
        </w:rPr>
        <w:t>【享受主体】</w:t>
      </w:r>
    </w:p>
    <w:p>
      <w:pPr>
        <w:spacing w:line="560" w:lineRule="exact"/>
        <w:ind w:firstLine="640" w:firstLineChars="200"/>
        <w:rPr>
          <w:rFonts w:ascii="仿宋_GB2312" w:eastAsia="仿宋_GB2312"/>
          <w:sz w:val="32"/>
        </w:rPr>
      </w:pPr>
      <w:r>
        <w:rPr>
          <w:rFonts w:ascii="仿宋_GB2312" w:eastAsia="仿宋_GB2312"/>
          <w:sz w:val="32"/>
        </w:rPr>
        <w:t>疫情防控重点保障物资生产企业</w:t>
      </w:r>
    </w:p>
    <w:p>
      <w:pPr>
        <w:spacing w:line="560" w:lineRule="exact"/>
        <w:ind w:firstLine="640" w:firstLineChars="200"/>
        <w:rPr>
          <w:rFonts w:ascii="仿宋_GB2312" w:eastAsia="仿宋_GB2312"/>
          <w:sz w:val="32"/>
        </w:rPr>
      </w:pPr>
      <w:r>
        <w:rPr>
          <w:rFonts w:ascii="仿宋_GB2312" w:eastAsia="仿宋_GB2312"/>
          <w:sz w:val="32"/>
        </w:rPr>
        <w:t>【优惠内容】</w:t>
      </w:r>
    </w:p>
    <w:p>
      <w:pPr>
        <w:spacing w:line="560" w:lineRule="exact"/>
        <w:ind w:firstLine="640" w:firstLineChars="200"/>
        <w:rPr>
          <w:rFonts w:ascii="仿宋_GB2312" w:eastAsia="仿宋_GB2312"/>
          <w:sz w:val="32"/>
        </w:rPr>
      </w:pPr>
      <w:r>
        <w:rPr>
          <w:rFonts w:ascii="仿宋_GB2312" w:eastAsia="仿宋_GB2312"/>
          <w:sz w:val="32"/>
        </w:rPr>
        <w:t>自2020年1月1日起，对疫情防控重点保障物资生产企业为扩大产能新购置的相关设备，允许一次性计入当期成本费用在企业所得税税前扣除。</w:t>
      </w:r>
    </w:p>
    <w:p>
      <w:pPr>
        <w:spacing w:line="560" w:lineRule="exact"/>
        <w:ind w:firstLine="640" w:firstLineChars="200"/>
        <w:rPr>
          <w:rFonts w:ascii="仿宋_GB2312" w:eastAsia="仿宋_GB2312"/>
          <w:sz w:val="32"/>
        </w:rPr>
      </w:pPr>
      <w:r>
        <w:rPr>
          <w:rFonts w:ascii="仿宋_GB2312" w:eastAsia="仿宋_GB2312"/>
          <w:sz w:val="32"/>
        </w:rPr>
        <w:t>企业名单由省级及省级以上发展改革部门、工业和信息化部门确定。</w:t>
      </w:r>
    </w:p>
    <w:p>
      <w:pPr>
        <w:spacing w:line="560" w:lineRule="exact"/>
        <w:ind w:firstLine="640" w:firstLineChars="200"/>
        <w:rPr>
          <w:rFonts w:ascii="仿宋_GB2312" w:eastAsia="仿宋_GB2312"/>
          <w:sz w:val="32"/>
        </w:rPr>
      </w:pPr>
      <w:r>
        <w:rPr>
          <w:rFonts w:ascii="仿宋_GB2312" w:eastAsia="仿宋_GB2312"/>
          <w:sz w:val="32"/>
        </w:rPr>
        <w:t>上述优惠政策适用的截止日期将视疫情情况另行公告。</w:t>
      </w:r>
    </w:p>
    <w:p>
      <w:pPr>
        <w:spacing w:line="560" w:lineRule="exact"/>
        <w:ind w:firstLine="640" w:firstLineChars="200"/>
        <w:rPr>
          <w:rFonts w:ascii="仿宋_GB2312" w:eastAsia="仿宋_GB2312"/>
          <w:sz w:val="32"/>
        </w:rPr>
      </w:pPr>
      <w:r>
        <w:rPr>
          <w:rFonts w:ascii="仿宋_GB2312" w:eastAsia="仿宋_GB2312"/>
          <w:sz w:val="32"/>
        </w:rPr>
        <w:t>疫情防控重点保障物资生产企业适用一次性企业所得税税前扣除政策的，在优惠政策管理等方面参照《国家税务总局关于设备器具扣除有关企业所得税政策执行问题的公告》（2018年第46号）的规定执行。企业在纳税申报时将相关情况填入企业所得税纳税申报表"固定资产一次性扣除"行次。</w:t>
      </w:r>
    </w:p>
    <w:p>
      <w:pPr>
        <w:spacing w:line="560" w:lineRule="exact"/>
        <w:ind w:firstLine="640" w:firstLineChars="200"/>
        <w:rPr>
          <w:rFonts w:ascii="仿宋_GB2312" w:eastAsia="仿宋_GB2312"/>
          <w:sz w:val="32"/>
        </w:rPr>
      </w:pPr>
      <w:r>
        <w:rPr>
          <w:rFonts w:ascii="仿宋_GB2312" w:eastAsia="仿宋_GB2312"/>
          <w:sz w:val="32"/>
        </w:rPr>
        <w:t>【政策依据】</w:t>
      </w:r>
    </w:p>
    <w:p>
      <w:pPr>
        <w:spacing w:line="560" w:lineRule="exact"/>
        <w:ind w:firstLine="640" w:firstLineChars="200"/>
        <w:rPr>
          <w:rFonts w:ascii="仿宋_GB2312" w:eastAsia="仿宋_GB2312"/>
          <w:sz w:val="32"/>
        </w:rPr>
      </w:pPr>
      <w:r>
        <w:rPr>
          <w:rFonts w:ascii="仿宋_GB2312" w:eastAsia="仿宋_GB2312"/>
          <w:sz w:val="32"/>
        </w:rPr>
        <w:t>（1）《财政部 税务总局关于支持新型冠状病毒感染的肺炎疫情防控有关税收政策的公告》（2020年第8号）</w:t>
      </w:r>
    </w:p>
    <w:p>
      <w:pPr>
        <w:spacing w:line="560" w:lineRule="exact"/>
        <w:ind w:firstLine="640" w:firstLineChars="200"/>
        <w:rPr>
          <w:rFonts w:ascii="仿宋_GB2312" w:eastAsia="仿宋_GB2312"/>
          <w:sz w:val="32"/>
        </w:rPr>
      </w:pPr>
      <w:r>
        <w:rPr>
          <w:rFonts w:ascii="仿宋_GB2312" w:eastAsia="仿宋_GB2312"/>
          <w:sz w:val="32"/>
        </w:rPr>
        <w:t>（2）《国家税务总局关于支持新型冠状病毒感染的肺炎疫情防控有关税收征收管理事项的公告》（2020年第4号）</w:t>
      </w:r>
    </w:p>
    <w:p>
      <w:pPr>
        <w:spacing w:line="560" w:lineRule="exact"/>
        <w:ind w:firstLine="640" w:firstLineChars="200"/>
        <w:rPr>
          <w:rFonts w:ascii="黑体" w:hAnsi="黑体" w:eastAsia="黑体"/>
          <w:bCs/>
          <w:sz w:val="32"/>
        </w:rPr>
      </w:pPr>
      <w:r>
        <w:rPr>
          <w:rFonts w:ascii="黑体" w:hAnsi="黑体" w:eastAsia="黑体"/>
          <w:bCs/>
          <w:sz w:val="32"/>
        </w:rPr>
        <w:t>7.对卫生健康主管部门组织进口的直接用于防控疫情物资免征关税</w:t>
      </w:r>
    </w:p>
    <w:p>
      <w:pPr>
        <w:spacing w:line="560" w:lineRule="exact"/>
        <w:ind w:firstLine="640" w:firstLineChars="200"/>
        <w:rPr>
          <w:rFonts w:ascii="仿宋_GB2312" w:eastAsia="仿宋_GB2312"/>
          <w:sz w:val="32"/>
        </w:rPr>
      </w:pPr>
      <w:r>
        <w:rPr>
          <w:rFonts w:ascii="仿宋_GB2312" w:eastAsia="仿宋_GB2312"/>
          <w:sz w:val="32"/>
        </w:rPr>
        <w:t>【享受主体】</w:t>
      </w:r>
    </w:p>
    <w:p>
      <w:pPr>
        <w:spacing w:line="560" w:lineRule="exact"/>
        <w:ind w:firstLine="640" w:firstLineChars="200"/>
        <w:rPr>
          <w:rFonts w:ascii="仿宋_GB2312" w:eastAsia="仿宋_GB2312"/>
          <w:sz w:val="32"/>
        </w:rPr>
      </w:pPr>
      <w:r>
        <w:rPr>
          <w:rFonts w:ascii="仿宋_GB2312" w:eastAsia="仿宋_GB2312"/>
          <w:sz w:val="32"/>
        </w:rPr>
        <w:t>卫生健康主管部门组织进口的直接用于防控疫情物资</w:t>
      </w:r>
    </w:p>
    <w:p>
      <w:pPr>
        <w:spacing w:line="560" w:lineRule="exact"/>
        <w:ind w:firstLine="640" w:firstLineChars="200"/>
        <w:rPr>
          <w:rFonts w:ascii="仿宋_GB2312" w:eastAsia="仿宋_GB2312"/>
          <w:sz w:val="32"/>
        </w:rPr>
      </w:pPr>
      <w:r>
        <w:rPr>
          <w:rFonts w:ascii="仿宋_GB2312" w:eastAsia="仿宋_GB2312"/>
          <w:sz w:val="32"/>
        </w:rPr>
        <w:t>【优惠内容】</w:t>
      </w:r>
    </w:p>
    <w:p>
      <w:pPr>
        <w:spacing w:line="560" w:lineRule="exact"/>
        <w:ind w:firstLine="640" w:firstLineChars="200"/>
        <w:rPr>
          <w:rFonts w:ascii="仿宋_GB2312" w:eastAsia="仿宋_GB2312"/>
          <w:sz w:val="32"/>
        </w:rPr>
      </w:pPr>
      <w:r>
        <w:rPr>
          <w:rFonts w:ascii="仿宋_GB2312" w:eastAsia="仿宋_GB2312"/>
          <w:sz w:val="32"/>
        </w:rPr>
        <w:t>自2020年1月1日至2020年3月31日，对卫生健康主管部门组织进口的直接用于防控疫情物资免征关税。</w:t>
      </w:r>
    </w:p>
    <w:p>
      <w:pPr>
        <w:spacing w:line="560" w:lineRule="exact"/>
        <w:ind w:firstLine="640" w:firstLineChars="200"/>
        <w:rPr>
          <w:rFonts w:ascii="仿宋_GB2312" w:eastAsia="仿宋_GB2312"/>
          <w:sz w:val="32"/>
        </w:rPr>
      </w:pPr>
      <w:r>
        <w:rPr>
          <w:rFonts w:ascii="仿宋_GB2312" w:eastAsia="仿宋_GB2312"/>
          <w:sz w:val="32"/>
        </w:rPr>
        <w:t>免税进口物资，可按照或比照海关总署公告2020年第17号，先登记放行，再按规定补办相关手续。</w:t>
      </w:r>
    </w:p>
    <w:p>
      <w:pPr>
        <w:spacing w:line="560" w:lineRule="exact"/>
        <w:ind w:firstLine="640" w:firstLineChars="200"/>
        <w:rPr>
          <w:rFonts w:ascii="仿宋_GB2312" w:eastAsia="仿宋_GB2312"/>
          <w:sz w:val="32"/>
        </w:rPr>
      </w:pPr>
      <w:r>
        <w:rPr>
          <w:rFonts w:ascii="仿宋_GB2312" w:eastAsia="仿宋_GB2312"/>
          <w:sz w:val="32"/>
        </w:rPr>
        <w:t>【政策依据】</w:t>
      </w:r>
    </w:p>
    <w:p>
      <w:pPr>
        <w:spacing w:line="560" w:lineRule="exact"/>
        <w:ind w:firstLine="640" w:firstLineChars="200"/>
        <w:rPr>
          <w:rFonts w:ascii="仿宋_GB2312" w:eastAsia="仿宋_GB2312"/>
          <w:sz w:val="32"/>
        </w:rPr>
      </w:pPr>
      <w:r>
        <w:rPr>
          <w:rFonts w:ascii="仿宋_GB2312" w:eastAsia="仿宋_GB2312"/>
          <w:sz w:val="32"/>
        </w:rPr>
        <w:t>《财政部 海关总署 税务总局关于防控新型冠状病毒感染的肺炎疫情进口物资免税政策的公告》（2020年第6号）</w:t>
      </w:r>
    </w:p>
    <w:p>
      <w:pPr>
        <w:spacing w:line="560" w:lineRule="exact"/>
        <w:ind w:firstLine="640" w:firstLineChars="200"/>
        <w:rPr>
          <w:rFonts w:ascii="黑体" w:hAnsi="黑体" w:eastAsia="黑体"/>
          <w:bCs/>
          <w:sz w:val="32"/>
        </w:rPr>
      </w:pPr>
      <w:r>
        <w:rPr>
          <w:rFonts w:ascii="黑体" w:hAnsi="黑体" w:eastAsia="黑体"/>
          <w:bCs/>
          <w:sz w:val="32"/>
        </w:rPr>
        <w:t>三、鼓励公益捐赠</w:t>
      </w:r>
    </w:p>
    <w:p>
      <w:pPr>
        <w:spacing w:line="560" w:lineRule="exact"/>
        <w:ind w:firstLine="640" w:firstLineChars="200"/>
        <w:rPr>
          <w:rFonts w:ascii="黑体" w:hAnsi="黑体" w:eastAsia="黑体"/>
          <w:bCs/>
          <w:sz w:val="32"/>
        </w:rPr>
      </w:pPr>
      <w:r>
        <w:rPr>
          <w:rFonts w:ascii="黑体" w:hAnsi="黑体" w:eastAsia="黑体"/>
          <w:bCs/>
          <w:sz w:val="32"/>
        </w:rPr>
        <w:t>8.通过公益性社会组织或县级以上人民政府及其部门等国家机关捐赠应对疫情的现金和物品允许企业所得税或个人所得税税前全额扣除</w:t>
      </w:r>
    </w:p>
    <w:p>
      <w:pPr>
        <w:spacing w:line="560" w:lineRule="exact"/>
        <w:ind w:firstLine="640" w:firstLineChars="200"/>
        <w:rPr>
          <w:rFonts w:ascii="仿宋_GB2312" w:eastAsia="仿宋_GB2312"/>
          <w:sz w:val="32"/>
        </w:rPr>
      </w:pPr>
      <w:r>
        <w:rPr>
          <w:rFonts w:ascii="仿宋_GB2312" w:eastAsia="仿宋_GB2312"/>
          <w:sz w:val="32"/>
        </w:rPr>
        <w:t>【享受主体】</w:t>
      </w:r>
    </w:p>
    <w:p>
      <w:pPr>
        <w:spacing w:line="560" w:lineRule="exact"/>
        <w:ind w:firstLine="640" w:firstLineChars="200"/>
        <w:rPr>
          <w:rFonts w:ascii="仿宋_GB2312" w:eastAsia="仿宋_GB2312"/>
          <w:sz w:val="32"/>
        </w:rPr>
      </w:pPr>
      <w:r>
        <w:rPr>
          <w:rFonts w:ascii="仿宋_GB2312" w:eastAsia="仿宋_GB2312"/>
          <w:sz w:val="32"/>
        </w:rPr>
        <w:t>通过公益性社会组织或者县级以上人民政府及其部门等国家机关对应对新型冠状病毒感染的肺炎疫情进行捐赠的企业和个人</w:t>
      </w:r>
    </w:p>
    <w:p>
      <w:pPr>
        <w:spacing w:line="560" w:lineRule="exact"/>
        <w:ind w:firstLine="640" w:firstLineChars="200"/>
        <w:rPr>
          <w:rFonts w:ascii="仿宋_GB2312" w:eastAsia="仿宋_GB2312"/>
          <w:sz w:val="32"/>
        </w:rPr>
      </w:pPr>
      <w:r>
        <w:rPr>
          <w:rFonts w:ascii="仿宋_GB2312" w:eastAsia="仿宋_GB2312"/>
          <w:sz w:val="32"/>
        </w:rPr>
        <w:t>【优惠内容】</w:t>
      </w:r>
    </w:p>
    <w:p>
      <w:pPr>
        <w:spacing w:line="560" w:lineRule="exact"/>
        <w:ind w:firstLine="640" w:firstLineChars="200"/>
        <w:rPr>
          <w:rFonts w:ascii="仿宋_GB2312" w:eastAsia="仿宋_GB2312"/>
          <w:sz w:val="32"/>
        </w:rPr>
      </w:pPr>
      <w:r>
        <w:rPr>
          <w:rFonts w:ascii="仿宋_GB2312" w:eastAsia="仿宋_GB2312"/>
          <w:sz w:val="32"/>
        </w:rPr>
        <w:t>自2020年1月1日起，企业和个人通过公益性社会组织或者县级以上人民政府及其部门等国家机关，捐赠用于应对新型冠状病毒感染的肺炎疫情的现金和物品，允许在计算企业所得税或个人所得税应纳税所得额时全额扣除。</w:t>
      </w:r>
    </w:p>
    <w:p>
      <w:pPr>
        <w:spacing w:line="560" w:lineRule="exact"/>
        <w:ind w:firstLine="640" w:firstLineChars="200"/>
        <w:rPr>
          <w:rFonts w:ascii="仿宋_GB2312" w:eastAsia="仿宋_GB2312"/>
          <w:sz w:val="32"/>
        </w:rPr>
      </w:pPr>
      <w:r>
        <w:rPr>
          <w:rFonts w:ascii="仿宋_GB2312" w:eastAsia="仿宋_GB2312"/>
          <w:sz w:val="32"/>
        </w:rPr>
        <w:t>国家机关、公益性社会组织接受的捐赠，应专项用于应对新型冠状病毒感染的肺炎疫情工作，不得挪作他用。</w:t>
      </w:r>
    </w:p>
    <w:p>
      <w:pPr>
        <w:spacing w:line="560" w:lineRule="exact"/>
        <w:ind w:firstLine="640" w:firstLineChars="200"/>
        <w:rPr>
          <w:rFonts w:ascii="仿宋_GB2312" w:eastAsia="仿宋_GB2312"/>
          <w:sz w:val="32"/>
        </w:rPr>
      </w:pPr>
      <w:r>
        <w:rPr>
          <w:rFonts w:ascii="仿宋_GB2312" w:eastAsia="仿宋_GB2312"/>
          <w:sz w:val="32"/>
        </w:rPr>
        <w:t>上述优惠政策适用的截止日期将视疫情情况另行公告。</w:t>
      </w:r>
    </w:p>
    <w:p>
      <w:pPr>
        <w:spacing w:line="560" w:lineRule="exact"/>
        <w:ind w:firstLine="640" w:firstLineChars="200"/>
        <w:rPr>
          <w:rFonts w:ascii="仿宋_GB2312" w:eastAsia="仿宋_GB2312"/>
          <w:sz w:val="32"/>
        </w:rPr>
      </w:pPr>
      <w:r>
        <w:rPr>
          <w:rFonts w:hint="eastAsia" w:ascii="仿宋_GB2312" w:eastAsia="仿宋_GB2312"/>
          <w:sz w:val="32"/>
        </w:rPr>
        <w:t>“</w:t>
      </w:r>
      <w:r>
        <w:rPr>
          <w:rFonts w:ascii="仿宋_GB2312" w:eastAsia="仿宋_GB2312"/>
          <w:sz w:val="32"/>
        </w:rPr>
        <w:t>公益性社会组织</w:t>
      </w:r>
      <w:r>
        <w:rPr>
          <w:rFonts w:hint="eastAsia" w:ascii="仿宋_GB2312" w:eastAsia="仿宋_GB2312"/>
          <w:sz w:val="32"/>
        </w:rPr>
        <w:t>”</w:t>
      </w:r>
      <w:r>
        <w:rPr>
          <w:rFonts w:ascii="仿宋_GB2312" w:eastAsia="仿宋_GB2312"/>
          <w:sz w:val="32"/>
        </w:rPr>
        <w:t>是指依法取得公益性捐赠税前扣除资格的社会组织。企业享受规定的全额税前扣除政策的，采取</w:t>
      </w:r>
      <w:r>
        <w:rPr>
          <w:rFonts w:hint="eastAsia" w:ascii="仿宋_GB2312" w:eastAsia="仿宋_GB2312"/>
          <w:sz w:val="32"/>
        </w:rPr>
        <w:t>“</w:t>
      </w:r>
      <w:r>
        <w:rPr>
          <w:rFonts w:ascii="仿宋_GB2312" w:eastAsia="仿宋_GB2312"/>
          <w:sz w:val="32"/>
        </w:rPr>
        <w:t>自行判别、申报享受、相关资料留存备查</w:t>
      </w:r>
      <w:r>
        <w:rPr>
          <w:rFonts w:hint="eastAsia" w:ascii="仿宋_GB2312" w:eastAsia="仿宋_GB2312"/>
          <w:sz w:val="32"/>
        </w:rPr>
        <w:t>”</w:t>
      </w:r>
      <w:r>
        <w:rPr>
          <w:rFonts w:ascii="仿宋_GB2312" w:eastAsia="仿宋_GB2312"/>
          <w:sz w:val="32"/>
        </w:rPr>
        <w:t>的方式，并将捐赠全额扣除情况填入企业所得税纳税申报表相应行次。个人享受规定的全额税前扣除政策的，按照《财政部 税务总局关于公益慈善事业捐赠个人所得税政策的公告》（2019年第99号）有关规定执行。</w:t>
      </w:r>
    </w:p>
    <w:p>
      <w:pPr>
        <w:spacing w:line="560" w:lineRule="exact"/>
        <w:ind w:firstLine="640" w:firstLineChars="200"/>
        <w:rPr>
          <w:rFonts w:ascii="仿宋_GB2312" w:eastAsia="仿宋_GB2312"/>
          <w:sz w:val="32"/>
        </w:rPr>
      </w:pPr>
      <w:r>
        <w:rPr>
          <w:rFonts w:ascii="仿宋_GB2312" w:eastAsia="仿宋_GB2312"/>
          <w:sz w:val="32"/>
        </w:rPr>
        <w:t>【政策依据】</w:t>
      </w:r>
    </w:p>
    <w:p>
      <w:pPr>
        <w:spacing w:line="560" w:lineRule="exact"/>
        <w:ind w:firstLine="640" w:firstLineChars="200"/>
        <w:rPr>
          <w:rFonts w:ascii="仿宋_GB2312" w:eastAsia="仿宋_GB2312"/>
          <w:sz w:val="32"/>
        </w:rPr>
      </w:pPr>
      <w:r>
        <w:rPr>
          <w:rFonts w:ascii="仿宋_GB2312" w:eastAsia="仿宋_GB2312"/>
          <w:sz w:val="32"/>
        </w:rPr>
        <w:t>（1）《财政部 税务总局关于支持新型冠状病毒感染的肺炎疫情防控有关捐赠税收政策的公告》（2020年第9号）</w:t>
      </w:r>
    </w:p>
    <w:p>
      <w:pPr>
        <w:spacing w:line="560" w:lineRule="exact"/>
        <w:ind w:firstLine="640" w:firstLineChars="200"/>
        <w:rPr>
          <w:rFonts w:ascii="仿宋_GB2312" w:eastAsia="仿宋_GB2312"/>
          <w:sz w:val="32"/>
        </w:rPr>
      </w:pPr>
      <w:r>
        <w:rPr>
          <w:rFonts w:ascii="仿宋_GB2312" w:eastAsia="仿宋_GB2312"/>
          <w:sz w:val="32"/>
        </w:rPr>
        <w:t>（2）《国家税务总局关于支持新型冠状病毒感染的肺炎疫情防控有关税收征收管理事项的公告》（2020年第4号）</w:t>
      </w:r>
    </w:p>
    <w:p>
      <w:pPr>
        <w:spacing w:line="560" w:lineRule="exact"/>
        <w:ind w:firstLine="640" w:firstLineChars="200"/>
        <w:rPr>
          <w:rFonts w:ascii="黑体" w:hAnsi="黑体" w:eastAsia="黑体"/>
          <w:bCs/>
          <w:sz w:val="32"/>
        </w:rPr>
      </w:pPr>
      <w:r>
        <w:rPr>
          <w:rFonts w:ascii="黑体" w:hAnsi="黑体" w:eastAsia="黑体"/>
          <w:bCs/>
          <w:sz w:val="32"/>
        </w:rPr>
        <w:t>9.直接向承担疫情防治任务的医院捐赠应对疫情物品允许企业所得税或个人所得税税前全额扣除</w:t>
      </w:r>
    </w:p>
    <w:p>
      <w:pPr>
        <w:spacing w:line="560" w:lineRule="exact"/>
        <w:ind w:firstLine="640" w:firstLineChars="200"/>
        <w:rPr>
          <w:rFonts w:ascii="仿宋_GB2312" w:eastAsia="仿宋_GB2312"/>
          <w:sz w:val="32"/>
        </w:rPr>
      </w:pPr>
      <w:r>
        <w:rPr>
          <w:rFonts w:ascii="仿宋_GB2312" w:eastAsia="仿宋_GB2312"/>
          <w:sz w:val="32"/>
        </w:rPr>
        <w:t>【享受主体】</w:t>
      </w:r>
    </w:p>
    <w:p>
      <w:pPr>
        <w:spacing w:line="560" w:lineRule="exact"/>
        <w:ind w:firstLine="640" w:firstLineChars="200"/>
        <w:rPr>
          <w:rFonts w:ascii="仿宋_GB2312" w:eastAsia="仿宋_GB2312"/>
          <w:sz w:val="32"/>
        </w:rPr>
      </w:pPr>
      <w:r>
        <w:rPr>
          <w:rFonts w:ascii="仿宋_GB2312" w:eastAsia="仿宋_GB2312"/>
          <w:sz w:val="32"/>
        </w:rPr>
        <w:t>直接向承担疫情防治任务的医院捐赠用于应对新型冠状病毒感染的肺炎疫情物品的企业和个人</w:t>
      </w:r>
    </w:p>
    <w:p>
      <w:pPr>
        <w:spacing w:line="560" w:lineRule="exact"/>
        <w:ind w:firstLine="640" w:firstLineChars="200"/>
        <w:rPr>
          <w:rFonts w:ascii="仿宋_GB2312" w:eastAsia="仿宋_GB2312"/>
          <w:sz w:val="32"/>
        </w:rPr>
      </w:pPr>
      <w:r>
        <w:rPr>
          <w:rFonts w:ascii="仿宋_GB2312" w:eastAsia="仿宋_GB2312"/>
          <w:sz w:val="32"/>
        </w:rPr>
        <w:t>【优惠内容】</w:t>
      </w:r>
    </w:p>
    <w:p>
      <w:pPr>
        <w:spacing w:line="560" w:lineRule="exact"/>
        <w:ind w:firstLine="640" w:firstLineChars="200"/>
        <w:rPr>
          <w:rFonts w:ascii="仿宋_GB2312" w:eastAsia="仿宋_GB2312"/>
          <w:sz w:val="32"/>
        </w:rPr>
      </w:pPr>
      <w:r>
        <w:rPr>
          <w:rFonts w:ascii="仿宋_GB2312" w:eastAsia="仿宋_GB2312"/>
          <w:sz w:val="32"/>
        </w:rPr>
        <w:t>自2020年1月1日起，企业和个人直接向承担疫情防治任务的医院捐赠用于应对新型冠状病毒感染的肺炎疫情的物品，允许在计算企业所得税或个人所得税应纳税所得额时全额扣除。</w:t>
      </w:r>
    </w:p>
    <w:p>
      <w:pPr>
        <w:spacing w:line="560" w:lineRule="exact"/>
        <w:ind w:firstLine="640" w:firstLineChars="200"/>
        <w:rPr>
          <w:rFonts w:ascii="仿宋_GB2312" w:eastAsia="仿宋_GB2312"/>
          <w:sz w:val="32"/>
        </w:rPr>
      </w:pPr>
      <w:r>
        <w:rPr>
          <w:rFonts w:ascii="仿宋_GB2312" w:eastAsia="仿宋_GB2312"/>
          <w:sz w:val="32"/>
        </w:rPr>
        <w:t>捐赠人凭承担疫情防治任务的医院开具的捐赠接收函办理税前扣除事宜。</w:t>
      </w:r>
    </w:p>
    <w:p>
      <w:pPr>
        <w:spacing w:line="560" w:lineRule="exact"/>
        <w:ind w:firstLine="640" w:firstLineChars="200"/>
        <w:rPr>
          <w:rFonts w:ascii="仿宋_GB2312" w:eastAsia="仿宋_GB2312"/>
          <w:sz w:val="32"/>
        </w:rPr>
      </w:pPr>
      <w:r>
        <w:rPr>
          <w:rFonts w:ascii="仿宋_GB2312" w:eastAsia="仿宋_GB2312"/>
          <w:sz w:val="32"/>
        </w:rPr>
        <w:t>承担疫情防治任务的医院接受的捐赠，应专项用于应对新型冠状病毒感染的肺炎疫情工作，不得挪作他用。</w:t>
      </w:r>
    </w:p>
    <w:p>
      <w:pPr>
        <w:spacing w:line="560" w:lineRule="exact"/>
        <w:ind w:firstLine="640" w:firstLineChars="200"/>
        <w:rPr>
          <w:rFonts w:ascii="仿宋_GB2312" w:eastAsia="仿宋_GB2312"/>
          <w:sz w:val="32"/>
        </w:rPr>
      </w:pPr>
      <w:r>
        <w:rPr>
          <w:rFonts w:ascii="仿宋_GB2312" w:eastAsia="仿宋_GB2312"/>
          <w:sz w:val="32"/>
        </w:rPr>
        <w:t>上述优惠政策适用的截止日期将视疫情情况另行公告。</w:t>
      </w:r>
    </w:p>
    <w:p>
      <w:pPr>
        <w:spacing w:line="560" w:lineRule="exact"/>
        <w:ind w:firstLine="640" w:firstLineChars="200"/>
        <w:rPr>
          <w:rFonts w:ascii="仿宋_GB2312" w:eastAsia="仿宋_GB2312"/>
          <w:sz w:val="32"/>
        </w:rPr>
      </w:pPr>
      <w:r>
        <w:rPr>
          <w:rFonts w:ascii="仿宋_GB2312" w:eastAsia="仿宋_GB2312"/>
          <w:sz w:val="32"/>
        </w:rPr>
        <w:t>企业享受规定的全额税前扣除政策的，采取"自行判别、申报享受、相关资料留存备查"的方式，并将捐赠全额扣除情况填入企业所得税纳税申报表相应行次。个人享受规定的全额税前扣除政策的，按照《财政部 税务总局关于公益慈善事业捐赠个人所得税政策的公告》（2019年第99号）有关规定执行；在办理个人所得税税前扣除、填写《个人所得税公益慈善事业捐赠扣除明细表》时，应当在备注栏注明"直接捐赠"。</w:t>
      </w:r>
    </w:p>
    <w:p>
      <w:pPr>
        <w:spacing w:line="560" w:lineRule="exact"/>
        <w:ind w:firstLine="640" w:firstLineChars="200"/>
        <w:rPr>
          <w:rFonts w:ascii="仿宋_GB2312" w:eastAsia="仿宋_GB2312"/>
          <w:sz w:val="32"/>
        </w:rPr>
      </w:pPr>
      <w:r>
        <w:rPr>
          <w:rFonts w:ascii="仿宋_GB2312" w:eastAsia="仿宋_GB2312"/>
          <w:sz w:val="32"/>
        </w:rPr>
        <w:t>企业和个人取得承担疫情防治任务的医院开具的捐赠接收函，作为税前扣除依据自行留存备查。</w:t>
      </w:r>
    </w:p>
    <w:p>
      <w:pPr>
        <w:spacing w:line="560" w:lineRule="exact"/>
        <w:ind w:firstLine="640" w:firstLineChars="200"/>
        <w:rPr>
          <w:rFonts w:ascii="仿宋_GB2312" w:eastAsia="仿宋_GB2312"/>
          <w:sz w:val="32"/>
        </w:rPr>
      </w:pPr>
      <w:r>
        <w:rPr>
          <w:rFonts w:ascii="仿宋_GB2312" w:eastAsia="仿宋_GB2312"/>
          <w:sz w:val="32"/>
        </w:rPr>
        <w:t>【政策依据】</w:t>
      </w:r>
    </w:p>
    <w:p>
      <w:pPr>
        <w:spacing w:line="560" w:lineRule="exact"/>
        <w:ind w:firstLine="640" w:firstLineChars="200"/>
        <w:rPr>
          <w:rFonts w:ascii="仿宋_GB2312" w:eastAsia="仿宋_GB2312"/>
          <w:sz w:val="32"/>
        </w:rPr>
      </w:pPr>
      <w:r>
        <w:rPr>
          <w:rFonts w:ascii="仿宋_GB2312" w:eastAsia="仿宋_GB2312"/>
          <w:sz w:val="32"/>
        </w:rPr>
        <w:t>（1）《财政部 税务总局关于支持新型冠状病毒感染的肺炎疫情防控有关捐赠税收政策的公告》（2020年第9号）</w:t>
      </w:r>
    </w:p>
    <w:p>
      <w:pPr>
        <w:spacing w:line="560" w:lineRule="exact"/>
        <w:ind w:firstLine="640" w:firstLineChars="200"/>
        <w:rPr>
          <w:rFonts w:ascii="仿宋_GB2312" w:eastAsia="仿宋_GB2312"/>
          <w:sz w:val="32"/>
        </w:rPr>
      </w:pPr>
      <w:r>
        <w:rPr>
          <w:rFonts w:ascii="仿宋_GB2312" w:eastAsia="仿宋_GB2312"/>
          <w:sz w:val="32"/>
        </w:rPr>
        <w:t>（2）《国家税务总局关于支持新型冠状病毒感染的肺炎疫情防控有关税收征收管理事项的公告》（2020年第4号）</w:t>
      </w:r>
    </w:p>
    <w:p>
      <w:pPr>
        <w:spacing w:line="560" w:lineRule="exact"/>
        <w:ind w:firstLine="640" w:firstLineChars="200"/>
        <w:rPr>
          <w:rFonts w:ascii="黑体" w:hAnsi="黑体" w:eastAsia="黑体"/>
          <w:bCs/>
          <w:sz w:val="32"/>
        </w:rPr>
      </w:pPr>
      <w:r>
        <w:rPr>
          <w:rFonts w:ascii="黑体" w:hAnsi="黑体" w:eastAsia="黑体"/>
          <w:bCs/>
          <w:sz w:val="32"/>
        </w:rPr>
        <w:t>10.无偿捐赠应对疫情的货物免征增值税、消费税、城市维护建设税、教育费附加、地方教育附加</w:t>
      </w:r>
    </w:p>
    <w:p>
      <w:pPr>
        <w:spacing w:line="560" w:lineRule="exact"/>
        <w:ind w:firstLine="640" w:firstLineChars="200"/>
        <w:rPr>
          <w:rFonts w:ascii="仿宋_GB2312" w:eastAsia="仿宋_GB2312"/>
          <w:sz w:val="32"/>
        </w:rPr>
      </w:pPr>
      <w:r>
        <w:rPr>
          <w:rFonts w:ascii="仿宋_GB2312" w:eastAsia="仿宋_GB2312"/>
          <w:sz w:val="32"/>
        </w:rPr>
        <w:t>【享受主体】</w:t>
      </w:r>
    </w:p>
    <w:p>
      <w:pPr>
        <w:spacing w:line="560" w:lineRule="exact"/>
        <w:ind w:firstLine="640" w:firstLineChars="200"/>
        <w:rPr>
          <w:rFonts w:ascii="仿宋_GB2312" w:eastAsia="仿宋_GB2312"/>
          <w:sz w:val="32"/>
        </w:rPr>
      </w:pPr>
      <w:r>
        <w:rPr>
          <w:rFonts w:ascii="仿宋_GB2312" w:eastAsia="仿宋_GB2312"/>
          <w:sz w:val="32"/>
        </w:rPr>
        <w:t>无偿捐赠应对疫情货物的单位和个体工商户</w:t>
      </w:r>
    </w:p>
    <w:p>
      <w:pPr>
        <w:spacing w:line="560" w:lineRule="exact"/>
        <w:ind w:firstLine="640" w:firstLineChars="200"/>
        <w:rPr>
          <w:rFonts w:ascii="仿宋_GB2312" w:eastAsia="仿宋_GB2312"/>
          <w:sz w:val="32"/>
        </w:rPr>
      </w:pPr>
      <w:r>
        <w:rPr>
          <w:rFonts w:ascii="仿宋_GB2312" w:eastAsia="仿宋_GB2312"/>
          <w:sz w:val="32"/>
        </w:rPr>
        <w:t>【优惠内容】</w:t>
      </w:r>
    </w:p>
    <w:p>
      <w:pPr>
        <w:spacing w:line="560" w:lineRule="exact"/>
        <w:ind w:firstLine="640" w:firstLineChars="200"/>
        <w:rPr>
          <w:rFonts w:ascii="仿宋_GB2312" w:eastAsia="仿宋_GB2312"/>
          <w:sz w:val="32"/>
        </w:rPr>
      </w:pPr>
      <w:r>
        <w:rPr>
          <w:rFonts w:ascii="仿宋_GB2312" w:eastAsia="仿宋_GB2312"/>
          <w:sz w:val="32"/>
        </w:rPr>
        <w:t>自2020年1月1日起，单位和个体工商户将自产、委托加工或购买的货物，通过公益性社会组织和县级以上人民政府及其部门等国家机关，或者直接向承担疫情防治任务的医院，无偿捐赠用于应对新型冠状病毒感染的肺炎疫情的，免征增值税、消费税、城市维护建设税、教育费附加、地方教育附加。</w:t>
      </w:r>
    </w:p>
    <w:p>
      <w:pPr>
        <w:spacing w:line="560" w:lineRule="exact"/>
        <w:ind w:firstLine="640" w:firstLineChars="200"/>
        <w:rPr>
          <w:rFonts w:ascii="仿宋_GB2312" w:eastAsia="仿宋_GB2312"/>
          <w:sz w:val="32"/>
        </w:rPr>
      </w:pPr>
      <w:r>
        <w:rPr>
          <w:rFonts w:ascii="仿宋_GB2312" w:eastAsia="仿宋_GB2312"/>
          <w:sz w:val="32"/>
        </w:rPr>
        <w:t>上述优惠政策适用的截止日期将视疫情情况另行公告。</w:t>
      </w:r>
    </w:p>
    <w:p>
      <w:pPr>
        <w:spacing w:line="560" w:lineRule="exact"/>
        <w:ind w:firstLine="640" w:firstLineChars="200"/>
        <w:rPr>
          <w:rFonts w:ascii="仿宋_GB2312" w:eastAsia="仿宋_GB2312"/>
          <w:sz w:val="32"/>
        </w:rPr>
      </w:pPr>
      <w:r>
        <w:rPr>
          <w:rFonts w:ascii="仿宋_GB2312" w:eastAsia="仿宋_GB2312"/>
          <w:sz w:val="32"/>
        </w:rPr>
        <w:t>纳税人按规定享受免征增值税、消费税优惠的，可自主进行免税申报，无需办理有关免税备案手续，但应将相关证明材料留存备查。在办理增值税纳税申报时，应当填写增值税纳税申报表及《增值税减免税申报明细表》相应栏次；在办理消费税纳税申报时，应当填写消费税纳税申报表及《本期减（免）税额明细表》相应栏次。</w:t>
      </w:r>
    </w:p>
    <w:p>
      <w:pPr>
        <w:spacing w:line="560" w:lineRule="exact"/>
        <w:ind w:firstLine="640" w:firstLineChars="200"/>
        <w:rPr>
          <w:rFonts w:ascii="仿宋_GB2312" w:eastAsia="仿宋_GB2312"/>
          <w:sz w:val="32"/>
        </w:rPr>
      </w:pPr>
      <w:r>
        <w:rPr>
          <w:rFonts w:ascii="仿宋_GB2312" w:eastAsia="仿宋_GB2312"/>
          <w:sz w:val="32"/>
        </w:rPr>
        <w:t>纳税人按规定适用免征增值税政策的，不得开具增值税专用发票；已开具增值税专用发票的，应当开具对应红字发票或者作废原发票，再按规定适用免征增值税政策并开具普通发票。纳税人在疫情防控期间已经开具增值税专用发票，按规定应当开具对应红字发票而未及时开具的，可以先适用免征增值税政策，对应红字发票应当于相关免征增值税政策执行到期后1个月内完成开具。</w:t>
      </w:r>
    </w:p>
    <w:p>
      <w:pPr>
        <w:spacing w:line="560" w:lineRule="exact"/>
        <w:ind w:firstLine="640" w:firstLineChars="200"/>
        <w:rPr>
          <w:rFonts w:ascii="仿宋_GB2312" w:eastAsia="仿宋_GB2312"/>
          <w:sz w:val="32"/>
        </w:rPr>
      </w:pPr>
      <w:r>
        <w:rPr>
          <w:rFonts w:ascii="仿宋_GB2312" w:eastAsia="仿宋_GB2312"/>
          <w:sz w:val="32"/>
        </w:rPr>
        <w:t>纳税人已将适用免税政策的销售额、销售数量，按照征税销售额、销售数量进行增值税、消费税纳税申报的，可以选择更正当期申报或者在下期申报时调整。已征应予免征的增值税、消费税税款，可以予以退还或者分别抵减纳税人以后应缴纳的增值税、消费税税款。</w:t>
      </w:r>
    </w:p>
    <w:p>
      <w:pPr>
        <w:spacing w:line="560" w:lineRule="exact"/>
        <w:ind w:firstLine="640" w:firstLineChars="200"/>
        <w:rPr>
          <w:rFonts w:ascii="仿宋_GB2312" w:eastAsia="仿宋_GB2312"/>
          <w:sz w:val="32"/>
        </w:rPr>
      </w:pPr>
      <w:r>
        <w:rPr>
          <w:rFonts w:ascii="仿宋_GB2312" w:eastAsia="仿宋_GB2312"/>
          <w:sz w:val="32"/>
        </w:rPr>
        <w:t>【政策依据】</w:t>
      </w:r>
    </w:p>
    <w:p>
      <w:pPr>
        <w:spacing w:line="560" w:lineRule="exact"/>
        <w:ind w:firstLine="640" w:firstLineChars="200"/>
        <w:rPr>
          <w:rFonts w:ascii="仿宋_GB2312" w:eastAsia="仿宋_GB2312"/>
          <w:sz w:val="32"/>
        </w:rPr>
      </w:pPr>
      <w:r>
        <w:rPr>
          <w:rFonts w:ascii="仿宋_GB2312" w:eastAsia="仿宋_GB2312"/>
          <w:sz w:val="32"/>
        </w:rPr>
        <w:t>（1）《财政部 税务总局关于支持新型冠状病毒感染的肺炎疫情防控有关捐赠税收政策的公告》（2020年第9号）</w:t>
      </w:r>
    </w:p>
    <w:p>
      <w:pPr>
        <w:spacing w:line="560" w:lineRule="exact"/>
        <w:ind w:firstLine="640" w:firstLineChars="200"/>
        <w:rPr>
          <w:rFonts w:ascii="仿宋_GB2312" w:eastAsia="仿宋_GB2312"/>
          <w:sz w:val="32"/>
        </w:rPr>
      </w:pPr>
      <w:r>
        <w:rPr>
          <w:rFonts w:ascii="仿宋_GB2312" w:eastAsia="仿宋_GB2312"/>
          <w:sz w:val="32"/>
        </w:rPr>
        <w:t>（2）《国家税务总局关于支持新型冠状病毒感染的肺炎疫情防控有关税收征收管理事项的公告》（2020年第4号）</w:t>
      </w:r>
    </w:p>
    <w:p>
      <w:pPr>
        <w:spacing w:line="560" w:lineRule="exact"/>
        <w:ind w:firstLine="640" w:firstLineChars="200"/>
        <w:rPr>
          <w:rFonts w:ascii="黑体" w:hAnsi="黑体" w:eastAsia="黑体"/>
          <w:bCs/>
          <w:sz w:val="32"/>
        </w:rPr>
      </w:pPr>
      <w:r>
        <w:rPr>
          <w:rFonts w:ascii="黑体" w:hAnsi="黑体" w:eastAsia="黑体"/>
          <w:bCs/>
          <w:sz w:val="32"/>
        </w:rPr>
        <w:t>11.扩大捐赠免税进口物资范围</w:t>
      </w:r>
    </w:p>
    <w:p>
      <w:pPr>
        <w:spacing w:line="560" w:lineRule="exact"/>
        <w:ind w:firstLine="640" w:firstLineChars="200"/>
        <w:rPr>
          <w:rFonts w:ascii="仿宋_GB2312" w:eastAsia="仿宋_GB2312"/>
          <w:sz w:val="32"/>
        </w:rPr>
      </w:pPr>
      <w:r>
        <w:rPr>
          <w:rFonts w:ascii="仿宋_GB2312" w:eastAsia="仿宋_GB2312"/>
          <w:sz w:val="32"/>
        </w:rPr>
        <w:t>【享受主体】</w:t>
      </w:r>
    </w:p>
    <w:p>
      <w:pPr>
        <w:spacing w:line="560" w:lineRule="exact"/>
        <w:ind w:firstLine="640" w:firstLineChars="200"/>
        <w:rPr>
          <w:rFonts w:ascii="仿宋_GB2312" w:eastAsia="仿宋_GB2312"/>
          <w:sz w:val="32"/>
        </w:rPr>
      </w:pPr>
      <w:r>
        <w:rPr>
          <w:rFonts w:ascii="仿宋_GB2312" w:eastAsia="仿宋_GB2312"/>
          <w:sz w:val="32"/>
        </w:rPr>
        <w:t>防控疫情捐赠进口物资</w:t>
      </w:r>
    </w:p>
    <w:p>
      <w:pPr>
        <w:spacing w:line="560" w:lineRule="exact"/>
        <w:ind w:firstLine="640" w:firstLineChars="200"/>
        <w:rPr>
          <w:rFonts w:ascii="仿宋_GB2312" w:eastAsia="仿宋_GB2312"/>
          <w:sz w:val="32"/>
        </w:rPr>
      </w:pPr>
      <w:r>
        <w:rPr>
          <w:rFonts w:ascii="仿宋_GB2312" w:eastAsia="仿宋_GB2312"/>
          <w:sz w:val="32"/>
        </w:rPr>
        <w:t>【优惠内容】</w:t>
      </w:r>
    </w:p>
    <w:p>
      <w:pPr>
        <w:spacing w:line="560" w:lineRule="exact"/>
        <w:ind w:firstLine="640" w:firstLineChars="200"/>
        <w:rPr>
          <w:rFonts w:ascii="仿宋_GB2312" w:eastAsia="仿宋_GB2312"/>
          <w:sz w:val="32"/>
        </w:rPr>
      </w:pPr>
      <w:r>
        <w:rPr>
          <w:rFonts w:ascii="仿宋_GB2312" w:eastAsia="仿宋_GB2312"/>
          <w:sz w:val="32"/>
        </w:rPr>
        <w:t>自2020年1月1日至2020年3月31日，适度扩大《慈善捐赠物资免征进口税收暂行办法》规定的免税进口范围，对捐赠用于疫情防控的进口物资，免征进口关税和进口环节增值税、消费税。</w:t>
      </w:r>
    </w:p>
    <w:p>
      <w:pPr>
        <w:spacing w:line="560" w:lineRule="exact"/>
        <w:ind w:firstLine="640" w:firstLineChars="200"/>
        <w:rPr>
          <w:rFonts w:ascii="仿宋_GB2312" w:eastAsia="仿宋_GB2312"/>
          <w:sz w:val="32"/>
        </w:rPr>
      </w:pPr>
      <w:r>
        <w:rPr>
          <w:rFonts w:ascii="仿宋_GB2312" w:eastAsia="仿宋_GB2312"/>
          <w:sz w:val="32"/>
        </w:rPr>
        <w:t>（1）进口物资增加试剂，消毒物品，防护用品，救护车、防疫车、消毒用车、应急指挥车。</w:t>
      </w:r>
    </w:p>
    <w:p>
      <w:pPr>
        <w:spacing w:line="560" w:lineRule="exact"/>
        <w:ind w:firstLine="640" w:firstLineChars="200"/>
        <w:rPr>
          <w:rFonts w:ascii="仿宋_GB2312" w:eastAsia="仿宋_GB2312"/>
          <w:sz w:val="32"/>
        </w:rPr>
      </w:pPr>
      <w:r>
        <w:rPr>
          <w:rFonts w:ascii="仿宋_GB2312" w:eastAsia="仿宋_GB2312"/>
          <w:sz w:val="32"/>
        </w:rPr>
        <w:t>（2）免税范围增加国内有关政府部门、企事业单位、社会团体、个人以及来华或在华的外国公民从境外或海关特殊监管区域进口并直接捐赠；境内加工贸易企业捐赠。捐赠物资应直接用于防控疫情且符合前述第（1）项或《慈善捐赠物资免征进口税收暂行办法》规定。</w:t>
      </w:r>
    </w:p>
    <w:p>
      <w:pPr>
        <w:spacing w:line="560" w:lineRule="exact"/>
        <w:ind w:firstLine="640" w:firstLineChars="200"/>
        <w:rPr>
          <w:rFonts w:ascii="仿宋_GB2312" w:eastAsia="仿宋_GB2312"/>
          <w:sz w:val="32"/>
        </w:rPr>
      </w:pPr>
      <w:r>
        <w:rPr>
          <w:rFonts w:ascii="仿宋_GB2312" w:eastAsia="仿宋_GB2312"/>
          <w:sz w:val="32"/>
        </w:rPr>
        <w:t>（3）受赠人增加省级民政部门或其指定的单位。省级民政部门将指定的单位名单函告所在地直属海关及省级税务部门。</w:t>
      </w:r>
    </w:p>
    <w:p>
      <w:pPr>
        <w:spacing w:line="560" w:lineRule="exact"/>
        <w:ind w:firstLine="640" w:firstLineChars="200"/>
        <w:rPr>
          <w:rFonts w:ascii="仿宋_GB2312" w:eastAsia="仿宋_GB2312"/>
          <w:sz w:val="32"/>
        </w:rPr>
      </w:pPr>
      <w:r>
        <w:rPr>
          <w:rFonts w:ascii="仿宋_GB2312" w:eastAsia="仿宋_GB2312"/>
          <w:sz w:val="32"/>
        </w:rPr>
        <w:t>财政部、海关总署、税务总局公告2020年第6号项下免税进口物资，已征收的应免税款予以退还。其中，已征税进口且尚未申报增值税进项税额抵扣的，可凭主管税务机关出具的《防控新型冠状病毒感染的肺炎疫情进口物资增值税进项税额未抵扣证明》，向海关申请办理退还已征进口关税和进口环节增值税、消费税手续；已申报增值税进项税额抵扣的，仅向海关申请办理退还已征进口关税和进口环节消费税手续。有关进口单位应在2020年9月30日前向海关办理退税手续。</w:t>
      </w:r>
    </w:p>
    <w:p>
      <w:pPr>
        <w:spacing w:line="560" w:lineRule="exact"/>
        <w:ind w:firstLine="640" w:firstLineChars="200"/>
        <w:rPr>
          <w:rFonts w:ascii="仿宋_GB2312" w:eastAsia="仿宋_GB2312"/>
          <w:sz w:val="32"/>
        </w:rPr>
      </w:pPr>
      <w:r>
        <w:rPr>
          <w:rFonts w:ascii="仿宋_GB2312" w:eastAsia="仿宋_GB2312"/>
          <w:sz w:val="32"/>
        </w:rPr>
        <w:t>免税进口物资，可按照或比照海关总署公告2020年第17号，先登记放行，再按规定补办相关手续。</w:t>
      </w:r>
    </w:p>
    <w:p>
      <w:pPr>
        <w:spacing w:line="560" w:lineRule="exact"/>
        <w:ind w:firstLine="640" w:firstLineChars="200"/>
        <w:rPr>
          <w:rFonts w:ascii="仿宋_GB2312" w:eastAsia="仿宋_GB2312"/>
          <w:sz w:val="32"/>
        </w:rPr>
      </w:pPr>
      <w:r>
        <w:rPr>
          <w:rFonts w:ascii="仿宋_GB2312" w:eastAsia="仿宋_GB2312"/>
          <w:sz w:val="32"/>
        </w:rPr>
        <w:t>【政策依据】</w:t>
      </w:r>
    </w:p>
    <w:p>
      <w:pPr>
        <w:spacing w:line="560" w:lineRule="exact"/>
        <w:ind w:firstLine="640" w:firstLineChars="200"/>
        <w:rPr>
          <w:rFonts w:ascii="仿宋_GB2312" w:eastAsia="仿宋_GB2312"/>
          <w:sz w:val="32"/>
        </w:rPr>
      </w:pPr>
      <w:r>
        <w:rPr>
          <w:rFonts w:ascii="仿宋_GB2312" w:eastAsia="仿宋_GB2312"/>
          <w:sz w:val="32"/>
        </w:rPr>
        <w:t>（1）《慈善捐赠物资免征进口税收暂行办法》（财政部 海关总署 税务总局公告2015年第102号发布）</w:t>
      </w:r>
    </w:p>
    <w:p>
      <w:pPr>
        <w:spacing w:line="560" w:lineRule="exact"/>
        <w:ind w:firstLine="640" w:firstLineChars="200"/>
        <w:rPr>
          <w:rFonts w:ascii="仿宋_GB2312" w:eastAsia="仿宋_GB2312"/>
          <w:sz w:val="32"/>
        </w:rPr>
      </w:pPr>
      <w:r>
        <w:rPr>
          <w:rFonts w:ascii="仿宋_GB2312" w:eastAsia="仿宋_GB2312"/>
          <w:sz w:val="32"/>
        </w:rPr>
        <w:t>（2）《财政部 海关总署 税务总局关于防控新型冠状病毒感染的肺炎疫情进口物资免税政策的公告》（2020年第6号）</w:t>
      </w:r>
    </w:p>
    <w:p>
      <w:pPr>
        <w:spacing w:line="560" w:lineRule="exact"/>
        <w:ind w:firstLine="640" w:firstLineChars="200"/>
        <w:rPr>
          <w:rFonts w:ascii="仿宋_GB2312" w:eastAsia="仿宋_GB2312"/>
          <w:sz w:val="32"/>
        </w:rPr>
      </w:pPr>
      <w:r>
        <w:rPr>
          <w:rFonts w:ascii="仿宋_GB2312" w:eastAsia="仿宋_GB2312"/>
          <w:bCs/>
          <w:sz w:val="32"/>
        </w:rPr>
        <w:t>四、支持复工复产</w:t>
      </w:r>
    </w:p>
    <w:p>
      <w:pPr>
        <w:spacing w:line="560" w:lineRule="exact"/>
        <w:ind w:firstLine="640" w:firstLineChars="200"/>
        <w:rPr>
          <w:rFonts w:ascii="黑体" w:hAnsi="黑体" w:eastAsia="黑体"/>
          <w:bCs/>
          <w:sz w:val="32"/>
        </w:rPr>
      </w:pPr>
      <w:r>
        <w:rPr>
          <w:rFonts w:ascii="黑体" w:hAnsi="黑体" w:eastAsia="黑体"/>
          <w:bCs/>
          <w:sz w:val="32"/>
        </w:rPr>
        <w:t>12.受疫情影响较大的困难行业企业2020年度发生的亏损最长结转年限延长至8年</w:t>
      </w:r>
    </w:p>
    <w:p>
      <w:pPr>
        <w:spacing w:line="560" w:lineRule="exact"/>
        <w:ind w:firstLine="640" w:firstLineChars="200"/>
        <w:rPr>
          <w:rFonts w:ascii="仿宋_GB2312" w:eastAsia="仿宋_GB2312"/>
          <w:sz w:val="32"/>
        </w:rPr>
      </w:pPr>
      <w:r>
        <w:rPr>
          <w:rFonts w:ascii="仿宋_GB2312" w:eastAsia="仿宋_GB2312"/>
          <w:sz w:val="32"/>
        </w:rPr>
        <w:t>【享受主体】</w:t>
      </w:r>
    </w:p>
    <w:p>
      <w:pPr>
        <w:spacing w:line="560" w:lineRule="exact"/>
        <w:ind w:firstLine="640" w:firstLineChars="200"/>
        <w:rPr>
          <w:rFonts w:ascii="仿宋_GB2312" w:eastAsia="仿宋_GB2312"/>
          <w:sz w:val="32"/>
        </w:rPr>
      </w:pPr>
      <w:r>
        <w:rPr>
          <w:rFonts w:ascii="仿宋_GB2312" w:eastAsia="仿宋_GB2312"/>
          <w:sz w:val="32"/>
        </w:rPr>
        <w:t>受疫情影响较大的困难行业企业</w:t>
      </w:r>
    </w:p>
    <w:p>
      <w:pPr>
        <w:spacing w:line="560" w:lineRule="exact"/>
        <w:ind w:firstLine="640" w:firstLineChars="200"/>
        <w:rPr>
          <w:rFonts w:ascii="仿宋_GB2312" w:eastAsia="仿宋_GB2312"/>
          <w:sz w:val="32"/>
        </w:rPr>
      </w:pPr>
      <w:r>
        <w:rPr>
          <w:rFonts w:ascii="仿宋_GB2312" w:eastAsia="仿宋_GB2312"/>
          <w:sz w:val="32"/>
        </w:rPr>
        <w:t>【优惠内容】</w:t>
      </w:r>
    </w:p>
    <w:p>
      <w:pPr>
        <w:spacing w:line="560" w:lineRule="exact"/>
        <w:ind w:firstLine="640" w:firstLineChars="200"/>
        <w:rPr>
          <w:rFonts w:ascii="仿宋_GB2312" w:eastAsia="仿宋_GB2312"/>
          <w:sz w:val="32"/>
        </w:rPr>
      </w:pPr>
      <w:r>
        <w:rPr>
          <w:rFonts w:ascii="仿宋_GB2312" w:eastAsia="仿宋_GB2312"/>
          <w:sz w:val="32"/>
        </w:rPr>
        <w:t>自2020年1月1日起，受疫情影响较大的困难行业企业2020年度发生的亏损，最长结转年限由5年延长至8年。</w:t>
      </w:r>
    </w:p>
    <w:p>
      <w:pPr>
        <w:spacing w:line="560" w:lineRule="exact"/>
        <w:ind w:firstLine="640" w:firstLineChars="200"/>
        <w:rPr>
          <w:rFonts w:ascii="仿宋_GB2312" w:eastAsia="仿宋_GB2312"/>
          <w:sz w:val="32"/>
        </w:rPr>
      </w:pPr>
      <w:r>
        <w:rPr>
          <w:rFonts w:ascii="仿宋_GB2312" w:eastAsia="仿宋_GB2312"/>
          <w:sz w:val="32"/>
        </w:rPr>
        <w:t>困难行业企业，包括交通运输、餐饮、住宿、旅游（指旅行社及相关服务、游览景区管理两类）四大类，具体判断标准按照现行《国民经济行业分类》执行。困难行业企业2020年度主营业务收入须占收入总额（剔除不征税收入和投资收益）的50%以上。</w:t>
      </w:r>
    </w:p>
    <w:p>
      <w:pPr>
        <w:spacing w:line="560" w:lineRule="exact"/>
        <w:ind w:firstLine="640" w:firstLineChars="200"/>
        <w:rPr>
          <w:rFonts w:ascii="仿宋_GB2312" w:eastAsia="仿宋_GB2312"/>
          <w:sz w:val="32"/>
        </w:rPr>
      </w:pPr>
      <w:r>
        <w:rPr>
          <w:rFonts w:ascii="仿宋_GB2312" w:eastAsia="仿宋_GB2312"/>
          <w:sz w:val="32"/>
        </w:rPr>
        <w:t>受疫情影响较大的困难行业企业按规定适用延长亏损结转年限政策的，应当在2020年度企业所得税汇算清缴时，通过电子税务局提交《适用延长亏损结转年限政策声明》。</w:t>
      </w:r>
    </w:p>
    <w:p>
      <w:pPr>
        <w:spacing w:line="560" w:lineRule="exact"/>
        <w:ind w:firstLine="640" w:firstLineChars="200"/>
        <w:rPr>
          <w:rFonts w:ascii="仿宋_GB2312" w:eastAsia="仿宋_GB2312"/>
          <w:sz w:val="32"/>
        </w:rPr>
      </w:pPr>
      <w:r>
        <w:rPr>
          <w:rFonts w:ascii="仿宋_GB2312" w:eastAsia="仿宋_GB2312"/>
          <w:sz w:val="32"/>
        </w:rPr>
        <w:t>【政策依据】</w:t>
      </w:r>
    </w:p>
    <w:p>
      <w:pPr>
        <w:spacing w:line="560" w:lineRule="exact"/>
        <w:ind w:firstLine="640" w:firstLineChars="200"/>
        <w:rPr>
          <w:rFonts w:ascii="仿宋_GB2312" w:eastAsia="仿宋_GB2312"/>
          <w:sz w:val="32"/>
        </w:rPr>
      </w:pPr>
      <w:r>
        <w:rPr>
          <w:rFonts w:ascii="仿宋_GB2312" w:eastAsia="仿宋_GB2312"/>
          <w:sz w:val="32"/>
        </w:rPr>
        <w:t>（1）《财政部 税务总局关于支持新型冠状病毒感染的肺炎疫情防控有关税收政策的公告》（2020年第8号）</w:t>
      </w:r>
    </w:p>
    <w:p>
      <w:pPr>
        <w:spacing w:line="560" w:lineRule="exact"/>
        <w:ind w:firstLine="640" w:firstLineChars="200"/>
        <w:rPr>
          <w:rFonts w:ascii="仿宋_GB2312" w:eastAsia="仿宋_GB2312"/>
          <w:sz w:val="32"/>
        </w:rPr>
      </w:pPr>
      <w:r>
        <w:rPr>
          <w:rFonts w:ascii="仿宋_GB2312" w:eastAsia="仿宋_GB2312"/>
          <w:sz w:val="32"/>
        </w:rPr>
        <w:t>（2）《国家税务总局关于支持新型冠状病毒感染的肺炎疫情防控有关税收征收管理事项的公告》（2020年第4号）</w:t>
      </w:r>
    </w:p>
    <w:p>
      <w:pPr>
        <w:spacing w:line="560" w:lineRule="exact"/>
        <w:ind w:firstLine="640" w:firstLineChars="200"/>
        <w:rPr>
          <w:rFonts w:ascii="黑体" w:hAnsi="黑体" w:eastAsia="黑体"/>
          <w:bCs/>
          <w:sz w:val="32"/>
        </w:rPr>
      </w:pPr>
      <w:r>
        <w:rPr>
          <w:rFonts w:ascii="黑体" w:hAnsi="黑体" w:eastAsia="黑体"/>
          <w:bCs/>
          <w:sz w:val="32"/>
        </w:rPr>
        <w:t>13.阶段性减免增值税小规模纳税人增值税</w:t>
      </w:r>
    </w:p>
    <w:p>
      <w:pPr>
        <w:spacing w:line="560" w:lineRule="exact"/>
        <w:ind w:firstLine="640" w:firstLineChars="200"/>
        <w:rPr>
          <w:rFonts w:ascii="仿宋_GB2312" w:eastAsia="仿宋_GB2312"/>
          <w:sz w:val="32"/>
        </w:rPr>
      </w:pPr>
      <w:r>
        <w:rPr>
          <w:rFonts w:ascii="仿宋_GB2312" w:eastAsia="仿宋_GB2312"/>
          <w:sz w:val="32"/>
        </w:rPr>
        <w:t>【享受主体】</w:t>
      </w:r>
    </w:p>
    <w:p>
      <w:pPr>
        <w:spacing w:line="560" w:lineRule="exact"/>
        <w:ind w:firstLine="640" w:firstLineChars="200"/>
        <w:rPr>
          <w:rFonts w:ascii="仿宋_GB2312" w:eastAsia="仿宋_GB2312"/>
          <w:sz w:val="32"/>
        </w:rPr>
      </w:pPr>
      <w:r>
        <w:rPr>
          <w:rFonts w:ascii="仿宋_GB2312" w:eastAsia="仿宋_GB2312"/>
          <w:sz w:val="32"/>
        </w:rPr>
        <w:t>增值税小规模纳税人</w:t>
      </w:r>
    </w:p>
    <w:p>
      <w:pPr>
        <w:spacing w:line="560" w:lineRule="exact"/>
        <w:ind w:firstLine="640" w:firstLineChars="200"/>
        <w:rPr>
          <w:rFonts w:ascii="仿宋_GB2312" w:eastAsia="仿宋_GB2312"/>
          <w:sz w:val="32"/>
        </w:rPr>
      </w:pPr>
      <w:r>
        <w:rPr>
          <w:rFonts w:ascii="仿宋_GB2312" w:eastAsia="仿宋_GB2312"/>
          <w:sz w:val="32"/>
        </w:rPr>
        <w:t>【优惠内容】</w:t>
      </w:r>
    </w:p>
    <w:p>
      <w:pPr>
        <w:spacing w:line="560" w:lineRule="exact"/>
        <w:ind w:firstLine="640" w:firstLineChars="200"/>
        <w:rPr>
          <w:rFonts w:ascii="仿宋_GB2312" w:eastAsia="仿宋_GB2312"/>
          <w:sz w:val="32"/>
        </w:rPr>
      </w:pPr>
      <w:r>
        <w:rPr>
          <w:rFonts w:ascii="仿宋_GB2312" w:eastAsia="仿宋_GB2312"/>
          <w:sz w:val="32"/>
        </w:rPr>
        <w:t>自2020年3月1日至5月31日，对湖北省增值税小规模纳税人，适用3%征收率的应税销售收入，免征增值税；适用3%预征率的预缴增值税项目，暂停预缴增值税。</w:t>
      </w:r>
    </w:p>
    <w:p>
      <w:pPr>
        <w:spacing w:line="560" w:lineRule="exact"/>
        <w:ind w:firstLine="640" w:firstLineChars="200"/>
        <w:rPr>
          <w:rFonts w:ascii="仿宋_GB2312" w:eastAsia="仿宋_GB2312"/>
          <w:sz w:val="32"/>
        </w:rPr>
      </w:pPr>
      <w:r>
        <w:rPr>
          <w:rFonts w:ascii="仿宋_GB2312" w:eastAsia="仿宋_GB2312"/>
          <w:sz w:val="32"/>
        </w:rPr>
        <w:t>自2020年3月1日至5月31日，除湖北省外，其他省、自治区、直辖市的增值税小规模纳税人，适用3%征收率的应税销售收入，减按1%征收率征收增值税，按以下公式计算销售额：销售额=含税销售额/（1+1%）；适用3%预征率的预缴增值税项目，减按1%预征率预缴增值税。</w:t>
      </w:r>
    </w:p>
    <w:p>
      <w:pPr>
        <w:spacing w:line="560" w:lineRule="exact"/>
        <w:ind w:firstLine="640" w:firstLineChars="200"/>
        <w:rPr>
          <w:rFonts w:ascii="仿宋_GB2312" w:eastAsia="仿宋_GB2312"/>
          <w:sz w:val="32"/>
        </w:rPr>
      </w:pPr>
      <w:r>
        <w:rPr>
          <w:rFonts w:ascii="仿宋_GB2312" w:eastAsia="仿宋_GB2312"/>
          <w:sz w:val="32"/>
        </w:rPr>
        <w:t>增值税小规模纳税人在办理增值税纳税申报时，按照上述规定，免征增值税的销售额等项目应当填写在《增值税纳税申报表（小规模纳税人适用）》及《增值税减免税申报明细表》免税项目相应栏次；减按1%征收率征收增值税的销售额应当填写在《增值税纳税申报表（小规模纳税人适用）》</w:t>
      </w:r>
      <w:r>
        <w:rPr>
          <w:rFonts w:hint="eastAsia" w:ascii="仿宋_GB2312" w:eastAsia="仿宋_GB2312"/>
          <w:sz w:val="32"/>
        </w:rPr>
        <w:t>“</w:t>
      </w:r>
      <w:r>
        <w:rPr>
          <w:rFonts w:ascii="仿宋_GB2312" w:eastAsia="仿宋_GB2312"/>
          <w:sz w:val="32"/>
        </w:rPr>
        <w:t>应征增值税不含税销售额（3%征收率）</w:t>
      </w:r>
      <w:r>
        <w:rPr>
          <w:rFonts w:hint="eastAsia" w:ascii="仿宋_GB2312" w:eastAsia="仿宋_GB2312"/>
          <w:sz w:val="32"/>
        </w:rPr>
        <w:t>”</w:t>
      </w:r>
      <w:r>
        <w:rPr>
          <w:rFonts w:ascii="仿宋_GB2312" w:eastAsia="仿宋_GB2312"/>
          <w:sz w:val="32"/>
        </w:rPr>
        <w:t>相应栏次，对应减征的增值税应纳税额按销售额的2%计算填写在《增值税纳税申报表（小规模纳税人适用）》</w:t>
      </w:r>
      <w:r>
        <w:rPr>
          <w:rFonts w:hint="eastAsia" w:ascii="仿宋_GB2312" w:eastAsia="仿宋_GB2312"/>
          <w:sz w:val="32"/>
        </w:rPr>
        <w:t>“</w:t>
      </w:r>
      <w:r>
        <w:rPr>
          <w:rFonts w:ascii="仿宋_GB2312" w:eastAsia="仿宋_GB2312"/>
          <w:sz w:val="32"/>
        </w:rPr>
        <w:t>本期应纳税额减征额</w:t>
      </w:r>
      <w:r>
        <w:rPr>
          <w:rFonts w:hint="eastAsia" w:ascii="仿宋_GB2312" w:eastAsia="仿宋_GB2312"/>
          <w:sz w:val="32"/>
        </w:rPr>
        <w:t>”</w:t>
      </w:r>
      <w:r>
        <w:rPr>
          <w:rFonts w:ascii="仿宋_GB2312" w:eastAsia="仿宋_GB2312"/>
          <w:sz w:val="32"/>
        </w:rPr>
        <w:t>及《增值税减免税申报明细表》减税项目相应栏次。</w:t>
      </w:r>
    </w:p>
    <w:p>
      <w:pPr>
        <w:spacing w:line="560" w:lineRule="exact"/>
        <w:ind w:firstLine="640" w:firstLineChars="200"/>
        <w:rPr>
          <w:rFonts w:ascii="仿宋_GB2312" w:eastAsia="仿宋_GB2312"/>
          <w:sz w:val="32"/>
        </w:rPr>
      </w:pPr>
      <w:r>
        <w:rPr>
          <w:rFonts w:ascii="仿宋_GB2312" w:eastAsia="仿宋_GB2312"/>
          <w:sz w:val="32"/>
        </w:rPr>
        <w:t>《增值税纳税申报表（小规模纳税人适用）附列资料》第8栏</w:t>
      </w:r>
      <w:r>
        <w:rPr>
          <w:rFonts w:hint="eastAsia" w:ascii="仿宋_GB2312" w:eastAsia="仿宋_GB2312"/>
          <w:sz w:val="32"/>
        </w:rPr>
        <w:t>“</w:t>
      </w:r>
      <w:r>
        <w:rPr>
          <w:rFonts w:ascii="仿宋_GB2312" w:eastAsia="仿宋_GB2312"/>
          <w:sz w:val="32"/>
        </w:rPr>
        <w:t>不含税销售额</w:t>
      </w:r>
      <w:r>
        <w:rPr>
          <w:rFonts w:hint="eastAsia" w:ascii="仿宋_GB2312" w:eastAsia="仿宋_GB2312"/>
          <w:sz w:val="32"/>
        </w:rPr>
        <w:t>”</w:t>
      </w:r>
      <w:r>
        <w:rPr>
          <w:rFonts w:ascii="仿宋_GB2312" w:eastAsia="仿宋_GB2312"/>
          <w:sz w:val="32"/>
        </w:rPr>
        <w:t>计算公式调整为：第8栏=第7栏÷（1+征收率)。</w:t>
      </w:r>
    </w:p>
    <w:p>
      <w:pPr>
        <w:spacing w:line="560" w:lineRule="exact"/>
        <w:ind w:firstLine="640" w:firstLineChars="200"/>
        <w:rPr>
          <w:rFonts w:ascii="仿宋_GB2312" w:eastAsia="仿宋_GB2312"/>
          <w:sz w:val="32"/>
        </w:rPr>
      </w:pPr>
      <w:r>
        <w:rPr>
          <w:rFonts w:ascii="仿宋_GB2312" w:eastAsia="仿宋_GB2312"/>
          <w:sz w:val="32"/>
        </w:rPr>
        <w:t>【政策依据】</w:t>
      </w:r>
    </w:p>
    <w:p>
      <w:pPr>
        <w:spacing w:line="560" w:lineRule="exact"/>
        <w:ind w:firstLine="640" w:firstLineChars="200"/>
        <w:rPr>
          <w:rFonts w:ascii="仿宋_GB2312" w:eastAsia="仿宋_GB2312"/>
          <w:sz w:val="32"/>
        </w:rPr>
      </w:pPr>
      <w:r>
        <w:rPr>
          <w:rFonts w:ascii="仿宋_GB2312" w:eastAsia="仿宋_GB2312"/>
          <w:sz w:val="32"/>
        </w:rPr>
        <w:t>（1）《财政部 税务总局关于支持个体工商户复工复业增值税政策的公告》（2020年第13号）</w:t>
      </w:r>
    </w:p>
    <w:p>
      <w:pPr>
        <w:spacing w:line="560" w:lineRule="exact"/>
        <w:ind w:firstLine="640" w:firstLineChars="200"/>
        <w:rPr>
          <w:rFonts w:ascii="仿宋_GB2312" w:eastAsia="仿宋_GB2312"/>
          <w:sz w:val="32"/>
        </w:rPr>
      </w:pPr>
      <w:r>
        <w:rPr>
          <w:rFonts w:ascii="仿宋_GB2312" w:eastAsia="仿宋_GB2312"/>
          <w:sz w:val="32"/>
        </w:rPr>
        <w:t>（2）《国家税务总局关于支持个体工商户复工复业等税收征收管理事项的公告》（2020年第5号）</w:t>
      </w:r>
    </w:p>
    <w:p>
      <w:pPr>
        <w:spacing w:line="560" w:lineRule="exact"/>
        <w:ind w:firstLine="640" w:firstLineChars="200"/>
        <w:rPr>
          <w:rFonts w:ascii="黑体" w:hAnsi="黑体" w:eastAsia="黑体"/>
          <w:bCs/>
          <w:sz w:val="32"/>
        </w:rPr>
      </w:pPr>
      <w:r>
        <w:rPr>
          <w:rFonts w:ascii="黑体" w:hAnsi="黑体" w:eastAsia="黑体"/>
          <w:bCs/>
          <w:sz w:val="32"/>
        </w:rPr>
        <w:t>14.阶段性减免企业养老、失业、工伤保险单位缴费</w:t>
      </w:r>
    </w:p>
    <w:p>
      <w:pPr>
        <w:spacing w:line="560" w:lineRule="exact"/>
        <w:ind w:firstLine="640" w:firstLineChars="200"/>
        <w:rPr>
          <w:rFonts w:ascii="仿宋_GB2312" w:eastAsia="仿宋_GB2312"/>
          <w:sz w:val="32"/>
        </w:rPr>
      </w:pPr>
      <w:r>
        <w:rPr>
          <w:rFonts w:ascii="仿宋_GB2312" w:eastAsia="仿宋_GB2312"/>
          <w:sz w:val="32"/>
        </w:rPr>
        <w:t>【享受主体】</w:t>
      </w:r>
    </w:p>
    <w:p>
      <w:pPr>
        <w:spacing w:line="560" w:lineRule="exact"/>
        <w:ind w:firstLine="640" w:firstLineChars="200"/>
        <w:rPr>
          <w:rFonts w:ascii="仿宋_GB2312" w:eastAsia="仿宋_GB2312"/>
          <w:sz w:val="32"/>
        </w:rPr>
      </w:pPr>
      <w:r>
        <w:rPr>
          <w:rFonts w:ascii="仿宋_GB2312" w:eastAsia="仿宋_GB2312"/>
          <w:sz w:val="32"/>
        </w:rPr>
        <w:t>除机关事业单位外的基本养老保险、失业保险、工伤保险（以下简称三项社会保险）参保单位</w:t>
      </w:r>
    </w:p>
    <w:p>
      <w:pPr>
        <w:spacing w:line="560" w:lineRule="exact"/>
        <w:ind w:firstLine="640" w:firstLineChars="200"/>
        <w:rPr>
          <w:rFonts w:ascii="仿宋_GB2312" w:eastAsia="仿宋_GB2312"/>
          <w:sz w:val="32"/>
        </w:rPr>
      </w:pPr>
      <w:r>
        <w:rPr>
          <w:rFonts w:ascii="仿宋_GB2312" w:eastAsia="仿宋_GB2312"/>
          <w:sz w:val="32"/>
        </w:rPr>
        <w:t>【优惠内容】</w:t>
      </w:r>
    </w:p>
    <w:p>
      <w:pPr>
        <w:spacing w:line="560" w:lineRule="exact"/>
        <w:ind w:firstLine="640" w:firstLineChars="200"/>
        <w:rPr>
          <w:rFonts w:ascii="仿宋_GB2312" w:eastAsia="仿宋_GB2312"/>
          <w:sz w:val="32"/>
        </w:rPr>
      </w:pPr>
      <w:r>
        <w:rPr>
          <w:rFonts w:ascii="仿宋_GB2312" w:eastAsia="仿宋_GB2312"/>
          <w:sz w:val="32"/>
        </w:rPr>
        <w:t>自2020年2月起，湖北省可免征各类参保单位（不含机关事业单位）三项社会保险单位缴费部分，免征期限不超过5个月。</w:t>
      </w:r>
    </w:p>
    <w:p>
      <w:pPr>
        <w:spacing w:line="560" w:lineRule="exact"/>
        <w:ind w:firstLine="640" w:firstLineChars="200"/>
        <w:rPr>
          <w:rFonts w:ascii="仿宋_GB2312" w:eastAsia="仿宋_GB2312"/>
          <w:sz w:val="32"/>
        </w:rPr>
      </w:pPr>
      <w:r>
        <w:rPr>
          <w:rFonts w:ascii="仿宋_GB2312" w:eastAsia="仿宋_GB2312"/>
          <w:sz w:val="32"/>
        </w:rPr>
        <w:t>自2020年2月起，各省、自治区、直辖市（除湖北省外）及新疆生产建设兵团（以下统称省）可根据受疫情影响情况和基金承受能力，免征中小微企业三项社会保险单位缴费部分，免征期限不超过5个月；对大型企业等其他参保单位（不含机关事业单位）三项社会保险单位缴费部分可减半征收，减征期限不超过3个月。</w:t>
      </w:r>
    </w:p>
    <w:p>
      <w:pPr>
        <w:spacing w:line="560" w:lineRule="exact"/>
        <w:ind w:firstLine="640" w:firstLineChars="200"/>
        <w:rPr>
          <w:rFonts w:ascii="仿宋_GB2312" w:eastAsia="仿宋_GB2312"/>
          <w:sz w:val="32"/>
        </w:rPr>
      </w:pPr>
      <w:r>
        <w:rPr>
          <w:rFonts w:ascii="仿宋_GB2312" w:eastAsia="仿宋_GB2312"/>
          <w:sz w:val="32"/>
        </w:rPr>
        <w:t>受疫情影响生产经营出现严重困难的企业，可申请缓缴社会保险费，缓缴期限原则上不超过6个月，缓缴期间免收滞纳金。</w:t>
      </w:r>
    </w:p>
    <w:p>
      <w:pPr>
        <w:spacing w:line="560" w:lineRule="exact"/>
        <w:ind w:firstLine="640" w:firstLineChars="200"/>
        <w:rPr>
          <w:rFonts w:ascii="仿宋_GB2312" w:eastAsia="仿宋_GB2312"/>
          <w:sz w:val="32"/>
        </w:rPr>
      </w:pPr>
      <w:r>
        <w:rPr>
          <w:rFonts w:ascii="仿宋_GB2312" w:eastAsia="仿宋_GB2312"/>
          <w:sz w:val="32"/>
        </w:rPr>
        <w:t>各省根据工业和信息化部、统计局、发展改革委、财政部《关于印发中小企业划型标准规定的通知》（工信部联企业〔2011〕300号）等有关规定，结合本省实际确定减免企业对象，并加强部门间信息共享，不增加企业事务性负担。</w:t>
      </w:r>
    </w:p>
    <w:p>
      <w:pPr>
        <w:spacing w:line="560" w:lineRule="exact"/>
        <w:ind w:firstLine="640" w:firstLineChars="200"/>
        <w:rPr>
          <w:rFonts w:ascii="仿宋_GB2312" w:eastAsia="仿宋_GB2312"/>
          <w:sz w:val="32"/>
        </w:rPr>
      </w:pPr>
      <w:r>
        <w:rPr>
          <w:rFonts w:ascii="仿宋_GB2312" w:eastAsia="仿宋_GB2312"/>
          <w:sz w:val="32"/>
        </w:rPr>
        <w:t>各省税务局要对2020年2月份已经征收的社保费进行分类，确定应退（抵）的企业和金额。要按照人力资源社会保障部、财政部、税务总局共同明确的处理原则，优化流程，提高效率，及时为应该退费的参保单位依职权办理退费，切实缓解企业特别是中小微企业经营困难。对采取以2月份已缴费款冲抵以后月份应缴费款的参保单位，要明确冲抵流程和操作办法，有序办理费款冲抵业务。</w:t>
      </w:r>
    </w:p>
    <w:p>
      <w:pPr>
        <w:spacing w:line="560" w:lineRule="exact"/>
        <w:ind w:firstLine="640" w:firstLineChars="200"/>
        <w:rPr>
          <w:rFonts w:ascii="仿宋_GB2312" w:eastAsia="仿宋_GB2312"/>
          <w:sz w:val="32"/>
        </w:rPr>
      </w:pPr>
      <w:r>
        <w:rPr>
          <w:rFonts w:ascii="仿宋_GB2312" w:eastAsia="仿宋_GB2312"/>
          <w:sz w:val="32"/>
        </w:rPr>
        <w:t>各级税务机关要会同有关部门落实好缓缴社保费政策，结合本地实际，进一步优化业务流程，从快办理缓缴相关业务。要严格落实缓缴期限原则上不超过6个月、缓缴期间免收滞纳金等政策要求，确保缴费人应享尽享。</w:t>
      </w:r>
    </w:p>
    <w:p>
      <w:pPr>
        <w:spacing w:line="560" w:lineRule="exact"/>
        <w:ind w:firstLine="640" w:firstLineChars="200"/>
        <w:rPr>
          <w:rFonts w:ascii="仿宋_GB2312" w:eastAsia="仿宋_GB2312"/>
          <w:sz w:val="32"/>
        </w:rPr>
      </w:pPr>
      <w:r>
        <w:rPr>
          <w:rFonts w:ascii="仿宋_GB2312" w:eastAsia="仿宋_GB2312"/>
          <w:sz w:val="32"/>
        </w:rPr>
        <w:t>【政策依据】</w:t>
      </w:r>
    </w:p>
    <w:p>
      <w:pPr>
        <w:spacing w:line="560" w:lineRule="exact"/>
        <w:ind w:firstLine="640" w:firstLineChars="200"/>
        <w:rPr>
          <w:rFonts w:ascii="仿宋_GB2312" w:eastAsia="仿宋_GB2312"/>
          <w:sz w:val="32"/>
        </w:rPr>
      </w:pPr>
      <w:r>
        <w:rPr>
          <w:rFonts w:ascii="仿宋_GB2312" w:eastAsia="仿宋_GB2312"/>
          <w:sz w:val="32"/>
        </w:rPr>
        <w:t>（1）《人力资源社会保障部 财政部 税务总局关于阶段性减免企业社会保险费的通知》（人社部发〔2020〕11号）</w:t>
      </w:r>
    </w:p>
    <w:p>
      <w:pPr>
        <w:spacing w:line="560" w:lineRule="exact"/>
        <w:ind w:firstLine="640" w:firstLineChars="200"/>
        <w:rPr>
          <w:rFonts w:ascii="仿宋_GB2312" w:eastAsia="仿宋_GB2312"/>
          <w:sz w:val="32"/>
        </w:rPr>
      </w:pPr>
      <w:r>
        <w:rPr>
          <w:rFonts w:ascii="仿宋_GB2312" w:eastAsia="仿宋_GB2312"/>
          <w:sz w:val="32"/>
        </w:rPr>
        <w:t>（2）《国家税务总局关于贯彻落实阶段性减免企业社会保险费政策的通知》（税总函〔2020〕33号）</w:t>
      </w:r>
    </w:p>
    <w:p>
      <w:pPr>
        <w:spacing w:line="560" w:lineRule="exact"/>
        <w:ind w:firstLine="640" w:firstLineChars="200"/>
        <w:rPr>
          <w:rFonts w:ascii="黑体" w:hAnsi="黑体" w:eastAsia="黑体"/>
          <w:bCs/>
          <w:sz w:val="32"/>
        </w:rPr>
      </w:pPr>
      <w:r>
        <w:rPr>
          <w:rFonts w:ascii="黑体" w:hAnsi="黑体" w:eastAsia="黑体"/>
          <w:bCs/>
          <w:sz w:val="32"/>
        </w:rPr>
        <w:t>15.阶段性减免以单位方式参保的个体工商户职工养老、失业、工伤保险</w:t>
      </w:r>
    </w:p>
    <w:p>
      <w:pPr>
        <w:spacing w:line="560" w:lineRule="exact"/>
        <w:ind w:firstLine="640" w:firstLineChars="200"/>
        <w:rPr>
          <w:rFonts w:ascii="仿宋_GB2312" w:eastAsia="仿宋_GB2312"/>
          <w:sz w:val="32"/>
        </w:rPr>
      </w:pPr>
      <w:r>
        <w:rPr>
          <w:rFonts w:ascii="仿宋_GB2312" w:eastAsia="仿宋_GB2312"/>
          <w:sz w:val="32"/>
        </w:rPr>
        <w:t>【享受主体】</w:t>
      </w:r>
    </w:p>
    <w:p>
      <w:pPr>
        <w:spacing w:line="560" w:lineRule="exact"/>
        <w:ind w:firstLine="640" w:firstLineChars="200"/>
        <w:rPr>
          <w:rFonts w:ascii="仿宋_GB2312" w:eastAsia="仿宋_GB2312"/>
          <w:sz w:val="32"/>
        </w:rPr>
      </w:pPr>
      <w:r>
        <w:rPr>
          <w:rFonts w:ascii="仿宋_GB2312" w:eastAsia="仿宋_GB2312"/>
          <w:sz w:val="32"/>
        </w:rPr>
        <w:t>以单位方式参保养老保险、失业保险、工伤保险的个体工商户</w:t>
      </w:r>
    </w:p>
    <w:p>
      <w:pPr>
        <w:spacing w:line="560" w:lineRule="exact"/>
        <w:ind w:firstLine="640" w:firstLineChars="200"/>
        <w:rPr>
          <w:rFonts w:ascii="仿宋_GB2312" w:eastAsia="仿宋_GB2312"/>
          <w:sz w:val="32"/>
        </w:rPr>
      </w:pPr>
      <w:r>
        <w:rPr>
          <w:rFonts w:ascii="仿宋_GB2312" w:eastAsia="仿宋_GB2312"/>
          <w:sz w:val="32"/>
        </w:rPr>
        <w:t>【优惠内容】</w:t>
      </w:r>
    </w:p>
    <w:p>
      <w:pPr>
        <w:spacing w:line="560" w:lineRule="exact"/>
        <w:ind w:firstLine="640" w:firstLineChars="200"/>
        <w:rPr>
          <w:rFonts w:ascii="仿宋_GB2312" w:eastAsia="仿宋_GB2312"/>
          <w:sz w:val="32"/>
        </w:rPr>
      </w:pPr>
      <w:r>
        <w:rPr>
          <w:rFonts w:ascii="仿宋_GB2312" w:eastAsia="仿宋_GB2312"/>
          <w:sz w:val="32"/>
        </w:rPr>
        <w:t>自2020年2月起，免征以单位方式参保的个体工商户三项社会保险单位缴费部分，免征期限不超过5个月。</w:t>
      </w:r>
    </w:p>
    <w:p>
      <w:pPr>
        <w:spacing w:line="560" w:lineRule="exact"/>
        <w:ind w:firstLine="640" w:firstLineChars="200"/>
        <w:rPr>
          <w:rFonts w:ascii="仿宋_GB2312" w:eastAsia="仿宋_GB2312"/>
          <w:sz w:val="32"/>
        </w:rPr>
      </w:pPr>
      <w:r>
        <w:rPr>
          <w:rFonts w:ascii="仿宋_GB2312" w:eastAsia="仿宋_GB2312"/>
          <w:sz w:val="32"/>
        </w:rPr>
        <w:t>【政策依据】</w:t>
      </w:r>
    </w:p>
    <w:p>
      <w:pPr>
        <w:spacing w:line="560" w:lineRule="exact"/>
        <w:ind w:firstLine="640" w:firstLineChars="200"/>
        <w:rPr>
          <w:rFonts w:ascii="仿宋_GB2312" w:eastAsia="仿宋_GB2312"/>
          <w:sz w:val="32"/>
        </w:rPr>
      </w:pPr>
      <w:r>
        <w:rPr>
          <w:rFonts w:ascii="仿宋_GB2312" w:eastAsia="仿宋_GB2312"/>
          <w:sz w:val="32"/>
        </w:rPr>
        <w:t>《人力资源社会保障部 财政部 税务总局关于阶段性减免企业社会保险费的通知》（人社部发〔2020〕11号）</w:t>
      </w:r>
    </w:p>
    <w:p>
      <w:pPr>
        <w:spacing w:line="560" w:lineRule="exact"/>
        <w:ind w:firstLine="640" w:firstLineChars="200"/>
        <w:rPr>
          <w:rFonts w:ascii="黑体" w:hAnsi="黑体" w:eastAsia="黑体"/>
          <w:bCs/>
          <w:sz w:val="32"/>
        </w:rPr>
      </w:pPr>
      <w:r>
        <w:rPr>
          <w:rFonts w:ascii="黑体" w:hAnsi="黑体" w:eastAsia="黑体"/>
          <w:bCs/>
          <w:sz w:val="32"/>
        </w:rPr>
        <w:t>16.阶段性减征职工基本医疗保险单位缴费</w:t>
      </w:r>
    </w:p>
    <w:p>
      <w:pPr>
        <w:spacing w:line="560" w:lineRule="exact"/>
        <w:ind w:firstLine="640" w:firstLineChars="200"/>
        <w:rPr>
          <w:rFonts w:ascii="仿宋_GB2312" w:eastAsia="仿宋_GB2312"/>
          <w:sz w:val="32"/>
        </w:rPr>
      </w:pPr>
      <w:r>
        <w:rPr>
          <w:rFonts w:ascii="仿宋_GB2312" w:eastAsia="仿宋_GB2312"/>
          <w:sz w:val="32"/>
        </w:rPr>
        <w:t>【享受主体】</w:t>
      </w:r>
    </w:p>
    <w:p>
      <w:pPr>
        <w:spacing w:line="560" w:lineRule="exact"/>
        <w:ind w:firstLine="640" w:firstLineChars="200"/>
        <w:rPr>
          <w:rFonts w:ascii="仿宋_GB2312" w:eastAsia="仿宋_GB2312"/>
          <w:sz w:val="32"/>
        </w:rPr>
      </w:pPr>
      <w:r>
        <w:rPr>
          <w:rFonts w:ascii="仿宋_GB2312" w:eastAsia="仿宋_GB2312"/>
          <w:sz w:val="32"/>
        </w:rPr>
        <w:t>基本医疗保险参保单位</w:t>
      </w:r>
    </w:p>
    <w:p>
      <w:pPr>
        <w:spacing w:line="560" w:lineRule="exact"/>
        <w:ind w:firstLine="640" w:firstLineChars="200"/>
        <w:rPr>
          <w:rFonts w:ascii="仿宋_GB2312" w:eastAsia="仿宋_GB2312"/>
          <w:sz w:val="32"/>
        </w:rPr>
      </w:pPr>
      <w:r>
        <w:rPr>
          <w:rFonts w:ascii="仿宋_GB2312" w:eastAsia="仿宋_GB2312"/>
          <w:sz w:val="32"/>
        </w:rPr>
        <w:t>【优惠内容】</w:t>
      </w:r>
    </w:p>
    <w:p>
      <w:pPr>
        <w:spacing w:line="560" w:lineRule="exact"/>
        <w:ind w:firstLine="640" w:firstLineChars="200"/>
        <w:rPr>
          <w:rFonts w:ascii="仿宋_GB2312" w:eastAsia="仿宋_GB2312"/>
          <w:sz w:val="32"/>
        </w:rPr>
      </w:pPr>
      <w:r>
        <w:rPr>
          <w:rFonts w:ascii="仿宋_GB2312" w:eastAsia="仿宋_GB2312"/>
          <w:sz w:val="32"/>
        </w:rPr>
        <w:t>自2020年2月起，各省、自治区、直辖市及新疆生产建设兵团（以下统称省）可指导统筹地区根据基金运行情况和实际工作需要，在确保基金收支中长期平衡的前提下，对职工医保单位缴费部分实行减半征收，减征期限不超过5个月。</w:t>
      </w:r>
    </w:p>
    <w:p>
      <w:pPr>
        <w:spacing w:line="560" w:lineRule="exact"/>
        <w:ind w:firstLine="640" w:firstLineChars="200"/>
        <w:rPr>
          <w:rFonts w:ascii="仿宋_GB2312" w:eastAsia="仿宋_GB2312"/>
          <w:sz w:val="32"/>
        </w:rPr>
      </w:pPr>
      <w:r>
        <w:rPr>
          <w:rFonts w:ascii="仿宋_GB2312" w:eastAsia="仿宋_GB2312"/>
          <w:sz w:val="32"/>
        </w:rPr>
        <w:t>原则上，统筹基金累计结存可支付月数大于6个月的统筹地区，可实施减征；可支付月数小于6个月但确有必要减征的统筹地区，由各省指导统筹考虑安排。缓缴政策可继续执行，缓缴期限原则上不超过6个月，缓缴期间免收滞纳金。</w:t>
      </w:r>
    </w:p>
    <w:p>
      <w:pPr>
        <w:spacing w:line="560" w:lineRule="exact"/>
        <w:ind w:firstLine="640" w:firstLineChars="200"/>
        <w:rPr>
          <w:rFonts w:ascii="仿宋_GB2312" w:eastAsia="仿宋_GB2312"/>
          <w:sz w:val="32"/>
        </w:rPr>
      </w:pPr>
      <w:r>
        <w:rPr>
          <w:rFonts w:ascii="仿宋_GB2312" w:eastAsia="仿宋_GB2312"/>
          <w:sz w:val="32"/>
        </w:rPr>
        <w:t>各省税务局要对2020年2月份已经征收的社保费进行分类，确定应退（抵）的企业和金额。要按照税务总局、国家医保局共同明确的处理原则，优化流程，提高效率，及时为应该退费的参保单位依职权办理退费，切实缓解企业特别是中小微企业经营困难。对采取以2月份已缴费款冲抵以后月份应缴费款的参保单位，要明确冲抵流程和操作办法，有序办理费款冲抵业务。</w:t>
      </w:r>
    </w:p>
    <w:p>
      <w:pPr>
        <w:spacing w:line="560" w:lineRule="exact"/>
        <w:ind w:firstLine="640" w:firstLineChars="200"/>
        <w:rPr>
          <w:rFonts w:ascii="仿宋_GB2312" w:eastAsia="仿宋_GB2312"/>
          <w:sz w:val="32"/>
        </w:rPr>
      </w:pPr>
      <w:r>
        <w:rPr>
          <w:rFonts w:ascii="仿宋_GB2312" w:eastAsia="仿宋_GB2312"/>
          <w:sz w:val="32"/>
        </w:rPr>
        <w:t>各级税务机关要会同有关部门落实好缓缴社保费政策，结合本地实际，进一步优化业务流程，从快办理缓缴相关业务。要严格落实缓缴期限原则上不超过6个月、缓缴期间免收滞纳金等政策要求，确保缴费人应享尽享。</w:t>
      </w:r>
    </w:p>
    <w:p>
      <w:pPr>
        <w:spacing w:line="560" w:lineRule="exact"/>
        <w:ind w:firstLine="640" w:firstLineChars="200"/>
        <w:rPr>
          <w:rFonts w:ascii="仿宋_GB2312" w:eastAsia="仿宋_GB2312"/>
          <w:sz w:val="32"/>
        </w:rPr>
      </w:pPr>
      <w:r>
        <w:rPr>
          <w:rFonts w:ascii="仿宋_GB2312" w:eastAsia="仿宋_GB2312"/>
          <w:sz w:val="32"/>
        </w:rPr>
        <w:t>【政策依据】</w:t>
      </w:r>
    </w:p>
    <w:p>
      <w:pPr>
        <w:spacing w:line="560" w:lineRule="exact"/>
        <w:ind w:firstLine="640" w:firstLineChars="200"/>
        <w:rPr>
          <w:rFonts w:ascii="仿宋_GB2312" w:eastAsia="仿宋_GB2312"/>
          <w:sz w:val="32"/>
        </w:rPr>
      </w:pPr>
      <w:r>
        <w:rPr>
          <w:rFonts w:ascii="仿宋_GB2312" w:eastAsia="仿宋_GB2312"/>
          <w:sz w:val="32"/>
        </w:rPr>
        <w:t>（1）《国家医保局 财政部 税务总局关于阶段性减征职工基本医疗保险费的指导意见》（医保发〔2020〕6号）</w:t>
      </w:r>
    </w:p>
    <w:p>
      <w:pPr>
        <w:spacing w:line="560" w:lineRule="exact"/>
        <w:ind w:firstLine="640" w:firstLineChars="200"/>
        <w:rPr>
          <w:rFonts w:ascii="仿宋_GB2312" w:eastAsia="仿宋_GB2312"/>
          <w:sz w:val="32"/>
        </w:rPr>
      </w:pPr>
      <w:r>
        <w:rPr>
          <w:rFonts w:ascii="仿宋_GB2312" w:eastAsia="仿宋_GB2312"/>
          <w:sz w:val="32"/>
        </w:rPr>
        <w:t>（2）《国家税务总局关于贯彻落实阶段性减免企业社会保险费政策的通知》（税总函〔2020〕33号）</w:t>
      </w:r>
    </w:p>
    <w:p>
      <w:pPr>
        <w:spacing w:line="560" w:lineRule="exact"/>
        <w:ind w:firstLine="640" w:firstLineChars="200"/>
        <w:rPr>
          <w:rFonts w:ascii="仿宋_GB2312" w:eastAsia="仿宋_GB2312"/>
          <w:sz w:val="32"/>
        </w:rPr>
      </w:pPr>
      <w:r>
        <w:rPr>
          <w:rFonts w:ascii="仿宋_GB2312" w:eastAsia="仿宋_GB2312"/>
          <w:bCs/>
          <w:sz w:val="32"/>
        </w:rPr>
        <w:t>17.鼓励各地通过减免城镇土地使用税等方式支持出租方为个体工商户减免物业租金</w:t>
      </w:r>
    </w:p>
    <w:p>
      <w:pPr>
        <w:spacing w:line="560" w:lineRule="exact"/>
        <w:ind w:firstLine="640" w:firstLineChars="200"/>
        <w:rPr>
          <w:rFonts w:ascii="仿宋_GB2312" w:eastAsia="仿宋_GB2312"/>
          <w:sz w:val="32"/>
        </w:rPr>
      </w:pPr>
      <w:r>
        <w:rPr>
          <w:rFonts w:ascii="仿宋_GB2312" w:eastAsia="仿宋_GB2312"/>
          <w:sz w:val="32"/>
        </w:rPr>
        <w:t>详见地方文件。</w:t>
      </w:r>
    </w:p>
    <w:p>
      <w:pPr>
        <w:widowControl/>
        <w:jc w:val="left"/>
        <w:rPr>
          <w:rFonts w:ascii="仿宋_GB2312" w:eastAsia="仿宋_GB2312"/>
          <w:sz w:val="32"/>
        </w:rPr>
      </w:pPr>
      <w:r>
        <w:rPr>
          <w:rFonts w:ascii="仿宋_GB2312" w:eastAsia="仿宋_GB2312"/>
          <w:sz w:val="32"/>
        </w:rPr>
        <w:br w:type="page"/>
      </w:r>
    </w:p>
    <w:p>
      <w:pPr>
        <w:spacing w:line="560" w:lineRule="exact"/>
        <w:ind w:firstLine="640" w:firstLineChars="200"/>
        <w:rPr>
          <w:rFonts w:ascii="仿宋_GB2312" w:eastAsia="仿宋_GB2312"/>
          <w:sz w:val="32"/>
        </w:rPr>
      </w:pPr>
    </w:p>
    <w:p>
      <w:pPr>
        <w:jc w:val="center"/>
        <w:rPr>
          <w:rFonts w:ascii="方正小标宋简体" w:eastAsia="方正小标宋简体"/>
          <w:spacing w:val="-16"/>
          <w:sz w:val="44"/>
        </w:rPr>
      </w:pPr>
      <w:r>
        <w:rPr>
          <w:rFonts w:hint="eastAsia" w:ascii="方正小标宋简体" w:eastAsia="方正小标宋简体"/>
          <w:bCs/>
          <w:spacing w:val="-16"/>
          <w:sz w:val="44"/>
        </w:rPr>
        <w:t>关于开展志愿服务促进中小企业发展的指导意见</w:t>
      </w:r>
    </w:p>
    <w:p>
      <w:pPr>
        <w:jc w:val="center"/>
        <w:rPr>
          <w:rFonts w:hint="eastAsia" w:ascii="楷体_GB2312" w:eastAsia="楷体_GB2312"/>
          <w:sz w:val="32"/>
        </w:rPr>
      </w:pPr>
      <w:r>
        <w:rPr>
          <w:rFonts w:hint="eastAsia" w:ascii="楷体_GB2312" w:eastAsia="楷体_GB2312"/>
          <w:bCs/>
          <w:sz w:val="32"/>
        </w:rPr>
        <w:t>工信厅联企业〔2020〕12号</w:t>
      </w:r>
    </w:p>
    <w:p>
      <w:pPr>
        <w:spacing w:line="540" w:lineRule="exact"/>
        <w:rPr>
          <w:rFonts w:ascii="仿宋_GB2312" w:eastAsia="仿宋_GB2312"/>
          <w:sz w:val="32"/>
        </w:rPr>
      </w:pPr>
      <w:r>
        <w:rPr>
          <w:rFonts w:hint="eastAsia" w:ascii="仿宋_GB2312" w:eastAsia="仿宋_GB2312"/>
          <w:bCs/>
          <w:sz w:val="32"/>
        </w:rPr>
        <w:t> </w:t>
      </w:r>
    </w:p>
    <w:p>
      <w:pPr>
        <w:spacing w:line="540" w:lineRule="exact"/>
        <w:rPr>
          <w:rFonts w:ascii="仿宋_GB2312" w:eastAsia="仿宋_GB2312"/>
          <w:sz w:val="32"/>
        </w:rPr>
      </w:pPr>
      <w:r>
        <w:rPr>
          <w:rFonts w:hint="eastAsia" w:ascii="仿宋_GB2312" w:eastAsia="仿宋_GB2312"/>
          <w:sz w:val="32"/>
        </w:rPr>
        <w:t>各省、自治区、直辖市及计划单列市、新疆生产建设兵团中小企业主管部门、民政部门：  </w:t>
      </w:r>
      <w:r>
        <w:rPr>
          <w:rFonts w:hint="eastAsia" w:ascii="仿宋_GB2312" w:eastAsia="仿宋_GB2312"/>
          <w:sz w:val="32"/>
        </w:rPr>
        <w:br w:type="textWrapping"/>
      </w:r>
      <w:r>
        <w:rPr>
          <w:rFonts w:hint="eastAsia" w:ascii="仿宋_GB2312" w:eastAsia="仿宋_GB2312"/>
          <w:sz w:val="32"/>
        </w:rPr>
        <w:t>  为深入贯彻习近平总书记关于统筹推进新冠肺炎疫情防控和经济社会发展的重要讲话精神，按照党中央、国务院关于支持复工复产和推动中小企业健康发展的决策部署，充分调动社会力量服务中小企业，现就开展志愿服务促进中小企业发展，提出如下意见。  </w:t>
      </w:r>
      <w:r>
        <w:rPr>
          <w:rFonts w:hint="eastAsia" w:ascii="仿宋_GB2312" w:eastAsia="仿宋_GB2312"/>
          <w:sz w:val="32"/>
        </w:rPr>
        <w:br w:type="textWrapping"/>
      </w:r>
      <w:r>
        <w:rPr>
          <w:rFonts w:hint="eastAsia" w:ascii="黑体" w:hAnsi="黑体" w:eastAsia="黑体"/>
          <w:sz w:val="32"/>
        </w:rPr>
        <w:t>  一、总体要求</w:t>
      </w:r>
      <w:r>
        <w:rPr>
          <w:rFonts w:hint="eastAsia" w:ascii="黑体" w:eastAsia="黑体"/>
          <w:sz w:val="32"/>
        </w:rPr>
        <w:t>  </w:t>
      </w:r>
      <w:r>
        <w:rPr>
          <w:rFonts w:hint="eastAsia" w:ascii="黑体" w:hAnsi="黑体" w:eastAsia="黑体"/>
          <w:sz w:val="32"/>
        </w:rPr>
        <w:br w:type="textWrapping"/>
      </w:r>
      <w:r>
        <w:rPr>
          <w:rFonts w:hint="eastAsia" w:ascii="仿宋_GB2312" w:eastAsia="仿宋_GB2312"/>
          <w:sz w:val="32"/>
        </w:rPr>
        <w:t>  统筹推进新冠肺炎疫情防控和经济社会发展工作，立足当前，着眼长远，充分发挥社会力量作用，按照自愿、无偿、平等、诚信、合法的原则，构建一支熟政策、精法律、懂技术、会管理、肯奉献、乐助企的高水平专家志愿服务队伍，为中小企业无偿提供政策、法律、金融、管理、技术、创新创业等方面的咨询和个性化解决方案，推动中小企业加快复工复产和转型升级，实现高质量发展。  </w:t>
      </w:r>
      <w:r>
        <w:rPr>
          <w:rFonts w:hint="eastAsia" w:ascii="仿宋_GB2312" w:eastAsia="仿宋_GB2312"/>
          <w:sz w:val="32"/>
        </w:rPr>
        <w:br w:type="textWrapping"/>
      </w:r>
      <w:r>
        <w:rPr>
          <w:rFonts w:hint="eastAsia" w:ascii="黑体" w:hAnsi="黑体" w:eastAsia="黑体"/>
          <w:sz w:val="32"/>
        </w:rPr>
        <w:t>  二、工作方法与步骤</w:t>
      </w:r>
      <w:r>
        <w:rPr>
          <w:rFonts w:hint="eastAsia" w:ascii="黑体" w:eastAsia="黑体"/>
          <w:sz w:val="32"/>
        </w:rPr>
        <w:t>  </w:t>
      </w:r>
      <w:r>
        <w:rPr>
          <w:rFonts w:hint="eastAsia" w:ascii="黑体" w:hAnsi="黑体" w:eastAsia="黑体"/>
          <w:sz w:val="32"/>
        </w:rPr>
        <w:br w:type="textWrapping"/>
      </w:r>
      <w:r>
        <w:rPr>
          <w:rFonts w:hint="eastAsia" w:ascii="仿宋_GB2312" w:eastAsia="仿宋_GB2312"/>
          <w:sz w:val="32"/>
        </w:rPr>
        <w:t> </w:t>
      </w:r>
      <w:r>
        <w:rPr>
          <w:rFonts w:hint="eastAsia" w:ascii="楷体_GB2312" w:eastAsia="楷体_GB2312"/>
          <w:sz w:val="32"/>
        </w:rPr>
        <w:t> （一）依托专门机构开展工作</w:t>
      </w:r>
      <w:r>
        <w:rPr>
          <w:rFonts w:hint="eastAsia" w:ascii="仿宋_GB2312" w:eastAsia="仿宋_GB2312"/>
          <w:sz w:val="32"/>
        </w:rPr>
        <w:t>。结合本地区实际，指定中小企业公共服务机构（以下简称专门服务机构）负责组织和管理“志愿服务促进中小企业发展”工作。专门服务机构主要承担志愿者的遴选、培训、管理与考评，组织、指导开展促进中小企业发展的各类志愿服务活动，推动中小企业对接各类公共服务资源，并接受中小企业主管部门的指导、监督与考核。  </w:t>
      </w:r>
      <w:r>
        <w:rPr>
          <w:rFonts w:hint="eastAsia" w:ascii="仿宋_GB2312" w:eastAsia="仿宋_GB2312"/>
          <w:sz w:val="32"/>
        </w:rPr>
        <w:br w:type="textWrapping"/>
      </w:r>
      <w:r>
        <w:rPr>
          <w:rFonts w:hint="eastAsia" w:ascii="仿宋_GB2312" w:eastAsia="仿宋_GB2312"/>
          <w:sz w:val="32"/>
        </w:rPr>
        <w:t> </w:t>
      </w:r>
      <w:r>
        <w:rPr>
          <w:rFonts w:hint="eastAsia" w:ascii="楷体_GB2312" w:eastAsia="楷体_GB2312"/>
          <w:sz w:val="32"/>
        </w:rPr>
        <w:t> （二）建立专家志愿服务团。</w:t>
      </w:r>
      <w:r>
        <w:rPr>
          <w:rFonts w:hint="eastAsia" w:ascii="仿宋_GB2312" w:eastAsia="仿宋_GB2312"/>
          <w:sz w:val="32"/>
        </w:rPr>
        <w:t>专门服务机构可在中小企业公共服务平台网络和全国志愿服务信息系统发布中小企业志愿服务项目，通过公开招募、定向邀请等方式招募志愿者，招募范围涵盖政策专家、行业发展专家、科技创新专家、法律专家、优秀企业家、企业高管、园区高级管理人员、高校及科研院所学者等，包括在职和退休人员。专门服务机构应向受聘志愿者发放聘书，并与受聘志愿者签订服务协议，明确服务形式、服务时间等内容，受聘志愿者按照服务协议参加专门服务机构组织的志愿服务活动，逐步形成规模稳定、人员相对固定的专家队伍。  </w:t>
      </w:r>
      <w:r>
        <w:rPr>
          <w:rFonts w:hint="eastAsia" w:ascii="仿宋_GB2312" w:eastAsia="仿宋_GB2312"/>
          <w:sz w:val="32"/>
        </w:rPr>
        <w:br w:type="textWrapping"/>
      </w:r>
      <w:r>
        <w:rPr>
          <w:rFonts w:hint="eastAsia" w:ascii="仿宋_GB2312" w:eastAsia="仿宋_GB2312"/>
          <w:sz w:val="32"/>
        </w:rPr>
        <w:t> </w:t>
      </w:r>
      <w:r>
        <w:rPr>
          <w:rFonts w:hint="eastAsia" w:ascii="楷体_GB2312" w:eastAsia="楷体_GB2312"/>
          <w:sz w:val="32"/>
        </w:rPr>
        <w:t> （三）认定志愿服务工作站。</w:t>
      </w:r>
      <w:r>
        <w:rPr>
          <w:rFonts w:hint="eastAsia" w:ascii="仿宋_GB2312" w:eastAsia="仿宋_GB2312"/>
          <w:sz w:val="32"/>
        </w:rPr>
        <w:t>在中小企业园区、特色产业集群、小微企业创业创新基地等遴选一批具有场地、人员、服务条件的载体，认定为“志愿服务工作站”。“志愿服务工作站”应安排专人对接志愿服务工作，定期搜集中小企业志愿服务需求，组织开展志愿服务活动，并为志愿服务提供服务场地、设备等软硬件支持。  </w:t>
      </w:r>
      <w:r>
        <w:rPr>
          <w:rFonts w:hint="eastAsia" w:ascii="仿宋_GB2312" w:eastAsia="仿宋_GB2312"/>
          <w:sz w:val="32"/>
        </w:rPr>
        <w:br w:type="textWrapping"/>
      </w:r>
      <w:r>
        <w:rPr>
          <w:rFonts w:hint="eastAsia" w:ascii="仿宋_GB2312" w:eastAsia="仿宋_GB2312"/>
          <w:sz w:val="32"/>
        </w:rPr>
        <w:t> </w:t>
      </w:r>
      <w:r>
        <w:rPr>
          <w:rFonts w:hint="eastAsia" w:ascii="楷体_GB2312" w:eastAsia="楷体_GB2312"/>
          <w:sz w:val="32"/>
        </w:rPr>
        <w:t> （四）探索创新服务模式。</w:t>
      </w:r>
      <w:r>
        <w:rPr>
          <w:rFonts w:hint="eastAsia" w:ascii="仿宋_GB2312" w:eastAsia="仿宋_GB2312"/>
          <w:sz w:val="32"/>
        </w:rPr>
        <w:t>支持专门服务机构充分利用互联网、大数据、云计算、人工智能等新一代信息技术，结合志愿服务团专家特点及当地中小企业发展实际，大胆探索服务方式和方法，积极对接各类社会服务资源，逐步形成特色鲜明、规范高效的服务模式。鼓励专门服务机构对服务范围、服务方式、服务特点等进行系统梳理，编制体系规范、内容全面的服务手册、服务清单、服务指南等，提升志愿服务的效率与水平。鼓励支持具有专业资源的志愿服务组织主动协助专门服务机构开展促进中小企业发展的志愿服务。  </w:t>
      </w:r>
      <w:r>
        <w:rPr>
          <w:rFonts w:hint="eastAsia" w:ascii="仿宋_GB2312" w:eastAsia="仿宋_GB2312"/>
          <w:sz w:val="32"/>
        </w:rPr>
        <w:br w:type="textWrapping"/>
      </w:r>
      <w:r>
        <w:rPr>
          <w:rFonts w:hint="eastAsia" w:ascii="黑体" w:hAnsi="黑体" w:eastAsia="黑体"/>
          <w:sz w:val="32"/>
        </w:rPr>
        <w:t>  三、服务内容和方式</w:t>
      </w:r>
      <w:r>
        <w:rPr>
          <w:rFonts w:hint="eastAsia" w:ascii="黑体" w:eastAsia="黑体"/>
          <w:sz w:val="32"/>
        </w:rPr>
        <w:t>  </w:t>
      </w:r>
      <w:r>
        <w:rPr>
          <w:rFonts w:hint="eastAsia" w:ascii="黑体" w:hAnsi="黑体" w:eastAsia="黑体"/>
          <w:sz w:val="32"/>
        </w:rPr>
        <w:br w:type="textWrapping"/>
      </w:r>
      <w:r>
        <w:rPr>
          <w:rFonts w:hint="eastAsia" w:ascii="楷体_GB2312" w:eastAsia="楷体_GB2312"/>
          <w:sz w:val="32"/>
        </w:rPr>
        <w:t>  （一）帮助企业应对疫情复工复产。</w:t>
      </w:r>
      <w:r>
        <w:rPr>
          <w:rFonts w:hint="eastAsia" w:ascii="仿宋_GB2312" w:eastAsia="仿宋_GB2312"/>
          <w:sz w:val="32"/>
        </w:rPr>
        <w:t>及时向中小企业宣传党中央、国务院关于复工复产的方针政策，特别是习近平总书记关于统筹抓好疫情防控和经济社会发展的指示精神。对受新冠肺炎疫情、自然灾害等重大突发事件影响的中小企业，重点提供应急管理、复工复产、政策对接等方面的指导与帮助；鼓励专门服务机构结合企业当前疫情防控和复工复产需求，探索形成重大突发事件应对机制，及时提供协调指导和专业化服务，稳定中小企业发展信心。  </w:t>
      </w:r>
      <w:r>
        <w:rPr>
          <w:rFonts w:hint="eastAsia" w:ascii="仿宋_GB2312" w:eastAsia="仿宋_GB2312"/>
          <w:sz w:val="32"/>
        </w:rPr>
        <w:br w:type="textWrapping"/>
      </w:r>
      <w:r>
        <w:rPr>
          <w:rFonts w:hint="eastAsia" w:ascii="楷体_GB2312" w:eastAsia="楷体_GB2312"/>
          <w:sz w:val="32"/>
        </w:rPr>
        <w:t>  （二）突出重点开展精准服务。</w:t>
      </w:r>
      <w:r>
        <w:rPr>
          <w:rFonts w:hint="eastAsia" w:ascii="仿宋_GB2312" w:eastAsia="仿宋_GB2312"/>
          <w:sz w:val="32"/>
        </w:rPr>
        <w:t>对不同群体、不同行业的中小企业提供差异化服务和个性化解决方案。深入了解大学毕业生、退役军人、女性、残疾人等重点创业群体的实际需求，建立重点群体专项服务模块，提供“一对一”个性化、可跟踪服务。跟踪重点行业发展态势，及时了解重点行业企业面临的难题，加强对“专精特新”中小企业的服务。  </w:t>
      </w:r>
      <w:r>
        <w:rPr>
          <w:rFonts w:hint="eastAsia" w:ascii="仿宋_GB2312" w:eastAsia="仿宋_GB2312"/>
          <w:sz w:val="32"/>
        </w:rPr>
        <w:br w:type="textWrapping"/>
      </w:r>
      <w:r>
        <w:rPr>
          <w:rFonts w:hint="eastAsia" w:ascii="仿宋_GB2312" w:eastAsia="仿宋_GB2312"/>
          <w:sz w:val="32"/>
        </w:rPr>
        <w:t> </w:t>
      </w:r>
      <w:r>
        <w:rPr>
          <w:rFonts w:hint="eastAsia" w:ascii="楷体_GB2312" w:eastAsia="楷体_GB2312"/>
          <w:sz w:val="32"/>
        </w:rPr>
        <w:t> （三）开展志愿者线上服务。</w:t>
      </w:r>
      <w:r>
        <w:rPr>
          <w:rFonts w:hint="eastAsia" w:ascii="仿宋_GB2312" w:eastAsia="仿宋_GB2312"/>
          <w:sz w:val="32"/>
        </w:rPr>
        <w:t>结合各地实际建立“中小企业线上志愿服务中心”，由志愿专家通过开设微视频课程等方式，针对创办企业、融资、市场开拓等共性问题进行专题辅导，为企业提供一站式、综合性学习平台；开辟专家在线“义诊专栏”，提供专家清单、服务菜单等信息，由企业自主选择意向专家，“一对一”在线服务，为中小企业提供个性化、互动性的诊断服务；利用视频会议软件定期组织召开志愿者和企业家视频会议，及时研讨中小企业发展面临的共性问题，解疑释惑，服务企业发展。  </w:t>
      </w:r>
      <w:r>
        <w:rPr>
          <w:rFonts w:hint="eastAsia" w:ascii="仿宋_GB2312" w:eastAsia="仿宋_GB2312"/>
          <w:sz w:val="32"/>
        </w:rPr>
        <w:br w:type="textWrapping"/>
      </w:r>
      <w:r>
        <w:rPr>
          <w:rFonts w:hint="eastAsia" w:ascii="仿宋_GB2312" w:eastAsia="仿宋_GB2312"/>
          <w:sz w:val="32"/>
        </w:rPr>
        <w:t>  （</w:t>
      </w:r>
      <w:r>
        <w:rPr>
          <w:rFonts w:hint="eastAsia" w:ascii="楷体_GB2312" w:eastAsia="楷体_GB2312"/>
          <w:sz w:val="32"/>
        </w:rPr>
        <w:t>四）开展志愿者线下服务。</w:t>
      </w:r>
      <w:r>
        <w:rPr>
          <w:rFonts w:hint="eastAsia" w:ascii="仿宋_GB2312" w:eastAsia="仿宋_GB2312"/>
          <w:sz w:val="32"/>
        </w:rPr>
        <w:t>结合各地实际组织线下特色活动，构建企业与志愿专家“面对面”交流咨询渠道。组织技术志愿专家为中小企业技术改造与创新、科技成果转化提供“一对一”的顾问、咨询与指导服务；在各“志愿服务工作站”定点举办沙龙讲座、商业研讨等线下活动，由志愿专家现场答疑解惑、提供协助方案，为企业集中解决关切的问题；定期组织范围较大的分主题、分行业志愿服务专场活动，组织相关领域志愿专家开展辅导和咨询服务，扩大志愿服务覆盖面，提升社会影响力。  </w:t>
      </w:r>
      <w:r>
        <w:rPr>
          <w:rFonts w:hint="eastAsia" w:ascii="仿宋_GB2312" w:eastAsia="仿宋_GB2312"/>
          <w:sz w:val="32"/>
        </w:rPr>
        <w:br w:type="textWrapping"/>
      </w:r>
      <w:r>
        <w:rPr>
          <w:rFonts w:hint="eastAsia" w:ascii="黑体" w:hAnsi="黑体" w:eastAsia="黑体"/>
          <w:sz w:val="32"/>
        </w:rPr>
        <w:t>  四、组织保障措施</w:t>
      </w:r>
      <w:r>
        <w:rPr>
          <w:rFonts w:hint="eastAsia" w:ascii="黑体" w:eastAsia="黑体"/>
          <w:sz w:val="32"/>
        </w:rPr>
        <w:t>  </w:t>
      </w:r>
      <w:r>
        <w:rPr>
          <w:rFonts w:hint="eastAsia" w:ascii="楷体_GB2312" w:eastAsia="楷体_GB2312"/>
          <w:sz w:val="32"/>
        </w:rPr>
        <w:br w:type="textWrapping"/>
      </w:r>
      <w:r>
        <w:rPr>
          <w:rFonts w:hint="eastAsia" w:ascii="楷体_GB2312" w:eastAsia="楷体_GB2312"/>
          <w:sz w:val="32"/>
        </w:rPr>
        <w:t>  （一）加强协调指导。</w:t>
      </w:r>
      <w:r>
        <w:rPr>
          <w:rFonts w:hint="eastAsia" w:ascii="仿宋_GB2312" w:eastAsia="仿宋_GB2312"/>
          <w:sz w:val="32"/>
        </w:rPr>
        <w:t>各地中小企业主管部门要会同民政部门按照《志愿服务条例》及相关政策要求，加强中小企业志愿服务的统筹指导和规范管理，建立健全中小企业志愿服务工作机制，引导专门服务机构完善志愿者招募、注册、培训、管理、考核、激励等制度，研究制订服务标准，加强专家志愿服务团的组织管理，确保正确发展方向；加强对服务效果的跟踪监测，切实掌握志愿服务活动的开展情况，及时查处以中小企业志愿服务名义进行营利性活动的行为；指导专门服务机构加强过程管理，为志愿者提供必要防护物品，做好志愿者人身安全保险工作，切实维护志愿者合法权益，依法做好志愿服务记录并出具志愿服务证明。  </w:t>
      </w:r>
      <w:r>
        <w:rPr>
          <w:rFonts w:hint="eastAsia" w:ascii="仿宋_GB2312" w:eastAsia="仿宋_GB2312"/>
          <w:sz w:val="32"/>
        </w:rPr>
        <w:br w:type="textWrapping"/>
      </w:r>
      <w:r>
        <w:rPr>
          <w:rFonts w:hint="eastAsia" w:ascii="仿宋_GB2312" w:eastAsia="仿宋_GB2312"/>
          <w:sz w:val="32"/>
        </w:rPr>
        <w:t> </w:t>
      </w:r>
      <w:r>
        <w:rPr>
          <w:rFonts w:hint="eastAsia" w:ascii="楷体_GB2312" w:eastAsia="楷体_GB2312"/>
          <w:sz w:val="32"/>
        </w:rPr>
        <w:t> （二）强化政策扶持。</w:t>
      </w:r>
      <w:r>
        <w:rPr>
          <w:rFonts w:hint="eastAsia" w:ascii="仿宋_GB2312" w:eastAsia="仿宋_GB2312"/>
          <w:sz w:val="32"/>
        </w:rPr>
        <w:t>各地根据实际发展情况，制定促进中小企业志愿服务发展的政策和措施，合理安排志愿服务所需资金；按照政府采购相关要求，通过购买服务等方式，支持志愿服务运营管理，并对专门服务机构开展中小企业志愿服务的方式、频次等方面提出要求，定期实施考核；鼓励专门服务机构通过承接公共服务项目、接受社会捐赠等多种途径，补充志愿服务运营资金。  </w:t>
      </w:r>
      <w:r>
        <w:rPr>
          <w:rFonts w:hint="eastAsia" w:ascii="仿宋_GB2312" w:eastAsia="仿宋_GB2312"/>
          <w:sz w:val="32"/>
        </w:rPr>
        <w:br w:type="textWrapping"/>
      </w:r>
      <w:r>
        <w:rPr>
          <w:rFonts w:hint="eastAsia" w:ascii="楷体_GB2312" w:eastAsia="楷体_GB2312"/>
          <w:sz w:val="32"/>
        </w:rPr>
        <w:t>  （三）推动交流宣传。</w:t>
      </w:r>
      <w:r>
        <w:rPr>
          <w:rFonts w:hint="eastAsia" w:ascii="仿宋_GB2312" w:eastAsia="仿宋_GB2312"/>
          <w:sz w:val="32"/>
        </w:rPr>
        <w:t>及时总结中小企业志愿服务的成功经验，加强工作交流，提升志愿服务能力与水平，培育志愿服务品牌，加强对本地区中小企业志愿服务的宣传与报道，形成有利于中小企业志愿服务快速发展的舆论氛围。  </w:t>
      </w:r>
      <w:r>
        <w:rPr>
          <w:rFonts w:hint="eastAsia" w:ascii="仿宋_GB2312" w:eastAsia="仿宋_GB2312"/>
          <w:sz w:val="32"/>
        </w:rPr>
        <w:br w:type="textWrapping"/>
      </w:r>
      <w:r>
        <w:rPr>
          <w:rFonts w:hint="eastAsia" w:ascii="仿宋_GB2312" w:eastAsia="仿宋_GB2312"/>
          <w:sz w:val="32"/>
        </w:rPr>
        <w:t>  中小企业志愿服务是一项全新的工作，也是当前帮助中小企业应对疫情复工复产的一项有力举措。各地要结合本地实际抓紧研究部署，明确目标、任务和保障措施，逐步形成一套健全完善的志愿服务体系、一种规范成熟的志愿服务模式、一支相对稳定的志愿服务队伍，为广大中小企业提供公益性、规范高效的志愿服务。</w:t>
      </w:r>
      <w:r>
        <w:rPr>
          <w:rFonts w:hint="eastAsia" w:ascii="仿宋_GB2312" w:eastAsia="仿宋_GB2312"/>
          <w:sz w:val="32"/>
        </w:rPr>
        <w:br w:type="textWrapping"/>
      </w:r>
    </w:p>
    <w:p>
      <w:pPr>
        <w:spacing w:line="540" w:lineRule="exact"/>
        <w:rPr>
          <w:rFonts w:ascii="仿宋_GB2312" w:eastAsia="仿宋_GB2312"/>
          <w:sz w:val="32"/>
        </w:rPr>
      </w:pPr>
    </w:p>
    <w:p>
      <w:pPr>
        <w:spacing w:line="540" w:lineRule="exact"/>
        <w:ind w:firstLine="2560" w:firstLineChars="800"/>
        <w:rPr>
          <w:rFonts w:ascii="仿宋_GB2312" w:eastAsia="仿宋_GB2312"/>
          <w:sz w:val="32"/>
        </w:rPr>
      </w:pPr>
      <w:r>
        <w:rPr>
          <w:rFonts w:hint="eastAsia" w:ascii="仿宋_GB2312" w:eastAsia="仿宋_GB2312"/>
          <w:sz w:val="32"/>
        </w:rPr>
        <w:t>工业和信息化部办公厅    民政部办公厅</w:t>
      </w:r>
    </w:p>
    <w:p>
      <w:pPr>
        <w:spacing w:line="540" w:lineRule="exact"/>
        <w:ind w:firstLine="4960" w:firstLineChars="1550"/>
        <w:rPr>
          <w:rFonts w:hint="eastAsia" w:ascii="仿宋_GB2312" w:eastAsia="仿宋_GB2312"/>
          <w:sz w:val="32"/>
        </w:rPr>
      </w:pPr>
      <w:r>
        <w:rPr>
          <w:rFonts w:hint="eastAsia" w:ascii="仿宋_GB2312" w:eastAsia="仿宋_GB2312"/>
          <w:sz w:val="32"/>
        </w:rPr>
        <w:t>2020年3月27日</w:t>
      </w:r>
    </w:p>
    <w:p>
      <w:pPr>
        <w:spacing w:line="540" w:lineRule="exact"/>
        <w:ind w:firstLine="4960" w:firstLineChars="1550"/>
        <w:rPr>
          <w:rFonts w:hint="eastAsia" w:ascii="仿宋_GB2312" w:eastAsia="仿宋_GB2312"/>
          <w:sz w:val="32"/>
        </w:rPr>
      </w:pPr>
    </w:p>
    <w:p>
      <w:pPr>
        <w:spacing w:line="540" w:lineRule="exact"/>
        <w:ind w:firstLine="4960" w:firstLineChars="1550"/>
        <w:rPr>
          <w:rFonts w:hint="eastAsia" w:ascii="仿宋_GB2312" w:eastAsia="仿宋_GB2312"/>
          <w:sz w:val="32"/>
        </w:rPr>
      </w:pPr>
    </w:p>
    <w:p>
      <w:pPr>
        <w:spacing w:line="540" w:lineRule="exact"/>
        <w:ind w:firstLine="4960" w:firstLineChars="1550"/>
        <w:rPr>
          <w:rFonts w:ascii="仿宋_GB2312"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t>关于支持商贸流通企业复工营业的通知</w:t>
      </w:r>
    </w:p>
    <w:p>
      <w:pPr>
        <w:spacing w:beforeLines="50" w:line="560" w:lineRule="exact"/>
        <w:jc w:val="center"/>
        <w:rPr>
          <w:rFonts w:hint="eastAsia" w:ascii="楷体_GB2312" w:eastAsia="楷体_GB2312"/>
          <w:sz w:val="32"/>
        </w:rPr>
      </w:pPr>
      <w:r>
        <w:rPr>
          <w:rFonts w:hint="eastAsia" w:ascii="楷体_GB2312" w:eastAsia="楷体_GB2312"/>
          <w:sz w:val="32"/>
        </w:rPr>
        <w:t>商办服贸函〔2020〕103号</w:t>
      </w:r>
    </w:p>
    <w:p>
      <w:pPr>
        <w:spacing w:line="560" w:lineRule="exact"/>
        <w:rPr>
          <w:rFonts w:ascii="仿宋_GB2312" w:eastAsia="仿宋_GB2312"/>
          <w:sz w:val="32"/>
        </w:rPr>
      </w:pPr>
    </w:p>
    <w:p>
      <w:pPr>
        <w:spacing w:line="540" w:lineRule="exact"/>
        <w:rPr>
          <w:rFonts w:ascii="仿宋_GB2312" w:eastAsia="仿宋_GB2312"/>
          <w:sz w:val="32"/>
        </w:rPr>
      </w:pPr>
      <w:r>
        <w:rPr>
          <w:rFonts w:hint="eastAsia" w:ascii="仿宋_GB2312" w:eastAsia="仿宋_GB2312"/>
          <w:sz w:val="32"/>
        </w:rPr>
        <w:t>各省、自治区、直辖市、计划单列市及新疆生产建设兵团商务、发展改革、卫生健康主管部门:</w:t>
      </w:r>
    </w:p>
    <w:p>
      <w:pPr>
        <w:spacing w:line="540" w:lineRule="exact"/>
        <w:rPr>
          <w:rFonts w:ascii="仿宋_GB2312" w:eastAsia="仿宋_GB2312"/>
          <w:sz w:val="32"/>
        </w:rPr>
      </w:pPr>
      <w:r>
        <w:rPr>
          <w:rFonts w:ascii="仿宋_GB2312" w:eastAsia="仿宋_GB2312"/>
          <w:sz w:val="32"/>
        </w:rPr>
        <w:t>  </w:t>
      </w:r>
      <w:r>
        <w:rPr>
          <w:rFonts w:hint="eastAsia" w:ascii="仿宋_GB2312" w:eastAsia="仿宋_GB2312"/>
          <w:sz w:val="32"/>
        </w:rPr>
        <w:t>为深入贯彻习近平总书记关于统筹做好疫情防控和经济社会发展工作的重要指示精神，毫不放松抓紧抓实抓细各项防控工作，精准有序扎实地推动商贸流通行业复工营业，实现人财物有序流动、产供销有机衔接、内外贸有效贯通，把被抑制、被冻结的消费重新释放出来，把在疫情防控中催生的新型消费、升级消费培育壮大起来，使实物消费和服务消费得到回补，把疫情造成的损失降到最低限度，增强消费对经济增长的基础性作用，现就支持商贸流通企业复工营业有关事项通知如下：</w:t>
      </w:r>
    </w:p>
    <w:p>
      <w:pPr>
        <w:spacing w:line="540" w:lineRule="exact"/>
        <w:rPr>
          <w:rFonts w:ascii="黑体" w:hAnsi="黑体" w:eastAsia="黑体"/>
          <w:sz w:val="32"/>
        </w:rPr>
      </w:pPr>
      <w:r>
        <w:rPr>
          <w:rFonts w:ascii="黑体" w:eastAsia="黑体"/>
          <w:sz w:val="32"/>
        </w:rPr>
        <w:t>  </w:t>
      </w:r>
      <w:r>
        <w:rPr>
          <w:rFonts w:hint="eastAsia" w:ascii="黑体" w:hAnsi="黑体" w:eastAsia="黑体"/>
          <w:sz w:val="32"/>
        </w:rPr>
        <w:t>一、总体要求</w:t>
      </w:r>
    </w:p>
    <w:p>
      <w:pPr>
        <w:spacing w:line="540" w:lineRule="exact"/>
        <w:rPr>
          <w:rFonts w:ascii="仿宋_GB2312" w:eastAsia="仿宋_GB2312"/>
          <w:sz w:val="32"/>
        </w:rPr>
      </w:pPr>
      <w:r>
        <w:rPr>
          <w:rFonts w:ascii="仿宋_GB2312" w:eastAsia="仿宋_GB2312"/>
          <w:sz w:val="32"/>
        </w:rPr>
        <w:t>  </w:t>
      </w:r>
      <w:r>
        <w:rPr>
          <w:rFonts w:hint="eastAsia" w:ascii="仿宋_GB2312" w:eastAsia="仿宋_GB2312"/>
          <w:sz w:val="32"/>
        </w:rPr>
        <w:t>按照国务院应对新冠肺炎联防联控机制提出的疫情防控要分区分级、精准施策原则，各地要以省域为单位，推动经济社会秩序恢复。在此基础上，根据民生必需、人员集聚、空间密闭程度等划分商贸流通企业和网点类别，稳妥推进复工营业，统筹做好疫情防控和经济社会发展工作。</w:t>
      </w:r>
    </w:p>
    <w:p>
      <w:pPr>
        <w:spacing w:line="540" w:lineRule="exact"/>
        <w:rPr>
          <w:rFonts w:ascii="黑体" w:eastAsia="黑体"/>
          <w:sz w:val="32"/>
        </w:rPr>
      </w:pPr>
      <w:r>
        <w:rPr>
          <w:rFonts w:ascii="黑体" w:eastAsia="黑体"/>
          <w:sz w:val="32"/>
        </w:rPr>
        <w:t>  </w:t>
      </w:r>
      <w:r>
        <w:rPr>
          <w:rFonts w:hint="eastAsia" w:ascii="黑体" w:eastAsia="黑体"/>
          <w:sz w:val="32"/>
        </w:rPr>
        <w:t>二、精准划分企业和网点类别</w:t>
      </w:r>
    </w:p>
    <w:p>
      <w:pPr>
        <w:spacing w:line="540" w:lineRule="exact"/>
        <w:rPr>
          <w:rFonts w:ascii="仿宋_GB2312" w:eastAsia="仿宋_GB2312"/>
          <w:sz w:val="32"/>
        </w:rPr>
      </w:pPr>
      <w:r>
        <w:rPr>
          <w:rFonts w:ascii="仿宋_GB2312" w:eastAsia="仿宋_GB2312"/>
          <w:sz w:val="32"/>
        </w:rPr>
        <w:t>  </w:t>
      </w:r>
      <w:r>
        <w:rPr>
          <w:rFonts w:hint="eastAsia" w:ascii="仿宋_GB2312" w:eastAsia="仿宋_GB2312"/>
          <w:sz w:val="32"/>
        </w:rPr>
        <w:t>商贸流通企业和网点主要包括批发、零售、住宿、餐饮、家政、洗染、沐浴、美容美发、家电维修、人像摄影、配送、拍卖等行业的企业和网点。划分为以下类别：</w:t>
      </w:r>
    </w:p>
    <w:p>
      <w:pPr>
        <w:spacing w:line="540" w:lineRule="exact"/>
        <w:ind w:firstLine="640" w:firstLineChars="200"/>
        <w:rPr>
          <w:rFonts w:ascii="仿宋_GB2312" w:eastAsia="仿宋_GB2312"/>
          <w:sz w:val="32"/>
        </w:rPr>
      </w:pPr>
      <w:r>
        <w:rPr>
          <w:rFonts w:ascii="楷体_GB2312" w:eastAsia="楷体_GB2312"/>
          <w:sz w:val="32"/>
        </w:rPr>
        <w:t>(</w:t>
      </w:r>
      <w:r>
        <w:rPr>
          <w:rFonts w:hint="eastAsia" w:ascii="楷体_GB2312" w:eastAsia="楷体_GB2312"/>
          <w:sz w:val="32"/>
        </w:rPr>
        <w:t>一</w:t>
      </w:r>
      <w:r>
        <w:rPr>
          <w:rFonts w:ascii="楷体_GB2312" w:eastAsia="楷体_GB2312"/>
          <w:sz w:val="32"/>
        </w:rPr>
        <w:t>)</w:t>
      </w:r>
      <w:r>
        <w:rPr>
          <w:rFonts w:hint="eastAsia" w:ascii="楷体_GB2312" w:eastAsia="楷体_GB2312"/>
          <w:sz w:val="32"/>
        </w:rPr>
        <w:t>第一类。</w:t>
      </w:r>
      <w:r>
        <w:rPr>
          <w:rFonts w:hint="eastAsia" w:ascii="仿宋_GB2312" w:eastAsia="仿宋_GB2312"/>
          <w:sz w:val="32"/>
        </w:rPr>
        <w:t>主要指保障人民群众生活必需商品和服务的企业和网点，包括农产品批发市场、菜市场、超市、药店、便利店、加油站和社区粮油、蔬菜、水果、食品店以及餐饮</w:t>
      </w:r>
      <w:r>
        <w:rPr>
          <w:rFonts w:ascii="仿宋_GB2312" w:eastAsia="仿宋_GB2312"/>
          <w:sz w:val="32"/>
        </w:rPr>
        <w:t>(</w:t>
      </w:r>
      <w:r>
        <w:rPr>
          <w:rFonts w:hint="eastAsia" w:ascii="仿宋_GB2312" w:eastAsia="仿宋_GB2312"/>
          <w:sz w:val="32"/>
        </w:rPr>
        <w:t>不含堂食</w:t>
      </w:r>
      <w:r>
        <w:rPr>
          <w:rFonts w:ascii="仿宋_GB2312" w:eastAsia="仿宋_GB2312"/>
          <w:sz w:val="32"/>
        </w:rPr>
        <w:t>)</w:t>
      </w:r>
      <w:r>
        <w:rPr>
          <w:rFonts w:hint="eastAsia" w:ascii="仿宋_GB2312" w:eastAsia="仿宋_GB2312"/>
          <w:sz w:val="32"/>
        </w:rPr>
        <w:t>、家政</w:t>
      </w:r>
      <w:r>
        <w:rPr>
          <w:rFonts w:ascii="仿宋_GB2312" w:eastAsia="仿宋_GB2312"/>
          <w:sz w:val="32"/>
        </w:rPr>
        <w:t>(</w:t>
      </w:r>
      <w:r>
        <w:rPr>
          <w:rFonts w:hint="eastAsia" w:ascii="仿宋_GB2312" w:eastAsia="仿宋_GB2312"/>
          <w:sz w:val="32"/>
        </w:rPr>
        <w:t>仅限专业保洁和消毒</w:t>
      </w:r>
      <w:r>
        <w:rPr>
          <w:rFonts w:ascii="仿宋_GB2312" w:eastAsia="仿宋_GB2312"/>
          <w:sz w:val="32"/>
        </w:rPr>
        <w:t>)</w:t>
      </w:r>
      <w:r>
        <w:rPr>
          <w:rFonts w:hint="eastAsia" w:ascii="仿宋_GB2312" w:eastAsia="仿宋_GB2312"/>
          <w:sz w:val="32"/>
        </w:rPr>
        <w:t>、洗染</w:t>
      </w:r>
      <w:r>
        <w:rPr>
          <w:rFonts w:ascii="仿宋_GB2312" w:eastAsia="仿宋_GB2312"/>
          <w:sz w:val="32"/>
        </w:rPr>
        <w:t>(</w:t>
      </w:r>
      <w:r>
        <w:rPr>
          <w:rFonts w:hint="eastAsia" w:ascii="仿宋_GB2312" w:eastAsia="仿宋_GB2312"/>
          <w:sz w:val="32"/>
        </w:rPr>
        <w:t>仅限公用纺织品洗染消毒</w:t>
      </w:r>
      <w:r>
        <w:rPr>
          <w:rFonts w:ascii="仿宋_GB2312" w:eastAsia="仿宋_GB2312"/>
          <w:sz w:val="32"/>
        </w:rPr>
        <w:t>)</w:t>
      </w:r>
      <w:r>
        <w:rPr>
          <w:rFonts w:hint="eastAsia" w:ascii="仿宋_GB2312" w:eastAsia="仿宋_GB2312"/>
          <w:sz w:val="32"/>
        </w:rPr>
        <w:t>、家电维修、配送等服务企业和网点。</w:t>
      </w:r>
    </w:p>
    <w:p>
      <w:pPr>
        <w:spacing w:line="540" w:lineRule="exact"/>
        <w:rPr>
          <w:rFonts w:ascii="仿宋_GB2312" w:eastAsia="仿宋_GB2312"/>
          <w:sz w:val="32"/>
        </w:rPr>
      </w:pPr>
      <w:r>
        <w:rPr>
          <w:rFonts w:ascii="仿宋_GB2312" w:eastAsia="仿宋_GB2312"/>
          <w:sz w:val="32"/>
        </w:rPr>
        <w:t>  </w:t>
      </w:r>
      <w:r>
        <w:rPr>
          <w:rFonts w:ascii="楷体_GB2312" w:eastAsia="楷体_GB2312"/>
          <w:sz w:val="32"/>
        </w:rPr>
        <w:t>(</w:t>
      </w:r>
      <w:r>
        <w:rPr>
          <w:rFonts w:hint="eastAsia" w:ascii="楷体_GB2312" w:eastAsia="楷体_GB2312"/>
          <w:sz w:val="32"/>
        </w:rPr>
        <w:t>二</w:t>
      </w:r>
      <w:r>
        <w:rPr>
          <w:rFonts w:ascii="楷体_GB2312" w:eastAsia="楷体_GB2312"/>
          <w:sz w:val="32"/>
        </w:rPr>
        <w:t>)</w:t>
      </w:r>
      <w:r>
        <w:rPr>
          <w:rFonts w:hint="eastAsia" w:ascii="楷体_GB2312" w:eastAsia="楷体_GB2312"/>
          <w:sz w:val="32"/>
        </w:rPr>
        <w:t>第二类。</w:t>
      </w:r>
      <w:r>
        <w:rPr>
          <w:rFonts w:hint="eastAsia" w:ascii="仿宋_GB2312" w:eastAsia="仿宋_GB2312"/>
          <w:sz w:val="32"/>
        </w:rPr>
        <w:t>主要指涉及人民群众日常生活所需商品和服务的企业和网点，包括宾馆、餐饮、理发店、洗衣店、步行街、商场、商业综合体以及家政、人像摄影等服务企业和网点。</w:t>
      </w:r>
    </w:p>
    <w:p>
      <w:pPr>
        <w:spacing w:line="540" w:lineRule="exact"/>
        <w:rPr>
          <w:rFonts w:ascii="仿宋_GB2312" w:eastAsia="仿宋_GB2312"/>
          <w:sz w:val="32"/>
        </w:rPr>
      </w:pPr>
      <w:r>
        <w:rPr>
          <w:rFonts w:ascii="仿宋_GB2312" w:eastAsia="仿宋_GB2312"/>
          <w:sz w:val="32"/>
        </w:rPr>
        <w:t>  </w:t>
      </w:r>
      <w:r>
        <w:rPr>
          <w:rFonts w:ascii="楷体_GB2312" w:eastAsia="楷体_GB2312"/>
          <w:sz w:val="32"/>
        </w:rPr>
        <w:t>(</w:t>
      </w:r>
      <w:r>
        <w:rPr>
          <w:rFonts w:hint="eastAsia" w:ascii="楷体_GB2312" w:eastAsia="楷体_GB2312"/>
          <w:sz w:val="32"/>
        </w:rPr>
        <w:t>三</w:t>
      </w:r>
      <w:r>
        <w:rPr>
          <w:rFonts w:ascii="楷体_GB2312" w:eastAsia="楷体_GB2312"/>
          <w:sz w:val="32"/>
        </w:rPr>
        <w:t>)</w:t>
      </w:r>
      <w:r>
        <w:rPr>
          <w:rFonts w:hint="eastAsia" w:ascii="楷体_GB2312" w:eastAsia="楷体_GB2312"/>
          <w:sz w:val="32"/>
        </w:rPr>
        <w:t>第三类。</w:t>
      </w:r>
      <w:r>
        <w:rPr>
          <w:rFonts w:hint="eastAsia" w:ascii="仿宋_GB2312" w:eastAsia="仿宋_GB2312"/>
          <w:sz w:val="32"/>
        </w:rPr>
        <w:t>主要指非人民群众生活必需、人员相对集聚、空间相对密闭的企业和网点，由各地政府根据实际情况确定。</w:t>
      </w:r>
    </w:p>
    <w:p>
      <w:pPr>
        <w:spacing w:line="540" w:lineRule="exact"/>
        <w:rPr>
          <w:rFonts w:ascii="黑体" w:eastAsia="黑体"/>
          <w:sz w:val="32"/>
        </w:rPr>
      </w:pPr>
      <w:r>
        <w:rPr>
          <w:rFonts w:ascii="黑体" w:eastAsia="黑体"/>
          <w:sz w:val="32"/>
        </w:rPr>
        <w:t>  </w:t>
      </w:r>
      <w:r>
        <w:rPr>
          <w:rFonts w:hint="eastAsia" w:ascii="黑体" w:eastAsia="黑体"/>
          <w:sz w:val="32"/>
        </w:rPr>
        <w:t>三、实施分区分级分类精准防控</w:t>
      </w:r>
    </w:p>
    <w:p>
      <w:pPr>
        <w:spacing w:line="540" w:lineRule="exact"/>
        <w:rPr>
          <w:rFonts w:ascii="仿宋_GB2312" w:eastAsia="仿宋_GB2312"/>
          <w:sz w:val="32"/>
        </w:rPr>
      </w:pPr>
      <w:r>
        <w:rPr>
          <w:rFonts w:ascii="楷体_GB2312" w:eastAsia="楷体_GB2312"/>
          <w:sz w:val="32"/>
        </w:rPr>
        <w:t>  (</w:t>
      </w:r>
      <w:r>
        <w:rPr>
          <w:rFonts w:hint="eastAsia" w:ascii="楷体_GB2312" w:eastAsia="楷体_GB2312"/>
          <w:sz w:val="32"/>
        </w:rPr>
        <w:t>一</w:t>
      </w:r>
      <w:r>
        <w:rPr>
          <w:rFonts w:ascii="楷体_GB2312" w:eastAsia="楷体_GB2312"/>
          <w:sz w:val="32"/>
        </w:rPr>
        <w:t>)</w:t>
      </w:r>
      <w:r>
        <w:rPr>
          <w:rFonts w:hint="eastAsia" w:ascii="楷体_GB2312" w:eastAsia="楷体_GB2312"/>
          <w:sz w:val="32"/>
        </w:rPr>
        <w:t>关于第一类企业和网点。</w:t>
      </w:r>
      <w:r>
        <w:rPr>
          <w:rFonts w:hint="eastAsia" w:ascii="仿宋_GB2312" w:eastAsia="仿宋_GB2312"/>
          <w:sz w:val="32"/>
        </w:rPr>
        <w:t>各地政府要指导督促此类企业和网点在严格落实防控措施的前提下全面复工营业。对尚未开业的企业和网点，要为其复工营业提供条件，加快复工营业的进度。</w:t>
      </w:r>
    </w:p>
    <w:p>
      <w:pPr>
        <w:spacing w:line="540" w:lineRule="exact"/>
        <w:rPr>
          <w:rFonts w:ascii="仿宋_GB2312" w:eastAsia="仿宋_GB2312"/>
          <w:sz w:val="32"/>
        </w:rPr>
      </w:pPr>
      <w:r>
        <w:rPr>
          <w:rFonts w:ascii="仿宋_GB2312" w:eastAsia="仿宋_GB2312"/>
          <w:sz w:val="32"/>
        </w:rPr>
        <w:t> </w:t>
      </w:r>
      <w:r>
        <w:rPr>
          <w:rFonts w:ascii="楷体_GB2312" w:eastAsia="楷体_GB2312"/>
          <w:sz w:val="32"/>
        </w:rPr>
        <w:t> (</w:t>
      </w:r>
      <w:r>
        <w:rPr>
          <w:rFonts w:hint="eastAsia" w:ascii="楷体_GB2312" w:eastAsia="楷体_GB2312"/>
          <w:sz w:val="32"/>
        </w:rPr>
        <w:t>二</w:t>
      </w:r>
      <w:r>
        <w:rPr>
          <w:rFonts w:ascii="楷体_GB2312" w:eastAsia="楷体_GB2312"/>
          <w:sz w:val="32"/>
        </w:rPr>
        <w:t>)</w:t>
      </w:r>
      <w:r>
        <w:rPr>
          <w:rFonts w:hint="eastAsia" w:ascii="楷体_GB2312" w:eastAsia="楷体_GB2312"/>
          <w:sz w:val="32"/>
        </w:rPr>
        <w:t>关于第二类企业和网点。</w:t>
      </w:r>
      <w:r>
        <w:rPr>
          <w:rFonts w:hint="eastAsia" w:ascii="仿宋_GB2312" w:eastAsia="仿宋_GB2312"/>
          <w:sz w:val="32"/>
        </w:rPr>
        <w:t>所辖县区均为低风险的省份，要全面复工营业，不得采取审批、备案等方式延缓开工。除湖北、北京以外，对省内仍有中风险县区的省份，各地政府要做好精准防控，有序推动复工营业。</w:t>
      </w:r>
    </w:p>
    <w:p>
      <w:pPr>
        <w:spacing w:line="540" w:lineRule="exact"/>
        <w:rPr>
          <w:rFonts w:ascii="仿宋_GB2312" w:eastAsia="仿宋_GB2312"/>
          <w:sz w:val="32"/>
        </w:rPr>
      </w:pPr>
      <w:r>
        <w:rPr>
          <w:rFonts w:ascii="楷体_GB2312" w:eastAsia="楷体_GB2312"/>
          <w:sz w:val="32"/>
        </w:rPr>
        <w:t>  (</w:t>
      </w:r>
      <w:r>
        <w:rPr>
          <w:rFonts w:hint="eastAsia" w:ascii="楷体_GB2312" w:eastAsia="楷体_GB2312"/>
          <w:sz w:val="32"/>
        </w:rPr>
        <w:t>三</w:t>
      </w:r>
      <w:r>
        <w:rPr>
          <w:rFonts w:ascii="楷体_GB2312" w:eastAsia="楷体_GB2312"/>
          <w:sz w:val="32"/>
        </w:rPr>
        <w:t>)</w:t>
      </w:r>
      <w:r>
        <w:rPr>
          <w:rFonts w:hint="eastAsia" w:ascii="楷体_GB2312" w:eastAsia="楷体_GB2312"/>
          <w:sz w:val="32"/>
        </w:rPr>
        <w:t>关于第三类企业和网点。</w:t>
      </w:r>
      <w:r>
        <w:rPr>
          <w:rFonts w:hint="eastAsia" w:ascii="仿宋_GB2312" w:eastAsia="仿宋_GB2312"/>
          <w:sz w:val="32"/>
        </w:rPr>
        <w:t>所辖县区均为低风险的省份，要全面复工营业。除湖北、北京以外，对省内仍有中风险县区的省份，此类企业和网点应根据各地方疫情防控职能部门要求决定复工营业时间。</w:t>
      </w:r>
    </w:p>
    <w:p>
      <w:pPr>
        <w:spacing w:line="540" w:lineRule="exact"/>
        <w:rPr>
          <w:rFonts w:ascii="仿宋_GB2312" w:eastAsia="仿宋_GB2312"/>
          <w:sz w:val="32"/>
        </w:rPr>
      </w:pPr>
      <w:r>
        <w:rPr>
          <w:rFonts w:ascii="仿宋_GB2312" w:eastAsia="仿宋_GB2312"/>
          <w:sz w:val="32"/>
        </w:rPr>
        <w:t> </w:t>
      </w:r>
      <w:r>
        <w:rPr>
          <w:rFonts w:ascii="楷体_GB2312" w:eastAsia="楷体_GB2312"/>
          <w:sz w:val="32"/>
        </w:rPr>
        <w:t> (</w:t>
      </w:r>
      <w:r>
        <w:rPr>
          <w:rFonts w:hint="eastAsia" w:ascii="楷体_GB2312" w:eastAsia="楷体_GB2312"/>
          <w:sz w:val="32"/>
        </w:rPr>
        <w:t>四</w:t>
      </w:r>
      <w:r>
        <w:rPr>
          <w:rFonts w:ascii="楷体_GB2312" w:eastAsia="楷体_GB2312"/>
          <w:sz w:val="32"/>
        </w:rPr>
        <w:t>)</w:t>
      </w:r>
      <w:r>
        <w:rPr>
          <w:rFonts w:hint="eastAsia" w:ascii="楷体_GB2312" w:eastAsia="楷体_GB2312"/>
          <w:sz w:val="32"/>
        </w:rPr>
        <w:t>动态调整管控措施。</w:t>
      </w:r>
      <w:r>
        <w:rPr>
          <w:rFonts w:hint="eastAsia" w:ascii="仿宋_GB2312" w:eastAsia="仿宋_GB2312"/>
          <w:sz w:val="32"/>
        </w:rPr>
        <w:t>各地复工营业标准应根据疫情风险级别动态调整。如风险级别下调，可有序、分步扩大复工营业企业和网点范围</w:t>
      </w:r>
      <w:r>
        <w:rPr>
          <w:rFonts w:ascii="仿宋_GB2312" w:eastAsia="仿宋_GB2312"/>
          <w:sz w:val="32"/>
        </w:rPr>
        <w:t>;</w:t>
      </w:r>
      <w:r>
        <w:rPr>
          <w:rFonts w:hint="eastAsia" w:ascii="仿宋_GB2312" w:eastAsia="仿宋_GB2312"/>
          <w:sz w:val="32"/>
        </w:rPr>
        <w:t>如风险级别上调，应科学、精准界定停业的企业和网点范围。</w:t>
      </w:r>
    </w:p>
    <w:p>
      <w:pPr>
        <w:spacing w:line="540" w:lineRule="exact"/>
        <w:rPr>
          <w:rFonts w:ascii="仿宋_GB2312" w:eastAsia="仿宋_GB2312"/>
          <w:sz w:val="32"/>
        </w:rPr>
      </w:pPr>
      <w:r>
        <w:rPr>
          <w:rFonts w:ascii="仿宋_GB2312" w:eastAsia="仿宋_GB2312"/>
          <w:sz w:val="32"/>
        </w:rPr>
        <w:t> </w:t>
      </w:r>
      <w:r>
        <w:rPr>
          <w:rFonts w:ascii="楷体_GB2312" w:eastAsia="楷体_GB2312"/>
          <w:sz w:val="32"/>
        </w:rPr>
        <w:t> (</w:t>
      </w:r>
      <w:r>
        <w:rPr>
          <w:rFonts w:hint="eastAsia" w:ascii="楷体_GB2312" w:eastAsia="楷体_GB2312"/>
          <w:sz w:val="32"/>
        </w:rPr>
        <w:t>五</w:t>
      </w:r>
      <w:r>
        <w:rPr>
          <w:rFonts w:ascii="楷体_GB2312" w:eastAsia="楷体_GB2312"/>
          <w:sz w:val="32"/>
        </w:rPr>
        <w:t>)</w:t>
      </w:r>
      <w:r>
        <w:rPr>
          <w:rFonts w:hint="eastAsia" w:ascii="楷体_GB2312" w:eastAsia="楷体_GB2312"/>
          <w:sz w:val="32"/>
        </w:rPr>
        <w:t>落实企业主体责任。</w:t>
      </w:r>
      <w:r>
        <w:rPr>
          <w:rFonts w:hint="eastAsia" w:ascii="仿宋_GB2312" w:eastAsia="仿宋_GB2312"/>
          <w:sz w:val="32"/>
        </w:rPr>
        <w:t>企业要按照有关规定认真做好各项防控措施，复工营业前要做到责任机制建立到位、防控方案制定到位、员工信息摸排到位、联动防控机制到位、防控物资准备到位、安全生产保障到位</w:t>
      </w:r>
      <w:r>
        <w:rPr>
          <w:rFonts w:ascii="仿宋_GB2312" w:eastAsia="仿宋_GB2312"/>
          <w:sz w:val="32"/>
        </w:rPr>
        <w:t>;</w:t>
      </w:r>
      <w:r>
        <w:rPr>
          <w:rFonts w:hint="eastAsia" w:ascii="仿宋_GB2312" w:eastAsia="仿宋_GB2312"/>
          <w:sz w:val="32"/>
        </w:rPr>
        <w:t>复工营业后落实强化消费者安全管控、强化健康申报和体温监测、强化科学佩戴防护用品、强化场所消毒、强化健康教育、强化通风换气、强化交叉感染风险防控、强化饮食安全等要求。</w:t>
      </w:r>
    </w:p>
    <w:p>
      <w:pPr>
        <w:spacing w:line="540" w:lineRule="exact"/>
        <w:rPr>
          <w:rFonts w:ascii="黑体" w:eastAsia="黑体"/>
          <w:sz w:val="32"/>
        </w:rPr>
      </w:pPr>
      <w:r>
        <w:rPr>
          <w:rFonts w:ascii="黑体" w:eastAsia="黑体"/>
          <w:sz w:val="32"/>
        </w:rPr>
        <w:t>  </w:t>
      </w:r>
      <w:r>
        <w:rPr>
          <w:rFonts w:hint="eastAsia" w:ascii="黑体" w:eastAsia="黑体"/>
          <w:sz w:val="32"/>
        </w:rPr>
        <w:t>四、优化公共管理和服务</w:t>
      </w:r>
    </w:p>
    <w:p>
      <w:pPr>
        <w:spacing w:line="540" w:lineRule="exact"/>
        <w:rPr>
          <w:rFonts w:ascii="仿宋_GB2312" w:eastAsia="仿宋_GB2312"/>
          <w:sz w:val="32"/>
        </w:rPr>
      </w:pPr>
      <w:r>
        <w:rPr>
          <w:rFonts w:ascii="楷体_GB2312" w:eastAsia="楷体_GB2312"/>
          <w:sz w:val="32"/>
        </w:rPr>
        <w:t>  (</w:t>
      </w:r>
      <w:r>
        <w:rPr>
          <w:rFonts w:hint="eastAsia" w:ascii="楷体_GB2312" w:eastAsia="楷体_GB2312"/>
          <w:sz w:val="32"/>
        </w:rPr>
        <w:t>一</w:t>
      </w:r>
      <w:r>
        <w:rPr>
          <w:rFonts w:ascii="楷体_GB2312" w:eastAsia="楷体_GB2312"/>
          <w:sz w:val="32"/>
        </w:rPr>
        <w:t>)</w:t>
      </w:r>
      <w:r>
        <w:rPr>
          <w:rFonts w:hint="eastAsia" w:ascii="楷体_GB2312" w:eastAsia="楷体_GB2312"/>
          <w:sz w:val="32"/>
        </w:rPr>
        <w:t>排除复工营业干扰。</w:t>
      </w:r>
      <w:r>
        <w:rPr>
          <w:rFonts w:hint="eastAsia" w:ascii="仿宋_GB2312" w:eastAsia="仿宋_GB2312"/>
          <w:sz w:val="32"/>
        </w:rPr>
        <w:t>各地要依法依规开展疫情防控工作，不得擅自设置超越疫情防控规定的复工营业条件</w:t>
      </w:r>
      <w:r>
        <w:rPr>
          <w:rFonts w:ascii="仿宋_GB2312" w:eastAsia="仿宋_GB2312"/>
          <w:sz w:val="32"/>
        </w:rPr>
        <w:t>;</w:t>
      </w:r>
      <w:r>
        <w:rPr>
          <w:rFonts w:hint="eastAsia" w:ascii="仿宋_GB2312" w:eastAsia="仿宋_GB2312"/>
          <w:sz w:val="32"/>
        </w:rPr>
        <w:t>对发现的防控隐患，要指导企业迅速整改，及时做好防疫知识的普及和复工营业防疫物资保障等工作</w:t>
      </w:r>
      <w:r>
        <w:rPr>
          <w:rFonts w:ascii="仿宋_GB2312" w:eastAsia="仿宋_GB2312"/>
          <w:sz w:val="32"/>
        </w:rPr>
        <w:t>;</w:t>
      </w:r>
      <w:r>
        <w:rPr>
          <w:rFonts w:hint="eastAsia" w:ascii="仿宋_GB2312" w:eastAsia="仿宋_GB2312"/>
          <w:sz w:val="32"/>
        </w:rPr>
        <w:t>杜绝简单化“一关了之”、“一停了之”的一刀切做法</w:t>
      </w:r>
      <w:r>
        <w:rPr>
          <w:rFonts w:ascii="仿宋_GB2312" w:eastAsia="仿宋_GB2312"/>
          <w:sz w:val="32"/>
        </w:rPr>
        <w:t>;</w:t>
      </w:r>
      <w:r>
        <w:rPr>
          <w:rFonts w:hint="eastAsia" w:ascii="仿宋_GB2312" w:eastAsia="仿宋_GB2312"/>
          <w:sz w:val="32"/>
        </w:rPr>
        <w:t>低风险地区之间的人员和货物流动，必要的健康证明要做到全国互认，不得再设置障碍，不对人员采取隔离措施。</w:t>
      </w:r>
    </w:p>
    <w:p>
      <w:pPr>
        <w:spacing w:line="540" w:lineRule="exact"/>
        <w:rPr>
          <w:rFonts w:ascii="仿宋_GB2312" w:eastAsia="仿宋_GB2312"/>
          <w:sz w:val="32"/>
        </w:rPr>
      </w:pPr>
      <w:r>
        <w:rPr>
          <w:rFonts w:ascii="仿宋_GB2312" w:eastAsia="仿宋_GB2312"/>
          <w:sz w:val="32"/>
        </w:rPr>
        <w:t> </w:t>
      </w:r>
      <w:r>
        <w:rPr>
          <w:rFonts w:ascii="楷体_GB2312" w:eastAsia="楷体_GB2312"/>
          <w:sz w:val="32"/>
        </w:rPr>
        <w:t> (</w:t>
      </w:r>
      <w:r>
        <w:rPr>
          <w:rFonts w:hint="eastAsia" w:ascii="楷体_GB2312" w:eastAsia="楷体_GB2312"/>
          <w:sz w:val="32"/>
        </w:rPr>
        <w:t>二</w:t>
      </w:r>
      <w:r>
        <w:rPr>
          <w:rFonts w:ascii="楷体_GB2312" w:eastAsia="楷体_GB2312"/>
          <w:sz w:val="32"/>
        </w:rPr>
        <w:t>)</w:t>
      </w:r>
      <w:r>
        <w:rPr>
          <w:rFonts w:hint="eastAsia" w:ascii="楷体_GB2312" w:eastAsia="楷体_GB2312"/>
          <w:sz w:val="32"/>
        </w:rPr>
        <w:t>建立诉求响应机制。</w:t>
      </w:r>
      <w:r>
        <w:rPr>
          <w:rFonts w:hint="eastAsia" w:ascii="仿宋_GB2312" w:eastAsia="仿宋_GB2312"/>
          <w:sz w:val="32"/>
        </w:rPr>
        <w:t>各地商务、发展改革、卫生健康部门要依托互联网、电话热线等，积极搭建企业诉求响应平台，密切配合财政、税务、人力资源和社会保障、银保</w:t>
      </w:r>
      <w:r>
        <w:rPr>
          <w:rFonts w:ascii="仿宋_GB2312" w:eastAsia="仿宋_GB2312"/>
          <w:sz w:val="32"/>
        </w:rPr>
        <w:t>  </w:t>
      </w:r>
      <w:r>
        <w:rPr>
          <w:rFonts w:hint="eastAsia" w:ascii="仿宋_GB2312" w:eastAsia="仿宋_GB2312"/>
          <w:sz w:val="32"/>
        </w:rPr>
        <w:t>监等部门，及时发布、解释疫情防控期间出台的支持政策措施，认真听取企业在复工营业中遇到的困难和有关诉求，帮助企业依法有序复工营业。</w:t>
      </w:r>
    </w:p>
    <w:p>
      <w:pPr>
        <w:spacing w:line="540" w:lineRule="exact"/>
        <w:rPr>
          <w:rFonts w:ascii="仿宋_GB2312" w:eastAsia="仿宋_GB2312"/>
          <w:sz w:val="32"/>
        </w:rPr>
      </w:pPr>
      <w:r>
        <w:rPr>
          <w:rFonts w:ascii="楷体_GB2312" w:eastAsia="楷体_GB2312"/>
          <w:sz w:val="32"/>
        </w:rPr>
        <w:t>  (</w:t>
      </w:r>
      <w:r>
        <w:rPr>
          <w:rFonts w:hint="eastAsia" w:ascii="楷体_GB2312" w:eastAsia="楷体_GB2312"/>
          <w:sz w:val="32"/>
        </w:rPr>
        <w:t>三</w:t>
      </w:r>
      <w:r>
        <w:rPr>
          <w:rFonts w:ascii="楷体_GB2312" w:eastAsia="楷体_GB2312"/>
          <w:sz w:val="32"/>
        </w:rPr>
        <w:t>)</w:t>
      </w:r>
      <w:r>
        <w:rPr>
          <w:rFonts w:hint="eastAsia" w:ascii="楷体_GB2312" w:eastAsia="楷体_GB2312"/>
          <w:sz w:val="32"/>
        </w:rPr>
        <w:t>简化办事流程。</w:t>
      </w:r>
      <w:r>
        <w:rPr>
          <w:rFonts w:hint="eastAsia" w:ascii="仿宋_GB2312" w:eastAsia="仿宋_GB2312"/>
          <w:sz w:val="32"/>
        </w:rPr>
        <w:t>在疫情防控期间，各地商务主管部门要对报废机动车回收拆解企业资质认定、成品油零售经营资格许可、拍卖业务许可等事项实行“不见面审批”服务。通过网上办理、快递邮寄、自助服务终端等方式办理业务，建立支持资金审核绿色通道，为企业提供安全便捷的政务服务。</w:t>
      </w:r>
    </w:p>
    <w:p>
      <w:pPr>
        <w:spacing w:line="540" w:lineRule="exact"/>
        <w:rPr>
          <w:rFonts w:ascii="仿宋_GB2312" w:eastAsia="仿宋_GB2312"/>
          <w:sz w:val="32"/>
        </w:rPr>
      </w:pPr>
      <w:r>
        <w:rPr>
          <w:rFonts w:ascii="仿宋_GB2312" w:eastAsia="仿宋_GB2312"/>
          <w:sz w:val="32"/>
        </w:rPr>
        <w:t> </w:t>
      </w:r>
      <w:r>
        <w:rPr>
          <w:rFonts w:ascii="楷体_GB2312" w:eastAsia="楷体_GB2312"/>
          <w:sz w:val="32"/>
        </w:rPr>
        <w:t> (</w:t>
      </w:r>
      <w:r>
        <w:rPr>
          <w:rFonts w:hint="eastAsia" w:ascii="楷体_GB2312" w:eastAsia="楷体_GB2312"/>
          <w:sz w:val="32"/>
        </w:rPr>
        <w:t>四</w:t>
      </w:r>
      <w:r>
        <w:rPr>
          <w:rFonts w:ascii="楷体_GB2312" w:eastAsia="楷体_GB2312"/>
          <w:sz w:val="32"/>
        </w:rPr>
        <w:t>)</w:t>
      </w:r>
      <w:r>
        <w:rPr>
          <w:rFonts w:hint="eastAsia" w:ascii="楷体_GB2312" w:eastAsia="楷体_GB2312"/>
          <w:sz w:val="32"/>
        </w:rPr>
        <w:t>帮助员工返岗。</w:t>
      </w:r>
      <w:r>
        <w:rPr>
          <w:rFonts w:hint="eastAsia" w:ascii="仿宋_GB2312" w:eastAsia="仿宋_GB2312"/>
          <w:sz w:val="32"/>
        </w:rPr>
        <w:t>各地商务主管部门要会同相关部门通过组织“点对点、一站式”直达运输等方式帮助企业员工返岗。鼓励和引导有条件的住宿企业按照当地政府的统一安排，为外地员工提供返岗前的隔离服务。鼓励运用“健康码”等移动互联网、大数据技术，通过信息共享和信息互认，实现流动人口健康信息管理。对贫困劳动力返岗复工要优先帮助，有条件的地方可给予路费、伙食费、隔离费用等补贴性支持。</w:t>
      </w:r>
    </w:p>
    <w:p>
      <w:pPr>
        <w:spacing w:line="540" w:lineRule="exact"/>
        <w:rPr>
          <w:rFonts w:ascii="仿宋_GB2312" w:eastAsia="仿宋_GB2312"/>
          <w:sz w:val="32"/>
        </w:rPr>
      </w:pPr>
      <w:r>
        <w:rPr>
          <w:rFonts w:ascii="楷体_GB2312" w:eastAsia="楷体_GB2312"/>
          <w:sz w:val="32"/>
        </w:rPr>
        <w:t>  (</w:t>
      </w:r>
      <w:r>
        <w:rPr>
          <w:rFonts w:hint="eastAsia" w:ascii="楷体_GB2312" w:eastAsia="楷体_GB2312"/>
          <w:sz w:val="32"/>
        </w:rPr>
        <w:t>五</w:t>
      </w:r>
      <w:r>
        <w:rPr>
          <w:rFonts w:ascii="楷体_GB2312" w:eastAsia="楷体_GB2312"/>
          <w:sz w:val="32"/>
        </w:rPr>
        <w:t>)</w:t>
      </w:r>
      <w:r>
        <w:rPr>
          <w:rFonts w:hint="eastAsia" w:ascii="楷体_GB2312" w:eastAsia="楷体_GB2312"/>
          <w:sz w:val="32"/>
        </w:rPr>
        <w:t>支持采取灵活用工政策。</w:t>
      </w:r>
      <w:r>
        <w:rPr>
          <w:rFonts w:hint="eastAsia" w:ascii="仿宋_GB2312" w:eastAsia="仿宋_GB2312"/>
          <w:sz w:val="32"/>
        </w:rPr>
        <w:t>各地商务主管部门要引导暂时无法完全正常营业的餐饮、住宿、家政等企业与员工紧缺的零售、快递、配送等企业，通过“短期用工共享”等模式，解决劳动力短期供需不平衡问题</w:t>
      </w:r>
      <w:r>
        <w:rPr>
          <w:rFonts w:ascii="仿宋_GB2312" w:eastAsia="仿宋_GB2312"/>
          <w:sz w:val="32"/>
        </w:rPr>
        <w:t>;</w:t>
      </w:r>
      <w:r>
        <w:rPr>
          <w:rFonts w:hint="eastAsia" w:ascii="仿宋_GB2312" w:eastAsia="仿宋_GB2312"/>
          <w:sz w:val="32"/>
        </w:rPr>
        <w:t>鼓励灵活制订员工借调、小时工等用工制度，满足特殊时期的用工需求。</w:t>
      </w:r>
    </w:p>
    <w:p>
      <w:pPr>
        <w:spacing w:line="540" w:lineRule="exact"/>
        <w:rPr>
          <w:rFonts w:ascii="黑体" w:eastAsia="黑体"/>
          <w:sz w:val="32"/>
        </w:rPr>
      </w:pPr>
      <w:r>
        <w:rPr>
          <w:rFonts w:ascii="黑体" w:eastAsia="黑体"/>
          <w:sz w:val="32"/>
        </w:rPr>
        <w:t>  </w:t>
      </w:r>
      <w:r>
        <w:rPr>
          <w:rFonts w:hint="eastAsia" w:ascii="黑体" w:eastAsia="黑体"/>
          <w:sz w:val="32"/>
        </w:rPr>
        <w:t>五、促进行业规范运营</w:t>
      </w:r>
    </w:p>
    <w:p>
      <w:pPr>
        <w:spacing w:line="540" w:lineRule="exact"/>
        <w:rPr>
          <w:rFonts w:ascii="仿宋_GB2312" w:eastAsia="仿宋_GB2312"/>
          <w:sz w:val="32"/>
        </w:rPr>
      </w:pPr>
      <w:r>
        <w:rPr>
          <w:rFonts w:ascii="楷体_GB2312" w:eastAsia="楷体_GB2312"/>
          <w:sz w:val="32"/>
        </w:rPr>
        <w:t>  (</w:t>
      </w:r>
      <w:r>
        <w:rPr>
          <w:rFonts w:hint="eastAsia" w:ascii="楷体_GB2312" w:eastAsia="楷体_GB2312"/>
          <w:sz w:val="32"/>
        </w:rPr>
        <w:t>一</w:t>
      </w:r>
      <w:r>
        <w:rPr>
          <w:rFonts w:ascii="楷体_GB2312" w:eastAsia="楷体_GB2312"/>
          <w:sz w:val="32"/>
        </w:rPr>
        <w:t>)</w:t>
      </w:r>
      <w:r>
        <w:rPr>
          <w:rFonts w:hint="eastAsia" w:ascii="楷体_GB2312" w:eastAsia="楷体_GB2312"/>
          <w:sz w:val="32"/>
        </w:rPr>
        <w:t>指导实施运营指南。</w:t>
      </w:r>
      <w:r>
        <w:rPr>
          <w:rFonts w:hint="eastAsia" w:ascii="仿宋_GB2312" w:eastAsia="仿宋_GB2312"/>
          <w:sz w:val="32"/>
        </w:rPr>
        <w:t>商务部针对疫情防控，组织推动并汇总整理了相关行业中介组织制订的零售、餐饮、住宿、洗染、家政、家电维修、人像摄影、美容美发、洗浴等行业疫情期间企业运营指南</w:t>
      </w:r>
      <w:r>
        <w:rPr>
          <w:rFonts w:ascii="仿宋_GB2312" w:eastAsia="仿宋_GB2312"/>
          <w:sz w:val="32"/>
        </w:rPr>
        <w:t>(</w:t>
      </w:r>
      <w:r>
        <w:rPr>
          <w:rFonts w:hint="eastAsia" w:ascii="仿宋_GB2312" w:eastAsia="仿宋_GB2312"/>
          <w:sz w:val="32"/>
        </w:rPr>
        <w:t>可通过商务部网站服贸司子站</w:t>
      </w:r>
      <w:r>
        <w:rPr>
          <w:rFonts w:ascii="仿宋_GB2312" w:eastAsia="仿宋_GB2312"/>
          <w:sz w:val="32"/>
        </w:rPr>
        <w:t>http://fms.mofcom.gov.cn</w:t>
      </w:r>
      <w:r>
        <w:rPr>
          <w:rFonts w:hint="eastAsia" w:ascii="仿宋_GB2312" w:eastAsia="仿宋_GB2312"/>
          <w:sz w:val="32"/>
        </w:rPr>
        <w:t>和“家政信用查”手机客户端下载</w:t>
      </w:r>
      <w:r>
        <w:rPr>
          <w:rFonts w:ascii="仿宋_GB2312" w:eastAsia="仿宋_GB2312"/>
          <w:sz w:val="32"/>
        </w:rPr>
        <w:t>)</w:t>
      </w:r>
      <w:r>
        <w:rPr>
          <w:rFonts w:hint="eastAsia" w:ascii="仿宋_GB2312" w:eastAsia="仿宋_GB2312"/>
          <w:sz w:val="32"/>
        </w:rPr>
        <w:t>，从人员管控、经营场所管理、服务流程、物资储备等方面做了较为全面的规范。各地商务主管部门要认真贯彻上述指南类规范，督促企业参照做好疫情防控期间的运营，以提振人民群众安全消费信心。</w:t>
      </w:r>
    </w:p>
    <w:p>
      <w:pPr>
        <w:spacing w:line="540" w:lineRule="exact"/>
        <w:rPr>
          <w:rFonts w:ascii="仿宋_GB2312" w:eastAsia="仿宋_GB2312"/>
          <w:sz w:val="32"/>
        </w:rPr>
      </w:pPr>
      <w:r>
        <w:rPr>
          <w:rFonts w:ascii="楷体_GB2312" w:eastAsia="楷体_GB2312"/>
          <w:sz w:val="32"/>
        </w:rPr>
        <w:t>  (</w:t>
      </w:r>
      <w:r>
        <w:rPr>
          <w:rFonts w:hint="eastAsia" w:ascii="楷体_GB2312" w:eastAsia="楷体_GB2312"/>
          <w:sz w:val="32"/>
        </w:rPr>
        <w:t>二</w:t>
      </w:r>
      <w:r>
        <w:rPr>
          <w:rFonts w:ascii="楷体_GB2312" w:eastAsia="楷体_GB2312"/>
          <w:sz w:val="32"/>
        </w:rPr>
        <w:t>)</w:t>
      </w:r>
      <w:r>
        <w:rPr>
          <w:rFonts w:hint="eastAsia" w:ascii="楷体_GB2312" w:eastAsia="楷体_GB2312"/>
          <w:sz w:val="32"/>
        </w:rPr>
        <w:t>倡导文明健康消费理念。</w:t>
      </w:r>
      <w:r>
        <w:rPr>
          <w:rFonts w:hint="eastAsia" w:ascii="仿宋_GB2312" w:eastAsia="仿宋_GB2312"/>
          <w:sz w:val="32"/>
        </w:rPr>
        <w:t>各地商务主管部门要指导批发、零售、餐饮、住宿、配送等行业推广节约、环保、放心、健康理念，杜绝非法售卖、烹饪、食用野生动物行为，发起分餐和使用公勺公筷双筷倡议，通过不断加强自身标准化建设和提高安全健康管理能力来重塑消费信心。</w:t>
      </w:r>
    </w:p>
    <w:p>
      <w:pPr>
        <w:spacing w:line="540" w:lineRule="exact"/>
        <w:rPr>
          <w:rFonts w:ascii="仿宋_GB2312" w:eastAsia="仿宋_GB2312"/>
          <w:sz w:val="32"/>
        </w:rPr>
      </w:pPr>
      <w:r>
        <w:rPr>
          <w:rFonts w:ascii="楷体_GB2312" w:eastAsia="楷体_GB2312"/>
          <w:sz w:val="32"/>
        </w:rPr>
        <w:t>  (</w:t>
      </w:r>
      <w:r>
        <w:rPr>
          <w:rFonts w:hint="eastAsia" w:ascii="楷体_GB2312" w:eastAsia="楷体_GB2312"/>
          <w:sz w:val="32"/>
        </w:rPr>
        <w:t>三</w:t>
      </w:r>
      <w:r>
        <w:rPr>
          <w:rFonts w:ascii="楷体_GB2312" w:eastAsia="楷体_GB2312"/>
          <w:sz w:val="32"/>
        </w:rPr>
        <w:t>)</w:t>
      </w:r>
      <w:r>
        <w:rPr>
          <w:rFonts w:hint="eastAsia" w:ascii="楷体_GB2312" w:eastAsia="楷体_GB2312"/>
          <w:sz w:val="32"/>
        </w:rPr>
        <w:t>发挥行业中介组织作用。</w:t>
      </w:r>
      <w:r>
        <w:rPr>
          <w:rFonts w:hint="eastAsia" w:ascii="仿宋_GB2312" w:eastAsia="仿宋_GB2312"/>
          <w:sz w:val="32"/>
        </w:rPr>
        <w:t>各地商务主管部门要充分发挥行业中介组织在沟通、协调、促进、自律等方面的作用，使其成为政府与企业之间沟通的桥梁。</w:t>
      </w:r>
    </w:p>
    <w:p>
      <w:pPr>
        <w:spacing w:line="540" w:lineRule="exact"/>
        <w:rPr>
          <w:rFonts w:ascii="黑体" w:eastAsia="黑体"/>
          <w:sz w:val="32"/>
        </w:rPr>
      </w:pPr>
      <w:r>
        <w:rPr>
          <w:rFonts w:ascii="黑体" w:eastAsia="黑体"/>
          <w:sz w:val="32"/>
        </w:rPr>
        <w:t>  </w:t>
      </w:r>
      <w:r>
        <w:rPr>
          <w:rFonts w:hint="eastAsia" w:ascii="黑体" w:eastAsia="黑体"/>
          <w:sz w:val="32"/>
        </w:rPr>
        <w:t>六、扩大传统消费</w:t>
      </w:r>
    </w:p>
    <w:p>
      <w:pPr>
        <w:spacing w:line="540" w:lineRule="exact"/>
        <w:rPr>
          <w:rFonts w:ascii="仿宋_GB2312" w:eastAsia="仿宋_GB2312"/>
          <w:sz w:val="32"/>
        </w:rPr>
      </w:pPr>
      <w:r>
        <w:rPr>
          <w:rFonts w:ascii="楷体_GB2312" w:eastAsia="楷体_GB2312"/>
          <w:sz w:val="32"/>
        </w:rPr>
        <w:t>  (</w:t>
      </w:r>
      <w:r>
        <w:rPr>
          <w:rFonts w:hint="eastAsia" w:ascii="楷体_GB2312" w:eastAsia="楷体_GB2312"/>
          <w:sz w:val="32"/>
        </w:rPr>
        <w:t>一</w:t>
      </w:r>
      <w:r>
        <w:rPr>
          <w:rFonts w:ascii="楷体_GB2312" w:eastAsia="楷体_GB2312"/>
          <w:sz w:val="32"/>
        </w:rPr>
        <w:t>)</w:t>
      </w:r>
      <w:r>
        <w:rPr>
          <w:rFonts w:hint="eastAsia" w:ascii="楷体_GB2312" w:eastAsia="楷体_GB2312"/>
          <w:sz w:val="32"/>
        </w:rPr>
        <w:t>完善消费基础设施</w:t>
      </w:r>
      <w:r>
        <w:rPr>
          <w:rFonts w:hint="eastAsia" w:ascii="仿宋_GB2312" w:eastAsia="仿宋_GB2312"/>
          <w:sz w:val="32"/>
        </w:rPr>
        <w:t>。加快步行街改造提升，适时推出一批全国示范步行街，启动第二批步行街改造提升试点，优化营商和消费环境，改善消费者购物休闲体验，打造消费升级载体。发展便利店和菜市场，优化便利店网点、菜市场布局，推动品牌连锁便利店发展，充分发挥经营灵活、贴近社区居民的优势，满足居民生活必需品需求，打造“一刻钟便民生活服务圈”。打造城乡便民消费服务中心，推进餐饮、家政、生鲜菜店、便利店、理发、洗衣、代收代缴等生活服务集聚化、便利化发展，满足城乡居民日常生活服务需求。推动新型城镇化发展，加快重点县城农贸市场、配送投递、冷链物流等公共服务设施建设。</w:t>
      </w:r>
    </w:p>
    <w:p>
      <w:pPr>
        <w:spacing w:line="540" w:lineRule="exact"/>
        <w:rPr>
          <w:rFonts w:ascii="仿宋_GB2312" w:eastAsia="仿宋_GB2312"/>
          <w:sz w:val="32"/>
        </w:rPr>
      </w:pPr>
      <w:r>
        <w:rPr>
          <w:rFonts w:ascii="楷体_GB2312" w:eastAsia="楷体_GB2312"/>
          <w:sz w:val="32"/>
        </w:rPr>
        <w:t>  (</w:t>
      </w:r>
      <w:r>
        <w:rPr>
          <w:rFonts w:hint="eastAsia" w:ascii="楷体_GB2312" w:eastAsia="楷体_GB2312"/>
          <w:sz w:val="32"/>
        </w:rPr>
        <w:t>二</w:t>
      </w:r>
      <w:r>
        <w:rPr>
          <w:rFonts w:ascii="楷体_GB2312" w:eastAsia="楷体_GB2312"/>
          <w:sz w:val="32"/>
        </w:rPr>
        <w:t>)</w:t>
      </w:r>
      <w:r>
        <w:rPr>
          <w:rFonts w:hint="eastAsia" w:ascii="楷体_GB2312" w:eastAsia="楷体_GB2312"/>
          <w:sz w:val="32"/>
        </w:rPr>
        <w:t>稳定实物消费。</w:t>
      </w:r>
      <w:r>
        <w:rPr>
          <w:rFonts w:hint="eastAsia" w:ascii="仿宋_GB2312" w:eastAsia="仿宋_GB2312"/>
          <w:sz w:val="32"/>
        </w:rPr>
        <w:t>稳住汽车消费，各地商务主管部门要积极推动出台新车购置补贴、汽车“以旧换新”补贴、取消皮卡进城限制、促进二手车便利交易等措施，组织开展汽车促销活动，实施汽车限购措施地区的商务主管部门要积极推动优化汽车限购措施，稳定和扩大汽车消费。保障农产品供应，指导农产品批发市场、菜市场等农产品流通企业有序复工营业</w:t>
      </w:r>
      <w:r>
        <w:rPr>
          <w:rFonts w:ascii="仿宋_GB2312" w:eastAsia="仿宋_GB2312"/>
          <w:sz w:val="32"/>
        </w:rPr>
        <w:t>;</w:t>
      </w:r>
      <w:r>
        <w:rPr>
          <w:rFonts w:hint="eastAsia" w:ascii="仿宋_GB2312" w:eastAsia="仿宋_GB2312"/>
          <w:sz w:val="32"/>
        </w:rPr>
        <w:t>加大与相关部门的协调力度，推动农产品流通企业加强产销对接，完善物流配送和网点服务，在继续做好农产品市场保供的同时，促进农产品流通和销售。促进境外消费回流，配合财政部完善免税店政策，做好新增免税品经营资质企业等工作，推动境外消费回流，进一步激发国内消费活力。</w:t>
      </w:r>
    </w:p>
    <w:p>
      <w:pPr>
        <w:spacing w:line="540" w:lineRule="exact"/>
        <w:rPr>
          <w:rFonts w:ascii="仿宋_GB2312" w:eastAsia="仿宋_GB2312"/>
          <w:sz w:val="32"/>
        </w:rPr>
      </w:pPr>
      <w:r>
        <w:rPr>
          <w:rFonts w:ascii="楷体_GB2312" w:eastAsia="楷体_GB2312"/>
          <w:sz w:val="32"/>
        </w:rPr>
        <w:t>  (</w:t>
      </w:r>
      <w:r>
        <w:rPr>
          <w:rFonts w:hint="eastAsia" w:ascii="楷体_GB2312" w:eastAsia="楷体_GB2312"/>
          <w:sz w:val="32"/>
        </w:rPr>
        <w:t>三</w:t>
      </w:r>
      <w:r>
        <w:rPr>
          <w:rFonts w:ascii="楷体_GB2312" w:eastAsia="楷体_GB2312"/>
          <w:sz w:val="32"/>
        </w:rPr>
        <w:t>)</w:t>
      </w:r>
      <w:r>
        <w:rPr>
          <w:rFonts w:hint="eastAsia" w:ascii="楷体_GB2312" w:eastAsia="楷体_GB2312"/>
          <w:sz w:val="32"/>
        </w:rPr>
        <w:t>恢复服务消费。</w:t>
      </w:r>
      <w:r>
        <w:rPr>
          <w:rFonts w:hint="eastAsia" w:ascii="仿宋_GB2312" w:eastAsia="仿宋_GB2312"/>
          <w:sz w:val="32"/>
        </w:rPr>
        <w:t>振兴餐饮住宿消费，在全国范围内遴选若干知名度高、普及度广、地方政府重视的著名菜系，提升地方餐饮节展赛事，在疫情结束后组织举办“中国味道”系列餐饮服务推介活动，扩大参与范围和规模，提高影响力。鼓励国际国内餐饮、住宿服务评价机构为企业提供评价服务，引导消费者选择高品质特色餐饮、住宿服务。发展社区生活服务消费，开展社区生活服务业发展试点，在管理制度、发展模式、服务载体等方面进行大胆探索，形成一批可复制可推广的经验和模式，引导全国社区生活服务业实现高质量发展。</w:t>
      </w:r>
    </w:p>
    <w:p>
      <w:pPr>
        <w:spacing w:line="540" w:lineRule="exact"/>
        <w:rPr>
          <w:rFonts w:ascii="仿宋_GB2312" w:eastAsia="仿宋_GB2312"/>
          <w:sz w:val="32"/>
        </w:rPr>
      </w:pPr>
      <w:r>
        <w:rPr>
          <w:rFonts w:ascii="楷体_GB2312" w:eastAsia="楷体_GB2312"/>
          <w:sz w:val="32"/>
        </w:rPr>
        <w:t>  (</w:t>
      </w:r>
      <w:r>
        <w:rPr>
          <w:rFonts w:hint="eastAsia" w:ascii="楷体_GB2312" w:eastAsia="楷体_GB2312"/>
          <w:sz w:val="32"/>
        </w:rPr>
        <w:t>四</w:t>
      </w:r>
      <w:r>
        <w:rPr>
          <w:rFonts w:ascii="楷体_GB2312" w:eastAsia="楷体_GB2312"/>
          <w:sz w:val="32"/>
        </w:rPr>
        <w:t>)</w:t>
      </w:r>
      <w:r>
        <w:rPr>
          <w:rFonts w:hint="eastAsia" w:ascii="楷体_GB2312" w:eastAsia="楷体_GB2312"/>
          <w:sz w:val="32"/>
        </w:rPr>
        <w:t>促进老字号品牌消费。</w:t>
      </w:r>
      <w:r>
        <w:rPr>
          <w:rFonts w:hint="eastAsia" w:ascii="仿宋_GB2312" w:eastAsia="仿宋_GB2312"/>
          <w:sz w:val="32"/>
        </w:rPr>
        <w:t>深入实施中华老字号保护发展工程，建立老字号动态管理机制，培育一批文化特色浓、品牌信誉高、市场竞争力强的中华老字号，适时举办线上线下同步的“老字号嘉年华”，提高老字号品牌影响力，满足“国潮”消费新需求。</w:t>
      </w:r>
    </w:p>
    <w:p>
      <w:pPr>
        <w:spacing w:line="540" w:lineRule="exact"/>
        <w:rPr>
          <w:rFonts w:ascii="黑体" w:eastAsia="黑体"/>
          <w:sz w:val="32"/>
        </w:rPr>
      </w:pPr>
      <w:r>
        <w:rPr>
          <w:rFonts w:ascii="黑体" w:eastAsia="黑体"/>
          <w:sz w:val="32"/>
        </w:rPr>
        <w:t>  </w:t>
      </w:r>
      <w:r>
        <w:rPr>
          <w:rFonts w:hint="eastAsia" w:ascii="黑体" w:eastAsia="黑体"/>
          <w:sz w:val="32"/>
        </w:rPr>
        <w:t>七、培育壮大新型消费</w:t>
      </w:r>
    </w:p>
    <w:p>
      <w:pPr>
        <w:spacing w:line="540" w:lineRule="exact"/>
        <w:rPr>
          <w:rFonts w:ascii="仿宋_GB2312" w:eastAsia="仿宋_GB2312"/>
          <w:sz w:val="32"/>
        </w:rPr>
      </w:pPr>
      <w:r>
        <w:rPr>
          <w:rFonts w:ascii="仿宋_GB2312" w:eastAsia="仿宋_GB2312"/>
          <w:sz w:val="32"/>
        </w:rPr>
        <w:t>  </w:t>
      </w:r>
      <w:r>
        <w:rPr>
          <w:rFonts w:ascii="楷体_GB2312" w:eastAsia="楷体_GB2312"/>
          <w:sz w:val="32"/>
        </w:rPr>
        <w:t>(</w:t>
      </w:r>
      <w:r>
        <w:rPr>
          <w:rFonts w:hint="eastAsia" w:ascii="楷体_GB2312" w:eastAsia="楷体_GB2312"/>
          <w:sz w:val="32"/>
        </w:rPr>
        <w:t>一</w:t>
      </w:r>
      <w:r>
        <w:rPr>
          <w:rFonts w:ascii="楷体_GB2312" w:eastAsia="楷体_GB2312"/>
          <w:sz w:val="32"/>
        </w:rPr>
        <w:t>)</w:t>
      </w:r>
      <w:r>
        <w:rPr>
          <w:rFonts w:hint="eastAsia" w:ascii="楷体_GB2312" w:eastAsia="楷体_GB2312"/>
          <w:sz w:val="32"/>
        </w:rPr>
        <w:t>推动线上线下融合发展。</w:t>
      </w:r>
      <w:r>
        <w:rPr>
          <w:rFonts w:hint="eastAsia" w:ascii="仿宋_GB2312" w:eastAsia="仿宋_GB2312"/>
          <w:sz w:val="32"/>
        </w:rPr>
        <w:t>充分发挥电商平台企业在应急保障供应中的积极作用，鼓励其与超市、便利店、社区商业中心、商务楼宇和小区物业等合作，不断创新销售模式，提供集约化配送。推广定点收寄、定点投递、预约送餐等方式。鼓励有条件的企业研发线上产品，拓展线上销售，采用“社区团购</w:t>
      </w:r>
      <w:r>
        <w:rPr>
          <w:rFonts w:ascii="仿宋_GB2312" w:eastAsia="仿宋_GB2312"/>
          <w:sz w:val="32"/>
        </w:rPr>
        <w:t>+</w:t>
      </w:r>
      <w:r>
        <w:rPr>
          <w:rFonts w:hint="eastAsia" w:ascii="仿宋_GB2312" w:eastAsia="仿宋_GB2312"/>
          <w:sz w:val="32"/>
        </w:rPr>
        <w:t>集中配送”“中央厨房</w:t>
      </w:r>
      <w:r>
        <w:rPr>
          <w:rFonts w:ascii="仿宋_GB2312" w:eastAsia="仿宋_GB2312"/>
          <w:sz w:val="32"/>
        </w:rPr>
        <w:t>+</w:t>
      </w:r>
      <w:r>
        <w:rPr>
          <w:rFonts w:hint="eastAsia" w:ascii="仿宋_GB2312" w:eastAsia="仿宋_GB2312"/>
          <w:sz w:val="32"/>
        </w:rPr>
        <w:t>线下配送”“无接触配送”“餐饮</w:t>
      </w:r>
      <w:r>
        <w:rPr>
          <w:rFonts w:ascii="仿宋_GB2312" w:eastAsia="仿宋_GB2312"/>
          <w:sz w:val="32"/>
        </w:rPr>
        <w:t>+</w:t>
      </w:r>
      <w:r>
        <w:rPr>
          <w:rFonts w:hint="eastAsia" w:ascii="仿宋_GB2312" w:eastAsia="仿宋_GB2312"/>
          <w:sz w:val="32"/>
        </w:rPr>
        <w:t>零售”等新发展模式进行经营。引导企业在做好疫情防控的前提下积极下沉社区，满足社区团购需求。</w:t>
      </w:r>
    </w:p>
    <w:p>
      <w:pPr>
        <w:spacing w:line="540" w:lineRule="exact"/>
        <w:rPr>
          <w:rFonts w:ascii="仿宋_GB2312" w:eastAsia="仿宋_GB2312"/>
          <w:sz w:val="32"/>
        </w:rPr>
      </w:pPr>
      <w:r>
        <w:rPr>
          <w:rFonts w:ascii="仿宋_GB2312" w:eastAsia="仿宋_GB2312"/>
          <w:sz w:val="32"/>
        </w:rPr>
        <w:t> </w:t>
      </w:r>
      <w:r>
        <w:rPr>
          <w:rFonts w:ascii="楷体_GB2312" w:eastAsia="楷体_GB2312"/>
          <w:sz w:val="32"/>
        </w:rPr>
        <w:t> (</w:t>
      </w:r>
      <w:r>
        <w:rPr>
          <w:rFonts w:hint="eastAsia" w:ascii="楷体_GB2312" w:eastAsia="楷体_GB2312"/>
          <w:sz w:val="32"/>
        </w:rPr>
        <w:t>二</w:t>
      </w:r>
      <w:r>
        <w:rPr>
          <w:rFonts w:ascii="楷体_GB2312" w:eastAsia="楷体_GB2312"/>
          <w:sz w:val="32"/>
        </w:rPr>
        <w:t>)</w:t>
      </w:r>
      <w:r>
        <w:rPr>
          <w:rFonts w:hint="eastAsia" w:ascii="楷体_GB2312" w:eastAsia="楷体_GB2312"/>
          <w:sz w:val="32"/>
        </w:rPr>
        <w:t>推动数字化转型。</w:t>
      </w:r>
      <w:r>
        <w:rPr>
          <w:rFonts w:hint="eastAsia" w:ascii="仿宋_GB2312" w:eastAsia="仿宋_GB2312"/>
          <w:sz w:val="32"/>
        </w:rPr>
        <w:t>支持中小商贸流通企业数字化转型。引导其上云和向线上拓展，通过互联网开展商品销售和服务提供，大力发展电子商务、无人零售、智能超市等。鼓励电商平台企业充分发挥信息汇集、资源调配、异地协同、远程服务等方面的优势，与平台商户共度</w:t>
      </w:r>
      <w:r>
        <w:rPr>
          <w:rFonts w:ascii="仿宋_GB2312" w:eastAsia="仿宋_GB2312"/>
          <w:sz w:val="32"/>
        </w:rPr>
        <w:t xml:space="preserve"> </w:t>
      </w:r>
      <w:r>
        <w:rPr>
          <w:rFonts w:hint="eastAsia" w:ascii="仿宋_GB2312" w:eastAsia="仿宋_GB2312"/>
          <w:sz w:val="32"/>
        </w:rPr>
        <w:t>难关，多元化满足居民生活服务需要，拓展发展空间。进一步推进“双品网购节”提质扩容。引导电商企业以数据为依托，精准匹配网络消费新需求，大力发展个性化订制、柔性化生产，打造“小而美”网络品牌。高标准吸纳更多商品交易电商平台，推出更多智能化、品质化、绿色化产品。新增服务交易电商平台，加快推广生活服务一体化消费，形成电商促进消费升级的长效机制。提升农产品电商化水平。进一步扩大农产品“三品一标”认证帮扶企业覆盖面，组织电商扶贫联盟成员对接帮扶已获得“三品一标”认证的首批企业，提升农产品电商化水平，推动贫困地区品牌推介洽谈活动落地实施，助力脱贫攻坚。</w:t>
      </w:r>
    </w:p>
    <w:p>
      <w:pPr>
        <w:spacing w:line="540" w:lineRule="exact"/>
        <w:rPr>
          <w:rFonts w:ascii="仿宋_GB2312" w:eastAsia="仿宋_GB2312"/>
          <w:sz w:val="32"/>
        </w:rPr>
      </w:pPr>
      <w:r>
        <w:rPr>
          <w:rFonts w:hint="eastAsia" w:ascii="楷体_GB2312" w:eastAsia="楷体_GB2312"/>
          <w:sz w:val="32"/>
        </w:rPr>
        <w:t>  (三)完善物流体系。</w:t>
      </w:r>
      <w:r>
        <w:rPr>
          <w:rFonts w:hint="eastAsia" w:ascii="仿宋_GB2312" w:eastAsia="仿宋_GB2312"/>
          <w:sz w:val="32"/>
        </w:rPr>
        <w:t>优化末端配送。推动明确园区、社区、办公楼宇等地智能自助提货柜、末端取货网点的公益属性，允许其继续运营，并为快递员开展业务提供便利。在保证食品安全、不影响交通的前提下，有条件的地方可允许企业采取“店铺外摆”、“露天市场”等方式进行销售。强化电商与快递物流联动。指导电商企业与快递物流企业加强业务联动，推广库存前置、智能分仓、仓配一体化等服务，提高供应链协同效率。推动物流体系创新。商贸流通领域供应链体系建设试点地区的商务主管部门要指导试点企业强化生活必需品供应链协同作用，加强物流配送中心开放共享，推广应用标准托盘、周转箱等单元化物流器具，提高物流配送效率，保障生活必需品及时供应。</w:t>
      </w:r>
    </w:p>
    <w:p>
      <w:pPr>
        <w:spacing w:line="540" w:lineRule="exact"/>
        <w:rPr>
          <w:rFonts w:ascii="仿宋_GB2312" w:eastAsia="仿宋_GB2312"/>
          <w:sz w:val="32"/>
        </w:rPr>
      </w:pPr>
      <w:r>
        <w:rPr>
          <w:rFonts w:ascii="仿宋_GB2312" w:eastAsia="仿宋_GB2312"/>
          <w:sz w:val="32"/>
        </w:rPr>
        <w:t>  </w:t>
      </w:r>
      <w:r>
        <w:rPr>
          <w:rFonts w:hint="eastAsia" w:ascii="仿宋_GB2312" w:eastAsia="仿宋_GB2312"/>
          <w:sz w:val="32"/>
        </w:rPr>
        <w:t>各地商务、发展改革、卫生健康部门要以习近平新时代中国特色社会主义思想为指导，</w:t>
      </w:r>
      <w:r>
        <w:rPr>
          <w:rFonts w:hint="eastAsia" w:ascii="仿宋_GB2312" w:eastAsia="仿宋_GB2312"/>
          <w:sz w:val="32"/>
          <w:lang w:eastAsia="zh-CN"/>
        </w:rPr>
        <w:t>增强“四个意识”、坚定“四个自信”、做到“两个维护”</w:t>
      </w:r>
      <w:r>
        <w:rPr>
          <w:rFonts w:hint="eastAsia" w:ascii="仿宋_GB2312" w:eastAsia="仿宋_GB2312"/>
          <w:sz w:val="32"/>
        </w:rPr>
        <w:t>，全面贯彻落实党中央、国务院决策部署，紧紧围绕打赢疫情防控的人民战争、总体战、阻击战的目标，勇于担当、迎难而上，积极支持商贸流通企业复工营业，努力把疫情影响降到最低，保持商务健康发展、经济平稳运行、社会和谐稳定。</w:t>
      </w:r>
    </w:p>
    <w:p>
      <w:pPr>
        <w:spacing w:line="560" w:lineRule="exact"/>
        <w:rPr>
          <w:rFonts w:ascii="仿宋_GB2312" w:eastAsia="仿宋_GB2312"/>
          <w:sz w:val="32"/>
        </w:rPr>
      </w:pPr>
      <w:r>
        <w:rPr>
          <w:rFonts w:ascii="仿宋_GB2312" w:eastAsia="仿宋_GB2312"/>
          <w:sz w:val="32"/>
        </w:rPr>
        <w:t>  </w:t>
      </w:r>
    </w:p>
    <w:p>
      <w:pPr>
        <w:spacing w:line="560" w:lineRule="exact"/>
        <w:ind w:right="365" w:rightChars="174" w:firstLine="4960" w:firstLineChars="1550"/>
        <w:jc w:val="distribute"/>
        <w:rPr>
          <w:rFonts w:ascii="仿宋_GB2312" w:eastAsia="仿宋_GB2312"/>
          <w:sz w:val="32"/>
        </w:rPr>
      </w:pPr>
      <w:r>
        <w:rPr>
          <w:rFonts w:hint="eastAsia" w:ascii="仿宋_GB2312" w:eastAsia="仿宋_GB2312"/>
          <w:sz w:val="32"/>
        </w:rPr>
        <w:t>商务部办公厅</w:t>
      </w:r>
    </w:p>
    <w:p>
      <w:pPr>
        <w:spacing w:line="560" w:lineRule="exact"/>
        <w:ind w:right="365" w:rightChars="174" w:firstLine="4960" w:firstLineChars="1550"/>
        <w:jc w:val="distribute"/>
        <w:rPr>
          <w:rFonts w:ascii="仿宋_GB2312" w:eastAsia="仿宋_GB2312"/>
          <w:sz w:val="32"/>
        </w:rPr>
      </w:pPr>
      <w:r>
        <w:rPr>
          <w:rFonts w:hint="eastAsia" w:ascii="仿宋_GB2312" w:eastAsia="仿宋_GB2312"/>
          <w:sz w:val="32"/>
        </w:rPr>
        <w:t>国家发展改革委办公厅</w:t>
      </w:r>
    </w:p>
    <w:p>
      <w:pPr>
        <w:spacing w:line="560" w:lineRule="exact"/>
        <w:ind w:right="365" w:rightChars="174" w:firstLine="4960" w:firstLineChars="1550"/>
        <w:jc w:val="distribute"/>
        <w:rPr>
          <w:rFonts w:ascii="仿宋_GB2312" w:eastAsia="仿宋_GB2312"/>
          <w:sz w:val="32"/>
        </w:rPr>
      </w:pPr>
      <w:r>
        <w:rPr>
          <w:rFonts w:hint="eastAsia" w:ascii="仿宋_GB2312" w:eastAsia="仿宋_GB2312"/>
          <w:sz w:val="32"/>
        </w:rPr>
        <w:t>国家卫生健康委办公厅</w:t>
      </w:r>
    </w:p>
    <w:p>
      <w:pPr>
        <w:spacing w:line="560" w:lineRule="exact"/>
        <w:rPr>
          <w:rFonts w:hint="eastAsia" w:ascii="仿宋_GB2312" w:eastAsia="仿宋_GB2312"/>
          <w:sz w:val="32"/>
        </w:rPr>
      </w:pPr>
      <w:r>
        <w:rPr>
          <w:rFonts w:ascii="仿宋_GB2312" w:eastAsia="仿宋_GB2312"/>
          <w:sz w:val="32"/>
        </w:rPr>
        <w:t>  </w:t>
      </w:r>
      <w:r>
        <w:rPr>
          <w:rFonts w:hint="eastAsia" w:ascii="仿宋_GB2312" w:eastAsia="仿宋_GB2312"/>
          <w:sz w:val="32"/>
        </w:rPr>
        <w:t xml:space="preserve">                              </w:t>
      </w:r>
      <w:r>
        <w:rPr>
          <w:rFonts w:ascii="仿宋_GB2312" w:eastAsia="仿宋_GB2312"/>
          <w:sz w:val="32"/>
        </w:rPr>
        <w:t>2020</w:t>
      </w:r>
      <w:r>
        <w:rPr>
          <w:rFonts w:hint="eastAsia" w:ascii="仿宋_GB2312" w:eastAsia="仿宋_GB2312"/>
          <w:sz w:val="32"/>
        </w:rPr>
        <w:t>年</w:t>
      </w:r>
      <w:r>
        <w:rPr>
          <w:rFonts w:ascii="仿宋_GB2312" w:eastAsia="仿宋_GB2312"/>
          <w:sz w:val="32"/>
        </w:rPr>
        <w:t>3</w:t>
      </w:r>
      <w:r>
        <w:rPr>
          <w:rFonts w:hint="eastAsia" w:ascii="仿宋_GB2312" w:eastAsia="仿宋_GB2312"/>
          <w:sz w:val="32"/>
        </w:rPr>
        <w:t>月</w:t>
      </w:r>
      <w:r>
        <w:rPr>
          <w:rFonts w:ascii="仿宋_GB2312" w:eastAsia="仿宋_GB2312"/>
          <w:sz w:val="32"/>
        </w:rPr>
        <w:t>19</w:t>
      </w:r>
      <w:r>
        <w:rPr>
          <w:rFonts w:hint="eastAsia" w:ascii="仿宋_GB2312" w:eastAsia="仿宋_GB2312"/>
          <w:sz w:val="32"/>
        </w:rPr>
        <w:t>日</w:t>
      </w:r>
    </w:p>
    <w:p>
      <w:pPr>
        <w:spacing w:line="560" w:lineRule="exact"/>
        <w:rPr>
          <w:rFonts w:hint="eastAsia" w:ascii="方正小标宋简体" w:eastAsia="方正小标宋简体"/>
          <w:sz w:val="36"/>
        </w:rPr>
      </w:pPr>
    </w:p>
    <w:p>
      <w:pPr>
        <w:spacing w:line="560" w:lineRule="exact"/>
        <w:jc w:val="center"/>
        <w:rPr>
          <w:rFonts w:hint="eastAsia" w:ascii="方正小标宋简体" w:eastAsia="方正小标宋简体"/>
          <w:sz w:val="44"/>
        </w:rPr>
      </w:pPr>
      <w:r>
        <w:rPr>
          <w:rFonts w:hint="eastAsia" w:ascii="方正小标宋简体" w:eastAsia="方正小标宋简体"/>
          <w:sz w:val="44"/>
        </w:rPr>
        <w:t>关于加快建立绿色生产和消费法规</w:t>
      </w:r>
    </w:p>
    <w:p>
      <w:pPr>
        <w:spacing w:line="560" w:lineRule="exact"/>
        <w:jc w:val="center"/>
        <w:rPr>
          <w:rFonts w:ascii="方正小标宋简体" w:eastAsia="方正小标宋简体"/>
          <w:sz w:val="44"/>
        </w:rPr>
      </w:pPr>
      <w:r>
        <w:rPr>
          <w:rFonts w:hint="eastAsia" w:ascii="方正小标宋简体" w:eastAsia="方正小标宋简体"/>
          <w:sz w:val="44"/>
        </w:rPr>
        <w:t>政策体系的意见</w:t>
      </w:r>
    </w:p>
    <w:p>
      <w:pPr>
        <w:spacing w:line="560" w:lineRule="exact"/>
        <w:rPr>
          <w:rFonts w:ascii="仿宋_GB2312" w:eastAsia="仿宋_GB2312"/>
          <w:sz w:val="32"/>
        </w:rPr>
      </w:pPr>
    </w:p>
    <w:p>
      <w:pPr>
        <w:spacing w:line="540" w:lineRule="exact"/>
        <w:ind w:firstLine="640" w:firstLineChars="200"/>
        <w:rPr>
          <w:rFonts w:ascii="仿宋_GB2312" w:eastAsia="仿宋_GB2312"/>
          <w:sz w:val="32"/>
        </w:rPr>
      </w:pPr>
      <w:r>
        <w:rPr>
          <w:rFonts w:hint="eastAsia" w:ascii="仿宋_GB2312" w:eastAsia="仿宋_GB2312"/>
          <w:sz w:val="32"/>
        </w:rPr>
        <w:t>推行绿色生产和消费是建设生态文明、实现高质量发展的重要内容，党中央、国务院对此高度重视。改革开放特别是党的十八大以来，我国在绿色生产、消费领域出台了一系列法规和政策措施， 大力推动绿色、循环、低碳发展，加快形成节约资源、保护环境的生产生活方式，取得了积极成效。但也要看到，绿色生产和消费领域法规政策仍不健全，还存在激励约束不足、操作性不强等问题。为加快建立绿色生产和消费法规政策体系，提出以下意见。</w:t>
      </w:r>
    </w:p>
    <w:p>
      <w:pPr>
        <w:spacing w:line="540" w:lineRule="exact"/>
        <w:ind w:firstLine="640" w:firstLineChars="200"/>
        <w:rPr>
          <w:rFonts w:ascii="黑体" w:hAnsi="黑体" w:eastAsia="黑体"/>
          <w:sz w:val="32"/>
        </w:rPr>
      </w:pPr>
      <w:r>
        <w:rPr>
          <w:rFonts w:hint="eastAsia" w:ascii="黑体" w:hAnsi="黑体" w:eastAsia="黑体"/>
          <w:sz w:val="32"/>
        </w:rPr>
        <w:t>一、总体要求</w:t>
      </w:r>
    </w:p>
    <w:p>
      <w:pPr>
        <w:spacing w:line="540" w:lineRule="exact"/>
        <w:ind w:firstLine="640" w:firstLineChars="200"/>
        <w:rPr>
          <w:rFonts w:ascii="仿宋_GB2312" w:eastAsia="仿宋_GB2312"/>
          <w:sz w:val="32"/>
        </w:rPr>
      </w:pPr>
      <w:r>
        <w:rPr>
          <w:rFonts w:hint="eastAsia" w:ascii="楷体_GB2312" w:eastAsia="楷体_GB2312"/>
          <w:sz w:val="32"/>
        </w:rPr>
        <w:t>（一）指导思想</w:t>
      </w:r>
      <w:r>
        <w:rPr>
          <w:rFonts w:hint="eastAsia" w:ascii="仿宋_GB2312" w:eastAsia="仿宋_GB2312"/>
          <w:sz w:val="32"/>
        </w:rPr>
        <w:t>。以习近平新时代中国特色社会主义思想为指导，全面贯彻党的十九大和十九届二中、三中、四中全会精神，深入践行习近平生态文明思想，坚持以人民为中心，落实新发展理念， 按照问题导向、突出重点、系统协同、适用可行、循序渐进的原则， 加快建立绿色生产和消费相关的法规、标准、政策体系，促进源头减量、清洁生产、资源循环、末端治理，扩大绿色产品消费，在全社会推动形成绿色生产和消费方式。</w:t>
      </w:r>
    </w:p>
    <w:p>
      <w:pPr>
        <w:spacing w:line="540" w:lineRule="exact"/>
        <w:ind w:firstLine="640" w:firstLineChars="200"/>
        <w:rPr>
          <w:rFonts w:ascii="仿宋_GB2312" w:eastAsia="仿宋_GB2312"/>
          <w:sz w:val="32"/>
        </w:rPr>
      </w:pPr>
      <w:r>
        <w:rPr>
          <w:rFonts w:hint="eastAsia" w:ascii="楷体_GB2312" w:eastAsia="楷体_GB2312"/>
          <w:sz w:val="32"/>
        </w:rPr>
        <w:t>（二）主要目标</w:t>
      </w:r>
      <w:r>
        <w:rPr>
          <w:rFonts w:hint="eastAsia" w:ascii="仿宋_GB2312" w:eastAsia="仿宋_GB2312"/>
          <w:sz w:val="32"/>
        </w:rPr>
        <w:t>。到 2025 年，绿色生产和消费相关的法规、标准、政策进一步健全，激励约束到位的制度框架基本建立，绿色生产和消费方式在重点领域、重点行业、重点环节全面推行，我国绿色发展水平实现总体提升。</w:t>
      </w:r>
    </w:p>
    <w:p>
      <w:pPr>
        <w:spacing w:line="540" w:lineRule="exact"/>
        <w:ind w:firstLine="640" w:firstLineChars="200"/>
        <w:rPr>
          <w:rFonts w:ascii="黑体" w:hAnsi="黑体" w:eastAsia="黑体"/>
          <w:sz w:val="32"/>
        </w:rPr>
      </w:pPr>
      <w:r>
        <w:rPr>
          <w:rFonts w:hint="eastAsia" w:ascii="黑体" w:hAnsi="黑体" w:eastAsia="黑体"/>
          <w:sz w:val="32"/>
        </w:rPr>
        <w:t>二、主要任务</w:t>
      </w:r>
    </w:p>
    <w:p>
      <w:pPr>
        <w:spacing w:line="540" w:lineRule="exact"/>
        <w:ind w:firstLine="640" w:firstLineChars="200"/>
        <w:rPr>
          <w:rFonts w:ascii="仿宋_GB2312" w:eastAsia="仿宋_GB2312"/>
          <w:sz w:val="32"/>
        </w:rPr>
      </w:pPr>
      <w:r>
        <w:rPr>
          <w:rFonts w:hint="eastAsia" w:ascii="楷体_GB2312" w:eastAsia="楷体_GB2312"/>
          <w:sz w:val="32"/>
        </w:rPr>
        <w:t>（三）推行绿色设计。</w:t>
      </w:r>
      <w:r>
        <w:rPr>
          <w:rFonts w:hint="eastAsia" w:ascii="仿宋_GB2312" w:eastAsia="仿宋_GB2312"/>
          <w:sz w:val="32"/>
        </w:rPr>
        <w:t>健全推行绿色设计的政策机制。建立再生资源分级质控和标识制度，推广资源再生产品和原料。完善优先控制化学品名录，引导企业在生产过程中使用无毒无害、低毒低害和环境友好型原料。强化标准制定统筹规划，加强绿色标准体系建设，扩大标准覆盖范围，加快重点领域相关标准制修订工作，根据实际提高标准和设计规范。（国家发展改革委、工业和信息化部、生态环境部、市场监管总局等按职责分工负责）</w:t>
      </w:r>
    </w:p>
    <w:p>
      <w:pPr>
        <w:spacing w:line="540" w:lineRule="exact"/>
        <w:ind w:firstLine="640" w:firstLineChars="200"/>
        <w:rPr>
          <w:rFonts w:ascii="仿宋_GB2312" w:eastAsia="仿宋_GB2312"/>
          <w:sz w:val="32"/>
        </w:rPr>
      </w:pPr>
      <w:r>
        <w:rPr>
          <w:rFonts w:hint="eastAsia" w:ascii="楷体_GB2312" w:eastAsia="楷体_GB2312"/>
          <w:sz w:val="32"/>
        </w:rPr>
        <w:t>（四）强化工业清洁生产。</w:t>
      </w:r>
      <w:r>
        <w:rPr>
          <w:rFonts w:hint="eastAsia" w:ascii="仿宋_GB2312" w:eastAsia="仿宋_GB2312"/>
          <w:sz w:val="32"/>
        </w:rPr>
        <w:t>严格实施清洁生产审核办法、清洁生产审核评估与验收指南，进一步规范清洁生产审核行为，保障清洁生产审核质量。出台在重点行业深入推进强制性清洁生产审核的政策措施。完善重点行业清洁生产评价指标体系，实行动态调整机制。完善基于能耗、污染物排放水平的差别化电价政策，支持重点行业企业实施清洁生产技术改造。制定支持重点行业清洁生产装备研发、制造的鼓励政策。（国家发展改革委、生态环境部、工业和信息化部等按职责分工负责）</w:t>
      </w:r>
    </w:p>
    <w:p>
      <w:pPr>
        <w:spacing w:line="540" w:lineRule="exact"/>
        <w:ind w:firstLine="640" w:firstLineChars="200"/>
        <w:rPr>
          <w:rFonts w:ascii="仿宋_GB2312" w:eastAsia="仿宋_GB2312"/>
          <w:sz w:val="32"/>
        </w:rPr>
      </w:pPr>
      <w:r>
        <w:rPr>
          <w:rFonts w:hint="eastAsia" w:ascii="楷体_GB2312" w:eastAsia="楷体_GB2312"/>
          <w:sz w:val="32"/>
        </w:rPr>
        <w:t>（五）发展工业循环经济。</w:t>
      </w:r>
      <w:r>
        <w:rPr>
          <w:rFonts w:hint="eastAsia" w:ascii="仿宋_GB2312" w:eastAsia="仿宋_GB2312"/>
          <w:sz w:val="32"/>
        </w:rPr>
        <w:t>健全相关支持政策，推动现有产业园区循环化改造和新建园区循环化建设。完善共伴生矿、尾矿、工业“三废”、余热余压综合利用的支持政策。以电器电子产品、汽车产品、动力蓄电池、铅酸蓄电池、饮料纸基复合包装物为重点， 加快落实生产者责任延伸制度，适时将实施范围拓展至轮胎等品种，强化生产者废弃产品回收处理责任。支持建立发动机、变速箱等汽车旧件回收、再制造加工体系，完善机动车报废更新政策。建立完善绿色勘查、绿色矿山标准和政策支持体系。建立健全高耗水行业节水增效政策机制。（国家发展改革委、工业和信息化部、自然资源部、生态环境部、水利部、商务部、市场监管总局等按职责分工负责）</w:t>
      </w:r>
    </w:p>
    <w:p>
      <w:pPr>
        <w:spacing w:line="540" w:lineRule="exact"/>
        <w:ind w:firstLine="640" w:firstLineChars="200"/>
        <w:rPr>
          <w:rFonts w:ascii="仿宋_GB2312" w:eastAsia="仿宋_GB2312"/>
          <w:sz w:val="32"/>
        </w:rPr>
      </w:pPr>
      <w:r>
        <w:rPr>
          <w:rFonts w:hint="eastAsia" w:ascii="楷体_GB2312" w:eastAsia="楷体_GB2312"/>
          <w:sz w:val="32"/>
        </w:rPr>
        <w:t>（六）加强工业污染治理。</w:t>
      </w:r>
      <w:r>
        <w:rPr>
          <w:rFonts w:hint="eastAsia" w:ascii="仿宋_GB2312" w:eastAsia="仿宋_GB2312"/>
          <w:sz w:val="32"/>
        </w:rPr>
        <w:t>全面推行污染物排放许可制度，强化工业企业污染防治法定责任。加快制定污染防治可行技术指南， 按照稳定连贯、可控可达的原则制修订污染物排放标准，严格环境保护执法监督，实现工业污染源全面达标排放，鼓励达标企业实施深度治理。完善危险废物集中处置设施、场所作为环境保护公共设施的配套政策。建立健全责任清晰、程序合理、科学规范的生态环境突发事件预警和应急机制，建立生态环境突发事件后评估机制。健全工业污染环境损害司法鉴定工作制度，建立完善行政管理机关、行政执法机关与监察机关、司法机关的衔接配合机制，促进工业污染治理领域处罚信息和监测信息共享，充分发挥检察机关公益职能作用，形成工业污染治理多元化格局。（最高人民法院、最高人民检察院、公安部、司法部、生态环境部、工业和信息化部、国家发展改革委、财政部等按职责分工负责）</w:t>
      </w:r>
    </w:p>
    <w:p>
      <w:pPr>
        <w:spacing w:line="540" w:lineRule="exact"/>
        <w:ind w:firstLine="640" w:firstLineChars="200"/>
        <w:rPr>
          <w:rFonts w:ascii="仿宋_GB2312" w:eastAsia="仿宋_GB2312"/>
          <w:sz w:val="32"/>
        </w:rPr>
      </w:pPr>
      <w:r>
        <w:rPr>
          <w:rFonts w:hint="eastAsia" w:ascii="楷体_GB2312" w:eastAsia="楷体_GB2312"/>
          <w:sz w:val="32"/>
        </w:rPr>
        <w:t>（七）促进能源清洁发展。</w:t>
      </w:r>
      <w:r>
        <w:rPr>
          <w:rFonts w:hint="eastAsia" w:ascii="仿宋_GB2312" w:eastAsia="仿宋_GB2312"/>
          <w:sz w:val="32"/>
        </w:rPr>
        <w:t>建立完善与可再生能源规模化发展相适应的法规、政策，按照简化、普惠、稳定、渐变的原则，在规划统筹、并网消纳、价格机制等方面作出相应规定和政策调整，建立健全可再生能源电力消纳保障机制。加大对分布式能源、智能电网、储能技术、多能互补的政策支持力度，研究制定氢能、海洋能等新能源发展的标准规范和支持政策。建立健全煤炭清洁开发利用政策机制，从全生命周期、全产业链条加快推进煤炭清洁开发利用。建立对能源开发生产、贸易运输、设备制造、转化利用等环节能耗、排放、成本全生命周期评价机制。（能源局、国家发展改革委、科技部、工业和信息化部、司法部、财政部、自然资源部、生态环境部、交通运输部、市场监管总局等按职责分工负责）</w:t>
      </w:r>
    </w:p>
    <w:p>
      <w:pPr>
        <w:spacing w:line="540" w:lineRule="exact"/>
        <w:ind w:firstLine="640" w:firstLineChars="200"/>
        <w:rPr>
          <w:rFonts w:ascii="仿宋_GB2312" w:eastAsia="仿宋_GB2312"/>
          <w:sz w:val="32"/>
        </w:rPr>
      </w:pPr>
      <w:r>
        <w:rPr>
          <w:rFonts w:hint="eastAsia" w:ascii="楷体_GB2312" w:eastAsia="楷体_GB2312"/>
          <w:sz w:val="32"/>
        </w:rPr>
        <w:t>（八）推进农业绿色发展。</w:t>
      </w:r>
      <w:r>
        <w:rPr>
          <w:rFonts w:hint="eastAsia" w:ascii="仿宋_GB2312" w:eastAsia="仿宋_GB2312"/>
          <w:sz w:val="32"/>
        </w:rPr>
        <w:t>以绿色生态为导向，创新农业绿色发展体制机制，开展农业绿色发展支撑体系建设，创新技术体系、健全标准体系、延伸产业体系、强化经营体系、完善政策体系，为农业绿色发展提供保障。大力推进科学施肥，建立有机肥替代化肥推广政策机制。实施化学农药减量替代计划，建立生物防治替代化学防治推广政策机制，支持研发推广农作物病虫害绿色防控技术产品。制定农用薄膜管理办法，建立全程监管体系，支持推广使用生物可降解农膜。加快制定农药包装废弃物回收处理管理办法。完善农作物秸秆综合利用制度，以县为单位整体推进秸秆全量化综合利用。以肥料化和能源化为主要利用方向，落实畜禽粪污资源化利用制度。完善落实水产养殖业绿色发展政策，依法加强养殖水域滩涂统一规划。建立饲料添加剂和兽药使用规范，健全病死畜禽无害化处理机制。稳步推进耕地轮作休耕制度试点。健全农业循环经济推广制度，建立农业绿色生产技术推广机制。落实农业绿色发展税收支持政策。建立健全农业绿色发展相关标准，加快清理、废止与农业绿色发展不适应的标准和行业规范。（农业农村部、国家发展改革委、工业和信息化部、财政部、自然资源部、生态环境部、水利部、税务总局、市场监管总局等按职责分工负责）</w:t>
      </w:r>
    </w:p>
    <w:p>
      <w:pPr>
        <w:spacing w:line="540" w:lineRule="exact"/>
        <w:ind w:firstLine="640" w:firstLineChars="200"/>
        <w:rPr>
          <w:rFonts w:ascii="仿宋_GB2312" w:eastAsia="仿宋_GB2312"/>
          <w:sz w:val="32"/>
        </w:rPr>
      </w:pPr>
      <w:r>
        <w:rPr>
          <w:rFonts w:hint="eastAsia" w:ascii="楷体_GB2312" w:eastAsia="楷体_GB2312"/>
          <w:sz w:val="32"/>
        </w:rPr>
        <w:t>（九）促进服务业绿色发展。</w:t>
      </w:r>
      <w:r>
        <w:rPr>
          <w:rFonts w:hint="eastAsia" w:ascii="仿宋_GB2312" w:eastAsia="仿宋_GB2312"/>
          <w:sz w:val="32"/>
        </w:rPr>
        <w:t>在市政公用工程设施和城乡公共生活服务设施的规划、建设、运营、管理有关标准和规范制修订中， 全面贯彻绿色发展理念，提升绿色化水平。完善绿色物流建设支持政策。加快建立健全快递、电子商务、外卖等领域绿色包装的法律、标准、政策体系，减少过度包装和一次性用品使用，鼓励使用可降解、可循环利用的包装材料、物流器具。健全再生资源分类回收利用等环节管理和技术规范。（住房城乡建设部、自然资源部、国家发展改革委、工业和信息化部、司法部、生态环境部、交通运输部、商务部、市场监管总局、铁路局、民航局、邮政局等按职责分工负责）</w:t>
      </w:r>
    </w:p>
    <w:p>
      <w:pPr>
        <w:spacing w:line="540" w:lineRule="exact"/>
        <w:ind w:firstLine="640" w:firstLineChars="200"/>
        <w:rPr>
          <w:rFonts w:ascii="仿宋_GB2312" w:eastAsia="仿宋_GB2312"/>
          <w:sz w:val="32"/>
        </w:rPr>
      </w:pPr>
      <w:r>
        <w:rPr>
          <w:rFonts w:hint="eastAsia" w:ascii="楷体_GB2312" w:eastAsia="楷体_GB2312"/>
          <w:sz w:val="32"/>
        </w:rPr>
        <w:t>（十）扩大绿色产品消费。</w:t>
      </w:r>
      <w:r>
        <w:rPr>
          <w:rFonts w:hint="eastAsia" w:ascii="仿宋_GB2312" w:eastAsia="仿宋_GB2312"/>
          <w:sz w:val="32"/>
        </w:rPr>
        <w:t>完善绿色产品认证与标识制度。建立健全固体废物综合利用产品质量标准体系。落实好支持节能、节水、环保、资源综合利用产业的税收优惠政策。积极推行绿色产品政府采购制度，结合实施产品品目清单管理，加大绿色产品相关标准在政府采购中的运用。国有企业率先执行企业绿色采购指南，建立健全绿色采购管理制度。建立完善节能家电、高效照明产品、节水器具、绿色建材等绿色产品和新能源汽车推广机制，有条件的地方对消费者购置节能型家电产品、节能新能源汽车、节水器具等给予适当支持。鼓励公交、环卫、出租、通勤、城市邮政快递作业、城市物流等领域新增和更新车辆采用新能源和清洁能源汽车。（国家发展改革委、工业和信息化部、财政部、生态环境部、住房城乡建设部、交通运输部、商务部、国资委、税务总局、市场监管总局、铁路局、民航局、邮政局等按职责分工负责）</w:t>
      </w:r>
    </w:p>
    <w:p>
      <w:pPr>
        <w:spacing w:line="540" w:lineRule="exact"/>
        <w:ind w:firstLine="640" w:firstLineChars="200"/>
        <w:rPr>
          <w:rFonts w:ascii="仿宋_GB2312" w:eastAsia="仿宋_GB2312"/>
          <w:sz w:val="32"/>
        </w:rPr>
      </w:pPr>
      <w:r>
        <w:rPr>
          <w:rFonts w:hint="eastAsia" w:ascii="楷体_GB2312" w:eastAsia="楷体_GB2312"/>
          <w:sz w:val="32"/>
        </w:rPr>
        <w:t>（十一）推行绿色生活方式。</w:t>
      </w:r>
      <w:r>
        <w:rPr>
          <w:rFonts w:hint="eastAsia" w:ascii="仿宋_GB2312" w:eastAsia="仿宋_GB2312"/>
          <w:sz w:val="32"/>
        </w:rPr>
        <w:t>完善居民用电、用水、用气阶梯价格政策。落实污水处理收费制度，将污水处理费标准调整至补偿污水处理和污泥处置设施运营成本并合理盈利水平。加快推行城乡居民生活垃圾分类和资源化利用制度。制定进一步加强塑料污染治理的政策措施。研究制定餐厨废弃物管理与资源化利用法规。推广绿色农房建设方法和技术，逐步建立健全使用绿色建材、建设绿色农房的农村住房建设机制。（国家发展改革委、生态环境部、住房城乡建设部、财政部等按职责分工负责）</w:t>
      </w:r>
    </w:p>
    <w:p>
      <w:pPr>
        <w:spacing w:line="540" w:lineRule="exact"/>
        <w:ind w:firstLine="640" w:firstLineChars="200"/>
        <w:rPr>
          <w:rFonts w:ascii="黑体" w:hAnsi="黑体" w:eastAsia="黑体"/>
          <w:sz w:val="32"/>
        </w:rPr>
      </w:pPr>
      <w:r>
        <w:rPr>
          <w:rFonts w:hint="eastAsia" w:ascii="黑体" w:hAnsi="黑体" w:eastAsia="黑体"/>
          <w:sz w:val="32"/>
        </w:rPr>
        <w:t>三、组织实施</w:t>
      </w:r>
    </w:p>
    <w:p>
      <w:pPr>
        <w:spacing w:line="540" w:lineRule="exact"/>
        <w:ind w:firstLine="640" w:firstLineChars="200"/>
        <w:rPr>
          <w:rFonts w:hint="eastAsia" w:ascii="仿宋_GB2312" w:eastAsia="仿宋_GB2312"/>
          <w:sz w:val="32"/>
        </w:rPr>
      </w:pPr>
      <w:r>
        <w:rPr>
          <w:rFonts w:hint="eastAsia" w:ascii="仿宋_GB2312" w:eastAsia="仿宋_GB2312"/>
          <w:sz w:val="32"/>
        </w:rPr>
        <w:t xml:space="preserve">根据党中央、国务院决策部署和改革需要，统筹推动绿色生产和消费领域法律法规的立改废释工作。各有关部门要按照职责分工，加快推进相关法律法规、标准、政策的制修订工作。各地区要根据本意见的要求，结合实际出台促进本地区绿色生产和消费的法规、标准、政策，鼓励先行先试，做好经验总结和推广。各级财政、税收、金融等部门要持续完善绿色生产和消费领域的支持政策。各级宣传部门要组织媒体通过多种渠道和方式，大力宣传推广绿色生产和消费理念，加大相关法律法规、政策措施宣传力度，凝聚社会共识，营造良好氛围。 </w:t>
      </w:r>
    </w:p>
    <w:p>
      <w:pPr>
        <w:spacing w:line="540" w:lineRule="exact"/>
        <w:ind w:firstLine="640" w:firstLineChars="200"/>
        <w:rPr>
          <w:rFonts w:ascii="仿宋_GB2312" w:eastAsia="仿宋_GB2312"/>
          <w:sz w:val="32"/>
        </w:rPr>
      </w:pPr>
    </w:p>
    <w:p>
      <w:pPr>
        <w:spacing w:line="540" w:lineRule="exact"/>
        <w:ind w:firstLine="640" w:firstLineChars="200"/>
        <w:rPr>
          <w:rFonts w:ascii="仿宋_GB2312" w:eastAsia="仿宋_GB2312"/>
          <w:sz w:val="32"/>
        </w:rPr>
        <w:sectPr>
          <w:pgSz w:w="11906" w:h="16838"/>
          <w:pgMar w:top="1985" w:right="1588" w:bottom="1701" w:left="1588" w:header="851" w:footer="1418" w:gutter="0"/>
          <w:pgNumType w:start="1"/>
          <w:cols w:space="425" w:num="1"/>
          <w:docGrid w:type="lines" w:linePitch="312" w:charSpace="0"/>
        </w:sectPr>
      </w:pPr>
      <w:r>
        <w:rPr>
          <w:rFonts w:hint="eastAsia" w:ascii="仿宋_GB2312" w:eastAsia="仿宋_GB2312"/>
          <w:sz w:val="32"/>
        </w:rPr>
        <w:t>附件：重点任务清单</w:t>
      </w:r>
    </w:p>
    <w:p>
      <w:pPr>
        <w:pStyle w:val="3"/>
        <w:spacing w:before="10"/>
        <w:rPr>
          <w:rFonts w:ascii="黑体" w:hAnsi="黑体" w:eastAsia="黑体"/>
          <w:sz w:val="32"/>
        </w:rPr>
      </w:pPr>
      <w:r>
        <w:rPr>
          <w:rFonts w:ascii="黑体" w:hAnsi="黑体" w:eastAsia="黑体"/>
          <w:sz w:val="32"/>
        </w:rPr>
        <w:t>附件</w:t>
      </w:r>
    </w:p>
    <w:p>
      <w:pPr>
        <w:pStyle w:val="2"/>
        <w:spacing w:afterLines="50" w:line="681" w:lineRule="exact"/>
        <w:ind w:left="2654" w:right="-11" w:hanging="2654"/>
        <w:jc w:val="center"/>
        <w:rPr>
          <w:rFonts w:hint="eastAsia" w:ascii="方正小标宋简体" w:eastAsia="方正小标宋简体"/>
          <w:sz w:val="44"/>
        </w:rPr>
      </w:pPr>
      <w:r>
        <w:rPr>
          <w:rFonts w:hint="eastAsia" w:ascii="方正小标宋简体" w:eastAsia="方正小标宋简体"/>
          <w:sz w:val="44"/>
        </w:rPr>
        <w:t>重  点  任  务 清 单</w:t>
      </w:r>
    </w:p>
    <w:tbl>
      <w:tblPr>
        <w:tblStyle w:val="8"/>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4"/>
        <w:gridCol w:w="7430"/>
        <w:gridCol w:w="3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blHeader/>
        </w:trPr>
        <w:tc>
          <w:tcPr>
            <w:tcW w:w="9874" w:type="dxa"/>
            <w:gridSpan w:val="2"/>
            <w:vAlign w:val="center"/>
          </w:tcPr>
          <w:p>
            <w:pPr>
              <w:pStyle w:val="16"/>
              <w:spacing w:before="75" w:line="360" w:lineRule="exact"/>
              <w:jc w:val="center"/>
              <w:rPr>
                <w:rFonts w:hint="eastAsia" w:ascii="黑体" w:hAnsi="黑体" w:eastAsia="黑体"/>
                <w:sz w:val="28"/>
                <w:szCs w:val="28"/>
              </w:rPr>
            </w:pPr>
            <w:r>
              <w:rPr>
                <w:rFonts w:hint="eastAsia" w:ascii="黑体" w:hAnsi="黑体" w:eastAsia="黑体"/>
                <w:sz w:val="28"/>
                <w:szCs w:val="28"/>
              </w:rPr>
              <w:t>重  点  任 务</w:t>
            </w:r>
          </w:p>
        </w:tc>
        <w:tc>
          <w:tcPr>
            <w:tcW w:w="3892" w:type="dxa"/>
            <w:vAlign w:val="center"/>
          </w:tcPr>
          <w:p>
            <w:pPr>
              <w:pStyle w:val="16"/>
              <w:spacing w:before="75" w:line="360" w:lineRule="exact"/>
              <w:ind w:left="1366" w:right="1356"/>
              <w:jc w:val="both"/>
              <w:rPr>
                <w:rFonts w:hint="eastAsia" w:ascii="黑体" w:hAnsi="黑体" w:eastAsia="黑体"/>
                <w:sz w:val="28"/>
                <w:szCs w:val="28"/>
              </w:rPr>
            </w:pPr>
            <w:r>
              <w:rPr>
                <w:rFonts w:hint="eastAsia" w:ascii="黑体" w:hAnsi="黑体" w:eastAsia="黑体"/>
                <w:sz w:val="28"/>
                <w:szCs w:val="28"/>
              </w:rPr>
              <w:t>负责部门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2444" w:type="dxa"/>
            <w:vMerge w:val="restart"/>
            <w:vAlign w:val="center"/>
          </w:tcPr>
          <w:p>
            <w:pPr>
              <w:pStyle w:val="16"/>
              <w:spacing w:line="360" w:lineRule="exact"/>
              <w:ind w:left="200"/>
              <w:jc w:val="both"/>
              <w:rPr>
                <w:rFonts w:hint="eastAsia" w:ascii="仿宋_GB2312" w:eastAsia="仿宋_GB2312"/>
                <w:sz w:val="28"/>
                <w:szCs w:val="28"/>
              </w:rPr>
            </w:pPr>
            <w:r>
              <w:rPr>
                <w:rFonts w:hint="eastAsia" w:ascii="仿宋_GB2312" w:eastAsia="仿宋_GB2312"/>
                <w:sz w:val="28"/>
                <w:szCs w:val="28"/>
              </w:rPr>
              <w:t>一、推行绿色设计</w:t>
            </w:r>
          </w:p>
        </w:tc>
        <w:tc>
          <w:tcPr>
            <w:tcW w:w="7430" w:type="dxa"/>
            <w:vAlign w:val="center"/>
          </w:tcPr>
          <w:p>
            <w:pPr>
              <w:pStyle w:val="16"/>
              <w:spacing w:before="83" w:line="360" w:lineRule="exact"/>
              <w:ind w:right="94"/>
              <w:jc w:val="both"/>
              <w:rPr>
                <w:rFonts w:hint="eastAsia" w:ascii="仿宋_GB2312" w:eastAsia="仿宋_GB2312"/>
                <w:sz w:val="28"/>
                <w:szCs w:val="28"/>
              </w:rPr>
            </w:pPr>
            <w:r>
              <w:rPr>
                <w:rFonts w:hint="eastAsia" w:ascii="仿宋_GB2312" w:eastAsia="仿宋_GB2312"/>
                <w:sz w:val="28"/>
                <w:szCs w:val="28"/>
              </w:rPr>
              <w:t>1.建立再生资源分级质控和标识制度，推广资源再生产品和原料（2020 年完成）</w:t>
            </w:r>
          </w:p>
        </w:tc>
        <w:tc>
          <w:tcPr>
            <w:tcW w:w="3892" w:type="dxa"/>
            <w:vAlign w:val="center"/>
          </w:tcPr>
          <w:p>
            <w:pPr>
              <w:pStyle w:val="16"/>
              <w:spacing w:before="83" w:line="360" w:lineRule="exact"/>
              <w:ind w:left="106" w:right="132"/>
              <w:jc w:val="both"/>
              <w:rPr>
                <w:rFonts w:hint="eastAsia" w:ascii="仿宋_GB2312" w:eastAsia="仿宋_GB2312"/>
                <w:sz w:val="28"/>
                <w:szCs w:val="28"/>
              </w:rPr>
            </w:pPr>
            <w:r>
              <w:rPr>
                <w:rFonts w:hint="eastAsia" w:ascii="仿宋_GB2312" w:eastAsia="仿宋_GB2312"/>
                <w:sz w:val="28"/>
                <w:szCs w:val="28"/>
              </w:rPr>
              <w:t>国家发展改革委、市场监管总局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2444" w:type="dxa"/>
            <w:vMerge w:val="continue"/>
            <w:vAlign w:val="center"/>
          </w:tcPr>
          <w:p>
            <w:pPr>
              <w:spacing w:line="360" w:lineRule="exact"/>
              <w:rPr>
                <w:rFonts w:hint="eastAsia" w:ascii="仿宋_GB2312" w:eastAsia="仿宋_GB2312"/>
                <w:sz w:val="28"/>
                <w:szCs w:val="28"/>
              </w:rPr>
            </w:pPr>
          </w:p>
        </w:tc>
        <w:tc>
          <w:tcPr>
            <w:tcW w:w="7430" w:type="dxa"/>
            <w:vAlign w:val="center"/>
          </w:tcPr>
          <w:p>
            <w:pPr>
              <w:pStyle w:val="16"/>
              <w:spacing w:before="92" w:line="360" w:lineRule="exact"/>
              <w:jc w:val="both"/>
              <w:rPr>
                <w:rFonts w:hint="eastAsia" w:ascii="仿宋_GB2312" w:eastAsia="仿宋_GB2312"/>
                <w:sz w:val="28"/>
                <w:szCs w:val="28"/>
              </w:rPr>
            </w:pPr>
            <w:r>
              <w:rPr>
                <w:rFonts w:hint="eastAsia" w:ascii="仿宋_GB2312" w:eastAsia="仿宋_GB2312"/>
                <w:sz w:val="28"/>
                <w:szCs w:val="28"/>
              </w:rPr>
              <w:t>2.完善优先控制化学品名录（2020 年完成）</w:t>
            </w:r>
          </w:p>
        </w:tc>
        <w:tc>
          <w:tcPr>
            <w:tcW w:w="3892" w:type="dxa"/>
            <w:vAlign w:val="center"/>
          </w:tcPr>
          <w:p>
            <w:pPr>
              <w:pStyle w:val="16"/>
              <w:spacing w:before="92" w:line="360" w:lineRule="exact"/>
              <w:ind w:left="106"/>
              <w:jc w:val="both"/>
              <w:rPr>
                <w:rFonts w:hint="eastAsia" w:ascii="仿宋_GB2312" w:eastAsia="仿宋_GB2312"/>
                <w:sz w:val="28"/>
                <w:szCs w:val="28"/>
              </w:rPr>
            </w:pPr>
            <w:r>
              <w:rPr>
                <w:rFonts w:hint="eastAsia" w:ascii="仿宋_GB2312" w:eastAsia="仿宋_GB2312"/>
                <w:sz w:val="28"/>
                <w:szCs w:val="28"/>
              </w:rPr>
              <w:t>生态环境部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2444" w:type="dxa"/>
            <w:vMerge w:val="continue"/>
            <w:vAlign w:val="center"/>
          </w:tcPr>
          <w:p>
            <w:pPr>
              <w:spacing w:line="360" w:lineRule="exact"/>
              <w:rPr>
                <w:rFonts w:hint="eastAsia" w:ascii="仿宋_GB2312" w:eastAsia="仿宋_GB2312"/>
                <w:sz w:val="28"/>
                <w:szCs w:val="28"/>
              </w:rPr>
            </w:pPr>
          </w:p>
        </w:tc>
        <w:tc>
          <w:tcPr>
            <w:tcW w:w="7430" w:type="dxa"/>
            <w:vAlign w:val="center"/>
          </w:tcPr>
          <w:p>
            <w:pPr>
              <w:pStyle w:val="16"/>
              <w:spacing w:before="82" w:line="360" w:lineRule="exact"/>
              <w:ind w:right="94"/>
              <w:jc w:val="both"/>
              <w:rPr>
                <w:rFonts w:hint="eastAsia" w:ascii="仿宋_GB2312" w:eastAsia="仿宋_GB2312"/>
                <w:sz w:val="28"/>
                <w:szCs w:val="28"/>
              </w:rPr>
            </w:pPr>
            <w:r>
              <w:rPr>
                <w:rFonts w:hint="eastAsia" w:ascii="仿宋_GB2312" w:eastAsia="仿宋_GB2312"/>
                <w:sz w:val="28"/>
                <w:szCs w:val="28"/>
              </w:rPr>
              <w:t>3.加强绿色标准体系建设，加快重点领域相关标准制修订工作（持续推进）</w:t>
            </w:r>
          </w:p>
        </w:tc>
        <w:tc>
          <w:tcPr>
            <w:tcW w:w="3892" w:type="dxa"/>
            <w:vAlign w:val="center"/>
          </w:tcPr>
          <w:p>
            <w:pPr>
              <w:pStyle w:val="16"/>
              <w:spacing w:before="82" w:line="360" w:lineRule="exact"/>
              <w:ind w:left="106" w:right="132"/>
              <w:jc w:val="both"/>
              <w:rPr>
                <w:rFonts w:hint="eastAsia" w:ascii="仿宋_GB2312" w:eastAsia="仿宋_GB2312"/>
                <w:sz w:val="28"/>
                <w:szCs w:val="28"/>
              </w:rPr>
            </w:pPr>
            <w:r>
              <w:rPr>
                <w:rFonts w:hint="eastAsia" w:ascii="仿宋_GB2312" w:eastAsia="仿宋_GB2312"/>
                <w:sz w:val="28"/>
                <w:szCs w:val="28"/>
              </w:rPr>
              <w:t>国家发展改革委、市场监管总局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2444" w:type="dxa"/>
            <w:vAlign w:val="center"/>
          </w:tcPr>
          <w:p>
            <w:pPr>
              <w:pStyle w:val="16"/>
              <w:spacing w:before="230" w:line="360" w:lineRule="exact"/>
              <w:ind w:left="224"/>
              <w:jc w:val="both"/>
              <w:rPr>
                <w:rFonts w:hint="eastAsia" w:ascii="仿宋_GB2312" w:eastAsia="仿宋_GB2312"/>
                <w:sz w:val="28"/>
                <w:szCs w:val="28"/>
              </w:rPr>
            </w:pPr>
            <w:r>
              <w:rPr>
                <w:rFonts w:hint="eastAsia" w:ascii="仿宋_GB2312" w:eastAsia="仿宋_GB2312"/>
                <w:sz w:val="28"/>
                <w:szCs w:val="28"/>
              </w:rPr>
              <w:t>二、强化工业清洁生产</w:t>
            </w:r>
          </w:p>
        </w:tc>
        <w:tc>
          <w:tcPr>
            <w:tcW w:w="7430" w:type="dxa"/>
            <w:vAlign w:val="center"/>
          </w:tcPr>
          <w:p>
            <w:pPr>
              <w:pStyle w:val="16"/>
              <w:spacing w:before="82" w:line="360" w:lineRule="exact"/>
              <w:ind w:right="94"/>
              <w:jc w:val="both"/>
              <w:rPr>
                <w:rFonts w:hint="eastAsia" w:ascii="仿宋_GB2312" w:eastAsia="仿宋_GB2312"/>
                <w:sz w:val="28"/>
                <w:szCs w:val="28"/>
              </w:rPr>
            </w:pPr>
            <w:r>
              <w:rPr>
                <w:rFonts w:hint="eastAsia" w:ascii="仿宋_GB2312" w:eastAsia="仿宋_GB2312"/>
                <w:sz w:val="28"/>
                <w:szCs w:val="28"/>
              </w:rPr>
              <w:t>4.出台在重点行业深入推进强制性清洁生产审核的政策措施（2020 年完成）</w:t>
            </w:r>
          </w:p>
        </w:tc>
        <w:tc>
          <w:tcPr>
            <w:tcW w:w="3892" w:type="dxa"/>
            <w:vAlign w:val="center"/>
          </w:tcPr>
          <w:p>
            <w:pPr>
              <w:pStyle w:val="16"/>
              <w:spacing w:before="235" w:line="360" w:lineRule="exact"/>
              <w:ind w:left="106"/>
              <w:jc w:val="both"/>
              <w:rPr>
                <w:rFonts w:hint="eastAsia" w:ascii="仿宋_GB2312" w:eastAsia="仿宋_GB2312"/>
                <w:sz w:val="28"/>
                <w:szCs w:val="28"/>
              </w:rPr>
            </w:pPr>
            <w:r>
              <w:rPr>
                <w:rFonts w:hint="eastAsia" w:ascii="仿宋_GB2312" w:eastAsia="仿宋_GB2312"/>
                <w:sz w:val="28"/>
                <w:szCs w:val="28"/>
              </w:rPr>
              <w:t>生态环境部、国家发展改革委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2444" w:type="dxa"/>
            <w:vMerge w:val="restart"/>
            <w:vAlign w:val="center"/>
          </w:tcPr>
          <w:p>
            <w:pPr>
              <w:pStyle w:val="16"/>
              <w:spacing w:line="360" w:lineRule="exact"/>
              <w:ind w:left="224"/>
              <w:jc w:val="both"/>
              <w:rPr>
                <w:rFonts w:hint="eastAsia" w:ascii="仿宋_GB2312" w:eastAsia="仿宋_GB2312"/>
                <w:sz w:val="28"/>
                <w:szCs w:val="28"/>
              </w:rPr>
            </w:pPr>
            <w:r>
              <w:rPr>
                <w:rFonts w:hint="eastAsia" w:ascii="仿宋_GB2312" w:eastAsia="仿宋_GB2312"/>
                <w:sz w:val="28"/>
                <w:szCs w:val="28"/>
              </w:rPr>
              <w:t>三、发展工业循环经济</w:t>
            </w:r>
          </w:p>
        </w:tc>
        <w:tc>
          <w:tcPr>
            <w:tcW w:w="7430" w:type="dxa"/>
            <w:vAlign w:val="center"/>
          </w:tcPr>
          <w:p>
            <w:pPr>
              <w:pStyle w:val="16"/>
              <w:spacing w:before="29" w:line="360" w:lineRule="exact"/>
              <w:jc w:val="both"/>
              <w:rPr>
                <w:rFonts w:hint="eastAsia" w:ascii="仿宋_GB2312" w:eastAsia="仿宋_GB2312"/>
                <w:sz w:val="28"/>
                <w:szCs w:val="28"/>
              </w:rPr>
            </w:pPr>
            <w:r>
              <w:rPr>
                <w:rFonts w:hint="eastAsia" w:ascii="仿宋_GB2312" w:eastAsia="仿宋_GB2312"/>
                <w:sz w:val="28"/>
                <w:szCs w:val="28"/>
              </w:rPr>
              <w:t>5.建立完善绿色勘查、绿色矿山标准和政策支持体系</w:t>
            </w:r>
          </w:p>
          <w:p>
            <w:pPr>
              <w:pStyle w:val="16"/>
              <w:spacing w:line="360" w:lineRule="exact"/>
              <w:jc w:val="both"/>
              <w:rPr>
                <w:rFonts w:hint="eastAsia" w:ascii="仿宋_GB2312" w:eastAsia="仿宋_GB2312"/>
                <w:sz w:val="28"/>
                <w:szCs w:val="28"/>
              </w:rPr>
            </w:pPr>
            <w:r>
              <w:rPr>
                <w:rFonts w:hint="eastAsia" w:ascii="仿宋_GB2312" w:eastAsia="仿宋_GB2312"/>
                <w:sz w:val="28"/>
                <w:szCs w:val="28"/>
              </w:rPr>
              <w:t>（2021 年完成）</w:t>
            </w:r>
          </w:p>
        </w:tc>
        <w:tc>
          <w:tcPr>
            <w:tcW w:w="3892" w:type="dxa"/>
            <w:vAlign w:val="center"/>
          </w:tcPr>
          <w:p>
            <w:pPr>
              <w:pStyle w:val="16"/>
              <w:spacing w:before="235" w:line="360" w:lineRule="exact"/>
              <w:ind w:left="106"/>
              <w:jc w:val="both"/>
              <w:rPr>
                <w:rFonts w:hint="eastAsia" w:ascii="仿宋_GB2312" w:eastAsia="仿宋_GB2312"/>
                <w:sz w:val="28"/>
                <w:szCs w:val="28"/>
              </w:rPr>
            </w:pPr>
            <w:r>
              <w:rPr>
                <w:rFonts w:hint="eastAsia" w:ascii="仿宋_GB2312" w:eastAsia="仿宋_GB2312"/>
                <w:sz w:val="28"/>
                <w:szCs w:val="28"/>
              </w:rPr>
              <w:t>自然资源部、市场监管总局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2444" w:type="dxa"/>
            <w:vMerge w:val="continue"/>
            <w:vAlign w:val="center"/>
          </w:tcPr>
          <w:p>
            <w:pPr>
              <w:spacing w:line="360" w:lineRule="exact"/>
              <w:rPr>
                <w:rFonts w:hint="eastAsia" w:ascii="仿宋_GB2312" w:eastAsia="仿宋_GB2312"/>
                <w:sz w:val="28"/>
                <w:szCs w:val="28"/>
              </w:rPr>
            </w:pPr>
          </w:p>
        </w:tc>
        <w:tc>
          <w:tcPr>
            <w:tcW w:w="7430" w:type="dxa"/>
            <w:vAlign w:val="center"/>
          </w:tcPr>
          <w:p>
            <w:pPr>
              <w:pStyle w:val="16"/>
              <w:spacing w:before="83" w:line="360" w:lineRule="exact"/>
              <w:ind w:right="40"/>
              <w:jc w:val="both"/>
              <w:rPr>
                <w:rFonts w:hint="eastAsia" w:ascii="仿宋_GB2312" w:eastAsia="仿宋_GB2312"/>
                <w:sz w:val="28"/>
                <w:szCs w:val="28"/>
              </w:rPr>
            </w:pPr>
            <w:r>
              <w:rPr>
                <w:rFonts w:hint="eastAsia" w:ascii="仿宋_GB2312" w:eastAsia="仿宋_GB2312"/>
                <w:sz w:val="28"/>
                <w:szCs w:val="28"/>
              </w:rPr>
              <w:t>6.建立健全高耗水行业节水增效政策机制（2022 年完成）</w:t>
            </w:r>
          </w:p>
        </w:tc>
        <w:tc>
          <w:tcPr>
            <w:tcW w:w="3892" w:type="dxa"/>
            <w:vAlign w:val="center"/>
          </w:tcPr>
          <w:p>
            <w:pPr>
              <w:pStyle w:val="16"/>
              <w:spacing w:before="83" w:line="360" w:lineRule="exact"/>
              <w:ind w:left="106" w:right="132"/>
              <w:jc w:val="both"/>
              <w:rPr>
                <w:rFonts w:hint="eastAsia" w:ascii="仿宋_GB2312" w:eastAsia="仿宋_GB2312"/>
                <w:sz w:val="28"/>
                <w:szCs w:val="28"/>
              </w:rPr>
            </w:pPr>
            <w:r>
              <w:rPr>
                <w:rFonts w:hint="eastAsia" w:ascii="仿宋_GB2312" w:eastAsia="仿宋_GB2312"/>
                <w:sz w:val="28"/>
                <w:szCs w:val="28"/>
              </w:rPr>
              <w:t>工业和信息化部、国家发展改革委、水利部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4" w:type="dxa"/>
            <w:vMerge w:val="restart"/>
            <w:vAlign w:val="center"/>
          </w:tcPr>
          <w:p>
            <w:pPr>
              <w:pStyle w:val="16"/>
              <w:spacing w:before="248" w:line="360" w:lineRule="exact"/>
              <w:ind w:left="224"/>
              <w:jc w:val="both"/>
              <w:rPr>
                <w:rFonts w:hint="eastAsia" w:ascii="仿宋_GB2312" w:eastAsia="仿宋_GB2312"/>
                <w:sz w:val="28"/>
                <w:szCs w:val="28"/>
              </w:rPr>
            </w:pPr>
            <w:r>
              <w:rPr>
                <w:rFonts w:hint="eastAsia" w:ascii="仿宋_GB2312" w:eastAsia="仿宋_GB2312"/>
                <w:sz w:val="28"/>
                <w:szCs w:val="28"/>
              </w:rPr>
              <w:t>四、加强工业污染治理</w:t>
            </w:r>
          </w:p>
        </w:tc>
        <w:tc>
          <w:tcPr>
            <w:tcW w:w="7430" w:type="dxa"/>
            <w:vAlign w:val="center"/>
          </w:tcPr>
          <w:p>
            <w:pPr>
              <w:pStyle w:val="16"/>
              <w:spacing w:before="66" w:line="360" w:lineRule="exact"/>
              <w:jc w:val="both"/>
              <w:rPr>
                <w:rFonts w:hint="eastAsia" w:ascii="仿宋_GB2312" w:eastAsia="仿宋_GB2312"/>
                <w:sz w:val="28"/>
                <w:szCs w:val="28"/>
              </w:rPr>
            </w:pPr>
            <w:r>
              <w:rPr>
                <w:rFonts w:hint="eastAsia" w:ascii="仿宋_GB2312" w:eastAsia="仿宋_GB2312"/>
                <w:sz w:val="28"/>
                <w:szCs w:val="28"/>
              </w:rPr>
              <w:t>7.加快制定污染防治可行技术指南（2020 年完成）</w:t>
            </w:r>
          </w:p>
        </w:tc>
        <w:tc>
          <w:tcPr>
            <w:tcW w:w="3892" w:type="dxa"/>
            <w:vAlign w:val="center"/>
          </w:tcPr>
          <w:p>
            <w:pPr>
              <w:pStyle w:val="16"/>
              <w:spacing w:before="66" w:line="360" w:lineRule="exact"/>
              <w:ind w:left="106"/>
              <w:jc w:val="both"/>
              <w:rPr>
                <w:rFonts w:hint="eastAsia" w:ascii="仿宋_GB2312" w:eastAsia="仿宋_GB2312"/>
                <w:sz w:val="28"/>
                <w:szCs w:val="28"/>
              </w:rPr>
            </w:pPr>
            <w:r>
              <w:rPr>
                <w:rFonts w:hint="eastAsia" w:ascii="仿宋_GB2312" w:eastAsia="仿宋_GB2312"/>
                <w:sz w:val="28"/>
                <w:szCs w:val="28"/>
              </w:rPr>
              <w:t>生态环境部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2444" w:type="dxa"/>
            <w:vMerge w:val="continue"/>
            <w:vAlign w:val="center"/>
          </w:tcPr>
          <w:p>
            <w:pPr>
              <w:spacing w:line="360" w:lineRule="exact"/>
              <w:rPr>
                <w:rFonts w:hint="eastAsia" w:ascii="仿宋_GB2312" w:eastAsia="仿宋_GB2312"/>
                <w:sz w:val="28"/>
                <w:szCs w:val="28"/>
              </w:rPr>
            </w:pPr>
          </w:p>
        </w:tc>
        <w:tc>
          <w:tcPr>
            <w:tcW w:w="7430" w:type="dxa"/>
            <w:vAlign w:val="center"/>
          </w:tcPr>
          <w:p>
            <w:pPr>
              <w:pStyle w:val="16"/>
              <w:spacing w:line="360" w:lineRule="exact"/>
              <w:jc w:val="both"/>
              <w:rPr>
                <w:rFonts w:hint="eastAsia" w:ascii="仿宋_GB2312" w:eastAsia="仿宋_GB2312"/>
                <w:sz w:val="28"/>
                <w:szCs w:val="28"/>
              </w:rPr>
            </w:pPr>
            <w:r>
              <w:rPr>
                <w:rFonts w:hint="eastAsia" w:ascii="仿宋_GB2312" w:eastAsia="仿宋_GB2312"/>
                <w:sz w:val="28"/>
                <w:szCs w:val="28"/>
              </w:rPr>
              <w:t>8.按照稳定连贯、可控可达的原则制修订污染物排放标准（持续推进）</w:t>
            </w:r>
          </w:p>
        </w:tc>
        <w:tc>
          <w:tcPr>
            <w:tcW w:w="3892" w:type="dxa"/>
            <w:vAlign w:val="center"/>
          </w:tcPr>
          <w:p>
            <w:pPr>
              <w:pStyle w:val="16"/>
              <w:spacing w:before="178" w:line="360" w:lineRule="exact"/>
              <w:ind w:left="106"/>
              <w:jc w:val="both"/>
              <w:rPr>
                <w:rFonts w:hint="eastAsia" w:ascii="仿宋_GB2312" w:eastAsia="仿宋_GB2312"/>
                <w:sz w:val="28"/>
                <w:szCs w:val="28"/>
              </w:rPr>
            </w:pPr>
            <w:r>
              <w:rPr>
                <w:rFonts w:hint="eastAsia" w:ascii="仿宋_GB2312" w:eastAsia="仿宋_GB2312"/>
                <w:sz w:val="28"/>
                <w:szCs w:val="28"/>
              </w:rPr>
              <w:t>生态环境部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2444" w:type="dxa"/>
            <w:vMerge w:val="continue"/>
            <w:vAlign w:val="center"/>
          </w:tcPr>
          <w:p>
            <w:pPr>
              <w:spacing w:line="360" w:lineRule="exact"/>
              <w:rPr>
                <w:rFonts w:hint="eastAsia" w:ascii="仿宋_GB2312" w:eastAsia="仿宋_GB2312"/>
                <w:sz w:val="28"/>
                <w:szCs w:val="28"/>
              </w:rPr>
            </w:pPr>
          </w:p>
        </w:tc>
        <w:tc>
          <w:tcPr>
            <w:tcW w:w="7430" w:type="dxa"/>
            <w:vAlign w:val="center"/>
          </w:tcPr>
          <w:p>
            <w:pPr>
              <w:pStyle w:val="16"/>
              <w:spacing w:line="360" w:lineRule="exact"/>
              <w:jc w:val="both"/>
              <w:rPr>
                <w:rFonts w:hint="eastAsia" w:ascii="仿宋_GB2312" w:eastAsia="仿宋_GB2312"/>
                <w:sz w:val="28"/>
                <w:szCs w:val="28"/>
              </w:rPr>
            </w:pPr>
            <w:r>
              <w:rPr>
                <w:rFonts w:hint="eastAsia" w:ascii="仿宋_GB2312" w:eastAsia="仿宋_GB2312"/>
                <w:sz w:val="28"/>
                <w:szCs w:val="28"/>
              </w:rPr>
              <w:t>9.完善危险废物集中处置设施、场所作为环境保护公共设施的配套政策（持续推进）</w:t>
            </w:r>
          </w:p>
        </w:tc>
        <w:tc>
          <w:tcPr>
            <w:tcW w:w="3892" w:type="dxa"/>
            <w:vAlign w:val="center"/>
          </w:tcPr>
          <w:p>
            <w:pPr>
              <w:pStyle w:val="16"/>
              <w:spacing w:before="177" w:line="360" w:lineRule="exact"/>
              <w:ind w:left="106"/>
              <w:jc w:val="both"/>
              <w:rPr>
                <w:rFonts w:hint="eastAsia" w:ascii="仿宋_GB2312" w:eastAsia="仿宋_GB2312"/>
                <w:sz w:val="28"/>
                <w:szCs w:val="28"/>
              </w:rPr>
            </w:pPr>
            <w:r>
              <w:rPr>
                <w:rFonts w:hint="eastAsia" w:ascii="仿宋_GB2312" w:eastAsia="仿宋_GB2312"/>
                <w:sz w:val="28"/>
                <w:szCs w:val="28"/>
              </w:rPr>
              <w:t>生态环境部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2444" w:type="dxa"/>
            <w:vMerge w:val="continue"/>
            <w:vAlign w:val="center"/>
          </w:tcPr>
          <w:p>
            <w:pPr>
              <w:spacing w:line="360" w:lineRule="exact"/>
              <w:rPr>
                <w:rFonts w:hint="eastAsia" w:ascii="仿宋_GB2312" w:eastAsia="仿宋_GB2312"/>
                <w:sz w:val="28"/>
                <w:szCs w:val="28"/>
              </w:rPr>
            </w:pPr>
          </w:p>
        </w:tc>
        <w:tc>
          <w:tcPr>
            <w:tcW w:w="7430" w:type="dxa"/>
            <w:vAlign w:val="center"/>
          </w:tcPr>
          <w:p>
            <w:pPr>
              <w:pStyle w:val="16"/>
              <w:spacing w:line="360" w:lineRule="exact"/>
              <w:jc w:val="both"/>
              <w:rPr>
                <w:rFonts w:hint="eastAsia" w:ascii="仿宋_GB2312" w:eastAsia="仿宋_GB2312"/>
                <w:sz w:val="28"/>
                <w:szCs w:val="28"/>
              </w:rPr>
            </w:pPr>
            <w:r>
              <w:rPr>
                <w:rFonts w:hint="eastAsia" w:ascii="仿宋_GB2312" w:eastAsia="仿宋_GB2312"/>
                <w:sz w:val="28"/>
                <w:szCs w:val="28"/>
              </w:rPr>
              <w:t>10.健全工业污染环境损害司法鉴定工作制度（2020年完成）</w:t>
            </w:r>
          </w:p>
        </w:tc>
        <w:tc>
          <w:tcPr>
            <w:tcW w:w="3892" w:type="dxa"/>
            <w:vAlign w:val="center"/>
          </w:tcPr>
          <w:p>
            <w:pPr>
              <w:pStyle w:val="16"/>
              <w:spacing w:line="360" w:lineRule="exact"/>
              <w:ind w:left="106"/>
              <w:jc w:val="both"/>
              <w:rPr>
                <w:rFonts w:hint="eastAsia" w:ascii="仿宋_GB2312" w:eastAsia="仿宋_GB2312"/>
                <w:sz w:val="28"/>
                <w:szCs w:val="28"/>
              </w:rPr>
            </w:pPr>
            <w:r>
              <w:rPr>
                <w:rFonts w:hint="eastAsia" w:ascii="仿宋_GB2312" w:eastAsia="仿宋_GB2312"/>
                <w:sz w:val="28"/>
                <w:szCs w:val="28"/>
              </w:rPr>
              <w:t>司法部、最高人民检察院、公</w:t>
            </w:r>
          </w:p>
          <w:p>
            <w:pPr>
              <w:pStyle w:val="16"/>
              <w:spacing w:line="360" w:lineRule="exact"/>
              <w:ind w:left="106"/>
              <w:jc w:val="both"/>
              <w:rPr>
                <w:rFonts w:hint="eastAsia" w:ascii="仿宋_GB2312" w:eastAsia="仿宋_GB2312"/>
                <w:sz w:val="28"/>
                <w:szCs w:val="28"/>
              </w:rPr>
            </w:pPr>
            <w:r>
              <w:rPr>
                <w:rFonts w:hint="eastAsia" w:ascii="仿宋_GB2312" w:eastAsia="仿宋_GB2312"/>
                <w:sz w:val="28"/>
                <w:szCs w:val="28"/>
              </w:rPr>
              <w:t>安部、生态环境部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2444" w:type="dxa"/>
            <w:vMerge w:val="restart"/>
            <w:vAlign w:val="center"/>
          </w:tcPr>
          <w:p>
            <w:pPr>
              <w:pStyle w:val="16"/>
              <w:spacing w:line="360" w:lineRule="exact"/>
              <w:ind w:left="224"/>
              <w:jc w:val="both"/>
              <w:rPr>
                <w:rFonts w:hint="eastAsia" w:ascii="仿宋_GB2312" w:eastAsia="仿宋_GB2312"/>
                <w:sz w:val="28"/>
                <w:szCs w:val="28"/>
              </w:rPr>
            </w:pPr>
            <w:r>
              <w:rPr>
                <w:rFonts w:hint="eastAsia" w:ascii="仿宋_GB2312" w:eastAsia="仿宋_GB2312"/>
                <w:sz w:val="28"/>
                <w:szCs w:val="28"/>
              </w:rPr>
              <w:t>五、促进能源清洁发展</w:t>
            </w:r>
          </w:p>
        </w:tc>
        <w:tc>
          <w:tcPr>
            <w:tcW w:w="7430" w:type="dxa"/>
            <w:vAlign w:val="center"/>
          </w:tcPr>
          <w:p>
            <w:pPr>
              <w:pStyle w:val="16"/>
              <w:spacing w:before="215" w:line="360" w:lineRule="exact"/>
              <w:ind w:right="94"/>
              <w:jc w:val="both"/>
              <w:rPr>
                <w:rFonts w:hint="eastAsia" w:ascii="仿宋_GB2312" w:eastAsia="仿宋_GB2312"/>
                <w:sz w:val="28"/>
                <w:szCs w:val="28"/>
              </w:rPr>
            </w:pPr>
            <w:r>
              <w:rPr>
                <w:rFonts w:hint="eastAsia" w:ascii="仿宋_GB2312" w:eastAsia="仿宋_GB2312"/>
                <w:spacing w:val="-5"/>
                <w:sz w:val="28"/>
                <w:szCs w:val="28"/>
              </w:rPr>
              <w:t>11.</w:t>
            </w:r>
            <w:r>
              <w:rPr>
                <w:rFonts w:hint="eastAsia" w:ascii="仿宋_GB2312" w:eastAsia="仿宋_GB2312"/>
                <w:spacing w:val="-11"/>
                <w:sz w:val="28"/>
                <w:szCs w:val="28"/>
              </w:rPr>
              <w:t>研究制定氢能、海洋能等新能源发展的标准规范和</w:t>
            </w:r>
            <w:r>
              <w:rPr>
                <w:rFonts w:hint="eastAsia" w:ascii="仿宋_GB2312" w:eastAsia="仿宋_GB2312"/>
                <w:spacing w:val="-5"/>
                <w:sz w:val="28"/>
                <w:szCs w:val="28"/>
              </w:rPr>
              <w:t>支持政策</w:t>
            </w:r>
            <w:r>
              <w:rPr>
                <w:rFonts w:hint="eastAsia" w:ascii="仿宋_GB2312" w:eastAsia="仿宋_GB2312"/>
                <w:sz w:val="28"/>
                <w:szCs w:val="28"/>
              </w:rPr>
              <w:t xml:space="preserve">（2021 </w:t>
            </w:r>
            <w:r>
              <w:rPr>
                <w:rFonts w:hint="eastAsia" w:ascii="仿宋_GB2312" w:eastAsia="仿宋_GB2312"/>
                <w:spacing w:val="-2"/>
                <w:sz w:val="28"/>
                <w:szCs w:val="28"/>
              </w:rPr>
              <w:t>年完成</w:t>
            </w:r>
            <w:r>
              <w:rPr>
                <w:rFonts w:hint="eastAsia" w:ascii="仿宋_GB2312" w:eastAsia="仿宋_GB2312"/>
                <w:sz w:val="28"/>
                <w:szCs w:val="28"/>
              </w:rPr>
              <w:t>）</w:t>
            </w:r>
          </w:p>
        </w:tc>
        <w:tc>
          <w:tcPr>
            <w:tcW w:w="3892" w:type="dxa"/>
            <w:vAlign w:val="center"/>
          </w:tcPr>
          <w:p>
            <w:pPr>
              <w:pStyle w:val="16"/>
              <w:spacing w:before="11" w:line="360" w:lineRule="exact"/>
              <w:ind w:left="106" w:right="132"/>
              <w:jc w:val="both"/>
              <w:rPr>
                <w:rFonts w:hint="eastAsia" w:ascii="仿宋_GB2312" w:eastAsia="仿宋_GB2312"/>
                <w:sz w:val="28"/>
                <w:szCs w:val="28"/>
              </w:rPr>
            </w:pPr>
            <w:r>
              <w:rPr>
                <w:rFonts w:hint="eastAsia" w:ascii="仿宋_GB2312" w:eastAsia="仿宋_GB2312"/>
                <w:sz w:val="28"/>
                <w:szCs w:val="28"/>
              </w:rPr>
              <w:t>能源局、国家发展改革委、科技部、工业和信息化部、自然</w:t>
            </w:r>
          </w:p>
          <w:p>
            <w:pPr>
              <w:pStyle w:val="16"/>
              <w:spacing w:line="360" w:lineRule="exact"/>
              <w:ind w:left="106"/>
              <w:jc w:val="both"/>
              <w:rPr>
                <w:rFonts w:hint="eastAsia" w:ascii="仿宋_GB2312" w:eastAsia="仿宋_GB2312"/>
                <w:sz w:val="28"/>
                <w:szCs w:val="28"/>
              </w:rPr>
            </w:pPr>
            <w:r>
              <w:rPr>
                <w:rFonts w:hint="eastAsia" w:ascii="仿宋_GB2312" w:eastAsia="仿宋_GB2312"/>
                <w:sz w:val="28"/>
                <w:szCs w:val="28"/>
              </w:rPr>
              <w:t>资源部、市场监管总局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444" w:type="dxa"/>
            <w:vMerge w:val="continue"/>
            <w:vAlign w:val="center"/>
          </w:tcPr>
          <w:p>
            <w:pPr>
              <w:spacing w:line="360" w:lineRule="exact"/>
              <w:rPr>
                <w:rFonts w:hint="eastAsia" w:ascii="仿宋_GB2312" w:eastAsia="仿宋_GB2312"/>
                <w:sz w:val="28"/>
                <w:szCs w:val="28"/>
              </w:rPr>
            </w:pPr>
          </w:p>
        </w:tc>
        <w:tc>
          <w:tcPr>
            <w:tcW w:w="7430" w:type="dxa"/>
            <w:vAlign w:val="center"/>
          </w:tcPr>
          <w:p>
            <w:pPr>
              <w:pStyle w:val="16"/>
              <w:spacing w:before="64" w:line="360" w:lineRule="exact"/>
              <w:ind w:right="-15"/>
              <w:jc w:val="both"/>
              <w:rPr>
                <w:rFonts w:hint="eastAsia" w:ascii="仿宋_GB2312" w:eastAsia="仿宋_GB2312"/>
                <w:sz w:val="28"/>
                <w:szCs w:val="28"/>
              </w:rPr>
            </w:pPr>
            <w:r>
              <w:rPr>
                <w:rFonts w:hint="eastAsia" w:ascii="仿宋_GB2312" w:eastAsia="仿宋_GB2312"/>
                <w:sz w:val="28"/>
                <w:szCs w:val="28"/>
              </w:rPr>
              <w:t>12.</w:t>
            </w:r>
            <w:r>
              <w:rPr>
                <w:rFonts w:hint="eastAsia" w:ascii="仿宋_GB2312" w:eastAsia="仿宋_GB2312"/>
                <w:spacing w:val="-3"/>
                <w:sz w:val="28"/>
                <w:szCs w:val="28"/>
              </w:rPr>
              <w:t>建立健全煤炭清洁开发利用政策机制（</w:t>
            </w:r>
            <w:r>
              <w:rPr>
                <w:rFonts w:hint="eastAsia" w:ascii="仿宋_GB2312" w:eastAsia="仿宋_GB2312"/>
                <w:spacing w:val="-1"/>
                <w:sz w:val="28"/>
                <w:szCs w:val="28"/>
              </w:rPr>
              <w:t>持续推进</w:t>
            </w:r>
            <w:r>
              <w:rPr>
                <w:rFonts w:hint="eastAsia" w:ascii="仿宋_GB2312" w:eastAsia="仿宋_GB2312"/>
                <w:sz w:val="28"/>
                <w:szCs w:val="28"/>
              </w:rPr>
              <w:t>）</w:t>
            </w:r>
          </w:p>
        </w:tc>
        <w:tc>
          <w:tcPr>
            <w:tcW w:w="3892" w:type="dxa"/>
            <w:vAlign w:val="center"/>
          </w:tcPr>
          <w:p>
            <w:pPr>
              <w:pStyle w:val="16"/>
              <w:spacing w:before="64" w:line="360" w:lineRule="exact"/>
              <w:ind w:left="106"/>
              <w:jc w:val="both"/>
              <w:rPr>
                <w:rFonts w:hint="eastAsia" w:ascii="仿宋_GB2312" w:eastAsia="仿宋_GB2312"/>
                <w:sz w:val="28"/>
                <w:szCs w:val="28"/>
              </w:rPr>
            </w:pPr>
            <w:r>
              <w:rPr>
                <w:rFonts w:hint="eastAsia" w:ascii="仿宋_GB2312" w:eastAsia="仿宋_GB2312"/>
                <w:sz w:val="28"/>
                <w:szCs w:val="28"/>
              </w:rPr>
              <w:t>能源局、国家发展改革委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444" w:type="dxa"/>
            <w:vMerge w:val="restart"/>
            <w:vAlign w:val="center"/>
          </w:tcPr>
          <w:p>
            <w:pPr>
              <w:pStyle w:val="16"/>
              <w:spacing w:line="360" w:lineRule="exact"/>
              <w:ind w:left="224"/>
              <w:jc w:val="both"/>
              <w:rPr>
                <w:rFonts w:hint="eastAsia" w:ascii="仿宋_GB2312" w:eastAsia="仿宋_GB2312"/>
                <w:sz w:val="28"/>
                <w:szCs w:val="28"/>
              </w:rPr>
            </w:pPr>
            <w:r>
              <w:rPr>
                <w:rFonts w:hint="eastAsia" w:ascii="仿宋_GB2312" w:eastAsia="仿宋_GB2312"/>
                <w:sz w:val="28"/>
                <w:szCs w:val="28"/>
              </w:rPr>
              <w:t>六、推进农业绿色发展</w:t>
            </w:r>
          </w:p>
        </w:tc>
        <w:tc>
          <w:tcPr>
            <w:tcW w:w="7430" w:type="dxa"/>
            <w:vAlign w:val="center"/>
          </w:tcPr>
          <w:p>
            <w:pPr>
              <w:pStyle w:val="16"/>
              <w:spacing w:before="64" w:line="360" w:lineRule="exact"/>
              <w:jc w:val="both"/>
              <w:rPr>
                <w:rFonts w:hint="eastAsia" w:ascii="仿宋_GB2312" w:eastAsia="仿宋_GB2312"/>
                <w:sz w:val="28"/>
                <w:szCs w:val="28"/>
              </w:rPr>
            </w:pPr>
            <w:r>
              <w:rPr>
                <w:rFonts w:hint="eastAsia" w:ascii="仿宋_GB2312" w:eastAsia="仿宋_GB2312"/>
                <w:sz w:val="28"/>
                <w:szCs w:val="28"/>
              </w:rPr>
              <w:t>13.建立有机肥替代化肥推广政策机制（2020 年完成</w:t>
            </w:r>
          </w:p>
        </w:tc>
        <w:tc>
          <w:tcPr>
            <w:tcW w:w="3892" w:type="dxa"/>
            <w:vAlign w:val="center"/>
          </w:tcPr>
          <w:p>
            <w:pPr>
              <w:pStyle w:val="16"/>
              <w:spacing w:before="64" w:line="360" w:lineRule="exact"/>
              <w:ind w:left="-249"/>
              <w:jc w:val="both"/>
              <w:rPr>
                <w:rFonts w:hint="eastAsia" w:ascii="仿宋_GB2312" w:eastAsia="仿宋_GB2312"/>
                <w:sz w:val="28"/>
                <w:szCs w:val="28"/>
              </w:rPr>
            </w:pPr>
            <w:r>
              <w:rPr>
                <w:rFonts w:hint="eastAsia" w:ascii="仿宋_GB2312" w:eastAsia="仿宋_GB2312"/>
                <w:sz w:val="28"/>
                <w:szCs w:val="28"/>
              </w:rPr>
              <w:t>） 农业农村部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2444" w:type="dxa"/>
            <w:vMerge w:val="continue"/>
            <w:vAlign w:val="center"/>
          </w:tcPr>
          <w:p>
            <w:pPr>
              <w:spacing w:line="360" w:lineRule="exact"/>
              <w:rPr>
                <w:rFonts w:hint="eastAsia" w:ascii="仿宋_GB2312" w:eastAsia="仿宋_GB2312"/>
                <w:sz w:val="28"/>
                <w:szCs w:val="28"/>
              </w:rPr>
            </w:pPr>
          </w:p>
        </w:tc>
        <w:tc>
          <w:tcPr>
            <w:tcW w:w="7430" w:type="dxa"/>
            <w:vAlign w:val="center"/>
          </w:tcPr>
          <w:p>
            <w:pPr>
              <w:pStyle w:val="16"/>
              <w:spacing w:line="360" w:lineRule="exact"/>
              <w:jc w:val="both"/>
              <w:rPr>
                <w:rFonts w:hint="eastAsia" w:ascii="仿宋_GB2312" w:eastAsia="仿宋_GB2312"/>
                <w:spacing w:val="-11"/>
                <w:sz w:val="28"/>
                <w:szCs w:val="28"/>
              </w:rPr>
            </w:pPr>
            <w:r>
              <w:rPr>
                <w:rFonts w:hint="eastAsia" w:ascii="仿宋_GB2312" w:eastAsia="仿宋_GB2312"/>
                <w:spacing w:val="-11"/>
                <w:sz w:val="28"/>
                <w:szCs w:val="28"/>
              </w:rPr>
              <w:t>14.实施化学农药减量替代计划，建立生物防治替代化学防治推广政策机制（2020 年完成）</w:t>
            </w:r>
          </w:p>
        </w:tc>
        <w:tc>
          <w:tcPr>
            <w:tcW w:w="3892" w:type="dxa"/>
            <w:vAlign w:val="center"/>
          </w:tcPr>
          <w:p>
            <w:pPr>
              <w:pStyle w:val="16"/>
              <w:spacing w:before="179" w:line="360" w:lineRule="exact"/>
              <w:ind w:left="106"/>
              <w:jc w:val="both"/>
              <w:rPr>
                <w:rFonts w:hint="eastAsia" w:ascii="仿宋_GB2312" w:eastAsia="仿宋_GB2312"/>
                <w:sz w:val="28"/>
                <w:szCs w:val="28"/>
              </w:rPr>
            </w:pPr>
            <w:r>
              <w:rPr>
                <w:rFonts w:hint="eastAsia" w:ascii="仿宋_GB2312" w:eastAsia="仿宋_GB2312"/>
                <w:sz w:val="28"/>
                <w:szCs w:val="28"/>
              </w:rPr>
              <w:t>农业农村部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2444" w:type="dxa"/>
            <w:vMerge w:val="continue"/>
            <w:vAlign w:val="center"/>
          </w:tcPr>
          <w:p>
            <w:pPr>
              <w:spacing w:line="360" w:lineRule="exact"/>
              <w:rPr>
                <w:rFonts w:hint="eastAsia" w:ascii="仿宋_GB2312" w:eastAsia="仿宋_GB2312"/>
                <w:sz w:val="28"/>
                <w:szCs w:val="28"/>
              </w:rPr>
            </w:pPr>
          </w:p>
        </w:tc>
        <w:tc>
          <w:tcPr>
            <w:tcW w:w="7430" w:type="dxa"/>
            <w:vAlign w:val="center"/>
          </w:tcPr>
          <w:p>
            <w:pPr>
              <w:pStyle w:val="16"/>
              <w:spacing w:line="360" w:lineRule="exact"/>
              <w:jc w:val="both"/>
              <w:rPr>
                <w:rFonts w:hint="eastAsia" w:ascii="仿宋_GB2312" w:eastAsia="仿宋_GB2312"/>
                <w:spacing w:val="-11"/>
                <w:sz w:val="28"/>
                <w:szCs w:val="28"/>
              </w:rPr>
            </w:pPr>
            <w:r>
              <w:rPr>
                <w:rFonts w:hint="eastAsia" w:ascii="仿宋_GB2312" w:eastAsia="仿宋_GB2312"/>
                <w:spacing w:val="-11"/>
                <w:sz w:val="28"/>
                <w:szCs w:val="28"/>
              </w:rPr>
              <w:t>15.制定农用薄膜管理办法（2020 年完成）</w:t>
            </w:r>
          </w:p>
        </w:tc>
        <w:tc>
          <w:tcPr>
            <w:tcW w:w="3892" w:type="dxa"/>
            <w:vAlign w:val="center"/>
          </w:tcPr>
          <w:p>
            <w:pPr>
              <w:pStyle w:val="16"/>
              <w:spacing w:line="360" w:lineRule="exact"/>
              <w:ind w:left="106"/>
              <w:jc w:val="both"/>
              <w:rPr>
                <w:rFonts w:hint="eastAsia" w:ascii="仿宋_GB2312" w:eastAsia="仿宋_GB2312"/>
                <w:sz w:val="28"/>
                <w:szCs w:val="28"/>
              </w:rPr>
            </w:pPr>
            <w:r>
              <w:rPr>
                <w:rFonts w:hint="eastAsia" w:ascii="仿宋_GB2312" w:eastAsia="仿宋_GB2312"/>
                <w:sz w:val="28"/>
                <w:szCs w:val="28"/>
              </w:rPr>
              <w:t>农业农村部、工业和信息化部</w:t>
            </w:r>
          </w:p>
          <w:p>
            <w:pPr>
              <w:pStyle w:val="16"/>
              <w:spacing w:line="360" w:lineRule="exact"/>
              <w:ind w:left="106"/>
              <w:jc w:val="both"/>
              <w:rPr>
                <w:rFonts w:hint="eastAsia" w:ascii="仿宋_GB2312" w:eastAsia="仿宋_GB2312"/>
                <w:sz w:val="28"/>
                <w:szCs w:val="28"/>
              </w:rPr>
            </w:pPr>
            <w:r>
              <w:rPr>
                <w:rFonts w:hint="eastAsia" w:ascii="仿宋_GB2312" w:eastAsia="仿宋_GB2312"/>
                <w:sz w:val="28"/>
                <w:szCs w:val="28"/>
              </w:rPr>
              <w:t>生态环境部、市场监管总局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2444" w:type="dxa"/>
            <w:vMerge w:val="restart"/>
            <w:vAlign w:val="center"/>
          </w:tcPr>
          <w:p>
            <w:pPr>
              <w:spacing w:line="360" w:lineRule="exact"/>
              <w:rPr>
                <w:rFonts w:hint="eastAsia" w:ascii="仿宋_GB2312" w:eastAsia="仿宋_GB2312"/>
                <w:sz w:val="28"/>
                <w:szCs w:val="28"/>
              </w:rPr>
            </w:pPr>
            <w:r>
              <w:rPr>
                <w:rFonts w:hint="eastAsia" w:ascii="仿宋_GB2312" w:eastAsia="仿宋_GB2312"/>
                <w:sz w:val="28"/>
                <w:szCs w:val="28"/>
              </w:rPr>
              <w:t>六、推进农业绿色发展</w:t>
            </w:r>
          </w:p>
        </w:tc>
        <w:tc>
          <w:tcPr>
            <w:tcW w:w="7430" w:type="dxa"/>
            <w:vAlign w:val="center"/>
          </w:tcPr>
          <w:p>
            <w:pPr>
              <w:pStyle w:val="16"/>
              <w:spacing w:line="360" w:lineRule="exact"/>
              <w:jc w:val="both"/>
              <w:rPr>
                <w:rFonts w:hint="eastAsia" w:ascii="仿宋_GB2312" w:eastAsia="仿宋_GB2312"/>
                <w:spacing w:val="-11"/>
                <w:sz w:val="28"/>
                <w:szCs w:val="28"/>
              </w:rPr>
            </w:pPr>
            <w:r>
              <w:rPr>
                <w:rFonts w:hint="eastAsia" w:ascii="仿宋_GB2312" w:eastAsia="仿宋_GB2312"/>
                <w:spacing w:val="-11"/>
                <w:sz w:val="28"/>
                <w:szCs w:val="28"/>
              </w:rPr>
              <w:t>16.加快制定农药包装废弃物回收处理管理办法（2020年完成）</w:t>
            </w:r>
          </w:p>
        </w:tc>
        <w:tc>
          <w:tcPr>
            <w:tcW w:w="3892" w:type="dxa"/>
            <w:vAlign w:val="center"/>
          </w:tcPr>
          <w:p>
            <w:pPr>
              <w:pStyle w:val="16"/>
              <w:spacing w:before="235" w:line="360" w:lineRule="exact"/>
              <w:ind w:left="106"/>
              <w:jc w:val="both"/>
              <w:rPr>
                <w:rFonts w:hint="eastAsia" w:ascii="仿宋_GB2312" w:eastAsia="仿宋_GB2312"/>
                <w:sz w:val="28"/>
                <w:szCs w:val="28"/>
              </w:rPr>
            </w:pPr>
            <w:r>
              <w:rPr>
                <w:rFonts w:hint="eastAsia" w:ascii="仿宋_GB2312" w:eastAsia="仿宋_GB2312"/>
                <w:sz w:val="28"/>
                <w:szCs w:val="28"/>
              </w:rPr>
              <w:t>农业农村部、生态环境部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2444" w:type="dxa"/>
            <w:vMerge w:val="continue"/>
            <w:vAlign w:val="center"/>
          </w:tcPr>
          <w:p>
            <w:pPr>
              <w:spacing w:line="360" w:lineRule="exact"/>
              <w:rPr>
                <w:rFonts w:hint="eastAsia" w:ascii="仿宋_GB2312" w:eastAsia="仿宋_GB2312"/>
                <w:sz w:val="28"/>
                <w:szCs w:val="28"/>
              </w:rPr>
            </w:pPr>
          </w:p>
        </w:tc>
        <w:tc>
          <w:tcPr>
            <w:tcW w:w="7430" w:type="dxa"/>
            <w:vAlign w:val="center"/>
          </w:tcPr>
          <w:p>
            <w:pPr>
              <w:pStyle w:val="16"/>
              <w:spacing w:line="360" w:lineRule="exact"/>
              <w:jc w:val="both"/>
              <w:rPr>
                <w:rFonts w:hint="eastAsia" w:ascii="仿宋_GB2312" w:eastAsia="仿宋_GB2312"/>
                <w:spacing w:val="-11"/>
                <w:sz w:val="28"/>
                <w:szCs w:val="28"/>
              </w:rPr>
            </w:pPr>
            <w:r>
              <w:rPr>
                <w:rFonts w:hint="eastAsia" w:ascii="仿宋_GB2312" w:eastAsia="仿宋_GB2312"/>
                <w:spacing w:val="-11"/>
                <w:sz w:val="28"/>
                <w:szCs w:val="28"/>
              </w:rPr>
              <w:t>17.落实畜禽粪污资源化利用制度（2020 年完成）</w:t>
            </w:r>
          </w:p>
        </w:tc>
        <w:tc>
          <w:tcPr>
            <w:tcW w:w="3892" w:type="dxa"/>
            <w:vAlign w:val="center"/>
          </w:tcPr>
          <w:p>
            <w:pPr>
              <w:pStyle w:val="16"/>
              <w:spacing w:before="121" w:line="360" w:lineRule="exact"/>
              <w:ind w:left="106"/>
              <w:jc w:val="both"/>
              <w:rPr>
                <w:rFonts w:hint="eastAsia" w:ascii="仿宋_GB2312" w:eastAsia="仿宋_GB2312"/>
                <w:sz w:val="28"/>
                <w:szCs w:val="28"/>
              </w:rPr>
            </w:pPr>
            <w:r>
              <w:rPr>
                <w:rFonts w:hint="eastAsia" w:ascii="仿宋_GB2312" w:eastAsia="仿宋_GB2312"/>
                <w:sz w:val="28"/>
                <w:szCs w:val="28"/>
              </w:rPr>
              <w:t>农业农村部、国家发展改革委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2444" w:type="dxa"/>
            <w:vMerge w:val="continue"/>
            <w:vAlign w:val="center"/>
          </w:tcPr>
          <w:p>
            <w:pPr>
              <w:spacing w:line="360" w:lineRule="exact"/>
              <w:rPr>
                <w:rFonts w:hint="eastAsia" w:ascii="仿宋_GB2312" w:eastAsia="仿宋_GB2312"/>
                <w:sz w:val="28"/>
                <w:szCs w:val="28"/>
              </w:rPr>
            </w:pPr>
          </w:p>
        </w:tc>
        <w:tc>
          <w:tcPr>
            <w:tcW w:w="7430" w:type="dxa"/>
            <w:vAlign w:val="center"/>
          </w:tcPr>
          <w:p>
            <w:pPr>
              <w:pStyle w:val="16"/>
              <w:spacing w:line="360" w:lineRule="exact"/>
              <w:jc w:val="both"/>
              <w:rPr>
                <w:rFonts w:hint="eastAsia" w:ascii="仿宋_GB2312" w:eastAsia="仿宋_GB2312"/>
                <w:sz w:val="28"/>
                <w:szCs w:val="28"/>
              </w:rPr>
            </w:pPr>
            <w:r>
              <w:rPr>
                <w:rFonts w:hint="eastAsia" w:ascii="仿宋_GB2312" w:eastAsia="仿宋_GB2312"/>
                <w:sz w:val="28"/>
                <w:szCs w:val="28"/>
              </w:rPr>
              <w:t>18.完善落实水产养殖业绿色发展政策（持续推进）</w:t>
            </w:r>
          </w:p>
        </w:tc>
        <w:tc>
          <w:tcPr>
            <w:tcW w:w="3892" w:type="dxa"/>
            <w:vAlign w:val="center"/>
          </w:tcPr>
          <w:p>
            <w:pPr>
              <w:pStyle w:val="16"/>
              <w:spacing w:before="13" w:line="360" w:lineRule="exact"/>
              <w:ind w:left="106" w:right="132"/>
              <w:jc w:val="both"/>
              <w:rPr>
                <w:rFonts w:hint="eastAsia" w:ascii="仿宋_GB2312" w:eastAsia="仿宋_GB2312"/>
                <w:sz w:val="28"/>
                <w:szCs w:val="28"/>
              </w:rPr>
            </w:pPr>
            <w:r>
              <w:rPr>
                <w:rFonts w:hint="eastAsia" w:ascii="仿宋_GB2312" w:eastAsia="仿宋_GB2312"/>
                <w:sz w:val="28"/>
                <w:szCs w:val="28"/>
              </w:rPr>
              <w:t>农业农村部、生态环境部、自然资源部、国家发展改革委、</w:t>
            </w:r>
          </w:p>
          <w:p>
            <w:pPr>
              <w:pStyle w:val="16"/>
              <w:spacing w:line="360" w:lineRule="exact"/>
              <w:ind w:left="106"/>
              <w:jc w:val="both"/>
              <w:rPr>
                <w:rFonts w:hint="eastAsia" w:ascii="仿宋_GB2312" w:eastAsia="仿宋_GB2312"/>
                <w:sz w:val="28"/>
                <w:szCs w:val="28"/>
              </w:rPr>
            </w:pPr>
            <w:r>
              <w:rPr>
                <w:rFonts w:hint="eastAsia" w:ascii="仿宋_GB2312" w:eastAsia="仿宋_GB2312"/>
                <w:sz w:val="28"/>
                <w:szCs w:val="28"/>
              </w:rPr>
              <w:t>财政部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4" w:type="dxa"/>
            <w:vMerge w:val="continue"/>
            <w:vAlign w:val="center"/>
          </w:tcPr>
          <w:p>
            <w:pPr>
              <w:spacing w:line="360" w:lineRule="exact"/>
              <w:rPr>
                <w:rFonts w:hint="eastAsia" w:ascii="仿宋_GB2312" w:eastAsia="仿宋_GB2312"/>
                <w:sz w:val="28"/>
                <w:szCs w:val="28"/>
              </w:rPr>
            </w:pPr>
          </w:p>
        </w:tc>
        <w:tc>
          <w:tcPr>
            <w:tcW w:w="7430" w:type="dxa"/>
            <w:vAlign w:val="center"/>
          </w:tcPr>
          <w:p>
            <w:pPr>
              <w:pStyle w:val="16"/>
              <w:spacing w:before="121" w:line="360" w:lineRule="exact"/>
              <w:jc w:val="both"/>
              <w:rPr>
                <w:rFonts w:hint="eastAsia" w:ascii="仿宋_GB2312" w:eastAsia="仿宋_GB2312"/>
                <w:sz w:val="28"/>
                <w:szCs w:val="28"/>
              </w:rPr>
            </w:pPr>
            <w:r>
              <w:rPr>
                <w:rFonts w:hint="eastAsia" w:ascii="仿宋_GB2312" w:eastAsia="仿宋_GB2312"/>
                <w:sz w:val="28"/>
                <w:szCs w:val="28"/>
              </w:rPr>
              <w:t>19.建立农业绿色生产技术推广机制（持续推进）</w:t>
            </w:r>
          </w:p>
        </w:tc>
        <w:tc>
          <w:tcPr>
            <w:tcW w:w="3892" w:type="dxa"/>
            <w:vAlign w:val="center"/>
          </w:tcPr>
          <w:p>
            <w:pPr>
              <w:pStyle w:val="16"/>
              <w:spacing w:before="121" w:line="360" w:lineRule="exact"/>
              <w:ind w:left="106"/>
              <w:jc w:val="both"/>
              <w:rPr>
                <w:rFonts w:hint="eastAsia" w:ascii="仿宋_GB2312" w:eastAsia="仿宋_GB2312"/>
                <w:sz w:val="28"/>
                <w:szCs w:val="28"/>
              </w:rPr>
            </w:pPr>
            <w:r>
              <w:rPr>
                <w:rFonts w:hint="eastAsia" w:ascii="仿宋_GB2312" w:eastAsia="仿宋_GB2312"/>
                <w:sz w:val="28"/>
                <w:szCs w:val="28"/>
              </w:rPr>
              <w:t>农业农村部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444" w:type="dxa"/>
            <w:vMerge w:val="continue"/>
            <w:vAlign w:val="center"/>
          </w:tcPr>
          <w:p>
            <w:pPr>
              <w:spacing w:line="360" w:lineRule="exact"/>
              <w:rPr>
                <w:rFonts w:hint="eastAsia" w:ascii="仿宋_GB2312" w:eastAsia="仿宋_GB2312"/>
                <w:sz w:val="28"/>
                <w:szCs w:val="28"/>
              </w:rPr>
            </w:pPr>
          </w:p>
        </w:tc>
        <w:tc>
          <w:tcPr>
            <w:tcW w:w="7430" w:type="dxa"/>
            <w:vAlign w:val="center"/>
          </w:tcPr>
          <w:p>
            <w:pPr>
              <w:pStyle w:val="16"/>
              <w:spacing w:before="121" w:line="360" w:lineRule="exact"/>
              <w:jc w:val="both"/>
              <w:rPr>
                <w:rFonts w:hint="eastAsia" w:ascii="仿宋_GB2312" w:eastAsia="仿宋_GB2312"/>
                <w:sz w:val="28"/>
                <w:szCs w:val="28"/>
              </w:rPr>
            </w:pPr>
            <w:r>
              <w:rPr>
                <w:rFonts w:hint="eastAsia" w:ascii="仿宋_GB2312" w:eastAsia="仿宋_GB2312"/>
                <w:sz w:val="28"/>
                <w:szCs w:val="28"/>
              </w:rPr>
              <w:t>20.建立健全农业绿色发展相关标准（2022 年完成）</w:t>
            </w:r>
          </w:p>
        </w:tc>
        <w:tc>
          <w:tcPr>
            <w:tcW w:w="3892" w:type="dxa"/>
            <w:vAlign w:val="center"/>
          </w:tcPr>
          <w:p>
            <w:pPr>
              <w:pStyle w:val="16"/>
              <w:spacing w:before="121" w:line="360" w:lineRule="exact"/>
              <w:ind w:left="106"/>
              <w:jc w:val="both"/>
              <w:rPr>
                <w:rFonts w:hint="eastAsia" w:ascii="仿宋_GB2312" w:eastAsia="仿宋_GB2312"/>
                <w:sz w:val="28"/>
                <w:szCs w:val="28"/>
              </w:rPr>
            </w:pPr>
            <w:r>
              <w:rPr>
                <w:rFonts w:hint="eastAsia" w:ascii="仿宋_GB2312" w:eastAsia="仿宋_GB2312"/>
                <w:sz w:val="28"/>
                <w:szCs w:val="28"/>
              </w:rPr>
              <w:t>农业农村部、市场监管总局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2444" w:type="dxa"/>
            <w:vMerge w:val="restart"/>
            <w:vAlign w:val="center"/>
          </w:tcPr>
          <w:p>
            <w:pPr>
              <w:pStyle w:val="16"/>
              <w:spacing w:line="360" w:lineRule="exact"/>
              <w:ind w:left="123"/>
              <w:jc w:val="both"/>
              <w:rPr>
                <w:rFonts w:hint="eastAsia" w:ascii="仿宋_GB2312" w:eastAsia="仿宋_GB2312"/>
                <w:sz w:val="28"/>
                <w:szCs w:val="28"/>
              </w:rPr>
            </w:pPr>
            <w:r>
              <w:rPr>
                <w:rFonts w:hint="eastAsia" w:ascii="仿宋_GB2312" w:eastAsia="仿宋_GB2312"/>
                <w:sz w:val="28"/>
                <w:szCs w:val="28"/>
              </w:rPr>
              <w:t>七、促进服务业绿色发展</w:t>
            </w:r>
          </w:p>
        </w:tc>
        <w:tc>
          <w:tcPr>
            <w:tcW w:w="7430" w:type="dxa"/>
            <w:vAlign w:val="center"/>
          </w:tcPr>
          <w:p>
            <w:pPr>
              <w:pStyle w:val="16"/>
              <w:spacing w:line="360" w:lineRule="exact"/>
              <w:ind w:right="94"/>
              <w:jc w:val="both"/>
              <w:rPr>
                <w:rFonts w:hint="eastAsia" w:ascii="仿宋_GB2312" w:eastAsia="仿宋_GB2312"/>
                <w:sz w:val="28"/>
                <w:szCs w:val="28"/>
              </w:rPr>
            </w:pPr>
            <w:r>
              <w:rPr>
                <w:rFonts w:hint="eastAsia" w:ascii="仿宋_GB2312" w:eastAsia="仿宋_GB2312"/>
                <w:spacing w:val="-1"/>
                <w:sz w:val="28"/>
                <w:szCs w:val="28"/>
              </w:rPr>
              <w:t>21.</w:t>
            </w:r>
            <w:r>
              <w:rPr>
                <w:rFonts w:hint="eastAsia" w:ascii="仿宋_GB2312" w:eastAsia="仿宋_GB2312"/>
                <w:spacing w:val="-13"/>
                <w:sz w:val="28"/>
                <w:szCs w:val="28"/>
              </w:rPr>
              <w:t>加快建立健全快递、电子商务、外卖等领域绿色包</w:t>
            </w:r>
            <w:r>
              <w:rPr>
                <w:rFonts w:hint="eastAsia" w:ascii="仿宋_GB2312" w:eastAsia="仿宋_GB2312"/>
                <w:spacing w:val="-5"/>
                <w:sz w:val="28"/>
                <w:szCs w:val="28"/>
              </w:rPr>
              <w:t>装的法律、标准、政策体系</w:t>
            </w:r>
            <w:r>
              <w:rPr>
                <w:rFonts w:hint="eastAsia" w:ascii="仿宋_GB2312" w:eastAsia="仿宋_GB2312"/>
                <w:sz w:val="28"/>
                <w:szCs w:val="28"/>
              </w:rPr>
              <w:t>（</w:t>
            </w:r>
            <w:r>
              <w:rPr>
                <w:rFonts w:hint="eastAsia" w:ascii="仿宋_GB2312" w:eastAsia="仿宋_GB2312"/>
                <w:spacing w:val="-3"/>
                <w:sz w:val="28"/>
                <w:szCs w:val="28"/>
              </w:rPr>
              <w:t>持续推进</w:t>
            </w:r>
            <w:r>
              <w:rPr>
                <w:rFonts w:hint="eastAsia" w:ascii="仿宋_GB2312" w:eastAsia="仿宋_GB2312"/>
                <w:sz w:val="28"/>
                <w:szCs w:val="28"/>
              </w:rPr>
              <w:t>）</w:t>
            </w:r>
          </w:p>
        </w:tc>
        <w:tc>
          <w:tcPr>
            <w:tcW w:w="3892" w:type="dxa"/>
            <w:vAlign w:val="center"/>
          </w:tcPr>
          <w:p>
            <w:pPr>
              <w:pStyle w:val="16"/>
              <w:spacing w:before="11" w:line="360" w:lineRule="exact"/>
              <w:ind w:left="106" w:right="132"/>
              <w:jc w:val="both"/>
              <w:rPr>
                <w:rFonts w:hint="eastAsia" w:ascii="仿宋_GB2312" w:eastAsia="仿宋_GB2312"/>
                <w:sz w:val="28"/>
                <w:szCs w:val="28"/>
              </w:rPr>
            </w:pPr>
            <w:r>
              <w:rPr>
                <w:rFonts w:hint="eastAsia" w:ascii="仿宋_GB2312" w:eastAsia="仿宋_GB2312"/>
                <w:sz w:val="28"/>
                <w:szCs w:val="28"/>
              </w:rPr>
              <w:t>国家发展改革委、工业和信息化部、司法部、生态环境部、住房城乡建设部、交通运输部商务部、市场监管总局、邮政</w:t>
            </w:r>
          </w:p>
          <w:p>
            <w:pPr>
              <w:pStyle w:val="16"/>
              <w:spacing w:line="360" w:lineRule="exact"/>
              <w:ind w:left="106"/>
              <w:jc w:val="both"/>
              <w:rPr>
                <w:rFonts w:hint="eastAsia" w:ascii="仿宋_GB2312" w:eastAsia="仿宋_GB2312"/>
                <w:sz w:val="28"/>
                <w:szCs w:val="28"/>
              </w:rPr>
            </w:pPr>
            <w:r>
              <w:rPr>
                <w:rFonts w:hint="eastAsia" w:ascii="仿宋_GB2312" w:eastAsia="仿宋_GB2312"/>
                <w:sz w:val="28"/>
                <w:szCs w:val="28"/>
              </w:rPr>
              <w:t>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2444" w:type="dxa"/>
            <w:vMerge w:val="continue"/>
            <w:vAlign w:val="center"/>
          </w:tcPr>
          <w:p>
            <w:pPr>
              <w:pStyle w:val="16"/>
              <w:spacing w:line="360" w:lineRule="exact"/>
              <w:ind w:left="123"/>
              <w:jc w:val="both"/>
              <w:rPr>
                <w:rFonts w:hint="eastAsia" w:ascii="仿宋_GB2312" w:eastAsia="仿宋_GB2312"/>
                <w:sz w:val="28"/>
                <w:szCs w:val="28"/>
              </w:rPr>
            </w:pPr>
          </w:p>
        </w:tc>
        <w:tc>
          <w:tcPr>
            <w:tcW w:w="7430" w:type="dxa"/>
            <w:vAlign w:val="center"/>
          </w:tcPr>
          <w:p>
            <w:pPr>
              <w:pStyle w:val="16"/>
              <w:spacing w:before="84" w:line="360" w:lineRule="exact"/>
              <w:ind w:right="94"/>
              <w:jc w:val="both"/>
              <w:rPr>
                <w:rFonts w:hint="eastAsia" w:ascii="仿宋_GB2312" w:eastAsia="仿宋_GB2312"/>
                <w:sz w:val="28"/>
                <w:szCs w:val="28"/>
              </w:rPr>
            </w:pPr>
            <w:r>
              <w:rPr>
                <w:rFonts w:hint="eastAsia" w:ascii="仿宋_GB2312" w:eastAsia="仿宋_GB2312"/>
                <w:sz w:val="28"/>
                <w:szCs w:val="28"/>
              </w:rPr>
              <w:t>22.健全再生资源分类回收利用等环节管理和技术规范（2020 年完成）</w:t>
            </w:r>
          </w:p>
        </w:tc>
        <w:tc>
          <w:tcPr>
            <w:tcW w:w="3892" w:type="dxa"/>
            <w:vAlign w:val="center"/>
          </w:tcPr>
          <w:p>
            <w:pPr>
              <w:pStyle w:val="16"/>
              <w:spacing w:before="84" w:line="360" w:lineRule="exact"/>
              <w:ind w:left="106" w:right="132"/>
              <w:jc w:val="both"/>
              <w:rPr>
                <w:rFonts w:hint="eastAsia" w:ascii="仿宋_GB2312" w:eastAsia="仿宋_GB2312"/>
                <w:sz w:val="28"/>
                <w:szCs w:val="28"/>
              </w:rPr>
            </w:pPr>
            <w:r>
              <w:rPr>
                <w:rFonts w:hint="eastAsia" w:ascii="仿宋_GB2312" w:eastAsia="仿宋_GB2312"/>
                <w:sz w:val="28"/>
                <w:szCs w:val="28"/>
              </w:rPr>
              <w:t>商务部、工业和信息化部、市场监管总局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2444" w:type="dxa"/>
            <w:vMerge w:val="restart"/>
            <w:vAlign w:val="center"/>
          </w:tcPr>
          <w:p>
            <w:pPr>
              <w:pStyle w:val="16"/>
              <w:spacing w:line="360" w:lineRule="exact"/>
              <w:ind w:left="123"/>
              <w:jc w:val="both"/>
              <w:rPr>
                <w:rFonts w:hint="eastAsia" w:ascii="仿宋_GB2312" w:eastAsia="仿宋_GB2312"/>
                <w:sz w:val="28"/>
                <w:szCs w:val="28"/>
              </w:rPr>
            </w:pPr>
            <w:r>
              <w:rPr>
                <w:rFonts w:hint="eastAsia" w:ascii="仿宋_GB2312" w:eastAsia="仿宋_GB2312"/>
                <w:sz w:val="28"/>
                <w:szCs w:val="28"/>
              </w:rPr>
              <w:t>八、扩大绿色产品消费</w:t>
            </w:r>
          </w:p>
        </w:tc>
        <w:tc>
          <w:tcPr>
            <w:tcW w:w="7430" w:type="dxa"/>
            <w:vAlign w:val="center"/>
          </w:tcPr>
          <w:p>
            <w:pPr>
              <w:pStyle w:val="16"/>
              <w:spacing w:line="360" w:lineRule="exact"/>
              <w:jc w:val="both"/>
              <w:rPr>
                <w:rFonts w:hint="eastAsia" w:ascii="仿宋_GB2312" w:eastAsia="仿宋_GB2312"/>
                <w:sz w:val="28"/>
                <w:szCs w:val="28"/>
              </w:rPr>
            </w:pPr>
            <w:r>
              <w:rPr>
                <w:rFonts w:hint="eastAsia" w:ascii="仿宋_GB2312" w:eastAsia="仿宋_GB2312"/>
                <w:sz w:val="28"/>
                <w:szCs w:val="28"/>
              </w:rPr>
              <w:t>23.积极推行绿色产品政府采购制度（持续推进）</w:t>
            </w:r>
          </w:p>
        </w:tc>
        <w:tc>
          <w:tcPr>
            <w:tcW w:w="3892" w:type="dxa"/>
            <w:vAlign w:val="center"/>
          </w:tcPr>
          <w:p>
            <w:pPr>
              <w:pStyle w:val="16"/>
              <w:spacing w:line="360" w:lineRule="exact"/>
              <w:ind w:left="108" w:right="132"/>
              <w:jc w:val="both"/>
              <w:rPr>
                <w:rFonts w:hint="eastAsia" w:ascii="仿宋_GB2312" w:eastAsia="仿宋_GB2312"/>
                <w:sz w:val="28"/>
                <w:szCs w:val="28"/>
              </w:rPr>
            </w:pPr>
            <w:r>
              <w:rPr>
                <w:rFonts w:hint="eastAsia" w:ascii="仿宋_GB2312" w:eastAsia="仿宋_GB2312"/>
                <w:sz w:val="28"/>
                <w:szCs w:val="28"/>
              </w:rPr>
              <w:t>财政部、国家发展改革委、工业和信息化部、生态环境部、</w:t>
            </w:r>
          </w:p>
          <w:p>
            <w:pPr>
              <w:pStyle w:val="16"/>
              <w:spacing w:line="360" w:lineRule="exact"/>
              <w:ind w:left="108"/>
              <w:jc w:val="both"/>
              <w:rPr>
                <w:rFonts w:hint="eastAsia" w:ascii="仿宋_GB2312" w:eastAsia="仿宋_GB2312"/>
                <w:sz w:val="28"/>
                <w:szCs w:val="28"/>
              </w:rPr>
            </w:pPr>
            <w:r>
              <w:rPr>
                <w:rFonts w:hint="eastAsia" w:ascii="仿宋_GB2312" w:eastAsia="仿宋_GB2312"/>
                <w:sz w:val="28"/>
                <w:szCs w:val="28"/>
              </w:rPr>
              <w:t>市场监管总局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2444" w:type="dxa"/>
            <w:vMerge w:val="continue"/>
            <w:vAlign w:val="center"/>
          </w:tcPr>
          <w:p>
            <w:pPr>
              <w:pStyle w:val="16"/>
              <w:spacing w:line="360" w:lineRule="exact"/>
              <w:ind w:left="123"/>
              <w:jc w:val="both"/>
              <w:rPr>
                <w:rFonts w:hint="eastAsia" w:ascii="仿宋_GB2312" w:eastAsia="仿宋_GB2312"/>
                <w:sz w:val="28"/>
                <w:szCs w:val="28"/>
              </w:rPr>
            </w:pPr>
          </w:p>
        </w:tc>
        <w:tc>
          <w:tcPr>
            <w:tcW w:w="7430" w:type="dxa"/>
            <w:vAlign w:val="center"/>
          </w:tcPr>
          <w:p>
            <w:pPr>
              <w:pStyle w:val="16"/>
              <w:spacing w:before="85" w:line="360" w:lineRule="exact"/>
              <w:ind w:right="94"/>
              <w:jc w:val="both"/>
              <w:rPr>
                <w:rFonts w:hint="eastAsia" w:ascii="仿宋_GB2312" w:eastAsia="仿宋_GB2312"/>
                <w:sz w:val="28"/>
                <w:szCs w:val="28"/>
              </w:rPr>
            </w:pPr>
            <w:r>
              <w:rPr>
                <w:rFonts w:hint="eastAsia" w:ascii="仿宋_GB2312" w:eastAsia="仿宋_GB2312"/>
                <w:sz w:val="28"/>
                <w:szCs w:val="28"/>
              </w:rPr>
              <w:t>24.国有企业率先执行企业绿色采购指南（2020 年完成）</w:t>
            </w:r>
          </w:p>
        </w:tc>
        <w:tc>
          <w:tcPr>
            <w:tcW w:w="3892" w:type="dxa"/>
            <w:vAlign w:val="center"/>
          </w:tcPr>
          <w:p>
            <w:pPr>
              <w:pStyle w:val="16"/>
              <w:spacing w:before="235" w:line="360" w:lineRule="exact"/>
              <w:ind w:left="106"/>
              <w:jc w:val="both"/>
              <w:rPr>
                <w:rFonts w:hint="eastAsia" w:ascii="仿宋_GB2312" w:eastAsia="仿宋_GB2312"/>
                <w:sz w:val="28"/>
                <w:szCs w:val="28"/>
              </w:rPr>
            </w:pPr>
            <w:r>
              <w:rPr>
                <w:rFonts w:hint="eastAsia" w:ascii="仿宋_GB2312" w:eastAsia="仿宋_GB2312"/>
                <w:sz w:val="28"/>
                <w:szCs w:val="28"/>
              </w:rPr>
              <w:t>国资委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2444" w:type="dxa"/>
            <w:vMerge w:val="restart"/>
            <w:vAlign w:val="center"/>
          </w:tcPr>
          <w:p>
            <w:pPr>
              <w:pStyle w:val="16"/>
              <w:spacing w:line="360" w:lineRule="exact"/>
              <w:ind w:left="123"/>
              <w:jc w:val="both"/>
              <w:rPr>
                <w:rFonts w:hint="eastAsia" w:ascii="仿宋_GB2312" w:eastAsia="仿宋_GB2312"/>
                <w:sz w:val="28"/>
                <w:szCs w:val="28"/>
              </w:rPr>
            </w:pPr>
            <w:r>
              <w:rPr>
                <w:rFonts w:hint="eastAsia" w:ascii="仿宋_GB2312" w:eastAsia="仿宋_GB2312"/>
                <w:sz w:val="28"/>
                <w:szCs w:val="28"/>
              </w:rPr>
              <w:t>九、推行绿色生活方式</w:t>
            </w:r>
          </w:p>
        </w:tc>
        <w:tc>
          <w:tcPr>
            <w:tcW w:w="7430" w:type="dxa"/>
            <w:vAlign w:val="center"/>
          </w:tcPr>
          <w:p>
            <w:pPr>
              <w:pStyle w:val="16"/>
              <w:spacing w:before="227" w:line="360" w:lineRule="exact"/>
              <w:ind w:right="94"/>
              <w:jc w:val="both"/>
              <w:rPr>
                <w:rFonts w:hint="eastAsia" w:ascii="仿宋_GB2312" w:eastAsia="仿宋_GB2312"/>
                <w:sz w:val="28"/>
                <w:szCs w:val="28"/>
              </w:rPr>
            </w:pPr>
            <w:r>
              <w:rPr>
                <w:rFonts w:hint="eastAsia" w:ascii="仿宋_GB2312" w:eastAsia="仿宋_GB2312"/>
                <w:spacing w:val="-1"/>
                <w:sz w:val="28"/>
                <w:szCs w:val="28"/>
              </w:rPr>
              <w:t>25.</w:t>
            </w:r>
            <w:r>
              <w:rPr>
                <w:rFonts w:hint="eastAsia" w:ascii="仿宋_GB2312" w:eastAsia="仿宋_GB2312"/>
                <w:spacing w:val="-12"/>
                <w:sz w:val="28"/>
                <w:szCs w:val="28"/>
              </w:rPr>
              <w:t>完善实施居民用电、用水、用气阶梯价格政策</w:t>
            </w:r>
            <w:r>
              <w:rPr>
                <w:rFonts w:hint="eastAsia" w:ascii="仿宋_GB2312" w:eastAsia="仿宋_GB2312"/>
                <w:spacing w:val="-3"/>
                <w:sz w:val="28"/>
                <w:szCs w:val="28"/>
              </w:rPr>
              <w:t>（</w:t>
            </w:r>
            <w:r>
              <w:rPr>
                <w:rFonts w:hint="eastAsia" w:ascii="仿宋_GB2312" w:eastAsia="仿宋_GB2312"/>
                <w:sz w:val="28"/>
                <w:szCs w:val="28"/>
              </w:rPr>
              <w:t>持</w:t>
            </w:r>
            <w:r>
              <w:rPr>
                <w:rFonts w:hint="eastAsia" w:ascii="仿宋_GB2312" w:eastAsia="仿宋_GB2312"/>
                <w:spacing w:val="-2"/>
                <w:sz w:val="28"/>
                <w:szCs w:val="28"/>
              </w:rPr>
              <w:t>续推进</w:t>
            </w:r>
            <w:r>
              <w:rPr>
                <w:rFonts w:hint="eastAsia" w:ascii="仿宋_GB2312" w:eastAsia="仿宋_GB2312"/>
                <w:sz w:val="28"/>
                <w:szCs w:val="28"/>
              </w:rPr>
              <w:t>）</w:t>
            </w:r>
          </w:p>
        </w:tc>
        <w:tc>
          <w:tcPr>
            <w:tcW w:w="3892" w:type="dxa"/>
            <w:vAlign w:val="center"/>
          </w:tcPr>
          <w:p>
            <w:pPr>
              <w:pStyle w:val="16"/>
              <w:spacing w:line="360" w:lineRule="exact"/>
              <w:ind w:left="106"/>
              <w:jc w:val="both"/>
              <w:rPr>
                <w:rFonts w:hint="eastAsia" w:ascii="仿宋_GB2312" w:eastAsia="仿宋_GB2312"/>
                <w:sz w:val="28"/>
                <w:szCs w:val="28"/>
              </w:rPr>
            </w:pPr>
            <w:r>
              <w:rPr>
                <w:rFonts w:hint="eastAsia" w:ascii="仿宋_GB2312" w:eastAsia="仿宋_GB2312"/>
                <w:sz w:val="28"/>
                <w:szCs w:val="28"/>
              </w:rPr>
              <w:t>国家发展改革委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2444" w:type="dxa"/>
            <w:vMerge w:val="continue"/>
            <w:vAlign w:val="center"/>
          </w:tcPr>
          <w:p>
            <w:pPr>
              <w:pStyle w:val="16"/>
              <w:spacing w:line="360" w:lineRule="exact"/>
              <w:ind w:left="123"/>
              <w:jc w:val="both"/>
              <w:rPr>
                <w:rFonts w:hint="eastAsia" w:ascii="仿宋_GB2312" w:eastAsia="仿宋_GB2312"/>
                <w:sz w:val="28"/>
                <w:szCs w:val="28"/>
              </w:rPr>
            </w:pPr>
          </w:p>
        </w:tc>
        <w:tc>
          <w:tcPr>
            <w:tcW w:w="7430" w:type="dxa"/>
            <w:vAlign w:val="center"/>
          </w:tcPr>
          <w:p>
            <w:pPr>
              <w:pStyle w:val="16"/>
              <w:spacing w:before="29" w:line="360" w:lineRule="exact"/>
              <w:jc w:val="both"/>
              <w:rPr>
                <w:rFonts w:hint="eastAsia" w:ascii="仿宋_GB2312" w:eastAsia="仿宋_GB2312"/>
                <w:sz w:val="28"/>
                <w:szCs w:val="28"/>
              </w:rPr>
            </w:pPr>
            <w:r>
              <w:rPr>
                <w:rFonts w:hint="eastAsia" w:ascii="仿宋_GB2312" w:eastAsia="仿宋_GB2312"/>
                <w:sz w:val="28"/>
                <w:szCs w:val="28"/>
              </w:rPr>
              <w:t>26.制定进一步加强塑料污染治理的政策措施（2020年完成）</w:t>
            </w:r>
          </w:p>
        </w:tc>
        <w:tc>
          <w:tcPr>
            <w:tcW w:w="3892" w:type="dxa"/>
            <w:vAlign w:val="center"/>
          </w:tcPr>
          <w:p>
            <w:pPr>
              <w:pStyle w:val="16"/>
              <w:spacing w:before="236" w:line="360" w:lineRule="exact"/>
              <w:ind w:left="106"/>
              <w:jc w:val="both"/>
              <w:rPr>
                <w:rFonts w:hint="eastAsia" w:ascii="仿宋_GB2312" w:eastAsia="仿宋_GB2312"/>
                <w:sz w:val="28"/>
                <w:szCs w:val="28"/>
              </w:rPr>
            </w:pPr>
            <w:r>
              <w:rPr>
                <w:rFonts w:hint="eastAsia" w:ascii="仿宋_GB2312" w:eastAsia="仿宋_GB2312"/>
                <w:sz w:val="28"/>
                <w:szCs w:val="28"/>
              </w:rPr>
              <w:t>国家发展改革委、生态环境部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2444" w:type="dxa"/>
            <w:vMerge w:val="continue"/>
            <w:vAlign w:val="center"/>
          </w:tcPr>
          <w:p>
            <w:pPr>
              <w:pStyle w:val="16"/>
              <w:spacing w:line="360" w:lineRule="exact"/>
              <w:ind w:left="123"/>
              <w:jc w:val="both"/>
              <w:rPr>
                <w:rFonts w:hint="eastAsia" w:ascii="仿宋_GB2312" w:eastAsia="仿宋_GB2312"/>
                <w:sz w:val="28"/>
                <w:szCs w:val="28"/>
              </w:rPr>
            </w:pPr>
          </w:p>
        </w:tc>
        <w:tc>
          <w:tcPr>
            <w:tcW w:w="7430" w:type="dxa"/>
            <w:vAlign w:val="center"/>
          </w:tcPr>
          <w:p>
            <w:pPr>
              <w:pStyle w:val="16"/>
              <w:spacing w:before="30" w:line="360" w:lineRule="exact"/>
              <w:jc w:val="both"/>
              <w:rPr>
                <w:rFonts w:hint="eastAsia" w:ascii="仿宋_GB2312" w:eastAsia="仿宋_GB2312"/>
                <w:sz w:val="28"/>
                <w:szCs w:val="28"/>
              </w:rPr>
            </w:pPr>
            <w:r>
              <w:rPr>
                <w:rFonts w:hint="eastAsia" w:ascii="仿宋_GB2312" w:eastAsia="仿宋_GB2312"/>
                <w:sz w:val="28"/>
                <w:szCs w:val="28"/>
              </w:rPr>
              <w:t>27.</w:t>
            </w:r>
            <w:r>
              <w:rPr>
                <w:rFonts w:hint="eastAsia" w:ascii="仿宋_GB2312" w:eastAsia="仿宋_GB2312"/>
                <w:spacing w:val="-9"/>
                <w:sz w:val="28"/>
                <w:szCs w:val="28"/>
              </w:rPr>
              <w:t>研究制定餐厨废弃物管理与资源化利用法规</w:t>
            </w:r>
            <w:r>
              <w:rPr>
                <w:rFonts w:hint="eastAsia" w:ascii="仿宋_GB2312" w:eastAsia="仿宋_GB2312"/>
                <w:sz w:val="28"/>
                <w:szCs w:val="28"/>
              </w:rPr>
              <w:t>（2022年完成）</w:t>
            </w:r>
          </w:p>
        </w:tc>
        <w:tc>
          <w:tcPr>
            <w:tcW w:w="3892" w:type="dxa"/>
            <w:vAlign w:val="center"/>
          </w:tcPr>
          <w:p>
            <w:pPr>
              <w:pStyle w:val="16"/>
              <w:spacing w:before="236" w:line="360" w:lineRule="exact"/>
              <w:ind w:left="106"/>
              <w:jc w:val="both"/>
              <w:rPr>
                <w:rFonts w:hint="eastAsia" w:ascii="仿宋_GB2312" w:eastAsia="仿宋_GB2312"/>
                <w:sz w:val="28"/>
                <w:szCs w:val="28"/>
              </w:rPr>
            </w:pPr>
            <w:r>
              <w:rPr>
                <w:rFonts w:hint="eastAsia" w:ascii="仿宋_GB2312" w:eastAsia="仿宋_GB2312"/>
                <w:sz w:val="28"/>
                <w:szCs w:val="28"/>
              </w:rPr>
              <w:t>国家发展改革委</w:t>
            </w:r>
          </w:p>
        </w:tc>
      </w:tr>
    </w:tbl>
    <w:p/>
    <w:p>
      <w:pPr>
        <w:spacing w:line="560" w:lineRule="exact"/>
        <w:rPr>
          <w:rFonts w:ascii="仿宋_GB2312" w:eastAsia="仿宋_GB2312"/>
          <w:sz w:val="32"/>
        </w:rPr>
        <w:sectPr>
          <w:pgSz w:w="16838" w:h="11906" w:orient="landscape"/>
          <w:pgMar w:top="1800" w:right="1440" w:bottom="1800" w:left="1440" w:header="851" w:footer="1333" w:gutter="0"/>
          <w:cols w:space="425" w:num="1"/>
          <w:docGrid w:type="lines" w:linePitch="312" w:charSpace="0"/>
        </w:sectPr>
      </w:pPr>
    </w:p>
    <w:p>
      <w:pPr>
        <w:spacing w:line="540" w:lineRule="exact"/>
        <w:jc w:val="center"/>
        <w:rPr>
          <w:rFonts w:hint="eastAsia" w:ascii="方正小标宋简体" w:eastAsia="方正小标宋简体"/>
          <w:sz w:val="36"/>
        </w:rPr>
      </w:pPr>
    </w:p>
    <w:p>
      <w:pPr>
        <w:spacing w:line="540" w:lineRule="exact"/>
        <w:jc w:val="center"/>
        <w:rPr>
          <w:rFonts w:ascii="方正小标宋简体" w:eastAsia="方正小标宋简体"/>
          <w:spacing w:val="-10"/>
          <w:sz w:val="44"/>
        </w:rPr>
      </w:pPr>
      <w:r>
        <w:rPr>
          <w:rFonts w:hint="eastAsia" w:ascii="方正小标宋简体" w:eastAsia="方正小标宋简体"/>
          <w:spacing w:val="-10"/>
          <w:sz w:val="44"/>
        </w:rPr>
        <w:t>关于支持民营企业发展生猪生产及相关产业的</w:t>
      </w:r>
    </w:p>
    <w:p>
      <w:pPr>
        <w:spacing w:line="540" w:lineRule="exact"/>
        <w:jc w:val="center"/>
        <w:rPr>
          <w:rFonts w:ascii="方正小标宋简体" w:eastAsia="方正小标宋简体"/>
          <w:spacing w:val="-10"/>
          <w:sz w:val="44"/>
        </w:rPr>
      </w:pPr>
      <w:r>
        <w:rPr>
          <w:rFonts w:hint="eastAsia" w:ascii="方正小标宋简体" w:eastAsia="方正小标宋简体"/>
          <w:spacing w:val="-10"/>
          <w:sz w:val="44"/>
        </w:rPr>
        <w:t>实 施 意 见</w:t>
      </w:r>
    </w:p>
    <w:p>
      <w:pPr>
        <w:spacing w:beforeLines="50" w:line="540" w:lineRule="exact"/>
        <w:jc w:val="center"/>
        <w:rPr>
          <w:rFonts w:hint="eastAsia" w:ascii="楷体_GB2312" w:eastAsia="楷体_GB2312"/>
          <w:sz w:val="32"/>
        </w:rPr>
      </w:pPr>
      <w:r>
        <w:rPr>
          <w:rFonts w:hint="eastAsia" w:ascii="楷体_GB2312" w:eastAsia="楷体_GB2312"/>
          <w:sz w:val="32"/>
        </w:rPr>
        <w:t>发改农经〔2020〕350号</w:t>
      </w:r>
    </w:p>
    <w:p>
      <w:pPr>
        <w:spacing w:line="540" w:lineRule="exact"/>
        <w:rPr>
          <w:rFonts w:ascii="仿宋_GB2312" w:eastAsia="仿宋_GB2312"/>
          <w:sz w:val="32"/>
        </w:rPr>
      </w:pPr>
    </w:p>
    <w:p>
      <w:pPr>
        <w:spacing w:line="540" w:lineRule="exact"/>
        <w:rPr>
          <w:rFonts w:ascii="仿宋_GB2312" w:eastAsia="仿宋_GB2312"/>
          <w:sz w:val="32"/>
        </w:rPr>
      </w:pPr>
      <w:r>
        <w:rPr>
          <w:rFonts w:hint="eastAsia" w:ascii="仿宋_GB2312" w:eastAsia="仿宋_GB2312"/>
          <w:sz w:val="32"/>
        </w:rPr>
        <w:t>各省、自治区、直辖市及计划单列市、副省级省会城市、新疆生产建设兵团发展改革委、农业农村（农牧、畜牧兽医）厅（委、局）：</w:t>
      </w:r>
    </w:p>
    <w:p>
      <w:pPr>
        <w:spacing w:line="540" w:lineRule="exact"/>
        <w:rPr>
          <w:rFonts w:ascii="仿宋_GB2312" w:eastAsia="仿宋_GB2312"/>
          <w:sz w:val="32"/>
        </w:rPr>
      </w:pPr>
      <w:r>
        <w:rPr>
          <w:rFonts w:ascii="仿宋_GB2312" w:eastAsia="仿宋_GB2312"/>
          <w:sz w:val="32"/>
        </w:rPr>
        <w:t>  </w:t>
      </w:r>
      <w:r>
        <w:rPr>
          <w:rFonts w:hint="eastAsia" w:ascii="仿宋_GB2312" w:eastAsia="仿宋_GB2312"/>
          <w:sz w:val="32"/>
        </w:rPr>
        <w:t>民营企业是保障猪肉等肉类产品供给的主要力量。非洲猪瘟疫情发生以来，民营企业充分发挥技术、资金、人才等优势，坚持疫病防控和补栏增养“两手抓”，加快恢复生猪生产，对促进猪肉市场保供稳价发挥了关键作用。新冠肺炎疫情发生以来，生猪养殖业受到较大冲击，企业普遍面临物资运输不畅、复工复产困难等问题。为贯彻落实党中央、国务院关于支持生猪生产及民营企业发展的部署要求，引导民营企业发展生猪生产及相关产业，促进生猪产业高质量发展，现提出以下意见。</w:t>
      </w:r>
    </w:p>
    <w:p>
      <w:pPr>
        <w:spacing w:line="540" w:lineRule="exact"/>
        <w:rPr>
          <w:rFonts w:ascii="黑体" w:hAnsi="黑体" w:eastAsia="黑体"/>
          <w:sz w:val="32"/>
        </w:rPr>
      </w:pPr>
      <w:r>
        <w:rPr>
          <w:rFonts w:ascii="黑体" w:eastAsia="黑体"/>
          <w:sz w:val="32"/>
        </w:rPr>
        <w:t>  </w:t>
      </w:r>
      <w:r>
        <w:rPr>
          <w:rFonts w:hint="eastAsia" w:ascii="黑体" w:hAnsi="黑体" w:eastAsia="黑体"/>
          <w:sz w:val="32"/>
        </w:rPr>
        <w:t>一、总体要求</w:t>
      </w:r>
    </w:p>
    <w:p>
      <w:pPr>
        <w:spacing w:line="540" w:lineRule="exact"/>
        <w:rPr>
          <w:rFonts w:ascii="仿宋_GB2312" w:eastAsia="仿宋_GB2312"/>
          <w:sz w:val="32"/>
        </w:rPr>
      </w:pPr>
      <w:r>
        <w:rPr>
          <w:rFonts w:ascii="仿宋_GB2312" w:eastAsia="仿宋_GB2312"/>
          <w:sz w:val="32"/>
        </w:rPr>
        <w:t>  </w:t>
      </w:r>
      <w:r>
        <w:rPr>
          <w:rFonts w:hint="eastAsia" w:ascii="仿宋_GB2312" w:eastAsia="仿宋_GB2312"/>
          <w:sz w:val="32"/>
        </w:rPr>
        <w:t>以习近平新时代中国特色社会主义思想为指导，全面贯彻党的十九大和十九届二中、三中、四中全会精神，落实《中共中央国务院关于营造更好发展环境支持民营企业改革发展的意见》（中发〔</w:t>
      </w:r>
      <w:r>
        <w:rPr>
          <w:rFonts w:ascii="仿宋_GB2312" w:eastAsia="仿宋_GB2312"/>
          <w:sz w:val="32"/>
        </w:rPr>
        <w:t>2019</w:t>
      </w:r>
      <w:r>
        <w:rPr>
          <w:rFonts w:hint="eastAsia" w:ascii="仿宋_GB2312" w:eastAsia="仿宋_GB2312"/>
          <w:sz w:val="32"/>
        </w:rPr>
        <w:t>〕</w:t>
      </w:r>
      <w:r>
        <w:rPr>
          <w:rFonts w:ascii="仿宋_GB2312" w:eastAsia="仿宋_GB2312"/>
          <w:sz w:val="32"/>
        </w:rPr>
        <w:t>49</w:t>
      </w:r>
      <w:r>
        <w:rPr>
          <w:rFonts w:hint="eastAsia" w:ascii="仿宋_GB2312" w:eastAsia="仿宋_GB2312"/>
          <w:sz w:val="32"/>
        </w:rPr>
        <w:t>号）要求，深入推进农业供给侧结构性改革，切实加大对民营企业发展生猪生产的政策扶持力度，优化民营企业发展生猪生产及相关产业的营商环境，鼓励民营企业立足当前加快恢复并扩大生猪生产、着眼长远转变方式促进产业转型，不断提升生猪产业发展质量和效益，确保我国猪肉基本自给，更好满足广大人民群众的美好生活需要。</w:t>
      </w:r>
    </w:p>
    <w:p>
      <w:pPr>
        <w:spacing w:line="540" w:lineRule="exact"/>
        <w:rPr>
          <w:rFonts w:ascii="黑体" w:hAnsi="黑体" w:eastAsia="黑体"/>
          <w:sz w:val="32"/>
        </w:rPr>
      </w:pPr>
      <w:r>
        <w:rPr>
          <w:rFonts w:ascii="黑体" w:eastAsia="黑体"/>
          <w:sz w:val="32"/>
        </w:rPr>
        <w:t>  </w:t>
      </w:r>
      <w:r>
        <w:rPr>
          <w:rFonts w:hint="eastAsia" w:ascii="黑体" w:hAnsi="黑体" w:eastAsia="黑体"/>
          <w:sz w:val="32"/>
        </w:rPr>
        <w:t>二、加大对民营企业发展生猪生产的政策扶持力度</w:t>
      </w:r>
    </w:p>
    <w:p>
      <w:pPr>
        <w:spacing w:line="540" w:lineRule="exact"/>
        <w:rPr>
          <w:rFonts w:ascii="仿宋_GB2312" w:eastAsia="仿宋_GB2312"/>
          <w:sz w:val="32"/>
        </w:rPr>
      </w:pPr>
      <w:r>
        <w:rPr>
          <w:rFonts w:ascii="仿宋_GB2312" w:eastAsia="仿宋_GB2312"/>
          <w:sz w:val="32"/>
        </w:rPr>
        <w:t>  </w:t>
      </w:r>
      <w:r>
        <w:rPr>
          <w:rFonts w:hint="eastAsia" w:ascii="楷体_GB2312" w:eastAsia="楷体_GB2312"/>
          <w:sz w:val="32"/>
        </w:rPr>
        <w:t>（一）加大财政支持力度。</w:t>
      </w:r>
      <w:r>
        <w:rPr>
          <w:rFonts w:hint="eastAsia" w:ascii="仿宋_GB2312" w:eastAsia="仿宋_GB2312"/>
          <w:sz w:val="32"/>
        </w:rPr>
        <w:t>继续安排中央预算内投资支持生猪良种繁育、疫病防控、标准化规模养殖、畜禽粪污资源化利用等项目建设。用好生猪调出大县奖励资金，支持民营企业发展生猪生产及相关产业。落实非洲猪瘟强制扑杀补助经费。充分发挥农机购置补贴政策导向作用，将自动饲喂、环境控制、疫病防控、废弃物处理等农机装备纳入补贴机具种类范围。中央和地方可按规定通过现有资金渠道，统筹支持地方猪保护和开发利用工作。</w:t>
      </w:r>
    </w:p>
    <w:p>
      <w:pPr>
        <w:spacing w:line="540" w:lineRule="exact"/>
        <w:rPr>
          <w:rFonts w:ascii="仿宋_GB2312" w:eastAsia="仿宋_GB2312"/>
          <w:sz w:val="32"/>
        </w:rPr>
      </w:pPr>
      <w:r>
        <w:rPr>
          <w:rFonts w:hint="eastAsia" w:ascii="楷体_GB2312" w:eastAsia="楷体_GB2312"/>
          <w:sz w:val="32"/>
        </w:rPr>
        <w:t>  （二）完善金融保险支持政策。</w:t>
      </w:r>
      <w:r>
        <w:rPr>
          <w:rFonts w:hint="eastAsia" w:ascii="仿宋_GB2312" w:eastAsia="仿宋_GB2312"/>
          <w:sz w:val="32"/>
        </w:rPr>
        <w:t>引导开发性、政策性金融机构加大对生猪产业的支持，尤其加大对符合授信条件但暂时遇到经营困难的种猪养殖场、生猪规模养殖场和屠宰加工企业的支持力度。将生猪养殖场户贷款贴息补助范围由年出栏</w:t>
      </w:r>
      <w:r>
        <w:rPr>
          <w:rFonts w:ascii="仿宋_GB2312" w:eastAsia="仿宋_GB2312"/>
          <w:sz w:val="32"/>
        </w:rPr>
        <w:t>5000</w:t>
      </w:r>
      <w:r>
        <w:rPr>
          <w:rFonts w:hint="eastAsia" w:ascii="仿宋_GB2312" w:eastAsia="仿宋_GB2312"/>
          <w:sz w:val="32"/>
        </w:rPr>
        <w:t>头以上调整为</w:t>
      </w:r>
      <w:r>
        <w:rPr>
          <w:rFonts w:ascii="仿宋_GB2312" w:eastAsia="仿宋_GB2312"/>
          <w:sz w:val="32"/>
        </w:rPr>
        <w:t>500</w:t>
      </w:r>
      <w:r>
        <w:rPr>
          <w:rFonts w:hint="eastAsia" w:ascii="仿宋_GB2312" w:eastAsia="仿宋_GB2312"/>
          <w:sz w:val="32"/>
        </w:rPr>
        <w:t>头以上。总结推广生猪养殖抵质押贷款试点经验，按照风险可控的原则，鼓励银行将符合规定的土地经营权、养殖圈舍、大型养殖机械和生猪活体纳入可抵押品目录，鼓励农业银行等积极探索生猪养殖“大带小”金融服务。建立健全金融机构生猪产业贷款尽职免责和激励约束机制，提高不良贷款容忍度。更好发挥农业信贷担保体系的作用，有针对性地对生猪养殖企业加大信贷担保支持力度。探索推广银企担、银企保等多种增信模式，鼓励有条件的地方建立农业信贷风险补偿基金。鼓励建立农村产权交易中心，将生猪养殖设施等纳入交易范畴。积极支持生猪养殖企业通过发行股票债券等开展直接融资。完善生猪政策性保险政策，鼓励具备条件的地方持续开展并扩大生猪价格保险试点。</w:t>
      </w:r>
    </w:p>
    <w:p>
      <w:pPr>
        <w:spacing w:line="540" w:lineRule="exact"/>
        <w:rPr>
          <w:rFonts w:ascii="仿宋_GB2312" w:eastAsia="仿宋_GB2312"/>
          <w:sz w:val="32"/>
        </w:rPr>
      </w:pPr>
      <w:r>
        <w:rPr>
          <w:rFonts w:ascii="仿宋_GB2312" w:eastAsia="仿宋_GB2312"/>
          <w:sz w:val="32"/>
        </w:rPr>
        <w:t>  </w:t>
      </w:r>
      <w:r>
        <w:rPr>
          <w:rFonts w:hint="eastAsia" w:ascii="楷体_GB2312" w:eastAsia="楷体_GB2312"/>
          <w:sz w:val="32"/>
        </w:rPr>
        <w:t>（三）支持企业克服新冠肺炎疫情带来的特殊困难</w:t>
      </w:r>
      <w:r>
        <w:rPr>
          <w:rFonts w:hint="eastAsia" w:ascii="仿宋_GB2312" w:eastAsia="仿宋_GB2312"/>
          <w:sz w:val="32"/>
        </w:rPr>
        <w:t>。按照分区分级防控的要求，在做好新冠肺炎疫情防控的同时，鼓励各地采取针对性措施解决难点堵点，推动生猪养殖及相关企业尽快复工复产。将生猪生产和相关饲料企业、种猪企业、屠宰加工企业纳入新冠肺炎疫情防控重点保障企业名单管理。加大支农支小等各项再贷款对生猪生产及相关产业的支持力度。把饲料产品及原料、种畜禽、仔猪、出栏畜禽、冷鲜猪肉等纳入生活必需品应急运输保障范围，切实落实绿色通道政策。协调解决好建筑用工、建筑材料供应等问题，确保各地新建和改扩建生猪养殖项目尽快开工复工、投产达产。</w:t>
      </w:r>
    </w:p>
    <w:p>
      <w:pPr>
        <w:spacing w:line="540" w:lineRule="exact"/>
        <w:rPr>
          <w:rFonts w:ascii="仿宋_GB2312" w:eastAsia="仿宋_GB2312"/>
          <w:sz w:val="32"/>
        </w:rPr>
      </w:pPr>
      <w:r>
        <w:rPr>
          <w:rFonts w:ascii="仿宋_GB2312" w:eastAsia="仿宋_GB2312"/>
          <w:sz w:val="32"/>
        </w:rPr>
        <w:t>  </w:t>
      </w:r>
      <w:r>
        <w:rPr>
          <w:rFonts w:hint="eastAsia" w:ascii="楷体_GB2312" w:eastAsia="楷体_GB2312"/>
          <w:sz w:val="32"/>
        </w:rPr>
        <w:t>（四）保障合理用地需求。</w:t>
      </w:r>
      <w:r>
        <w:rPr>
          <w:rFonts w:hint="eastAsia" w:ascii="仿宋_GB2312" w:eastAsia="仿宋_GB2312"/>
          <w:sz w:val="32"/>
        </w:rPr>
        <w:t>落实生猪养殖用地政策，在国土空间规划中切实保障养殖用地需求。严守基本农田保护红线，养殖生产及直接关联的粪污处理、检验检疫、清洗消毒、病死畜禽无害化处理等农业设施用地，可以使用一般耕地，不需要占补平衡。鼓励利用农村集体建设用地、“四荒地”等发展生猪生产，允许建设多层养殖设施建筑。对于将不符合要求的耕地或其他土地划入永久基本农田的，经县级自然资源主管部门会同农业农村主管部门核实后，允许发展生猪养殖，并结合永久基本农田核实整改工作，及时保质保量进行补划。</w:t>
      </w:r>
    </w:p>
    <w:p>
      <w:pPr>
        <w:spacing w:line="540" w:lineRule="exact"/>
        <w:rPr>
          <w:rFonts w:ascii="仿宋_GB2312" w:eastAsia="仿宋_GB2312"/>
          <w:sz w:val="32"/>
        </w:rPr>
      </w:pPr>
      <w:r>
        <w:rPr>
          <w:rFonts w:ascii="仿宋_GB2312" w:eastAsia="仿宋_GB2312"/>
          <w:sz w:val="32"/>
        </w:rPr>
        <w:t> </w:t>
      </w:r>
      <w:r>
        <w:rPr>
          <w:rFonts w:ascii="楷体_GB2312" w:eastAsia="楷体_GB2312"/>
          <w:sz w:val="32"/>
        </w:rPr>
        <w:t> </w:t>
      </w:r>
      <w:r>
        <w:rPr>
          <w:rFonts w:hint="eastAsia" w:ascii="楷体_GB2312" w:eastAsia="楷体_GB2312"/>
          <w:sz w:val="32"/>
        </w:rPr>
        <w:t>（五）促进生猪绿色养殖</w:t>
      </w:r>
      <w:r>
        <w:rPr>
          <w:rFonts w:hint="eastAsia" w:ascii="仿宋_GB2312" w:eastAsia="仿宋_GB2312"/>
          <w:sz w:val="32"/>
        </w:rPr>
        <w:t>。指导各地依法依规管理畜禽养殖禁养区，不得随意将地方猪保种场划入禁养区，科学规划生猪养殖布局，对打着环保等名义擅自搞无猪市、无猪县的，要坚决予以纠正。规范生猪规模养殖环评管理，加快落实年出栏量</w:t>
      </w:r>
      <w:r>
        <w:rPr>
          <w:rFonts w:ascii="仿宋_GB2312" w:eastAsia="仿宋_GB2312"/>
          <w:sz w:val="32"/>
        </w:rPr>
        <w:t>5000</w:t>
      </w:r>
      <w:r>
        <w:rPr>
          <w:rFonts w:hint="eastAsia" w:ascii="仿宋_GB2312" w:eastAsia="仿宋_GB2312"/>
          <w:sz w:val="32"/>
        </w:rPr>
        <w:t>头及以上养殖场环评告知承诺制试点，对</w:t>
      </w:r>
      <w:r>
        <w:rPr>
          <w:rFonts w:ascii="仿宋_GB2312" w:eastAsia="仿宋_GB2312"/>
          <w:sz w:val="32"/>
        </w:rPr>
        <w:t>5000</w:t>
      </w:r>
      <w:r>
        <w:rPr>
          <w:rFonts w:hint="eastAsia" w:ascii="仿宋_GB2312" w:eastAsia="仿宋_GB2312"/>
          <w:sz w:val="32"/>
        </w:rPr>
        <w:t>头以下生猪养殖场项目实行在线填写环境影响登记表备案，无需办理环评审批。坚持种养结合、循环发展，加强生猪粪污治理和资源化利用，完善畜禽粪污还田利用标准，休耕农田应与畜禽粪肥施用相结合，打通粪肥还田通道。大力支持符合条件的民营企业开展粪污处理利用社会化服务，参与实施畜禽粪污资源化利用整县推进项目，加快发展市场化的种养结合机制。鼓励生猪企业实施兽用抗菌药使用减量化。</w:t>
      </w:r>
    </w:p>
    <w:p>
      <w:pPr>
        <w:spacing w:line="540" w:lineRule="exact"/>
        <w:rPr>
          <w:rFonts w:ascii="仿宋_GB2312" w:eastAsia="仿宋_GB2312"/>
          <w:sz w:val="32"/>
        </w:rPr>
      </w:pPr>
      <w:r>
        <w:rPr>
          <w:rFonts w:ascii="仿宋_GB2312" w:eastAsia="仿宋_GB2312"/>
          <w:sz w:val="32"/>
        </w:rPr>
        <w:t>  </w:t>
      </w:r>
      <w:r>
        <w:rPr>
          <w:rFonts w:hint="eastAsia" w:ascii="楷体_GB2312" w:eastAsia="楷体_GB2312"/>
          <w:sz w:val="32"/>
        </w:rPr>
        <w:t>（六）进一步深化“放管服”改革</w:t>
      </w:r>
      <w:r>
        <w:rPr>
          <w:rFonts w:hint="eastAsia" w:ascii="仿宋_GB2312" w:eastAsia="仿宋_GB2312"/>
          <w:sz w:val="32"/>
        </w:rPr>
        <w:t>。国家关于生猪生产的各项支持政策和监管措施，对民营企业一律平等对待。简化动物防疫条件合格证等审批程序，压缩审批时间，推进“一窗受理”。规范事中事后服务和监管。完善饲料兽药评审审批制度。落实规模养殖用地、用电等优惠政策。</w:t>
      </w:r>
    </w:p>
    <w:p>
      <w:pPr>
        <w:spacing w:line="540" w:lineRule="exact"/>
        <w:rPr>
          <w:rFonts w:ascii="黑体" w:eastAsia="黑体"/>
          <w:sz w:val="32"/>
        </w:rPr>
      </w:pPr>
      <w:r>
        <w:rPr>
          <w:rFonts w:ascii="黑体" w:eastAsia="黑体"/>
          <w:sz w:val="32"/>
        </w:rPr>
        <w:t>  </w:t>
      </w:r>
      <w:r>
        <w:rPr>
          <w:rFonts w:hint="eastAsia" w:ascii="黑体" w:eastAsia="黑体"/>
          <w:sz w:val="32"/>
        </w:rPr>
        <w:t>三、优化民营企业发展生猪产业的市场环境</w:t>
      </w:r>
    </w:p>
    <w:p>
      <w:pPr>
        <w:spacing w:line="540" w:lineRule="exact"/>
        <w:rPr>
          <w:rFonts w:ascii="仿宋_GB2312" w:eastAsia="仿宋_GB2312"/>
          <w:sz w:val="32"/>
        </w:rPr>
      </w:pPr>
      <w:r>
        <w:rPr>
          <w:rFonts w:ascii="仿宋_GB2312" w:eastAsia="仿宋_GB2312"/>
          <w:sz w:val="32"/>
        </w:rPr>
        <w:t> </w:t>
      </w:r>
      <w:r>
        <w:rPr>
          <w:rFonts w:ascii="楷体_GB2312" w:eastAsia="楷体_GB2312"/>
          <w:sz w:val="32"/>
        </w:rPr>
        <w:t> </w:t>
      </w:r>
      <w:r>
        <w:rPr>
          <w:rFonts w:hint="eastAsia" w:ascii="楷体_GB2312" w:eastAsia="楷体_GB2312"/>
          <w:sz w:val="32"/>
        </w:rPr>
        <w:t>（七）进一步做好非洲猪瘟疫情防控。</w:t>
      </w:r>
      <w:r>
        <w:rPr>
          <w:rFonts w:hint="eastAsia" w:ascii="仿宋_GB2312" w:eastAsia="仿宋_GB2312"/>
          <w:sz w:val="32"/>
        </w:rPr>
        <w:t>强化疫情监测排查报告、疫情应急处置、生猪调运监管和餐厨废弃物监管等有效防控措施，确保疫情不反弹，增强民营企业和养殖场户信心。加强排查监测力度，建立广覆盖、快反应的监测网络，坚决做好疫情处置和溯源工作。支持建设动物病原区域监测中心、边境动物疫情监测站、动物疫病追溯监管平台、省际公路动物卫生监督检查站等，推动病死猪集中专业无害化处理。总结区域联防联控和分区防控等试点经验，支持有条件的地方和企业建设无疫区和无疫小区。</w:t>
      </w:r>
    </w:p>
    <w:p>
      <w:pPr>
        <w:spacing w:line="540" w:lineRule="exact"/>
        <w:rPr>
          <w:rFonts w:ascii="仿宋_GB2312" w:eastAsia="仿宋_GB2312"/>
          <w:sz w:val="32"/>
        </w:rPr>
      </w:pPr>
      <w:r>
        <w:rPr>
          <w:rFonts w:hint="eastAsia" w:ascii="楷体_GB2312" w:eastAsia="楷体_GB2312"/>
          <w:sz w:val="32"/>
        </w:rPr>
        <w:t>  （八）建立健全现代良种保育测繁体系。</w:t>
      </w:r>
      <w:r>
        <w:rPr>
          <w:rFonts w:hint="eastAsia" w:ascii="仿宋_GB2312" w:eastAsia="仿宋_GB2312"/>
          <w:sz w:val="32"/>
        </w:rPr>
        <w:t>坚持引进品种与自主创新相结合，培育一批育繁推一体化的大型生猪良种创新型企业，全面提升育种水平，支持开展多种形式的生猪良种联合攻关，形成“联合育种</w:t>
      </w:r>
      <w:r>
        <w:rPr>
          <w:rFonts w:ascii="仿宋_GB2312" w:eastAsia="仿宋_GB2312"/>
          <w:sz w:val="32"/>
        </w:rPr>
        <w:t>+</w:t>
      </w:r>
      <w:r>
        <w:rPr>
          <w:rFonts w:hint="eastAsia" w:ascii="仿宋_GB2312" w:eastAsia="仿宋_GB2312"/>
          <w:sz w:val="32"/>
        </w:rPr>
        <w:t>大企业育种”并行格局。加强国家生猪核心育种场管理，加快种公猪站建设，做好疫病净化工作，对生产性能水平高、开展疫病净化的种猪场予以重点支持，推动建设与地区生猪产能相适应的区域性生猪良种繁育体系。支持生猪生产性能测定和良种检测能力建设。</w:t>
      </w:r>
    </w:p>
    <w:p>
      <w:pPr>
        <w:spacing w:line="540" w:lineRule="exact"/>
        <w:rPr>
          <w:rFonts w:ascii="仿宋_GB2312" w:eastAsia="仿宋_GB2312"/>
          <w:sz w:val="32"/>
        </w:rPr>
      </w:pPr>
      <w:r>
        <w:rPr>
          <w:rFonts w:ascii="仿宋_GB2312" w:eastAsia="仿宋_GB2312"/>
          <w:sz w:val="32"/>
        </w:rPr>
        <w:t> </w:t>
      </w:r>
      <w:r>
        <w:rPr>
          <w:rFonts w:ascii="楷体_GB2312" w:eastAsia="楷体_GB2312"/>
          <w:sz w:val="32"/>
        </w:rPr>
        <w:t> </w:t>
      </w:r>
      <w:r>
        <w:rPr>
          <w:rFonts w:hint="eastAsia" w:ascii="楷体_GB2312" w:eastAsia="楷体_GB2312"/>
          <w:sz w:val="32"/>
        </w:rPr>
        <w:t>（九）健全饲料供应体系。</w:t>
      </w:r>
      <w:r>
        <w:rPr>
          <w:rFonts w:hint="eastAsia" w:ascii="仿宋_GB2312" w:eastAsia="仿宋_GB2312"/>
          <w:sz w:val="32"/>
        </w:rPr>
        <w:t>鼓励高校、企业、科研机构开展饲料营养价值评定和动物营养需要量研究，加大本土可利用饲料资源和非粮饲料原料开发力度，全面推广饲料精准配方和精细加工技术。强化对饲料原料、饲料和饲料添加剂的质量安全监管，加强饲料存储、运输和使用等环节生物安全管理。引导企业加大在动物营养学、饲料配方研发、精准饲喂养等研发投入，加快生物饲料开发应用，调整优化饲料配方结构。引导饲料企业参与上下游产业发展，提高风险抵抗力。</w:t>
      </w:r>
    </w:p>
    <w:p>
      <w:pPr>
        <w:spacing w:line="540" w:lineRule="exact"/>
        <w:rPr>
          <w:rFonts w:ascii="仿宋_GB2312" w:eastAsia="仿宋_GB2312"/>
          <w:sz w:val="32"/>
        </w:rPr>
      </w:pPr>
      <w:r>
        <w:rPr>
          <w:rFonts w:ascii="仿宋_GB2312" w:eastAsia="仿宋_GB2312"/>
          <w:sz w:val="32"/>
        </w:rPr>
        <w:t>  </w:t>
      </w:r>
      <w:r>
        <w:rPr>
          <w:rFonts w:hint="eastAsia" w:ascii="楷体_GB2312" w:eastAsia="楷体_GB2312"/>
          <w:sz w:val="32"/>
        </w:rPr>
        <w:t>（十）调整和优化调运政策。</w:t>
      </w:r>
      <w:r>
        <w:rPr>
          <w:rFonts w:hint="eastAsia" w:ascii="仿宋_GB2312" w:eastAsia="仿宋_GB2312"/>
          <w:sz w:val="32"/>
        </w:rPr>
        <w:t>在采取有力措施防控疫情传播的同时，维持生猪及猪肉市场正常流通秩序，规范生猪产地检疫和调运监管，不得搞层层加码禁运限运、设置行政壁垒。加强产销对接，保障种猪和仔猪有序调动，健全生猪及其制品“点对点”调运机制。</w:t>
      </w:r>
    </w:p>
    <w:p>
      <w:pPr>
        <w:spacing w:line="540" w:lineRule="exact"/>
        <w:rPr>
          <w:rFonts w:ascii="仿宋_GB2312" w:eastAsia="仿宋_GB2312"/>
          <w:sz w:val="32"/>
        </w:rPr>
      </w:pPr>
      <w:r>
        <w:rPr>
          <w:rFonts w:ascii="仿宋_GB2312" w:eastAsia="仿宋_GB2312"/>
          <w:sz w:val="32"/>
        </w:rPr>
        <w:t> </w:t>
      </w:r>
      <w:r>
        <w:rPr>
          <w:rFonts w:ascii="楷体_GB2312" w:eastAsia="楷体_GB2312"/>
          <w:sz w:val="32"/>
        </w:rPr>
        <w:t> </w:t>
      </w:r>
      <w:r>
        <w:rPr>
          <w:rFonts w:hint="eastAsia" w:ascii="楷体_GB2312" w:eastAsia="楷体_GB2312"/>
          <w:sz w:val="32"/>
        </w:rPr>
        <w:t>（十一）完善市场监管体系。</w:t>
      </w:r>
      <w:r>
        <w:rPr>
          <w:rFonts w:hint="eastAsia" w:ascii="仿宋_GB2312" w:eastAsia="仿宋_GB2312"/>
          <w:sz w:val="32"/>
        </w:rPr>
        <w:t>加强生猪及其产品质量安全监管能力建设，推动生猪等畜禽养殖、流通、屠宰、病死畜禽无害化处理等全程监管信息化。依法严厉查处恶意制造恐慌、故意散布非洲猪瘟病毒等非法行为。严厉打击囤积居奇、价格欺诈、串通涨价、哄抬价格、操控市场等价格违法行为，规范市场秩序。强化市场监管，防范和打击不法投机炒作行为。</w:t>
      </w:r>
    </w:p>
    <w:p>
      <w:pPr>
        <w:spacing w:line="540" w:lineRule="exact"/>
        <w:rPr>
          <w:rFonts w:ascii="仿宋_GB2312" w:eastAsia="仿宋_GB2312"/>
          <w:sz w:val="32"/>
        </w:rPr>
      </w:pPr>
      <w:r>
        <w:rPr>
          <w:rFonts w:ascii="仿宋_GB2312" w:eastAsia="仿宋_GB2312"/>
          <w:sz w:val="32"/>
        </w:rPr>
        <w:t> </w:t>
      </w:r>
      <w:r>
        <w:rPr>
          <w:rFonts w:ascii="楷体_GB2312" w:eastAsia="楷体_GB2312"/>
          <w:sz w:val="32"/>
        </w:rPr>
        <w:t> </w:t>
      </w:r>
      <w:r>
        <w:rPr>
          <w:rFonts w:hint="eastAsia" w:ascii="楷体_GB2312" w:eastAsia="楷体_GB2312"/>
          <w:sz w:val="32"/>
        </w:rPr>
        <w:t>（十二）强化预期引导。</w:t>
      </w:r>
      <w:r>
        <w:rPr>
          <w:rFonts w:hint="eastAsia" w:ascii="仿宋_GB2312" w:eastAsia="仿宋_GB2312"/>
          <w:sz w:val="32"/>
        </w:rPr>
        <w:t>定期发布生猪及猪肉产销变化和价格波动信息，引导各环节市场主体自主调整生产经营决策，加强预期管理和调节，引导养殖企业及时调整养殖规模，防止生产供应和价格大起大落。加强政策宣传解读，及时回应社会关切，有力遏制不实传言和恶意炒作。</w:t>
      </w:r>
    </w:p>
    <w:p>
      <w:pPr>
        <w:spacing w:line="540" w:lineRule="exact"/>
        <w:rPr>
          <w:rFonts w:ascii="黑体" w:eastAsia="黑体"/>
          <w:sz w:val="32"/>
        </w:rPr>
      </w:pPr>
      <w:r>
        <w:rPr>
          <w:rFonts w:ascii="黑体" w:eastAsia="黑体"/>
          <w:sz w:val="32"/>
        </w:rPr>
        <w:t>  </w:t>
      </w:r>
      <w:r>
        <w:rPr>
          <w:rFonts w:hint="eastAsia" w:ascii="黑体" w:eastAsia="黑体"/>
          <w:sz w:val="32"/>
        </w:rPr>
        <w:t>四、引导民营企业提升生猪产业发展质量</w:t>
      </w:r>
    </w:p>
    <w:p>
      <w:pPr>
        <w:spacing w:line="540" w:lineRule="exact"/>
        <w:rPr>
          <w:rFonts w:ascii="仿宋_GB2312" w:eastAsia="仿宋_GB2312"/>
          <w:sz w:val="32"/>
        </w:rPr>
      </w:pPr>
      <w:r>
        <w:rPr>
          <w:rFonts w:ascii="仿宋_GB2312" w:eastAsia="仿宋_GB2312"/>
          <w:sz w:val="32"/>
        </w:rPr>
        <w:t> </w:t>
      </w:r>
      <w:r>
        <w:rPr>
          <w:rFonts w:ascii="楷体_GB2312" w:eastAsia="楷体_GB2312"/>
          <w:sz w:val="32"/>
        </w:rPr>
        <w:t> </w:t>
      </w:r>
      <w:r>
        <w:rPr>
          <w:rFonts w:hint="eastAsia" w:ascii="楷体_GB2312" w:eastAsia="楷体_GB2312"/>
          <w:sz w:val="32"/>
        </w:rPr>
        <w:t>（十三）提升生猪养殖现代化水平。</w:t>
      </w:r>
      <w:r>
        <w:rPr>
          <w:rFonts w:hint="eastAsia" w:ascii="仿宋_GB2312" w:eastAsia="仿宋_GB2312"/>
          <w:sz w:val="32"/>
        </w:rPr>
        <w:t>引导龙头企业对规模养殖场开展现代化升级改造，积极推进养殖全程机械化，提升生猪养殖规模和效率。鼓励龙头企业发挥技术和市场优势，与农村集体经济组织、合作社等有效对接，通过“公司</w:t>
      </w:r>
      <w:r>
        <w:rPr>
          <w:rFonts w:ascii="仿宋_GB2312" w:eastAsia="仿宋_GB2312"/>
          <w:sz w:val="32"/>
        </w:rPr>
        <w:t>+</w:t>
      </w:r>
      <w:r>
        <w:rPr>
          <w:rFonts w:hint="eastAsia" w:ascii="仿宋_GB2312" w:eastAsia="仿宋_GB2312"/>
          <w:sz w:val="32"/>
        </w:rPr>
        <w:t>农户”、托管租赁、入股加盟等方式带动中小养殖场户发展生猪养殖，促进中小养殖场户与现代养殖体系有机衔接。推进物联网、云计算、移动互联网等现代信息技术应用于生猪产业，提高生产经营效率。</w:t>
      </w:r>
    </w:p>
    <w:p>
      <w:pPr>
        <w:spacing w:line="540" w:lineRule="exact"/>
        <w:rPr>
          <w:rFonts w:ascii="仿宋_GB2312" w:eastAsia="仿宋_GB2312"/>
          <w:sz w:val="32"/>
        </w:rPr>
      </w:pPr>
      <w:r>
        <w:rPr>
          <w:rFonts w:ascii="仿宋_GB2312" w:eastAsia="仿宋_GB2312"/>
          <w:sz w:val="32"/>
        </w:rPr>
        <w:t> </w:t>
      </w:r>
      <w:r>
        <w:rPr>
          <w:rFonts w:ascii="楷体_GB2312" w:eastAsia="楷体_GB2312"/>
          <w:sz w:val="32"/>
        </w:rPr>
        <w:t> </w:t>
      </w:r>
      <w:r>
        <w:rPr>
          <w:rFonts w:hint="eastAsia" w:ascii="楷体_GB2312" w:eastAsia="楷体_GB2312"/>
          <w:sz w:val="32"/>
        </w:rPr>
        <w:t>（十四）支持民营企业全产业链发展。</w:t>
      </w:r>
      <w:r>
        <w:rPr>
          <w:rFonts w:hint="eastAsia" w:ascii="仿宋_GB2312" w:eastAsia="仿宋_GB2312"/>
          <w:sz w:val="32"/>
        </w:rPr>
        <w:t>支持生猪养殖、屠宰、加工等龙头企业通过联合、收购和订单合同等方式，在省域或区域管理范围内加快全链条生产发展。引导大型养殖企业配套发展生猪屠宰加工业，在东北、华北、黄淮海、中南、西南等生猪养殖量大的地区就近配套建设屠宰加工产业，实现生猪主产区原则上就地就近屠宰，形成养殖与屠宰加工相匹配的产业格局。实行生猪屠宰分级管理制度，鼓励屠宰企业发展肉品精深加工和副产品综合利用，优化产品结构。充分发挥生猪养殖企业在农村扶贫攻坚中的作用，鼓励有条件的企业到适合发展生猪养殖的贫困地区建立养殖及屠宰加工基地，促进农民增收致富。</w:t>
      </w:r>
    </w:p>
    <w:p>
      <w:pPr>
        <w:spacing w:line="540" w:lineRule="exact"/>
        <w:rPr>
          <w:rFonts w:ascii="仿宋_GB2312" w:eastAsia="仿宋_GB2312"/>
          <w:sz w:val="32"/>
        </w:rPr>
      </w:pPr>
      <w:r>
        <w:rPr>
          <w:rFonts w:ascii="仿宋_GB2312" w:eastAsia="仿宋_GB2312"/>
          <w:sz w:val="32"/>
        </w:rPr>
        <w:t>  </w:t>
      </w:r>
      <w:r>
        <w:rPr>
          <w:rFonts w:hint="eastAsia" w:ascii="楷体_GB2312" w:eastAsia="楷体_GB2312"/>
          <w:sz w:val="32"/>
        </w:rPr>
        <w:t>（十五）加强冷链物流等基础设施建设。</w:t>
      </w:r>
      <w:r>
        <w:rPr>
          <w:rFonts w:hint="eastAsia" w:ascii="仿宋_GB2312" w:eastAsia="仿宋_GB2312"/>
          <w:sz w:val="32"/>
        </w:rPr>
        <w:t>推动建设覆盖生猪主产区和主销区的冷链物流基础设施网络，鼓励并引导银行、产业基金和民间资本等支持冷链建设。鼓励屠宰企业建设标准化预冷集配中心、低温分割加工车间、冷库等设施，提高猪肉制品加工储藏能力。加快建设一批国家骨干冷链物流基地，整合集聚冷链物流市场供需、存量设施资源，提高冷链物流服务效率和质量。</w:t>
      </w:r>
    </w:p>
    <w:p>
      <w:pPr>
        <w:spacing w:line="540" w:lineRule="exact"/>
        <w:rPr>
          <w:rFonts w:ascii="仿宋_GB2312" w:eastAsia="仿宋_GB2312"/>
          <w:sz w:val="32"/>
        </w:rPr>
      </w:pPr>
      <w:r>
        <w:rPr>
          <w:rFonts w:ascii="仿宋_GB2312" w:eastAsia="仿宋_GB2312"/>
          <w:sz w:val="32"/>
        </w:rPr>
        <w:t>  </w:t>
      </w:r>
      <w:r>
        <w:rPr>
          <w:rFonts w:hint="eastAsia" w:ascii="楷体_GB2312" w:eastAsia="楷体_GB2312"/>
          <w:sz w:val="32"/>
        </w:rPr>
        <w:t>（十六）积极开拓国际市场。</w:t>
      </w:r>
      <w:r>
        <w:rPr>
          <w:rFonts w:hint="eastAsia" w:ascii="仿宋_GB2312" w:eastAsia="仿宋_GB2312"/>
          <w:sz w:val="32"/>
        </w:rPr>
        <w:t>加强对全球生猪市场的监测分析，鼓励民营企业根据国内市场需求进口优质猪肉产品。鼓励符合条件的国内企业“走出去”，到双边经贸关系稳定、食品安全管理体系良好且无非洲猪瘟等我国法律法规禁止猪产品输入的国家建立养殖基地，有效利用国际资源发展生猪生产。积极协助“走出去”企业科学应对国际市场技术、贸易壁垒，加强打击走私、疫情防控、养殖技术等领域国际合作。</w:t>
      </w:r>
    </w:p>
    <w:p>
      <w:pPr>
        <w:spacing w:line="540" w:lineRule="exact"/>
        <w:rPr>
          <w:rFonts w:ascii="仿宋_GB2312" w:eastAsia="仿宋_GB2312"/>
          <w:sz w:val="32"/>
        </w:rPr>
      </w:pPr>
    </w:p>
    <w:p>
      <w:pPr>
        <w:spacing w:line="540" w:lineRule="exact"/>
        <w:ind w:firstLine="5440" w:firstLineChars="1700"/>
        <w:rPr>
          <w:rFonts w:ascii="仿宋_GB2312" w:eastAsia="仿宋_GB2312"/>
          <w:sz w:val="32"/>
        </w:rPr>
      </w:pPr>
      <w:r>
        <w:rPr>
          <w:rFonts w:hint="eastAsia" w:ascii="仿宋_GB2312" w:eastAsia="仿宋_GB2312"/>
          <w:sz w:val="32"/>
        </w:rPr>
        <w:t>国家发展改革委</w:t>
      </w:r>
    </w:p>
    <w:p>
      <w:pPr>
        <w:spacing w:line="540" w:lineRule="exact"/>
        <w:ind w:firstLine="5440" w:firstLineChars="1700"/>
        <w:rPr>
          <w:rFonts w:ascii="仿宋_GB2312" w:eastAsia="仿宋_GB2312"/>
          <w:sz w:val="32"/>
        </w:rPr>
      </w:pPr>
      <w:r>
        <w:rPr>
          <w:rFonts w:hint="eastAsia" w:ascii="仿宋_GB2312" w:eastAsia="仿宋_GB2312"/>
          <w:sz w:val="32"/>
        </w:rPr>
        <w:t>农 业 农 村 部</w:t>
      </w:r>
    </w:p>
    <w:p>
      <w:pPr>
        <w:spacing w:line="540" w:lineRule="exact"/>
        <w:ind w:firstLine="5244" w:firstLineChars="1639"/>
        <w:rPr>
          <w:rFonts w:hint="eastAsia" w:ascii="仿宋_GB2312" w:eastAsia="仿宋_GB2312"/>
          <w:sz w:val="32"/>
        </w:rPr>
      </w:pPr>
      <w:r>
        <w:rPr>
          <w:rFonts w:hint="eastAsia" w:ascii="仿宋_GB2312" w:eastAsia="仿宋_GB2312"/>
          <w:sz w:val="32"/>
        </w:rPr>
        <w:t>2020年3月10日</w:t>
      </w:r>
    </w:p>
    <w:p>
      <w:pPr>
        <w:spacing w:line="540" w:lineRule="exact"/>
        <w:jc w:val="center"/>
        <w:rPr>
          <w:rFonts w:hint="eastAsia" w:ascii="方正小标宋简体" w:hAnsi="Arial" w:eastAsia="方正小标宋简体" w:cs="Arial"/>
          <w:bCs/>
          <w:kern w:val="0"/>
          <w:sz w:val="36"/>
          <w:szCs w:val="32"/>
        </w:rPr>
      </w:pPr>
    </w:p>
    <w:p>
      <w:pPr>
        <w:spacing w:line="560" w:lineRule="exact"/>
        <w:jc w:val="center"/>
        <w:rPr>
          <w:rFonts w:ascii="方正小标宋简体" w:hAnsi="Arial" w:eastAsia="方正小标宋简体" w:cs="Arial"/>
          <w:kern w:val="0"/>
          <w:sz w:val="44"/>
          <w:szCs w:val="32"/>
        </w:rPr>
      </w:pPr>
      <w:r>
        <w:rPr>
          <w:rFonts w:hint="eastAsia" w:ascii="方正小标宋简体" w:hAnsi="Arial" w:eastAsia="方正小标宋简体" w:cs="Arial"/>
          <w:bCs/>
          <w:kern w:val="0"/>
          <w:sz w:val="44"/>
          <w:szCs w:val="32"/>
        </w:rPr>
        <w:t>关于促进消费扩容提质</w:t>
      </w:r>
    </w:p>
    <w:p>
      <w:pPr>
        <w:widowControl/>
        <w:spacing w:line="560" w:lineRule="exact"/>
        <w:jc w:val="center"/>
        <w:rPr>
          <w:rFonts w:ascii="方正小标宋简体" w:hAnsi="Arial" w:eastAsia="方正小标宋简体" w:cs="Arial"/>
          <w:kern w:val="0"/>
          <w:sz w:val="44"/>
          <w:szCs w:val="32"/>
        </w:rPr>
      </w:pPr>
      <w:r>
        <w:rPr>
          <w:rFonts w:hint="eastAsia" w:ascii="方正小标宋简体" w:hAnsi="Arial" w:eastAsia="方正小标宋简体" w:cs="Arial"/>
          <w:bCs/>
          <w:kern w:val="0"/>
          <w:sz w:val="44"/>
          <w:szCs w:val="32"/>
        </w:rPr>
        <w:t>加快形成强大国内市场的实施意见</w:t>
      </w:r>
    </w:p>
    <w:p>
      <w:pPr>
        <w:widowControl/>
        <w:spacing w:beforeLines="50" w:line="560" w:lineRule="exact"/>
        <w:jc w:val="center"/>
        <w:rPr>
          <w:rFonts w:hint="eastAsia" w:ascii="楷体_GB2312" w:hAnsi="Arial" w:eastAsia="楷体_GB2312" w:cs="Arial"/>
          <w:kern w:val="0"/>
          <w:sz w:val="32"/>
          <w:szCs w:val="32"/>
        </w:rPr>
      </w:pPr>
      <w:r>
        <w:rPr>
          <w:rFonts w:hint="eastAsia" w:ascii="楷体_GB2312" w:hAnsi="Arial" w:eastAsia="楷体_GB2312" w:cs="Arial"/>
          <w:kern w:val="0"/>
          <w:sz w:val="32"/>
          <w:szCs w:val="32"/>
        </w:rPr>
        <w:t> 发改就业〔2020〕293号</w:t>
      </w:r>
    </w:p>
    <w:p>
      <w:pPr>
        <w:spacing w:line="540" w:lineRule="exact"/>
        <w:ind w:firstLine="5440" w:firstLineChars="1700"/>
        <w:rPr>
          <w:rFonts w:hint="eastAsia" w:ascii="楷体_GB2312" w:hAnsi="Arial" w:eastAsia="楷体_GB2312" w:cs="Arial"/>
          <w:kern w:val="0"/>
          <w:sz w:val="32"/>
          <w:szCs w:val="32"/>
        </w:rPr>
      </w:pPr>
      <w:r>
        <w:rPr>
          <w:rFonts w:hint="eastAsia" w:ascii="仿宋_GB2312" w:hAnsi="Arial" w:eastAsia="仿宋_GB2312" w:cs="Arial"/>
          <w:kern w:val="0"/>
          <w:sz w:val="32"/>
          <w:szCs w:val="32"/>
        </w:rPr>
        <w:br w:type="textWrapping"/>
      </w:r>
      <w:r>
        <w:rPr>
          <w:rFonts w:hint="eastAsia" w:ascii="仿宋_GB2312" w:hAnsi="Arial" w:eastAsia="仿宋_GB2312" w:cs="Arial"/>
          <w:kern w:val="0"/>
          <w:sz w:val="32"/>
          <w:szCs w:val="32"/>
        </w:rPr>
        <w:t>各省、自治区、直辖市及计划单列市人民政府，新疆生产建设兵团，国务院有关部门：</w:t>
      </w:r>
      <w:r>
        <w:rPr>
          <w:rFonts w:hint="eastAsia" w:ascii="仿宋_GB2312" w:hAnsi="Arial" w:eastAsia="仿宋_GB2312" w:cs="Arial"/>
          <w:kern w:val="0"/>
          <w:sz w:val="32"/>
          <w:szCs w:val="32"/>
        </w:rPr>
        <w:br w:type="textWrapping"/>
      </w:r>
      <w:r>
        <w:rPr>
          <w:rFonts w:hint="eastAsia" w:ascii="仿宋_GB2312" w:hAnsi="Arial" w:eastAsia="仿宋_GB2312" w:cs="Arial"/>
          <w:kern w:val="0"/>
          <w:sz w:val="32"/>
          <w:szCs w:val="32"/>
        </w:rPr>
        <w:t>  消费是最终需求，是经济增长的持久动力。为顺应居民消费升级趋势，加快完善促进消费体制机制，进一步改善消费环境，发挥消费基础性作用，助力形成强大国内市场，经国务院同意，现提出以下意见：</w:t>
      </w:r>
      <w:r>
        <w:rPr>
          <w:rFonts w:hint="eastAsia" w:ascii="仿宋_GB2312" w:hAnsi="Arial" w:eastAsia="仿宋_GB2312" w:cs="Arial"/>
          <w:kern w:val="0"/>
          <w:sz w:val="32"/>
          <w:szCs w:val="32"/>
        </w:rPr>
        <w:br w:type="textWrapping"/>
      </w:r>
      <w:r>
        <w:rPr>
          <w:rFonts w:hint="eastAsia" w:ascii="黑体" w:hAnsi="黑体" w:eastAsia="黑体" w:cs="Arial"/>
          <w:kern w:val="0"/>
          <w:sz w:val="32"/>
          <w:szCs w:val="32"/>
        </w:rPr>
        <w:t>  一、大力优化国内市场供给</w:t>
      </w:r>
      <w:r>
        <w:rPr>
          <w:rFonts w:hint="eastAsia" w:ascii="黑体" w:hAnsi="黑体" w:eastAsia="黑体" w:cs="Arial"/>
          <w:kern w:val="0"/>
          <w:sz w:val="32"/>
          <w:szCs w:val="32"/>
        </w:rPr>
        <w:br w:type="textWrapping"/>
      </w:r>
      <w:r>
        <w:rPr>
          <w:rFonts w:hint="eastAsia" w:ascii="楷体_GB2312" w:hAnsi="Arial" w:eastAsia="楷体_GB2312" w:cs="Arial"/>
          <w:kern w:val="0"/>
          <w:sz w:val="32"/>
          <w:szCs w:val="32"/>
        </w:rPr>
        <w:t>  （一）全面提升国产商品和服务竞争力</w:t>
      </w:r>
      <w:r>
        <w:rPr>
          <w:rFonts w:hint="eastAsia" w:ascii="仿宋_GB2312" w:hAnsi="Arial" w:eastAsia="仿宋_GB2312" w:cs="Arial"/>
          <w:kern w:val="0"/>
          <w:sz w:val="32"/>
          <w:szCs w:val="32"/>
        </w:rPr>
        <w:t>。积极推进质量提升行动，引导企业加强全面质量管理。深入开展国家质量基础设施协同服务及应用，推进“一站式”服务试点。尽快完善服务业标准体系，推动养老、家政、托育、文化和旅游、体育、健康等领域服务标准制修订与试点示范。在消费品领域积极推行高端品质认证，全面实施内外销产品“同线同标同质”工程。开展质量分级试点，倡导优质优价，促进品牌消费、品质消费。推进文化创意和设计服务与制造业融合发展，支持企业建立工业设计中心、创意设计园等平台，培养引进创意设计人才，提高产品文化内涵。鼓励外贸加工制造企业充分利用自身产能，创新商业模式，通过自营、合作等方式增加面向国内市场的优质商品供给。规范检验检测行业资质许可，提升消费品领域的认证认可检验检测技术服务能力，为企业树立质量提升的示范标杆。</w:t>
      </w:r>
      <w:r>
        <w:rPr>
          <w:rFonts w:hint="eastAsia" w:ascii="楷体_GB2312" w:hAnsi="Arial" w:eastAsia="楷体_GB2312" w:cs="Arial"/>
          <w:kern w:val="0"/>
          <w:sz w:val="32"/>
          <w:szCs w:val="32"/>
        </w:rPr>
        <w:t>（发展改革委、工业和信息化部、民政部、商务部、文化和旅游部、卫生健康委、市场监管总局、体育总局按职责分工负责）</w:t>
      </w:r>
      <w:r>
        <w:rPr>
          <w:rFonts w:hint="eastAsia" w:ascii="楷体_GB2312" w:hAnsi="Arial" w:eastAsia="楷体_GB2312" w:cs="Arial"/>
          <w:kern w:val="0"/>
          <w:sz w:val="32"/>
          <w:szCs w:val="32"/>
        </w:rPr>
        <w:br w:type="textWrapping"/>
      </w:r>
      <w:r>
        <w:rPr>
          <w:rFonts w:hint="eastAsia" w:ascii="楷体_GB2312" w:hAnsi="Arial" w:eastAsia="楷体_GB2312" w:cs="Arial"/>
          <w:kern w:val="0"/>
          <w:sz w:val="32"/>
          <w:szCs w:val="32"/>
        </w:rPr>
        <w:t>  （二）加强自主品牌建设。</w:t>
      </w:r>
      <w:r>
        <w:rPr>
          <w:rFonts w:hint="eastAsia" w:ascii="仿宋_GB2312" w:hAnsi="Arial" w:eastAsia="仿宋_GB2312" w:cs="Arial"/>
          <w:kern w:val="0"/>
          <w:sz w:val="32"/>
          <w:szCs w:val="32"/>
        </w:rPr>
        <w:t>深入实施增品种、提品质、创品牌的“三品”战略。保护和发展中华老字号品牌，建立动态管理机制，认定和培育一批文化特色浓、品牌信誉高、有市场竞争力的中华老字号品牌。加强中国农业品牌目录制度建设，制定完善相关评价标准和制度规范，塑造一批具有国际竞争力的中国农业品牌。持续办好中国品牌日活动，通过举办中国品牌发展国际论坛、中国自主品牌博览会以及自主品牌消费品体验活动等，塑造中国品牌形象，提高自主品牌知名度和影响力，扩大自主品牌消费。鼓励行业协会、研究机构等开展中国品牌研究。</w:t>
      </w:r>
      <w:r>
        <w:rPr>
          <w:rFonts w:hint="eastAsia" w:ascii="楷体_GB2312" w:hAnsi="Arial" w:eastAsia="楷体_GB2312" w:cs="Arial"/>
          <w:kern w:val="0"/>
          <w:sz w:val="32"/>
          <w:szCs w:val="32"/>
        </w:rPr>
        <w:t>（中央宣传部、发展改革委、工业和信息化部、农业农村部、商务部、文化和旅游部、市场监管总局按职责分工负责）</w:t>
      </w:r>
      <w:r>
        <w:rPr>
          <w:rFonts w:hint="eastAsia" w:ascii="楷体_GB2312" w:hAnsi="Arial" w:eastAsia="楷体_GB2312" w:cs="Arial"/>
          <w:kern w:val="0"/>
          <w:sz w:val="32"/>
          <w:szCs w:val="32"/>
        </w:rPr>
        <w:br w:type="textWrapping"/>
      </w:r>
      <w:r>
        <w:rPr>
          <w:rFonts w:hint="eastAsia" w:ascii="楷体_GB2312" w:hAnsi="Arial" w:eastAsia="楷体_GB2312" w:cs="Arial"/>
          <w:kern w:val="0"/>
          <w:sz w:val="32"/>
          <w:szCs w:val="32"/>
        </w:rPr>
        <w:t>  （三）改善进口商品供给。</w:t>
      </w:r>
      <w:r>
        <w:rPr>
          <w:rFonts w:hint="eastAsia" w:ascii="仿宋_GB2312" w:hAnsi="Arial" w:eastAsia="仿宋_GB2312" w:cs="Arial"/>
          <w:kern w:val="0"/>
          <w:sz w:val="32"/>
          <w:szCs w:val="32"/>
        </w:rPr>
        <w:t>依托中国国际进口博览会主动扩大进口，进一步增加国内市场优质商品供给。支持中心城市做强“首店经济”和“首发经济”，鼓励国际知名品牌在中国市场首发或同步上市新品。落实好跨境电商零售进口商品清单和相关监管政策，除国家明令暂停进口的疫区商品以及因出现重大质量安全风险而启动风险应急处置的商品外，对跨境电商零售进口商品按个人自用进境物品监管，进一步畅通商品退换货通道。优化网络营销生态，规范大型跨境电商平台管理，鼓励线上率先实现境内外商品同款同价。落实好降低日用消费品进口关税的措施，调整优化部分消费税品目征收环节，将高档手表、贵重首饰和珠宝玉石的消费税由进口环节后移至零售环节征收。</w:t>
      </w:r>
      <w:r>
        <w:rPr>
          <w:rFonts w:hint="eastAsia" w:ascii="楷体_GB2312" w:hAnsi="Arial" w:eastAsia="楷体_GB2312" w:cs="Arial"/>
          <w:kern w:val="0"/>
          <w:sz w:val="32"/>
          <w:szCs w:val="32"/>
        </w:rPr>
        <w:t>（财政部、商务部、海关总署、税务总局、市场监管总局按职责分工负责）</w:t>
      </w:r>
      <w:r>
        <w:rPr>
          <w:rFonts w:hint="eastAsia" w:ascii="楷体_GB2312" w:hAnsi="Arial" w:eastAsia="楷体_GB2312" w:cs="Arial"/>
          <w:kern w:val="0"/>
          <w:sz w:val="32"/>
          <w:szCs w:val="32"/>
        </w:rPr>
        <w:br w:type="textWrapping"/>
      </w:r>
      <w:r>
        <w:rPr>
          <w:rFonts w:hint="eastAsia" w:ascii="楷体_GB2312" w:hAnsi="Arial" w:eastAsia="楷体_GB2312" w:cs="Arial"/>
          <w:kern w:val="0"/>
          <w:sz w:val="32"/>
          <w:szCs w:val="32"/>
        </w:rPr>
        <w:t>  （四）进一步完善免税业政策。</w:t>
      </w:r>
      <w:r>
        <w:rPr>
          <w:rFonts w:hint="eastAsia" w:ascii="仿宋_GB2312" w:hAnsi="Arial" w:eastAsia="仿宋_GB2312" w:cs="Arial"/>
          <w:kern w:val="0"/>
          <w:sz w:val="32"/>
          <w:szCs w:val="32"/>
        </w:rPr>
        <w:t>以建设中国特色免税体系为目标，加强顶层设计，破除行业发展障碍，提高行业发展质量和水平。科学确定免税业功能定位，坚持服务境外人士和我出境居民并重，加强对免税业发展的统筹规划，健全免税业政策体系。完善市内免税店政策，建设一批中国特色市内免税店。鼓励有条件的城市对市内免税店的建设经营提供土地、融资等支持，在机场口岸免税店为市内免税店设立离境提货点。扩大口岸免税业务，增设口岸免税店。根据居民收入水平提高和消费升级情况，适时研究调整免税限额和免税品种类。在免税店设立一定面积的国产商品销售区，引导相关企业开发专供免税渠道的优质特色国产商品，将免税店打造成为扶持国货精品、展示自主品牌、传播民族传统文化的重要平台。</w:t>
      </w:r>
      <w:r>
        <w:rPr>
          <w:rFonts w:hint="eastAsia" w:ascii="楷体_GB2312" w:hAnsi="Arial" w:eastAsia="楷体_GB2312" w:cs="Arial"/>
          <w:kern w:val="0"/>
          <w:sz w:val="32"/>
          <w:szCs w:val="32"/>
        </w:rPr>
        <w:t>（财政部、商务部、海关总署、税务总局按职责分工负责）</w:t>
      </w:r>
      <w:r>
        <w:rPr>
          <w:rFonts w:hint="eastAsia" w:ascii="仿宋_GB2312" w:hAnsi="Arial" w:eastAsia="仿宋_GB2312" w:cs="Arial"/>
          <w:kern w:val="0"/>
          <w:sz w:val="32"/>
          <w:szCs w:val="32"/>
        </w:rPr>
        <w:br w:type="textWrapping"/>
      </w:r>
      <w:r>
        <w:rPr>
          <w:rFonts w:hint="eastAsia" w:ascii="黑体" w:hAnsi="黑体" w:eastAsia="黑体" w:cs="Arial"/>
          <w:kern w:val="0"/>
          <w:sz w:val="32"/>
          <w:szCs w:val="32"/>
        </w:rPr>
        <w:t>  二、重点推进文旅休闲消费提质升级</w:t>
      </w:r>
      <w:r>
        <w:rPr>
          <w:rFonts w:hint="eastAsia" w:ascii="黑体" w:hAnsi="黑体" w:eastAsia="黑体" w:cs="Arial"/>
          <w:kern w:val="0"/>
          <w:sz w:val="32"/>
          <w:szCs w:val="32"/>
        </w:rPr>
        <w:br w:type="textWrapping"/>
      </w:r>
      <w:r>
        <w:rPr>
          <w:rFonts w:hint="eastAsia" w:ascii="仿宋_GB2312" w:hAnsi="Arial" w:eastAsia="仿宋_GB2312" w:cs="Arial"/>
          <w:kern w:val="0"/>
          <w:sz w:val="32"/>
          <w:szCs w:val="32"/>
        </w:rPr>
        <w:t> </w:t>
      </w:r>
      <w:r>
        <w:rPr>
          <w:rFonts w:hint="eastAsia" w:ascii="楷体_GB2312" w:hAnsi="Arial" w:eastAsia="楷体_GB2312" w:cs="Arial"/>
          <w:kern w:val="0"/>
          <w:sz w:val="32"/>
          <w:szCs w:val="32"/>
        </w:rPr>
        <w:t> （五）丰富特色文化旅游产品。</w:t>
      </w:r>
      <w:r>
        <w:rPr>
          <w:rFonts w:hint="eastAsia" w:ascii="仿宋_GB2312" w:hAnsi="Arial" w:eastAsia="仿宋_GB2312" w:cs="Arial"/>
          <w:kern w:val="0"/>
          <w:sz w:val="32"/>
          <w:szCs w:val="32"/>
        </w:rPr>
        <w:t>构建文旅多产业多领域融合互通的休闲消费体系，建设文化产业和旅游产业融合发展示范区。推动非物质文化遗产保护传承，打造具有中国文化特色的旅游购物场所。推动重点城市加快文化休闲街区、艺术街区、特色书店、剧场群、文化娱乐场所群等建设，发展集合多种业态的消费集聚区。规范演出票务市场，加强对演出赠票和工作票管理，强化票务信息监管。培育新型文化和旅游业态，鼓励博物馆游、科技旅游、民俗游等文化体验游，开发一批适应境内外游客需求的旅游线路、旅游目的地、旅游演艺及具有地域和民族特色的创意旅游商品。促进全域旅游发展，提升国家级旅游度假区品质和品牌影响力。鼓励各地区因地制宜发展入境海岛游、近海旅游、乡村旅游、冰雪游、历史古都文化游等特色旅游。加快中国邮轮旅游发展示范区和实验区建设。</w:t>
      </w:r>
      <w:r>
        <w:rPr>
          <w:rFonts w:hint="eastAsia" w:ascii="楷体_GB2312" w:hAnsi="Arial" w:eastAsia="楷体_GB2312" w:cs="Arial"/>
          <w:kern w:val="0"/>
          <w:sz w:val="32"/>
          <w:szCs w:val="32"/>
        </w:rPr>
        <w:t>（文化和旅游部、发展改革委、住房城乡建设部、商务部按职责分工负责）</w:t>
      </w:r>
      <w:r>
        <w:rPr>
          <w:rFonts w:hint="eastAsia" w:ascii="楷体_GB2312" w:hAnsi="Arial" w:eastAsia="楷体_GB2312" w:cs="Arial"/>
          <w:kern w:val="0"/>
          <w:sz w:val="32"/>
          <w:szCs w:val="32"/>
        </w:rPr>
        <w:br w:type="textWrapping"/>
      </w:r>
      <w:r>
        <w:rPr>
          <w:rFonts w:hint="eastAsia" w:ascii="楷体_GB2312" w:hAnsi="Arial" w:eastAsia="楷体_GB2312" w:cs="Arial"/>
          <w:kern w:val="0"/>
          <w:sz w:val="32"/>
          <w:szCs w:val="32"/>
        </w:rPr>
        <w:t>  （六）改善入境旅游与购物环境</w:t>
      </w:r>
      <w:r>
        <w:rPr>
          <w:rFonts w:hint="eastAsia" w:ascii="仿宋_GB2312" w:hAnsi="Arial" w:eastAsia="仿宋_GB2312" w:cs="Arial"/>
          <w:kern w:val="0"/>
          <w:sz w:val="32"/>
          <w:szCs w:val="32"/>
        </w:rPr>
        <w:t>。鼓励各地区、各行业运用手机应用程序（APP）等方式，整合旅游产品信息，畅通消费投诉渠道，改善旅游和购物体验。提升“智慧景区”服务水平，利用互联网、大数据、云计算、人工智能等新技术做好客流疏导和景区服务。加大入境游专业人才培养力度。提升景区景点、餐饮住宿、购物娱乐、机场车站等场所多语种服务水平。在充分考虑国家安全和人员往来需要的前提下，积极研究出台便利外籍人员入出境、停居留的政策措施。鼓励境内支付服务机构在依法合规前提下与境外发卡机构合作，为境外游客提供移动支付业务。鼓励境外游客集中区域内的商店申请成为离境退税商店，优化购物离境退税服务。培育建设一批基础条件好、消费潜力大、国际化水平高的国际消费中心城市、国家文化和旅游消费示范城市，实施出入境便利、支付便利、离境退税、免税业等政策，形成一批吸引境外游客的旅游消费目的地。</w:t>
      </w:r>
      <w:r>
        <w:rPr>
          <w:rFonts w:hint="eastAsia" w:ascii="楷体_GB2312" w:hAnsi="Arial" w:eastAsia="楷体_GB2312" w:cs="Arial"/>
          <w:kern w:val="0"/>
          <w:sz w:val="32"/>
          <w:szCs w:val="32"/>
        </w:rPr>
        <w:t>（文化和旅游部、发展改革委、教育部、财政部、人力资源社会保障部、商务部、人民银行、税务总局、移民局按职责分工负责）</w:t>
      </w:r>
      <w:r>
        <w:rPr>
          <w:rFonts w:hint="eastAsia" w:ascii="楷体_GB2312" w:hAnsi="Arial" w:eastAsia="楷体_GB2312" w:cs="Arial"/>
          <w:kern w:val="0"/>
          <w:sz w:val="32"/>
          <w:szCs w:val="32"/>
        </w:rPr>
        <w:br w:type="textWrapping"/>
      </w:r>
      <w:r>
        <w:rPr>
          <w:rFonts w:hint="eastAsia" w:ascii="楷体_GB2312" w:hAnsi="Arial" w:eastAsia="楷体_GB2312" w:cs="Arial"/>
          <w:kern w:val="0"/>
          <w:sz w:val="32"/>
          <w:szCs w:val="32"/>
        </w:rPr>
        <w:t>  （七）创新文化旅游宣传推广模式。</w:t>
      </w:r>
      <w:r>
        <w:rPr>
          <w:rFonts w:hint="eastAsia" w:ascii="仿宋_GB2312" w:hAnsi="Arial" w:eastAsia="仿宋_GB2312" w:cs="Arial"/>
          <w:kern w:val="0"/>
          <w:sz w:val="32"/>
          <w:szCs w:val="32"/>
        </w:rPr>
        <w:t>编制前瞻性入境旅游营销战略规划，更好发挥各地区旅游推广联盟、行业协会和新媒体作用，持续推广塑造“美丽中国”形象。鼓励成立专业化的文化旅游形象营销机构，探索建立政府搭台、企业主导、线上线下融合、游客参与互动的全方位推广宣传模式。充分利用境外旅行社渠道，创新商业合作模式，促进境外旅行社宣介中国旅游品牌、销售中国旅游产品。</w:t>
      </w:r>
      <w:r>
        <w:rPr>
          <w:rFonts w:hint="eastAsia" w:ascii="楷体_GB2312" w:hAnsi="Arial" w:eastAsia="楷体_GB2312" w:cs="Arial"/>
          <w:kern w:val="0"/>
          <w:sz w:val="32"/>
          <w:szCs w:val="32"/>
        </w:rPr>
        <w:t>（文化和旅游部、中央宣传部、发展改革委按职责分工负责）</w:t>
      </w:r>
      <w:r>
        <w:rPr>
          <w:rFonts w:hint="eastAsia" w:ascii="仿宋_GB2312" w:hAnsi="Arial" w:eastAsia="仿宋_GB2312" w:cs="Arial"/>
          <w:kern w:val="0"/>
          <w:sz w:val="32"/>
          <w:szCs w:val="32"/>
        </w:rPr>
        <w:br w:type="textWrapping"/>
      </w:r>
      <w:r>
        <w:rPr>
          <w:rFonts w:hint="eastAsia" w:ascii="黑体" w:hAnsi="黑体" w:eastAsia="黑体" w:cs="Arial"/>
          <w:kern w:val="0"/>
          <w:sz w:val="32"/>
          <w:szCs w:val="32"/>
        </w:rPr>
        <w:t>  三、着力建设城乡融合消费网络</w:t>
      </w:r>
      <w:r>
        <w:rPr>
          <w:rFonts w:hint="eastAsia" w:ascii="黑体" w:hAnsi="黑体" w:eastAsia="黑体" w:cs="Arial"/>
          <w:kern w:val="0"/>
          <w:sz w:val="32"/>
          <w:szCs w:val="32"/>
        </w:rPr>
        <w:br w:type="textWrapping"/>
      </w:r>
      <w:r>
        <w:rPr>
          <w:rFonts w:hint="eastAsia" w:ascii="楷体_GB2312" w:hAnsi="Arial" w:eastAsia="楷体_GB2312" w:cs="Arial"/>
          <w:kern w:val="0"/>
          <w:sz w:val="32"/>
          <w:szCs w:val="32"/>
        </w:rPr>
        <w:t>  （八）结合区域发展布局打造消费中心。</w:t>
      </w:r>
      <w:r>
        <w:rPr>
          <w:rFonts w:hint="eastAsia" w:ascii="仿宋_GB2312" w:hAnsi="Arial" w:eastAsia="仿宋_GB2312" w:cs="Arial"/>
          <w:kern w:val="0"/>
          <w:sz w:val="32"/>
          <w:szCs w:val="32"/>
        </w:rPr>
        <w:t>持续推动都市圈建设，不断提升都市圈内公共服务共建共享和基础设施互联互通水平，加快推进成熟商圈上档升级，形成若干区域消费中心。优化百货商场、购物中心规划布局，引导行业适度集中，避免无序竞争。支持商业转型升级，推动零售业转变和创新经营模式，着力压减物流等中间环节和经营成本，通过精准营销、协同管理提高规模效益，改善消费体验。促进社区生活服务业发展，大力发展便利店、社区菜店等社区商业，拓宽物业服务，加快社区便民商圈建设。推动商业步行街改造提升，进一步扩大示范试点范围，充分体现地方特色，完善消费业态，打造形成一站式综合性消费平台。</w:t>
      </w:r>
      <w:r>
        <w:rPr>
          <w:rFonts w:hint="eastAsia" w:ascii="楷体_GB2312" w:hAnsi="Arial" w:eastAsia="楷体_GB2312" w:cs="Arial"/>
          <w:kern w:val="0"/>
          <w:sz w:val="32"/>
          <w:szCs w:val="32"/>
        </w:rPr>
        <w:t>（发展改革委、工业和信息化部、自然资源部、住房城乡建设部、农业农村部、商务部、文化和旅游部按职责分工负责）</w:t>
      </w:r>
      <w:r>
        <w:rPr>
          <w:rFonts w:hint="eastAsia" w:ascii="楷体_GB2312" w:hAnsi="Arial" w:eastAsia="楷体_GB2312" w:cs="Arial"/>
          <w:kern w:val="0"/>
          <w:sz w:val="32"/>
          <w:szCs w:val="32"/>
        </w:rPr>
        <w:br w:type="textWrapping"/>
      </w:r>
      <w:r>
        <w:rPr>
          <w:rFonts w:hint="eastAsia" w:ascii="楷体_GB2312" w:hAnsi="Arial" w:eastAsia="楷体_GB2312" w:cs="Arial"/>
          <w:kern w:val="0"/>
          <w:sz w:val="32"/>
          <w:szCs w:val="32"/>
        </w:rPr>
        <w:t>  （九）优化城乡商业网点布局。</w:t>
      </w:r>
      <w:r>
        <w:rPr>
          <w:rFonts w:hint="eastAsia" w:ascii="仿宋_GB2312" w:hAnsi="Arial" w:eastAsia="仿宋_GB2312" w:cs="Arial"/>
          <w:kern w:val="0"/>
          <w:sz w:val="32"/>
          <w:szCs w:val="32"/>
        </w:rPr>
        <w:t>鼓励引导有实力、有意愿的大型商业零售企业在中小城市开展连锁网点建设，促进适应当地市场需求的品牌商品销售。深入推进城乡高效配送专项行动。丰富适合农村消费者的商品供给，完善供应渠道，充分发挥邮政系统、供销合作社系统现有农村网点布局优势，实施“邮政在乡”、升级“快递下乡”。开展农村食品经营店规范化建设试点。加强农产品供应链体系建设，扩大电商进农村覆盖面，促进工业品下乡和农产品进城双向流通。深入开展消费扶贫，构建互联网企业与贫困地区合作交流平台，助推农村地区特别是深度贫困地区特色优势农产品销售。</w:t>
      </w:r>
      <w:r>
        <w:rPr>
          <w:rFonts w:hint="eastAsia" w:ascii="楷体_GB2312" w:hAnsi="Arial" w:eastAsia="楷体_GB2312" w:cs="Arial"/>
          <w:kern w:val="0"/>
          <w:sz w:val="32"/>
          <w:szCs w:val="32"/>
        </w:rPr>
        <w:t>（商务部、交通运输部、农业农村部、市场监管总局、自然资源部、邮政局、扶贫办、供销合作总社按职责分工负责）</w:t>
      </w:r>
      <w:r>
        <w:rPr>
          <w:rFonts w:hint="eastAsia" w:ascii="楷体_GB2312" w:hAnsi="Arial" w:eastAsia="楷体_GB2312" w:cs="Arial"/>
          <w:kern w:val="0"/>
          <w:sz w:val="32"/>
          <w:szCs w:val="32"/>
        </w:rPr>
        <w:br w:type="textWrapping"/>
      </w:r>
      <w:r>
        <w:rPr>
          <w:rFonts w:hint="eastAsia" w:ascii="楷体_GB2312" w:hAnsi="Arial" w:eastAsia="楷体_GB2312" w:cs="Arial"/>
          <w:kern w:val="0"/>
          <w:sz w:val="32"/>
          <w:szCs w:val="32"/>
        </w:rPr>
        <w:t>  （十）加强消费物流基础设施建设。</w:t>
      </w:r>
      <w:r>
        <w:rPr>
          <w:rFonts w:hint="eastAsia" w:ascii="仿宋_GB2312" w:hAnsi="Arial" w:eastAsia="仿宋_GB2312" w:cs="Arial"/>
          <w:kern w:val="0"/>
          <w:sz w:val="32"/>
          <w:szCs w:val="32"/>
        </w:rPr>
        <w:t>推动电商物流节点与铁路、公路、水运、航空运输网络统筹布局、融合发展，建设一批综合物流中心。完善城市物流配送停靠、装卸等作业设施，优化城市配送车辆通行管理，简化通行证办理流程，推广网上申请办理，对纯电动轻型货车不限行或少限行。完善农村物流基础设施网络，加快特色农产品优势区生产基地、公益性农产品批发市场、区域性商贸物流配送中心、社区菜市场、末端配送网点等建设，加大对农产品分拣、加工、包装、预冷等一体化集配设施建设支持力度。</w:t>
      </w:r>
      <w:r>
        <w:rPr>
          <w:rFonts w:hint="eastAsia" w:ascii="楷体_GB2312" w:hAnsi="Arial" w:eastAsia="楷体_GB2312" w:cs="Arial"/>
          <w:kern w:val="0"/>
          <w:sz w:val="32"/>
          <w:szCs w:val="32"/>
        </w:rPr>
        <w:t>（交通运输部、发展改革委、公安部、住房城乡建设部、农业农村部、商务部、铁路局、民航局按职责分工负责）</w:t>
      </w:r>
    </w:p>
    <w:p>
      <w:pPr>
        <w:spacing w:line="540" w:lineRule="exact"/>
        <w:ind w:firstLine="5440" w:firstLineChars="1700"/>
        <w:rPr>
          <w:rFonts w:ascii="楷体_GB2312" w:hAnsi="Arial" w:eastAsia="楷体_GB2312" w:cs="Arial"/>
          <w:kern w:val="0"/>
          <w:sz w:val="32"/>
          <w:szCs w:val="32"/>
        </w:rPr>
      </w:pPr>
      <w:r>
        <w:rPr>
          <w:rFonts w:hint="eastAsia" w:ascii="仿宋_GB2312" w:hAnsi="Arial" w:eastAsia="仿宋_GB2312" w:cs="Arial"/>
          <w:kern w:val="0"/>
          <w:sz w:val="32"/>
          <w:szCs w:val="32"/>
        </w:rPr>
        <w:br w:type="textWrapping"/>
      </w:r>
      <w:r>
        <w:rPr>
          <w:rFonts w:hint="eastAsia" w:ascii="黑体" w:hAnsi="黑体" w:eastAsia="黑体" w:cs="Arial"/>
          <w:kern w:val="0"/>
          <w:sz w:val="32"/>
          <w:szCs w:val="32"/>
        </w:rPr>
        <w:t>  四、加快构建“智能+”消费生态体系</w:t>
      </w:r>
      <w:r>
        <w:rPr>
          <w:rFonts w:hint="eastAsia" w:ascii="黑体" w:hAnsi="黑体" w:eastAsia="黑体" w:cs="Arial"/>
          <w:kern w:val="0"/>
          <w:sz w:val="32"/>
          <w:szCs w:val="32"/>
        </w:rPr>
        <w:br w:type="textWrapping"/>
      </w:r>
      <w:r>
        <w:rPr>
          <w:rFonts w:hint="eastAsia" w:ascii="仿宋_GB2312" w:hAnsi="Arial" w:eastAsia="仿宋_GB2312" w:cs="Arial"/>
          <w:kern w:val="0"/>
          <w:sz w:val="32"/>
          <w:szCs w:val="32"/>
        </w:rPr>
        <w:t> </w:t>
      </w:r>
      <w:r>
        <w:rPr>
          <w:rFonts w:hint="eastAsia" w:ascii="楷体_GB2312" w:hAnsi="Arial" w:eastAsia="楷体_GB2312" w:cs="Arial"/>
          <w:kern w:val="0"/>
          <w:sz w:val="32"/>
          <w:szCs w:val="32"/>
        </w:rPr>
        <w:t> （十一）加快新一代信息基础设施建设。</w:t>
      </w:r>
      <w:r>
        <w:rPr>
          <w:rFonts w:hint="eastAsia" w:ascii="仿宋_GB2312" w:hAnsi="Arial" w:eastAsia="仿宋_GB2312" w:cs="Arial"/>
          <w:kern w:val="0"/>
          <w:sz w:val="32"/>
          <w:szCs w:val="32"/>
        </w:rPr>
        <w:t>加快5G网络等信息基础设施建设和商用步伐。支持利用5G技术对有线电视网络进行改造升级，实现居民家庭有线无线交互，大屏小屏互动。推动车联网部署应用。全面推进信息进村入户，构建为农综合信息服务体系，依托“互联网+”推动公共服务向农村延伸。提升农村地区宽带用户接入速率和普及水平，降低农村信息网络使用成本。</w:t>
      </w:r>
      <w:r>
        <w:rPr>
          <w:rFonts w:hint="eastAsia" w:ascii="楷体_GB2312" w:hAnsi="Arial" w:eastAsia="楷体_GB2312" w:cs="Arial"/>
          <w:kern w:val="0"/>
          <w:sz w:val="32"/>
          <w:szCs w:val="32"/>
        </w:rPr>
        <w:t>（工业和信息化部、发展改革委、住房城乡建设部、农业农村部、广电总局按职责分工负责）</w:t>
      </w:r>
      <w:r>
        <w:rPr>
          <w:rFonts w:hint="eastAsia" w:ascii="楷体_GB2312" w:hAnsi="Arial" w:eastAsia="楷体_GB2312" w:cs="Arial"/>
          <w:kern w:val="0"/>
          <w:sz w:val="32"/>
          <w:szCs w:val="32"/>
        </w:rPr>
        <w:br w:type="textWrapping"/>
      </w:r>
      <w:r>
        <w:rPr>
          <w:rFonts w:hint="eastAsia" w:ascii="楷体_GB2312" w:hAnsi="Arial" w:eastAsia="楷体_GB2312" w:cs="Arial"/>
          <w:kern w:val="0"/>
          <w:sz w:val="32"/>
          <w:szCs w:val="32"/>
        </w:rPr>
        <w:t>  （十二）鼓励线上线下融合等新消费模式发展。</w:t>
      </w:r>
      <w:r>
        <w:rPr>
          <w:rFonts w:hint="eastAsia" w:ascii="仿宋_GB2312" w:hAnsi="Arial" w:eastAsia="仿宋_GB2312" w:cs="Arial"/>
          <w:kern w:val="0"/>
          <w:sz w:val="32"/>
          <w:szCs w:val="32"/>
        </w:rPr>
        <w:t>完善“互联网+”消费生态体系，鼓励建设“智慧商店”、“智慧街区”、“智慧商</w:t>
      </w:r>
      <w:r>
        <w:rPr>
          <w:rFonts w:hint="eastAsia" w:ascii="仿宋_GB2312" w:hAnsi="Arial" w:eastAsia="仿宋_GB2312" w:cs="Arial"/>
          <w:spacing w:val="-6"/>
          <w:kern w:val="0"/>
          <w:sz w:val="32"/>
          <w:szCs w:val="32"/>
        </w:rPr>
        <w:t>圈”，促进线上线下互动、商旅文体协同。鼓励有条件的城市和企业建设一批线上线下融合的新消费体验馆，促进消费新业态、新模式、新场景的普及应用。</w:t>
      </w:r>
      <w:r>
        <w:rPr>
          <w:rFonts w:hint="eastAsia" w:ascii="楷体_GB2312" w:hAnsi="Arial" w:eastAsia="楷体_GB2312" w:cs="Arial"/>
          <w:spacing w:val="-6"/>
          <w:kern w:val="0"/>
          <w:sz w:val="32"/>
          <w:szCs w:val="32"/>
        </w:rPr>
        <w:t>（工业和信息化部、发展改革委、商务部、文化和旅游部、体育总局按职责分工负责）</w:t>
      </w:r>
      <w:r>
        <w:rPr>
          <w:rFonts w:hint="eastAsia" w:ascii="楷体_GB2312" w:hAnsi="Arial" w:eastAsia="楷体_GB2312" w:cs="Arial"/>
          <w:kern w:val="0"/>
          <w:sz w:val="32"/>
          <w:szCs w:val="32"/>
        </w:rPr>
        <w:br w:type="textWrapping"/>
      </w:r>
      <w:r>
        <w:rPr>
          <w:rFonts w:hint="eastAsia" w:ascii="楷体_GB2312" w:hAnsi="Arial" w:eastAsia="楷体_GB2312" w:cs="Arial"/>
          <w:kern w:val="0"/>
          <w:sz w:val="32"/>
          <w:szCs w:val="32"/>
        </w:rPr>
        <w:t>  （十三）鼓励使用绿色智能产品。</w:t>
      </w:r>
      <w:r>
        <w:rPr>
          <w:rFonts w:hint="eastAsia" w:ascii="仿宋_GB2312" w:hAnsi="Arial" w:eastAsia="仿宋_GB2312" w:cs="Arial"/>
          <w:kern w:val="0"/>
          <w:sz w:val="32"/>
          <w:szCs w:val="32"/>
        </w:rPr>
        <w:t>健全绿色产品、服务标准体系和绿色标识认证体系。以绿色产品供给、绿色公交设施建设、节能环保建筑以及相关技术创新等为重点推进绿色消费，创建绿色商场。落实好现行中央财政新能源汽车推广应用补贴政策和基础设施建设奖补政策，推动各地区按规定将地方资金支持范围从购置环节向运营环节转变，重点支持用于城市公交。大力推进“智慧广电”建设，推动居民家庭文化消费升级。加快发展超高清视频、虚拟现实、可穿戴设备等新型信息产品。鼓励企业利用物联网、大数据、云计算、人工智能等技术推动各类电子产品智能化升级。加快完善机动车、家电、消费电子产品等领域回收网络。各地区结合实际制定奖励与强制相结合的消费更新换代政策，鼓励企业开展以旧换新，合理引导消费预期。促进机动车报废更新，加快出台报废机动车回收管理办法实施细则，严格执行报废机动车回收拆解企业技术规范，完善农机报废更新实施指导意见。促进汽车限购向引导使用政策转变，鼓励汽车限购地区适当增加汽车号牌限额。</w:t>
      </w:r>
      <w:r>
        <w:rPr>
          <w:rFonts w:hint="eastAsia" w:ascii="楷体_GB2312" w:hAnsi="Arial" w:eastAsia="楷体_GB2312" w:cs="Arial"/>
          <w:kern w:val="0"/>
          <w:sz w:val="32"/>
          <w:szCs w:val="32"/>
        </w:rPr>
        <w:t>（发展改革委、工业和信息化部、财政部、生态环境部、住房城乡建设部、交通运输部、农业农村部、商务部、市场监管总局、广电总局按职责分工负责）</w:t>
      </w:r>
      <w:r>
        <w:rPr>
          <w:rFonts w:hint="eastAsia" w:ascii="楷体_GB2312" w:hAnsi="Arial" w:eastAsia="楷体_GB2312" w:cs="Arial"/>
          <w:kern w:val="0"/>
          <w:sz w:val="32"/>
          <w:szCs w:val="32"/>
        </w:rPr>
        <w:br w:type="textWrapping"/>
      </w:r>
      <w:r>
        <w:rPr>
          <w:rFonts w:hint="eastAsia" w:ascii="楷体_GB2312" w:hAnsi="Arial" w:eastAsia="楷体_GB2312" w:cs="Arial"/>
          <w:kern w:val="0"/>
          <w:sz w:val="32"/>
          <w:szCs w:val="32"/>
        </w:rPr>
        <w:t>  （十四）大力发展“互联网+社会服务”消费模式。</w:t>
      </w:r>
      <w:r>
        <w:rPr>
          <w:rFonts w:hint="eastAsia" w:ascii="仿宋_GB2312" w:hAnsi="Arial" w:eastAsia="仿宋_GB2312" w:cs="Arial"/>
          <w:kern w:val="0"/>
          <w:sz w:val="32"/>
          <w:szCs w:val="32"/>
        </w:rPr>
        <w:t>促进教育、医疗健康、养老、托育、家政、文化和旅游、体育等服务消费线上线下融合发展，拓展服务内容，扩大服务覆盖面。探索建立在线教育课程认证、家庭医生电子化签约等制度，支持发展社区居家“虚拟养老院”。鼓励以高水平社会服务机构为核心，建立面向基层地区、欠发达地区、边远地区的远程在线服务体系。</w:t>
      </w:r>
      <w:r>
        <w:rPr>
          <w:rFonts w:hint="eastAsia" w:ascii="楷体_GB2312" w:hAnsi="Arial" w:eastAsia="楷体_GB2312" w:cs="Arial"/>
          <w:kern w:val="0"/>
          <w:sz w:val="32"/>
          <w:szCs w:val="32"/>
        </w:rPr>
        <w:t>（发展改革委、教育部、工业和信息化部、民政部、住房城乡建设部、商务部、文化和旅游部、卫生健康委、体育总局按职责分工负责）</w:t>
      </w:r>
      <w:r>
        <w:rPr>
          <w:rFonts w:hint="eastAsia" w:ascii="楷体_GB2312" w:hAnsi="Arial" w:eastAsia="楷体_GB2312" w:cs="Arial"/>
          <w:kern w:val="0"/>
          <w:sz w:val="32"/>
          <w:szCs w:val="32"/>
        </w:rPr>
        <w:br w:type="textWrapping"/>
      </w:r>
      <w:r>
        <w:rPr>
          <w:rFonts w:hint="eastAsia" w:ascii="黑体" w:hAnsi="黑体" w:eastAsia="黑体" w:cs="Arial"/>
          <w:kern w:val="0"/>
          <w:sz w:val="32"/>
          <w:szCs w:val="32"/>
        </w:rPr>
        <w:t>  五、持续提升居民消费能力</w:t>
      </w:r>
      <w:r>
        <w:rPr>
          <w:rFonts w:hint="eastAsia" w:ascii="黑体" w:hAnsi="黑体" w:eastAsia="黑体" w:cs="Arial"/>
          <w:kern w:val="0"/>
          <w:sz w:val="32"/>
          <w:szCs w:val="32"/>
        </w:rPr>
        <w:br w:type="textWrapping"/>
      </w:r>
      <w:r>
        <w:rPr>
          <w:rFonts w:hint="eastAsia" w:ascii="仿宋_GB2312" w:hAnsi="Arial" w:eastAsia="仿宋_GB2312" w:cs="Arial"/>
          <w:kern w:val="0"/>
          <w:sz w:val="32"/>
          <w:szCs w:val="32"/>
        </w:rPr>
        <w:t>  </w:t>
      </w:r>
      <w:r>
        <w:rPr>
          <w:rFonts w:hint="eastAsia" w:ascii="楷体_GB2312" w:hAnsi="Arial" w:eastAsia="楷体_GB2312" w:cs="Arial"/>
          <w:kern w:val="0"/>
          <w:sz w:val="32"/>
          <w:szCs w:val="32"/>
        </w:rPr>
        <w:t>（十五）促进重点群体增收激发消费潜力</w:t>
      </w:r>
      <w:r>
        <w:rPr>
          <w:rFonts w:hint="eastAsia" w:ascii="仿宋_GB2312" w:hAnsi="Arial" w:eastAsia="仿宋_GB2312" w:cs="Arial"/>
          <w:kern w:val="0"/>
          <w:sz w:val="32"/>
          <w:szCs w:val="32"/>
        </w:rPr>
        <w:t>。进一步改革完善职业教育制度体系，大规模开展职业技能培训，提升技术工人技能水平，完善专业技术人员分配政策。推进乡村经济多元化，支持农民工、高校毕业生、退役军人等人员返乡入乡创业，挖掘新型农业经营主体增收潜力。持续深化户籍制度改革，使更多在城镇稳定就业生活的农业转移人口落户定居，着力根治拖欠农民工工资问题。</w:t>
      </w:r>
      <w:r>
        <w:rPr>
          <w:rFonts w:hint="eastAsia" w:ascii="楷体_GB2312" w:hAnsi="Arial" w:eastAsia="楷体_GB2312" w:cs="Arial"/>
          <w:kern w:val="0"/>
          <w:sz w:val="32"/>
          <w:szCs w:val="32"/>
        </w:rPr>
        <w:t>（发展改革委、教育部、公安部、人力资源社会保障部、农业农村部按职责分工负责）</w:t>
      </w:r>
      <w:r>
        <w:rPr>
          <w:rFonts w:hint="eastAsia" w:ascii="楷体_GB2312" w:hAnsi="Arial" w:eastAsia="楷体_GB2312" w:cs="Arial"/>
          <w:kern w:val="0"/>
          <w:sz w:val="32"/>
          <w:szCs w:val="32"/>
        </w:rPr>
        <w:br w:type="textWrapping"/>
      </w:r>
      <w:r>
        <w:rPr>
          <w:rFonts w:hint="eastAsia" w:ascii="楷体_GB2312" w:hAnsi="Arial" w:eastAsia="楷体_GB2312" w:cs="Arial"/>
          <w:kern w:val="0"/>
          <w:sz w:val="32"/>
          <w:szCs w:val="32"/>
        </w:rPr>
        <w:t>  （十六）稳定和增加居民财产性收入。</w:t>
      </w:r>
      <w:r>
        <w:rPr>
          <w:rFonts w:hint="eastAsia" w:ascii="仿宋_GB2312" w:hAnsi="Arial" w:eastAsia="仿宋_GB2312" w:cs="Arial"/>
          <w:kern w:val="0"/>
          <w:sz w:val="32"/>
          <w:szCs w:val="32"/>
        </w:rPr>
        <w:t>丰富和规范居民投资理财产品，适度扩大国债、地方政府债券面向个人投资者的发行额度。稳定资本市场财产性收入预期，完善分红激励制度，坚决查处严重损害中小投资者分红派息权益的行为。深化农村土地和集体产权制度改革，稳步推进农村集体经营性建设用地入市，探索赋予农民对集体资产股份的占有、收益、有偿退出及抵押、担保、继承权。</w:t>
      </w:r>
      <w:r>
        <w:rPr>
          <w:rFonts w:hint="eastAsia" w:ascii="楷体_GB2312" w:hAnsi="Arial" w:eastAsia="楷体_GB2312" w:cs="Arial"/>
          <w:kern w:val="0"/>
          <w:sz w:val="32"/>
          <w:szCs w:val="32"/>
        </w:rPr>
        <w:t>（财政部、自然资源部、农业农村部、人民银行、证监会按职责分工负责）</w:t>
      </w:r>
      <w:r>
        <w:rPr>
          <w:rFonts w:hint="eastAsia" w:ascii="仿宋_GB2312" w:hAnsi="Arial" w:eastAsia="仿宋_GB2312" w:cs="Arial"/>
          <w:kern w:val="0"/>
          <w:sz w:val="32"/>
          <w:szCs w:val="32"/>
        </w:rPr>
        <w:br w:type="textWrapping"/>
      </w:r>
      <w:r>
        <w:rPr>
          <w:rFonts w:hint="eastAsia" w:ascii="黑体" w:hAnsi="黑体" w:eastAsia="黑体" w:cs="Arial"/>
          <w:kern w:val="0"/>
          <w:sz w:val="32"/>
          <w:szCs w:val="32"/>
        </w:rPr>
        <w:t>  六、全面营造放心消费环境</w:t>
      </w:r>
      <w:r>
        <w:rPr>
          <w:rFonts w:hint="eastAsia" w:ascii="黑体" w:hAnsi="黑体" w:eastAsia="黑体" w:cs="Arial"/>
          <w:kern w:val="0"/>
          <w:sz w:val="32"/>
          <w:szCs w:val="32"/>
        </w:rPr>
        <w:br w:type="textWrapping"/>
      </w:r>
      <w:r>
        <w:rPr>
          <w:rFonts w:hint="eastAsia" w:ascii="楷体_GB2312" w:hAnsi="Arial" w:eastAsia="楷体_GB2312" w:cs="Arial"/>
          <w:kern w:val="0"/>
          <w:sz w:val="32"/>
          <w:szCs w:val="32"/>
        </w:rPr>
        <w:t>  （十七）强化市场秩序监管。</w:t>
      </w:r>
      <w:r>
        <w:rPr>
          <w:rFonts w:hint="eastAsia" w:ascii="仿宋_GB2312" w:hAnsi="Arial" w:eastAsia="仿宋_GB2312" w:cs="Arial"/>
          <w:kern w:val="0"/>
          <w:sz w:val="32"/>
          <w:szCs w:val="32"/>
        </w:rPr>
        <w:t>加强反不正当竞争执法，维护公平竞争市场环境。严厉打击各类侵犯知识产权和制售伪劣商品等违法犯罪活动，彻查生产源头和销售网络，开展全链条打击，有效净化消费环境。强化对个人携带物品进境行为的监管，提高现场查验的效率和精准性。加大对非法代购等违法违规行为的惩治力度，堵住相关商品非法入境“旁门”。加强进口产品安全追溯体系建设，提高进口产品及渠道透明度。鼓励地方监管平台、电商平台、第三方追溯平台与国家重要产品追溯平台信息互通</w:t>
      </w:r>
      <w:r>
        <w:rPr>
          <w:rFonts w:hint="eastAsia" w:ascii="楷体_GB2312" w:hAnsi="Arial" w:eastAsia="楷体_GB2312" w:cs="Arial"/>
          <w:kern w:val="0"/>
          <w:sz w:val="32"/>
          <w:szCs w:val="32"/>
        </w:rPr>
        <w:t>。（市场监管总局、公安部、商务部、海关总署按职责分工负责）</w:t>
      </w:r>
      <w:r>
        <w:rPr>
          <w:rFonts w:hint="eastAsia" w:ascii="楷体_GB2312" w:hAnsi="Arial" w:eastAsia="楷体_GB2312" w:cs="Arial"/>
          <w:kern w:val="0"/>
          <w:sz w:val="32"/>
          <w:szCs w:val="32"/>
        </w:rPr>
        <w:br w:type="textWrapping"/>
      </w:r>
      <w:r>
        <w:rPr>
          <w:rFonts w:hint="eastAsia" w:ascii="楷体_GB2312" w:hAnsi="Arial" w:eastAsia="楷体_GB2312" w:cs="Arial"/>
          <w:kern w:val="0"/>
          <w:sz w:val="32"/>
          <w:szCs w:val="32"/>
        </w:rPr>
        <w:t>  （十八）积极推进消费领域信用体系建设</w:t>
      </w:r>
      <w:r>
        <w:rPr>
          <w:rFonts w:hint="eastAsia" w:ascii="仿宋_GB2312" w:hAnsi="Arial" w:eastAsia="仿宋_GB2312" w:cs="Arial"/>
          <w:kern w:val="0"/>
          <w:sz w:val="32"/>
          <w:szCs w:val="32"/>
        </w:rPr>
        <w:t>。完善个人信息保护制度和消费后评价制度，大力优化线上消费环境，加大力度打击网络刷单炒信等黑色产业链。充分运用全国信用信息共享平台、金融信用信息基础数据库等，建立健全企业和相关人员信用记录。强化“信用中国”网站和国家企业信用信息公示系统的公开功能，逐步实现行政许可、行政处罚、产品抽检结果、缺陷产品召回等不涉及国家秘密、商业秘密或者个人隐私的信息依法向全社会公开，为公众提供信用信息一站式查询和消费预警提示服务。</w:t>
      </w:r>
      <w:r>
        <w:rPr>
          <w:rFonts w:hint="eastAsia" w:ascii="楷体_GB2312" w:hAnsi="Arial" w:eastAsia="楷体_GB2312" w:cs="Arial"/>
          <w:kern w:val="0"/>
          <w:sz w:val="32"/>
          <w:szCs w:val="32"/>
        </w:rPr>
        <w:t>（发展改革委、商务部、人民银行、市场监管总局按职责分工负责）</w:t>
      </w:r>
      <w:r>
        <w:rPr>
          <w:rFonts w:hint="eastAsia" w:ascii="仿宋_GB2312" w:hAnsi="Arial" w:eastAsia="仿宋_GB2312" w:cs="Arial"/>
          <w:kern w:val="0"/>
          <w:sz w:val="32"/>
          <w:szCs w:val="32"/>
        </w:rPr>
        <w:br w:type="textWrapping"/>
      </w:r>
      <w:r>
        <w:rPr>
          <w:rFonts w:hint="eastAsia" w:ascii="仿宋_GB2312" w:hAnsi="Arial" w:eastAsia="仿宋_GB2312" w:cs="Arial"/>
          <w:kern w:val="0"/>
          <w:sz w:val="32"/>
          <w:szCs w:val="32"/>
        </w:rPr>
        <w:t> </w:t>
      </w:r>
      <w:r>
        <w:rPr>
          <w:rFonts w:hint="eastAsia" w:ascii="楷体_GB2312" w:hAnsi="Arial" w:eastAsia="楷体_GB2312" w:cs="Arial"/>
          <w:kern w:val="0"/>
          <w:sz w:val="32"/>
          <w:szCs w:val="32"/>
        </w:rPr>
        <w:t> （十九）畅通消费者维权渠道。</w:t>
      </w:r>
      <w:r>
        <w:rPr>
          <w:rFonts w:hint="eastAsia" w:ascii="仿宋_GB2312" w:hAnsi="Arial" w:eastAsia="仿宋_GB2312" w:cs="Arial"/>
          <w:kern w:val="0"/>
          <w:sz w:val="32"/>
          <w:szCs w:val="32"/>
        </w:rPr>
        <w:t>加强12315行政执法体系和消费者维权信息化建设，形成线上线下相结合的消费者维权服务体系，强化对消费者权益的行政保护。实施产品伤害监测和预防干预。针对质量问题集中和人民群众关注的重点服务领域，加强服务质量监测。严格落实网络购买商品七日无理由退货制度，鼓励线下实体店自主承诺无理由退货。支持各地区探索建立当地特色旅游商品无理由退货制度。开展消费投诉信息公示，利用网络、广播电视、维权服务点电子公示牌等多种形式公开投诉产品和服务信息。充分发挥媒体监督功能，加大对侵害消费者合法权益违法行为的曝光力度。</w:t>
      </w:r>
      <w:r>
        <w:rPr>
          <w:rFonts w:hint="eastAsia" w:ascii="楷体_GB2312" w:hAnsi="Arial" w:eastAsia="楷体_GB2312" w:cs="Arial"/>
          <w:kern w:val="0"/>
          <w:sz w:val="32"/>
          <w:szCs w:val="32"/>
        </w:rPr>
        <w:t>（市场监管总局负责）</w:t>
      </w:r>
    </w:p>
    <w:p>
      <w:pPr>
        <w:widowControl/>
        <w:jc w:val="left"/>
        <w:rPr>
          <w:rFonts w:ascii="楷体_GB2312" w:hAnsi="Arial" w:eastAsia="楷体_GB2312" w:cs="Arial"/>
          <w:kern w:val="0"/>
          <w:sz w:val="32"/>
          <w:szCs w:val="32"/>
        </w:rPr>
      </w:pPr>
      <w:r>
        <w:rPr>
          <w:rFonts w:ascii="楷体_GB2312" w:hAnsi="Arial" w:eastAsia="楷体_GB2312" w:cs="Arial"/>
          <w:kern w:val="0"/>
          <w:sz w:val="32"/>
          <w:szCs w:val="32"/>
        </w:rPr>
        <w:br w:type="page"/>
      </w:r>
    </w:p>
    <w:p>
      <w:pPr>
        <w:spacing w:line="540" w:lineRule="exact"/>
        <w:ind w:firstLine="5440" w:firstLineChars="1700"/>
        <w:rPr>
          <w:rFonts w:ascii="仿宋_GB2312" w:hAnsi="Arial" w:eastAsia="仿宋_GB2312" w:cs="Arial"/>
          <w:kern w:val="0"/>
          <w:sz w:val="32"/>
          <w:szCs w:val="32"/>
        </w:rPr>
      </w:pPr>
    </w:p>
    <w:p>
      <w:pPr>
        <w:spacing w:line="540" w:lineRule="exact"/>
        <w:jc w:val="center"/>
        <w:rPr>
          <w:rFonts w:ascii="方正小标宋简体" w:eastAsia="方正小标宋简体"/>
          <w:spacing w:val="-8"/>
          <w:sz w:val="44"/>
          <w:szCs w:val="32"/>
        </w:rPr>
      </w:pPr>
      <w:r>
        <w:rPr>
          <w:rFonts w:hint="eastAsia" w:ascii="方正小标宋简体" w:eastAsia="方正小标宋简体"/>
          <w:spacing w:val="-8"/>
          <w:sz w:val="44"/>
          <w:szCs w:val="32"/>
        </w:rPr>
        <w:t>国家发展改革委关于应对疫情</w:t>
      </w:r>
    </w:p>
    <w:p>
      <w:pPr>
        <w:spacing w:line="540" w:lineRule="exact"/>
        <w:jc w:val="center"/>
        <w:rPr>
          <w:rFonts w:ascii="方正小标宋简体" w:eastAsia="方正小标宋简体"/>
          <w:spacing w:val="-8"/>
          <w:sz w:val="44"/>
          <w:szCs w:val="32"/>
        </w:rPr>
      </w:pPr>
      <w:r>
        <w:rPr>
          <w:rFonts w:hint="eastAsia" w:ascii="方正小标宋简体" w:eastAsia="方正小标宋简体"/>
          <w:spacing w:val="-8"/>
          <w:sz w:val="44"/>
          <w:szCs w:val="32"/>
        </w:rPr>
        <w:t>进一步深化改革做好外资项目有关工作的通知</w:t>
      </w:r>
    </w:p>
    <w:p>
      <w:pPr>
        <w:spacing w:beforeLines="50" w:line="540" w:lineRule="exact"/>
        <w:jc w:val="center"/>
        <w:rPr>
          <w:rFonts w:hint="eastAsia" w:ascii="楷体_GB2312" w:eastAsia="楷体_GB2312"/>
          <w:sz w:val="32"/>
          <w:szCs w:val="32"/>
        </w:rPr>
      </w:pPr>
      <w:r>
        <w:rPr>
          <w:rFonts w:hint="eastAsia" w:ascii="楷体_GB2312" w:eastAsia="楷体_GB2312"/>
          <w:sz w:val="32"/>
          <w:szCs w:val="32"/>
        </w:rPr>
        <w:t>发改外资〔2020〕343号</w:t>
      </w:r>
    </w:p>
    <w:p>
      <w:pPr>
        <w:spacing w:line="540" w:lineRule="exact"/>
        <w:jc w:val="left"/>
        <w:rPr>
          <w:rFonts w:ascii="仿宋_GB2312" w:eastAsia="仿宋_GB2312"/>
          <w:sz w:val="32"/>
          <w:szCs w:val="32"/>
        </w:rPr>
      </w:pPr>
      <w:r>
        <w:rPr>
          <w:rFonts w:ascii="仿宋_GB2312" w:eastAsia="仿宋_GB2312"/>
          <w:sz w:val="32"/>
          <w:szCs w:val="32"/>
        </w:rPr>
        <w:t xml:space="preserve"> </w:t>
      </w:r>
    </w:p>
    <w:p>
      <w:pPr>
        <w:spacing w:line="540" w:lineRule="exact"/>
        <w:jc w:val="left"/>
        <w:rPr>
          <w:rFonts w:ascii="仿宋_GB2312" w:eastAsia="仿宋_GB2312"/>
          <w:sz w:val="32"/>
          <w:szCs w:val="32"/>
        </w:rPr>
      </w:pPr>
      <w:r>
        <w:rPr>
          <w:rFonts w:hint="eastAsia" w:ascii="仿宋_GB2312" w:eastAsia="仿宋_GB2312"/>
          <w:sz w:val="32"/>
          <w:szCs w:val="32"/>
        </w:rPr>
        <w:t>各省、自治区、直辖市及计划单列市、新疆生产建设兵团发展改革委：</w:t>
      </w:r>
    </w:p>
    <w:p>
      <w:pPr>
        <w:spacing w:line="540" w:lineRule="exact"/>
        <w:jc w:val="left"/>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 xml:space="preserve"> 为贯彻落实党中央、国务院关于统筹推进新冠肺炎疫情防控和经济社会发展的决策部署，深入实施《外商投资法》及配套法规，加大改革力度，做好当前和今后一段时期稳外资工作，促进外资基本盘稳定，现就有关事项通知如下。</w:t>
      </w:r>
    </w:p>
    <w:p>
      <w:pPr>
        <w:spacing w:line="540" w:lineRule="exact"/>
        <w:jc w:val="left"/>
        <w:rPr>
          <w:rFonts w:ascii="仿宋_GB2312" w:eastAsia="仿宋_GB2312"/>
          <w:sz w:val="32"/>
          <w:szCs w:val="32"/>
        </w:rPr>
      </w:pPr>
      <w:r>
        <w:rPr>
          <w:rFonts w:ascii="黑体" w:eastAsia="黑体"/>
          <w:sz w:val="32"/>
          <w:szCs w:val="32"/>
        </w:rPr>
        <w:t>  </w:t>
      </w:r>
      <w:r>
        <w:rPr>
          <w:rFonts w:hint="eastAsia" w:ascii="黑体" w:hAnsi="黑体" w:eastAsia="黑体"/>
          <w:sz w:val="32"/>
          <w:szCs w:val="32"/>
        </w:rPr>
        <w:t xml:space="preserve"> 一、积极帮扶外资项目和外资企业复工复产。</w:t>
      </w:r>
      <w:r>
        <w:rPr>
          <w:rFonts w:hint="eastAsia" w:ascii="仿宋_GB2312" w:eastAsia="仿宋_GB2312"/>
          <w:sz w:val="32"/>
          <w:szCs w:val="32"/>
        </w:rPr>
        <w:t>各级发展改革委要统筹好疫情防控和复工复产，把外资项目和外资企业复工复产作为当前重要工作。对于已投产项目，要帮助协调返岗、物流、物资等问题，尽快恢复产能。对于在建项目，要做好工程建设保障、审批事项衔接，力争整体项目进度不受影响。对于前期项目，要创新工作方法，支持项目方远程办理各项手续，尽快进入实施阶段。要主动联系外资企业，协调解决复工复产障碍，各项援企政策统一适用于外资企业。对于重点外资企业要采取“一对一”精准帮扶，对于外资企业反映的产业链协同复工问题要积极响应，涉及跨省协调事项及时报告我委。</w:t>
      </w:r>
    </w:p>
    <w:p>
      <w:pPr>
        <w:spacing w:line="540" w:lineRule="exact"/>
        <w:jc w:val="left"/>
        <w:rPr>
          <w:rFonts w:ascii="仿宋_GB2312" w:eastAsia="仿宋_GB2312"/>
          <w:sz w:val="32"/>
          <w:szCs w:val="32"/>
        </w:rPr>
      </w:pPr>
      <w:r>
        <w:rPr>
          <w:rFonts w:ascii="仿宋_GB2312" w:eastAsia="仿宋_GB2312"/>
          <w:sz w:val="32"/>
          <w:szCs w:val="32"/>
        </w:rPr>
        <w:t> </w:t>
      </w:r>
      <w:r>
        <w:rPr>
          <w:rFonts w:ascii="黑体" w:eastAsia="黑体"/>
          <w:sz w:val="32"/>
          <w:szCs w:val="32"/>
        </w:rPr>
        <w:t> </w:t>
      </w:r>
      <w:r>
        <w:rPr>
          <w:rFonts w:hint="eastAsia" w:ascii="黑体" w:eastAsia="黑体"/>
          <w:sz w:val="32"/>
          <w:szCs w:val="32"/>
        </w:rPr>
        <w:t xml:space="preserve"> 二、加强重大外资项目跟踪储备。</w:t>
      </w:r>
      <w:r>
        <w:rPr>
          <w:rFonts w:hint="eastAsia" w:ascii="仿宋_GB2312" w:eastAsia="仿宋_GB2312"/>
          <w:sz w:val="32"/>
          <w:szCs w:val="32"/>
        </w:rPr>
        <w:t>各级发展改革委要根据职能，积极做好投资促进工作，加强与开发区、招商部门对接，完善重大外资项目跟踪储备机制。其中，对于制造业、高技术服务业总投资</w:t>
      </w:r>
      <w:r>
        <w:rPr>
          <w:rFonts w:ascii="仿宋_GB2312" w:eastAsia="仿宋_GB2312"/>
          <w:sz w:val="32"/>
          <w:szCs w:val="32"/>
        </w:rPr>
        <w:t>10</w:t>
      </w:r>
      <w:r>
        <w:rPr>
          <w:rFonts w:hint="eastAsia" w:ascii="仿宋_GB2312" w:eastAsia="仿宋_GB2312"/>
          <w:sz w:val="32"/>
          <w:szCs w:val="32"/>
        </w:rPr>
        <w:t>亿美元以上在谈、签约、在建外资项目，如涉及国家部委协调事项的，省级发展改革委要及时向国家发展改革委申报，符合条件的将按程序纳入重大外资项目工作专班协调。技术先进、医疗防疫、关键领域或中西部地区、东北地区的项目，可适度放宽规模。</w:t>
      </w:r>
    </w:p>
    <w:p>
      <w:pPr>
        <w:spacing w:line="540" w:lineRule="exact"/>
        <w:jc w:val="left"/>
        <w:rPr>
          <w:rFonts w:ascii="仿宋_GB2312" w:eastAsia="仿宋_GB2312"/>
          <w:sz w:val="32"/>
          <w:szCs w:val="32"/>
        </w:rPr>
      </w:pPr>
      <w:r>
        <w:rPr>
          <w:rFonts w:ascii="黑体" w:eastAsia="黑体"/>
          <w:sz w:val="32"/>
          <w:szCs w:val="32"/>
        </w:rPr>
        <w:t>  </w:t>
      </w:r>
      <w:r>
        <w:rPr>
          <w:rFonts w:hint="eastAsia" w:ascii="黑体" w:eastAsia="黑体"/>
          <w:sz w:val="32"/>
          <w:szCs w:val="32"/>
        </w:rPr>
        <w:t xml:space="preserve"> 三、做好重大外资项目协调推进。</w:t>
      </w:r>
      <w:r>
        <w:rPr>
          <w:rFonts w:hint="eastAsia" w:ascii="仿宋_GB2312" w:eastAsia="仿宋_GB2312"/>
          <w:sz w:val="32"/>
          <w:szCs w:val="32"/>
        </w:rPr>
        <w:t>纳入重大外资项目工作专班协调的项目，工作专班及有关部门将给予政策支持，会同项目所在地政府统筹推进。各级发展改革委要积极协调推进地方层面的重大外资项目，确保要素跟着项目走。利用外资重点省市发展改革委要推动建立健全地方层面的重大外资项目专班机制，制定项目清单和工作方案，加强各级联动、部门协同，建立绿色通道，推动项目尽快落地。通过重大外资项目工作以点带面，全方位提升外资项目服务水平。</w:t>
      </w:r>
    </w:p>
    <w:p>
      <w:pPr>
        <w:spacing w:line="540" w:lineRule="exact"/>
        <w:jc w:val="left"/>
        <w:rPr>
          <w:rFonts w:ascii="仿宋_GB2312" w:eastAsia="仿宋_GB2312"/>
          <w:sz w:val="32"/>
          <w:szCs w:val="32"/>
        </w:rPr>
      </w:pPr>
      <w:r>
        <w:rPr>
          <w:rFonts w:ascii="仿宋_GB2312" w:eastAsia="仿宋_GB2312"/>
          <w:sz w:val="32"/>
          <w:szCs w:val="32"/>
        </w:rPr>
        <w:t> </w:t>
      </w:r>
      <w:r>
        <w:rPr>
          <w:rFonts w:ascii="黑体" w:eastAsia="黑体"/>
          <w:sz w:val="32"/>
          <w:szCs w:val="32"/>
        </w:rPr>
        <w:t> </w:t>
      </w:r>
      <w:r>
        <w:rPr>
          <w:rFonts w:hint="eastAsia" w:ascii="黑体" w:eastAsia="黑体"/>
          <w:sz w:val="32"/>
          <w:szCs w:val="32"/>
        </w:rPr>
        <w:t xml:space="preserve"> 四、全面落实外资准入负面清单管理制度。</w:t>
      </w:r>
      <w:r>
        <w:rPr>
          <w:rFonts w:hint="eastAsia" w:ascii="仿宋_GB2312" w:eastAsia="仿宋_GB2312"/>
          <w:sz w:val="32"/>
          <w:szCs w:val="32"/>
        </w:rPr>
        <w:t>对于外资准入负面清单（以下简称负面清单）之外的外资项目，不得设置单独针对外资的准入限制，除《政府核准的投资项目目录》规定内外资项目均需核准的，其他外资项目由地方发展改革委实行属地化备案管理。对于负面清单之内涉及固定资产投资的外资新建项目或并购项目，根据股比、高管要求等规定，办理核准手续。其中，总投资</w:t>
      </w:r>
      <w:r>
        <w:rPr>
          <w:rFonts w:ascii="仿宋_GB2312" w:eastAsia="仿宋_GB2312"/>
          <w:sz w:val="32"/>
          <w:szCs w:val="32"/>
        </w:rPr>
        <w:t>3</w:t>
      </w:r>
      <w:r>
        <w:rPr>
          <w:rFonts w:hint="eastAsia" w:ascii="仿宋_GB2312" w:eastAsia="仿宋_GB2312"/>
          <w:sz w:val="32"/>
          <w:szCs w:val="32"/>
        </w:rPr>
        <w:t>亿美元及以上项目由国家发展改革委核准，</w:t>
      </w:r>
      <w:r>
        <w:rPr>
          <w:rFonts w:ascii="仿宋_GB2312" w:eastAsia="仿宋_GB2312"/>
          <w:sz w:val="32"/>
          <w:szCs w:val="32"/>
        </w:rPr>
        <w:t>3</w:t>
      </w:r>
      <w:r>
        <w:rPr>
          <w:rFonts w:hint="eastAsia" w:ascii="仿宋_GB2312" w:eastAsia="仿宋_GB2312"/>
          <w:sz w:val="32"/>
          <w:szCs w:val="32"/>
        </w:rPr>
        <w:t>亿美元以下项目由省级发展改革委核准。落户自贸试验区的外资项目，按照自贸试验区负面清单执行。</w:t>
      </w:r>
    </w:p>
    <w:p>
      <w:pPr>
        <w:spacing w:line="540" w:lineRule="exact"/>
        <w:jc w:val="left"/>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五、提高外资项目备案便利化程度。所有备案的外资项目一律实行告知性备案管理。备案机关通过全国投资项目在线审批监管平台（以下简称在线平台），在项目实施前收到项目单位提供的项目基本信息即完成备案。项目基本信息包括项目单位、项目名称、项目地点、项目内容、投资规模、投资方及国别、出资额及出资比例、符合负面清单及产业政策声明。备案证明可通过在线平台由项目单位自行打印。</w:t>
      </w:r>
    </w:p>
    <w:p>
      <w:pPr>
        <w:spacing w:line="540" w:lineRule="exact"/>
        <w:jc w:val="left"/>
        <w:rPr>
          <w:rFonts w:ascii="仿宋_GB2312" w:eastAsia="仿宋_GB2312"/>
          <w:sz w:val="32"/>
          <w:szCs w:val="32"/>
        </w:rPr>
      </w:pPr>
      <w:r>
        <w:rPr>
          <w:rFonts w:ascii="黑体" w:eastAsia="黑体"/>
          <w:sz w:val="32"/>
          <w:szCs w:val="32"/>
        </w:rPr>
        <w:t>  </w:t>
      </w:r>
      <w:r>
        <w:rPr>
          <w:rFonts w:hint="eastAsia" w:ascii="黑体" w:eastAsia="黑体"/>
          <w:sz w:val="32"/>
          <w:szCs w:val="32"/>
        </w:rPr>
        <w:t>六、简化外资项目核准手续。</w:t>
      </w:r>
      <w:r>
        <w:rPr>
          <w:rFonts w:hint="eastAsia" w:ascii="仿宋_GB2312" w:eastAsia="仿宋_GB2312"/>
          <w:sz w:val="32"/>
          <w:szCs w:val="32"/>
        </w:rPr>
        <w:t>项目单位提交项目申请报告，除规定内容外，无需附企业财务报表、资金信用证明、环境影响评价审批文件、节能审查意见、国有资产出资确认文件。除法律、行政法规另有规定外，外资项目核准手续可与其他许可手续并行办理。全面推进远程办理，有条件的地方要加快完善在线平台收件、出件功能，实现无纸化办理，暂不具备条件的地方可通过邮寄方式收件、出件，实现不见面办理。疫情期间申报材料有关附件存在办理困难的项目，核准机关可实行容缺受理、先办后补。</w:t>
      </w:r>
    </w:p>
    <w:p>
      <w:pPr>
        <w:spacing w:line="540" w:lineRule="exact"/>
        <w:jc w:val="left"/>
        <w:rPr>
          <w:rFonts w:ascii="仿宋_GB2312" w:eastAsia="仿宋_GB2312"/>
          <w:sz w:val="32"/>
          <w:szCs w:val="32"/>
        </w:rPr>
      </w:pPr>
      <w:r>
        <w:rPr>
          <w:rFonts w:ascii="黑体" w:eastAsia="黑体"/>
          <w:sz w:val="32"/>
          <w:szCs w:val="32"/>
        </w:rPr>
        <w:t>  </w:t>
      </w:r>
      <w:r>
        <w:rPr>
          <w:rFonts w:hint="eastAsia" w:ascii="黑体" w:eastAsia="黑体"/>
          <w:sz w:val="32"/>
          <w:szCs w:val="32"/>
        </w:rPr>
        <w:t xml:space="preserve"> 七、优化鼓励类外资项目进口设备免税确认流程。</w:t>
      </w:r>
      <w:r>
        <w:rPr>
          <w:rFonts w:hint="eastAsia" w:ascii="仿宋_GB2312" w:eastAsia="仿宋_GB2312"/>
          <w:sz w:val="32"/>
          <w:szCs w:val="32"/>
        </w:rPr>
        <w:t>对于属于《鼓励外商投资产业目录》范围的鼓励类外资项目，在投资总额内进口自用设备继续实行免征关税政策。限额以上的鼓励类外资项目，取消省级以下转报环节，项目单位直接向省级发展改革委提出免税申请，由省级发展改革委初审后报我委。疫情期间，对于因供应链问题暂不能确定进口设备清单的项目可容缺受理，相关材料可通过纵向网报送我委，先行启动办理程序。</w:t>
      </w:r>
    </w:p>
    <w:p>
      <w:pPr>
        <w:spacing w:line="540" w:lineRule="exact"/>
        <w:jc w:val="left"/>
        <w:rPr>
          <w:rFonts w:ascii="仿宋_GB2312" w:eastAsia="仿宋_GB2312"/>
          <w:sz w:val="32"/>
          <w:szCs w:val="32"/>
        </w:rPr>
      </w:pPr>
      <w:r>
        <w:rPr>
          <w:rFonts w:ascii="仿宋_GB2312" w:eastAsia="仿宋_GB2312"/>
          <w:sz w:val="32"/>
          <w:szCs w:val="32"/>
        </w:rPr>
        <w:t>  </w:t>
      </w:r>
      <w:r>
        <w:rPr>
          <w:rFonts w:hint="eastAsia" w:ascii="黑体" w:hAnsi="黑体" w:eastAsia="黑体"/>
          <w:sz w:val="32"/>
          <w:szCs w:val="32"/>
        </w:rPr>
        <w:t xml:space="preserve"> 八、保护外资项目合法权益。</w:t>
      </w:r>
      <w:r>
        <w:rPr>
          <w:rFonts w:hint="eastAsia" w:ascii="仿宋_GB2312" w:eastAsia="仿宋_GB2312"/>
          <w:sz w:val="32"/>
          <w:szCs w:val="32"/>
        </w:rPr>
        <w:t>外资项目备案、核准机关应当遵循便民、高效原则，公开外资项目备案和核准的办理流程、办理条件、办理时限，不得擅自增加审核要求，不得超出办理时限，不得非法干预外商投资自主权。外资项目备案、核准机关及其工作人员不得利用行政手段强制或变相强制转让技术。对于履职过程中知悉的商业秘密，应当依法予以保密。各项支持企业和项目的政策，应当平等适用于内外资企业、内外资项目。</w:t>
      </w:r>
    </w:p>
    <w:p>
      <w:pPr>
        <w:spacing w:line="540" w:lineRule="exact"/>
        <w:jc w:val="left"/>
        <w:rPr>
          <w:rFonts w:ascii="仿宋_GB2312" w:eastAsia="仿宋_GB2312"/>
          <w:sz w:val="32"/>
          <w:szCs w:val="32"/>
        </w:rPr>
      </w:pPr>
      <w:r>
        <w:rPr>
          <w:rFonts w:ascii="仿宋_GB2312" w:eastAsia="仿宋_GB2312"/>
          <w:sz w:val="32"/>
          <w:szCs w:val="32"/>
        </w:rPr>
        <w:t>  </w:t>
      </w:r>
      <w:r>
        <w:rPr>
          <w:rFonts w:hint="eastAsia" w:ascii="黑体" w:hAnsi="黑体" w:eastAsia="黑体"/>
          <w:sz w:val="32"/>
          <w:szCs w:val="32"/>
        </w:rPr>
        <w:t xml:space="preserve"> 九、加强对外资企业的走访服务。</w:t>
      </w:r>
      <w:r>
        <w:rPr>
          <w:rFonts w:hint="eastAsia" w:ascii="仿宋_GB2312" w:eastAsia="仿宋_GB2312"/>
          <w:sz w:val="32"/>
          <w:szCs w:val="32"/>
        </w:rPr>
        <w:t>各级发展改革委要加强与外资企业和外资企业商会沟通交流，宣传解读政策法规，听取外资企业和商会对改善本地区投资环境的建议，主动回应企业关切。要经常性走访外资企业和外资项目，深入了解生产经营和招商引资情况，加强形势分析，协调解决问题，推动完善本地区投资促进和便利化等稳外资政策措施。制定与外资有关的政策，应当以座谈会、书面等形式征求外资企业意见，充分考虑跨国投资实际情况，切实体现内外资一视同仁、平等对待。</w:t>
      </w:r>
    </w:p>
    <w:p>
      <w:pPr>
        <w:spacing w:line="540" w:lineRule="exact"/>
        <w:jc w:val="left"/>
        <w:rPr>
          <w:rFonts w:ascii="仿宋_GB2312" w:eastAsia="仿宋_GB2312"/>
          <w:sz w:val="32"/>
          <w:szCs w:val="32"/>
        </w:rPr>
      </w:pPr>
      <w:r>
        <w:rPr>
          <w:rFonts w:ascii="仿宋_GB2312" w:eastAsia="仿宋_GB2312"/>
          <w:sz w:val="32"/>
          <w:szCs w:val="32"/>
        </w:rPr>
        <w:t>  </w:t>
      </w:r>
      <w:r>
        <w:rPr>
          <w:rFonts w:hint="eastAsia" w:ascii="黑体" w:hAnsi="黑体" w:eastAsia="黑体"/>
          <w:sz w:val="32"/>
          <w:szCs w:val="32"/>
        </w:rPr>
        <w:t xml:space="preserve"> 十、完善外资项目事中事后监管。</w:t>
      </w:r>
      <w:r>
        <w:rPr>
          <w:rFonts w:hint="eastAsia" w:ascii="仿宋_GB2312" w:eastAsia="仿宋_GB2312"/>
          <w:sz w:val="32"/>
          <w:szCs w:val="32"/>
        </w:rPr>
        <w:t>外资项目备案、核准机关要加强与同级政府有关部门的协同配合，按照谁审批谁监管、谁主管谁监管的原则，采取“双随机一公开”等方式完善项目监管，监督检查应当尽可能纳入跨部门联合抽查范围，以避免重复检查增加企业负担。省级发展改革委要通过在线方式抽查备案外资项目，加强对负面清单执行情况的监督检查，发现违反负面清单规定的情形及时上报，并依法予以处理。</w:t>
      </w:r>
    </w:p>
    <w:p>
      <w:pPr>
        <w:spacing w:line="540" w:lineRule="exact"/>
        <w:rPr>
          <w:rFonts w:ascii="仿宋_GB2312" w:eastAsia="仿宋_GB2312"/>
          <w:sz w:val="32"/>
          <w:szCs w:val="32"/>
        </w:rPr>
      </w:pPr>
      <w:r>
        <w:rPr>
          <w:rFonts w:ascii="仿宋_GB2312" w:eastAsia="仿宋_GB2312"/>
          <w:sz w:val="32"/>
          <w:szCs w:val="32"/>
        </w:rPr>
        <w:t>  </w:t>
      </w:r>
      <w:r>
        <w:rPr>
          <w:rFonts w:hint="eastAsia" w:ascii="黑体" w:hAnsi="黑体" w:eastAsia="黑体"/>
          <w:sz w:val="32"/>
          <w:szCs w:val="32"/>
        </w:rPr>
        <w:t xml:space="preserve"> 十一、进一步扩大鼓励外商投资范围。</w:t>
      </w:r>
      <w:r>
        <w:rPr>
          <w:rFonts w:hint="eastAsia" w:ascii="仿宋_GB2312" w:eastAsia="仿宋_GB2312"/>
          <w:sz w:val="32"/>
          <w:szCs w:val="32"/>
        </w:rPr>
        <w:t>近期我委将会同商务部等部门修订《鼓励外商投资产业目录》。本次修订拟进一步扩大鼓励范围，促增量和稳存量并举，聚焦促进制造业高质量发展、发挥中西部地区和东北地区承接产业转移潜力。请省级发展改革委结合本地区实际，根据招商引资情况、外资项目和外资企业诉求、产业发展方向等，会同商务等有关部门抓紧研究提出需增加的《鼓励外商投资产业目录》条目建议，于</w:t>
      </w:r>
      <w:r>
        <w:rPr>
          <w:rFonts w:ascii="仿宋_GB2312" w:eastAsia="仿宋_GB2312"/>
          <w:sz w:val="32"/>
          <w:szCs w:val="32"/>
        </w:rPr>
        <w:t>3</w:t>
      </w:r>
      <w:r>
        <w:rPr>
          <w:rFonts w:hint="eastAsia" w:ascii="仿宋_GB2312" w:eastAsia="仿宋_GB2312"/>
          <w:sz w:val="32"/>
          <w:szCs w:val="32"/>
        </w:rPr>
        <w:t>月</w:t>
      </w:r>
      <w:r>
        <w:rPr>
          <w:rFonts w:ascii="仿宋_GB2312" w:eastAsia="仿宋_GB2312"/>
          <w:sz w:val="32"/>
          <w:szCs w:val="32"/>
        </w:rPr>
        <w:t>17</w:t>
      </w:r>
      <w:r>
        <w:rPr>
          <w:rFonts w:hint="eastAsia" w:ascii="仿宋_GB2312" w:eastAsia="仿宋_GB2312"/>
          <w:sz w:val="32"/>
          <w:szCs w:val="32"/>
        </w:rPr>
        <w:t>日前报我委。</w:t>
      </w:r>
    </w:p>
    <w:p>
      <w:pPr>
        <w:spacing w:line="540" w:lineRule="exact"/>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各级发展改革委要充分认识当前和今后一段时期稳外资的重要性，在抓好疫情防控的同时，勇于担当、善于作为，通过改革完善外资项目有关工作，努力做好稳外资工作。落实本通知的经验、问题和建议，请及时向我委报告。</w:t>
      </w:r>
    </w:p>
    <w:p>
      <w:pPr>
        <w:spacing w:line="540" w:lineRule="exact"/>
        <w:rPr>
          <w:rFonts w:hint="eastAsia" w:ascii="仿宋_GB2312" w:eastAsia="仿宋_GB2312"/>
          <w:sz w:val="32"/>
          <w:szCs w:val="32"/>
        </w:rPr>
      </w:pPr>
      <w:r>
        <w:rPr>
          <w:rFonts w:ascii="仿宋_GB2312" w:eastAsia="仿宋_GB2312"/>
          <w:sz w:val="32"/>
          <w:szCs w:val="32"/>
        </w:rPr>
        <w:t xml:space="preserve"> </w:t>
      </w:r>
    </w:p>
    <w:p>
      <w:pPr>
        <w:spacing w:line="540" w:lineRule="exact"/>
        <w:jc w:val="left"/>
        <w:rPr>
          <w:rFonts w:ascii="仿宋_GB2312" w:eastAsia="仿宋_GB2312"/>
          <w:sz w:val="32"/>
          <w:szCs w:val="32"/>
        </w:rPr>
      </w:pPr>
    </w:p>
    <w:p>
      <w:pPr>
        <w:spacing w:line="540" w:lineRule="exact"/>
        <w:ind w:firstLine="5760" w:firstLineChars="1800"/>
        <w:jc w:val="left"/>
        <w:rPr>
          <w:rFonts w:ascii="仿宋_GB2312" w:eastAsia="仿宋_GB2312"/>
          <w:sz w:val="32"/>
          <w:szCs w:val="32"/>
        </w:rPr>
      </w:pPr>
      <w:r>
        <w:rPr>
          <w:rFonts w:hint="eastAsia" w:ascii="仿宋_GB2312" w:eastAsia="仿宋_GB2312"/>
          <w:sz w:val="32"/>
          <w:szCs w:val="32"/>
        </w:rPr>
        <w:t>国家发展改革委</w:t>
      </w:r>
    </w:p>
    <w:p>
      <w:pPr>
        <w:spacing w:line="540" w:lineRule="exact"/>
        <w:ind w:firstLine="5760" w:firstLineChars="1800"/>
        <w:jc w:val="left"/>
        <w:rPr>
          <w:rFonts w:ascii="仿宋_GB2312" w:eastAsia="仿宋_GB2312"/>
          <w:sz w:val="32"/>
          <w:szCs w:val="32"/>
        </w:rPr>
      </w:pPr>
      <w:r>
        <w:rPr>
          <w:rFonts w:hint="eastAsia" w:ascii="仿宋_GB2312" w:eastAsia="仿宋_GB2312"/>
          <w:sz w:val="32"/>
          <w:szCs w:val="32"/>
        </w:rPr>
        <w:t>2020年3月9日</w:t>
      </w:r>
    </w:p>
    <w:p>
      <w:pPr>
        <w:widowControl/>
        <w:jc w:val="left"/>
        <w:rPr>
          <w:rFonts w:ascii="仿宋_GB2312" w:eastAsia="仿宋_GB2312"/>
          <w:sz w:val="32"/>
          <w:szCs w:val="32"/>
        </w:rPr>
      </w:pPr>
      <w:r>
        <w:rPr>
          <w:rFonts w:ascii="仿宋_GB2312" w:eastAsia="仿宋_GB2312"/>
          <w:sz w:val="32"/>
          <w:szCs w:val="32"/>
        </w:rPr>
        <w:br w:type="page"/>
      </w:r>
    </w:p>
    <w:p>
      <w:pPr>
        <w:spacing w:line="540" w:lineRule="exact"/>
        <w:ind w:firstLine="5760" w:firstLineChars="1800"/>
        <w:jc w:val="left"/>
        <w:rPr>
          <w:rFonts w:hint="eastAsia" w:ascii="仿宋_GB2312" w:eastAsia="仿宋_GB2312"/>
          <w:sz w:val="32"/>
          <w:szCs w:val="32"/>
        </w:rPr>
      </w:pPr>
    </w:p>
    <w:p>
      <w:pPr>
        <w:spacing w:line="540" w:lineRule="exact"/>
        <w:jc w:val="center"/>
        <w:rPr>
          <w:rFonts w:ascii="方正小标宋简体" w:eastAsia="方正小标宋简体"/>
          <w:spacing w:val="-6"/>
          <w:sz w:val="44"/>
          <w:szCs w:val="32"/>
        </w:rPr>
      </w:pPr>
      <w:r>
        <w:rPr>
          <w:rFonts w:hint="eastAsia" w:ascii="方正小标宋简体" w:eastAsia="方正小标宋简体"/>
          <w:bCs/>
          <w:spacing w:val="-6"/>
          <w:sz w:val="44"/>
          <w:szCs w:val="32"/>
        </w:rPr>
        <w:t>国家发展改革委办公厅关于做好疫情防控重点</w:t>
      </w:r>
    </w:p>
    <w:p>
      <w:pPr>
        <w:spacing w:line="540" w:lineRule="exact"/>
        <w:jc w:val="center"/>
        <w:rPr>
          <w:rFonts w:ascii="方正小标宋简体" w:eastAsia="方正小标宋简体"/>
          <w:spacing w:val="-6"/>
          <w:sz w:val="44"/>
          <w:szCs w:val="32"/>
        </w:rPr>
      </w:pPr>
      <w:r>
        <w:rPr>
          <w:rFonts w:hint="eastAsia" w:ascii="方正小标宋简体" w:eastAsia="方正小标宋简体"/>
          <w:bCs/>
          <w:spacing w:val="-6"/>
          <w:sz w:val="44"/>
          <w:szCs w:val="32"/>
        </w:rPr>
        <w:t>保障物资生产企业名单管理有关工作的通知</w:t>
      </w:r>
    </w:p>
    <w:p>
      <w:pPr>
        <w:spacing w:beforeLines="50" w:line="540" w:lineRule="exact"/>
        <w:jc w:val="center"/>
        <w:rPr>
          <w:rFonts w:hint="eastAsia" w:ascii="楷体_GB2312" w:eastAsia="楷体_GB2312"/>
          <w:sz w:val="32"/>
          <w:szCs w:val="32"/>
        </w:rPr>
      </w:pPr>
      <w:r>
        <w:rPr>
          <w:rFonts w:hint="eastAsia" w:ascii="楷体_GB2312" w:eastAsia="楷体_GB2312"/>
          <w:sz w:val="32"/>
          <w:szCs w:val="32"/>
        </w:rPr>
        <w:t>发改办财金〔2020〕176号</w:t>
      </w:r>
    </w:p>
    <w:p>
      <w:pPr>
        <w:spacing w:line="540" w:lineRule="exact"/>
        <w:ind w:firstLine="5760" w:firstLineChars="1800"/>
        <w:rPr>
          <w:rFonts w:ascii="仿宋_GB2312" w:eastAsia="仿宋_GB2312"/>
          <w:sz w:val="32"/>
          <w:szCs w:val="32"/>
        </w:rPr>
      </w:pPr>
      <w:r>
        <w:rPr>
          <w:rFonts w:ascii="仿宋_GB2312" w:eastAsia="仿宋_GB2312"/>
          <w:sz w:val="32"/>
          <w:szCs w:val="32"/>
        </w:rPr>
        <w:br w:type="textWrapping"/>
      </w:r>
      <w:r>
        <w:rPr>
          <w:rFonts w:ascii="仿宋_GB2312" w:eastAsia="仿宋_GB2312"/>
          <w:sz w:val="32"/>
          <w:szCs w:val="32"/>
        </w:rPr>
        <w:t>国资委办公厅，各省、自治区、直辖市及计划单列市、新疆生产建设兵团发展改革委，有关中央企业：</w:t>
      </w:r>
      <w:r>
        <w:rPr>
          <w:rFonts w:ascii="仿宋_GB2312" w:eastAsia="仿宋_GB2312"/>
          <w:sz w:val="32"/>
          <w:szCs w:val="32"/>
        </w:rPr>
        <w:br w:type="textWrapping"/>
      </w:r>
      <w:r>
        <w:rPr>
          <w:rFonts w:ascii="仿宋_GB2312" w:eastAsia="仿宋_GB2312"/>
          <w:sz w:val="32"/>
          <w:szCs w:val="32"/>
        </w:rPr>
        <w:t>  根据《关于支持新型冠状病毒感染的肺炎疫情防控有关税收政策的公告》（财政部、税务总局2020年第8号，以下简称8号公告）要求，为做好疫情防控重点保障物资生产企业名单管理工作，现就有关事项通知如下。</w:t>
      </w:r>
      <w:r>
        <w:rPr>
          <w:rFonts w:ascii="仿宋_GB2312" w:eastAsia="仿宋_GB2312"/>
          <w:sz w:val="32"/>
          <w:szCs w:val="32"/>
        </w:rPr>
        <w:br w:type="textWrapping"/>
      </w:r>
      <w:r>
        <w:rPr>
          <w:rFonts w:ascii="黑体" w:eastAsia="黑体"/>
          <w:sz w:val="32"/>
          <w:szCs w:val="32"/>
        </w:rPr>
        <w:t> </w:t>
      </w:r>
      <w:r>
        <w:rPr>
          <w:rFonts w:ascii="黑体" w:eastAsia="黑体"/>
          <w:bCs/>
          <w:sz w:val="32"/>
          <w:szCs w:val="32"/>
        </w:rPr>
        <w:t> </w:t>
      </w:r>
      <w:r>
        <w:rPr>
          <w:rFonts w:ascii="黑体" w:hAnsi="黑体" w:eastAsia="黑体"/>
          <w:bCs/>
          <w:sz w:val="32"/>
          <w:szCs w:val="32"/>
        </w:rPr>
        <w:t>一、纳入名单管理的企业可以享受的税收政策</w:t>
      </w:r>
      <w:r>
        <w:rPr>
          <w:rFonts w:ascii="黑体" w:hAnsi="黑体" w:eastAsia="黑体"/>
          <w:sz w:val="32"/>
          <w:szCs w:val="32"/>
        </w:rPr>
        <w:br w:type="textWrapping"/>
      </w:r>
      <w:r>
        <w:rPr>
          <w:rFonts w:ascii="仿宋_GB2312" w:eastAsia="仿宋_GB2312"/>
          <w:sz w:val="32"/>
          <w:szCs w:val="32"/>
        </w:rPr>
        <w:t>  （一）根据8号公告，对疫情防控重点保障物资生产企业为扩大产能新</w:t>
      </w:r>
      <w:r>
        <w:rPr>
          <w:rFonts w:ascii="仿宋_GB2312" w:eastAsia="仿宋_GB2312"/>
          <w:spacing w:val="-4"/>
          <w:sz w:val="32"/>
          <w:szCs w:val="32"/>
        </w:rPr>
        <w:t>购置的相关设备，允许一次性计入当期成本费用在企业所得税税前扣除；疫情防控重点保障物资生产企业可以按月向主管税务机关申请全额退还增值税增量留抵税额，其中，增量留抵税额是指与2019年12月底相比新增加的期末留抵税额。</w:t>
      </w:r>
      <w:r>
        <w:rPr>
          <w:rFonts w:ascii="仿宋_GB2312" w:eastAsia="仿宋_GB2312"/>
          <w:spacing w:val="-4"/>
          <w:sz w:val="32"/>
          <w:szCs w:val="32"/>
        </w:rPr>
        <w:br w:type="textWrapping"/>
      </w:r>
      <w:r>
        <w:rPr>
          <w:rFonts w:ascii="仿宋_GB2312" w:eastAsia="仿宋_GB2312"/>
          <w:sz w:val="32"/>
          <w:szCs w:val="32"/>
        </w:rPr>
        <w:t>  （二）企业生产的疫情防控重点保障物资范围，按照《国家发展改革委办公厅关于提供疫情防控重点保障物资具体范围的函》（发改办财金〔2020〕145号）执行。根据疫情防控需要，国家发展改革委可予以动态调整。</w:t>
      </w:r>
      <w:r>
        <w:rPr>
          <w:rFonts w:ascii="仿宋_GB2312" w:eastAsia="仿宋_GB2312"/>
          <w:sz w:val="32"/>
          <w:szCs w:val="32"/>
        </w:rPr>
        <w:br w:type="textWrapping"/>
      </w:r>
      <w:r>
        <w:rPr>
          <w:rFonts w:ascii="黑体" w:eastAsia="黑体"/>
          <w:sz w:val="32"/>
          <w:szCs w:val="32"/>
        </w:rPr>
        <w:t>  </w:t>
      </w:r>
      <w:r>
        <w:rPr>
          <w:rFonts w:ascii="黑体" w:hAnsi="黑体" w:eastAsia="黑体"/>
          <w:bCs/>
          <w:sz w:val="32"/>
          <w:szCs w:val="32"/>
        </w:rPr>
        <w:t>二、企业申报要求</w:t>
      </w:r>
      <w:r>
        <w:rPr>
          <w:rFonts w:ascii="黑体" w:hAnsi="黑体" w:eastAsia="黑体"/>
          <w:sz w:val="32"/>
          <w:szCs w:val="32"/>
        </w:rPr>
        <w:br w:type="textWrapping"/>
      </w:r>
      <w:r>
        <w:rPr>
          <w:rFonts w:ascii="仿宋_GB2312" w:eastAsia="仿宋_GB2312"/>
          <w:sz w:val="32"/>
          <w:szCs w:val="32"/>
        </w:rPr>
        <w:t>  申请纳入名单的疫情防控重点保障物资生产企业须符合以下条件：</w:t>
      </w:r>
      <w:r>
        <w:rPr>
          <w:rFonts w:ascii="仿宋_GB2312" w:eastAsia="仿宋_GB2312"/>
          <w:sz w:val="32"/>
          <w:szCs w:val="32"/>
        </w:rPr>
        <w:br w:type="textWrapping"/>
      </w:r>
      <w:r>
        <w:rPr>
          <w:rFonts w:ascii="仿宋_GB2312" w:eastAsia="仿宋_GB2312"/>
          <w:sz w:val="32"/>
          <w:szCs w:val="32"/>
        </w:rPr>
        <w:t>  （一）在疫情防控期间，从事第一条第二款规定的疫情防控重点保障物资生产，且合法合规经营的；</w:t>
      </w:r>
      <w:r>
        <w:rPr>
          <w:rFonts w:ascii="仿宋_GB2312" w:eastAsia="仿宋_GB2312"/>
          <w:sz w:val="32"/>
          <w:szCs w:val="32"/>
        </w:rPr>
        <w:br w:type="textWrapping"/>
      </w:r>
      <w:r>
        <w:rPr>
          <w:rFonts w:ascii="仿宋_GB2312" w:eastAsia="仿宋_GB2312"/>
          <w:sz w:val="32"/>
          <w:szCs w:val="32"/>
        </w:rPr>
        <w:t>  （二）对于从事多种经营的集团公司及其所属企业，只有集团内生产第一条第二款规定范围内产品的纳税人才能纳入名单；</w:t>
      </w:r>
      <w:r>
        <w:rPr>
          <w:rFonts w:ascii="仿宋_GB2312" w:eastAsia="仿宋_GB2312"/>
          <w:sz w:val="32"/>
          <w:szCs w:val="32"/>
        </w:rPr>
        <w:br w:type="textWrapping"/>
      </w:r>
      <w:r>
        <w:rPr>
          <w:rFonts w:ascii="仿宋_GB2312" w:eastAsia="仿宋_GB2312"/>
          <w:sz w:val="32"/>
          <w:szCs w:val="32"/>
        </w:rPr>
        <w:t>  （三）如需享受企业所得税税前扣除相关政策，须说明已扩大或拟扩大产能新购置设备等情况。</w:t>
      </w:r>
      <w:r>
        <w:rPr>
          <w:rFonts w:ascii="仿宋_GB2312" w:eastAsia="仿宋_GB2312"/>
          <w:sz w:val="32"/>
          <w:szCs w:val="32"/>
        </w:rPr>
        <w:br w:type="textWrapping"/>
      </w:r>
      <w:r>
        <w:rPr>
          <w:rFonts w:ascii="黑体" w:eastAsia="黑体"/>
          <w:sz w:val="32"/>
          <w:szCs w:val="32"/>
        </w:rPr>
        <w:t>  </w:t>
      </w:r>
      <w:r>
        <w:rPr>
          <w:rFonts w:ascii="黑体" w:hAnsi="黑体" w:eastAsia="黑体"/>
          <w:bCs/>
          <w:sz w:val="32"/>
          <w:szCs w:val="32"/>
        </w:rPr>
        <w:t>三、企业申报流程</w:t>
      </w:r>
      <w:r>
        <w:rPr>
          <w:rFonts w:ascii="黑体" w:hAnsi="黑体" w:eastAsia="黑体"/>
          <w:sz w:val="32"/>
          <w:szCs w:val="32"/>
        </w:rPr>
        <w:br w:type="textWrapping"/>
      </w:r>
      <w:r>
        <w:rPr>
          <w:rFonts w:ascii="仿宋_GB2312" w:eastAsia="仿宋_GB2312"/>
          <w:sz w:val="32"/>
          <w:szCs w:val="32"/>
        </w:rPr>
        <w:t>  （一）国家发展改革委负责确定符合条件的中央企业（含下属法人企业）名单。其中，属于国资委管理的中央企业由国资委统一审核后报送国家发展改革委，其他中央企业可直接向国家发展改革委申报（申请表见附件）。国家发展改革委审核汇总后报送财政部、税务总局。</w:t>
      </w:r>
      <w:r>
        <w:rPr>
          <w:rFonts w:ascii="仿宋_GB2312" w:eastAsia="仿宋_GB2312"/>
          <w:sz w:val="32"/>
          <w:szCs w:val="32"/>
        </w:rPr>
        <w:br w:type="textWrapping"/>
      </w:r>
      <w:r>
        <w:rPr>
          <w:rFonts w:ascii="仿宋_GB2312" w:eastAsia="仿宋_GB2312"/>
          <w:sz w:val="32"/>
          <w:szCs w:val="32"/>
        </w:rPr>
        <w:t>  （二）各省级发展改革部门负责审核确定省级及以下符合条件的企业名单。其中，属于省级国资委管理的国有企业由各省级国资委统一审核后报送各省级发展改革部门，其他企业按照属地管理原则依程序向省级发展改革部门申报。各省级发展改革部门审核汇总后报送同级财政、税务部门。</w:t>
      </w:r>
      <w:r>
        <w:rPr>
          <w:rFonts w:ascii="仿宋_GB2312" w:eastAsia="仿宋_GB2312"/>
          <w:sz w:val="32"/>
          <w:szCs w:val="32"/>
        </w:rPr>
        <w:br w:type="textWrapping"/>
      </w:r>
      <w:r>
        <w:rPr>
          <w:rFonts w:ascii="黑体" w:eastAsia="黑体"/>
          <w:sz w:val="32"/>
          <w:szCs w:val="32"/>
        </w:rPr>
        <w:t>  </w:t>
      </w:r>
      <w:r>
        <w:rPr>
          <w:rFonts w:ascii="黑体" w:hAnsi="黑体" w:eastAsia="黑体"/>
          <w:bCs/>
          <w:sz w:val="32"/>
          <w:szCs w:val="32"/>
        </w:rPr>
        <w:t>四、加强名单管理</w:t>
      </w:r>
      <w:r>
        <w:rPr>
          <w:rFonts w:ascii="黑体" w:hAnsi="黑体" w:eastAsia="黑体"/>
          <w:sz w:val="32"/>
          <w:szCs w:val="32"/>
        </w:rPr>
        <w:br w:type="textWrapping"/>
      </w:r>
      <w:r>
        <w:rPr>
          <w:rFonts w:ascii="仿宋_GB2312" w:eastAsia="仿宋_GB2312"/>
          <w:sz w:val="32"/>
          <w:szCs w:val="32"/>
        </w:rPr>
        <w:t>  （一）各级发展改革部门要严格加强名单管理，重点审核企业生产产品是否符合本通知支持范围，是否发挥疫情防控生产保障作用。一旦发现企业有弄虚作假、骗取税收优惠等违法违规行为，应及时调整出名单，通知同级财政、税务部门取消享受相关税收政策资格，并按照有关规定依法追究相应责任。</w:t>
      </w:r>
      <w:r>
        <w:rPr>
          <w:rFonts w:ascii="仿宋_GB2312" w:eastAsia="仿宋_GB2312"/>
          <w:sz w:val="32"/>
          <w:szCs w:val="32"/>
        </w:rPr>
        <w:br w:type="textWrapping"/>
      </w:r>
      <w:r>
        <w:rPr>
          <w:rFonts w:ascii="仿宋_GB2312" w:eastAsia="仿宋_GB2312"/>
          <w:sz w:val="32"/>
          <w:szCs w:val="32"/>
        </w:rPr>
        <w:t>  （二）各省级发展改革部门要加强与同级财政、税务、国资等部门工作衔接配合，及时了解疫情防控重点保障物资生产企业情况，加强对企服务，发现问题要及时协调解决，重大问题要及时上报国家发展改革委等有关部门。</w:t>
      </w:r>
      <w:r>
        <w:rPr>
          <w:rFonts w:ascii="仿宋_GB2312" w:eastAsia="仿宋_GB2312"/>
          <w:sz w:val="32"/>
          <w:szCs w:val="32"/>
        </w:rPr>
        <w:br w:type="textWrapping"/>
      </w:r>
      <w:r>
        <w:rPr>
          <w:rFonts w:ascii="黑体" w:eastAsia="黑体"/>
          <w:sz w:val="32"/>
          <w:szCs w:val="32"/>
        </w:rPr>
        <w:t>  </w:t>
      </w:r>
      <w:r>
        <w:rPr>
          <w:rFonts w:ascii="黑体" w:hAnsi="黑体" w:eastAsia="黑体"/>
          <w:bCs/>
          <w:sz w:val="32"/>
          <w:szCs w:val="32"/>
        </w:rPr>
        <w:t>五、有关工作要求</w:t>
      </w:r>
      <w:r>
        <w:rPr>
          <w:rFonts w:ascii="黑体" w:hAnsi="黑体" w:eastAsia="黑体"/>
          <w:sz w:val="32"/>
          <w:szCs w:val="32"/>
        </w:rPr>
        <w:br w:type="textWrapping"/>
      </w:r>
      <w:r>
        <w:rPr>
          <w:rFonts w:ascii="仿宋_GB2312" w:eastAsia="仿宋_GB2312"/>
          <w:sz w:val="32"/>
          <w:szCs w:val="32"/>
        </w:rPr>
        <w:t>  各省级发展改革部门要会同本级财政、税务部门，参照本通知相关要求，抓紧制定本地区名单管理办法，明确申报流程和具体要求，及时主动向社会公开。</w:t>
      </w:r>
      <w:r>
        <w:rPr>
          <w:rFonts w:ascii="仿宋_GB2312" w:eastAsia="仿宋_GB2312"/>
          <w:sz w:val="32"/>
          <w:szCs w:val="32"/>
        </w:rPr>
        <w:br w:type="textWrapping"/>
      </w:r>
      <w:r>
        <w:rPr>
          <w:rFonts w:ascii="仿宋_GB2312" w:eastAsia="仿宋_GB2312"/>
          <w:sz w:val="32"/>
          <w:szCs w:val="32"/>
        </w:rPr>
        <w:t>  本通知自印发之日起实施，截止日期视疫情情况另行通知。</w:t>
      </w:r>
    </w:p>
    <w:p>
      <w:pPr>
        <w:spacing w:line="540" w:lineRule="exact"/>
        <w:ind w:firstLine="5760" w:firstLineChars="1800"/>
        <w:jc w:val="left"/>
        <w:rPr>
          <w:rFonts w:ascii="仿宋_GB2312" w:eastAsia="仿宋_GB2312"/>
          <w:sz w:val="32"/>
          <w:szCs w:val="32"/>
        </w:rPr>
      </w:pPr>
    </w:p>
    <w:p>
      <w:pPr>
        <w:spacing w:line="540" w:lineRule="exact"/>
        <w:ind w:firstLine="5760" w:firstLineChars="1800"/>
        <w:jc w:val="left"/>
        <w:rPr>
          <w:rFonts w:ascii="仿宋_GB2312" w:eastAsia="仿宋_GB2312"/>
          <w:sz w:val="32"/>
          <w:szCs w:val="32"/>
        </w:rPr>
      </w:pPr>
    </w:p>
    <w:p>
      <w:pPr>
        <w:spacing w:line="540" w:lineRule="exact"/>
        <w:ind w:firstLine="5760" w:firstLineChars="1800"/>
        <w:jc w:val="left"/>
        <w:rPr>
          <w:rFonts w:ascii="仿宋_GB2312" w:eastAsia="仿宋_GB2312"/>
          <w:sz w:val="32"/>
          <w:szCs w:val="32"/>
        </w:rPr>
      </w:pPr>
    </w:p>
    <w:p>
      <w:pPr>
        <w:spacing w:line="540" w:lineRule="exact"/>
        <w:ind w:firstLine="4640" w:firstLineChars="1450"/>
        <w:jc w:val="left"/>
        <w:rPr>
          <w:rFonts w:ascii="仿宋_GB2312" w:eastAsia="仿宋_GB2312"/>
          <w:sz w:val="32"/>
          <w:szCs w:val="32"/>
        </w:rPr>
      </w:pPr>
      <w:r>
        <w:rPr>
          <w:rFonts w:ascii="仿宋_GB2312" w:eastAsia="仿宋_GB2312"/>
          <w:sz w:val="32"/>
          <w:szCs w:val="32"/>
        </w:rPr>
        <w:t>国家发展改革委办公厅</w:t>
      </w:r>
    </w:p>
    <w:p>
      <w:pPr>
        <w:spacing w:line="540" w:lineRule="exact"/>
        <w:ind w:firstLine="5120" w:firstLineChars="1600"/>
        <w:jc w:val="left"/>
        <w:rPr>
          <w:rFonts w:ascii="仿宋_GB2312" w:eastAsia="仿宋_GB2312"/>
          <w:sz w:val="32"/>
          <w:szCs w:val="32"/>
        </w:rPr>
      </w:pPr>
      <w:r>
        <w:rPr>
          <w:rFonts w:ascii="仿宋_GB2312" w:eastAsia="仿宋_GB2312"/>
          <w:sz w:val="32"/>
          <w:szCs w:val="32"/>
        </w:rPr>
        <w:t>2020年2月28日</w:t>
      </w:r>
    </w:p>
    <w:p>
      <w:pPr>
        <w:widowControl/>
        <w:jc w:val="left"/>
        <w:rPr>
          <w:rFonts w:ascii="方正小标宋简体" w:eastAsia="方正小标宋简体"/>
          <w:bCs/>
          <w:sz w:val="36"/>
          <w:szCs w:val="32"/>
        </w:rPr>
      </w:pPr>
      <w:r>
        <w:rPr>
          <w:rFonts w:ascii="方正小标宋简体" w:eastAsia="方正小标宋简体"/>
          <w:bCs/>
          <w:sz w:val="36"/>
          <w:szCs w:val="32"/>
        </w:rPr>
        <w:br w:type="page"/>
      </w:r>
    </w:p>
    <w:p>
      <w:pPr>
        <w:spacing w:line="540" w:lineRule="exact"/>
        <w:jc w:val="center"/>
        <w:rPr>
          <w:rFonts w:hint="eastAsia" w:ascii="方正小标宋简体" w:eastAsia="方正小标宋简体"/>
          <w:bCs/>
          <w:sz w:val="36"/>
          <w:szCs w:val="32"/>
        </w:rPr>
      </w:pPr>
    </w:p>
    <w:p>
      <w:pPr>
        <w:spacing w:line="540" w:lineRule="exact"/>
        <w:jc w:val="center"/>
        <w:rPr>
          <w:rFonts w:ascii="方正小标宋简体" w:eastAsia="方正小标宋简体"/>
          <w:bCs/>
          <w:sz w:val="44"/>
          <w:szCs w:val="32"/>
        </w:rPr>
      </w:pPr>
      <w:r>
        <w:rPr>
          <w:rFonts w:hint="eastAsia" w:ascii="方正小标宋简体" w:eastAsia="方正小标宋简体"/>
          <w:bCs/>
          <w:sz w:val="44"/>
          <w:szCs w:val="32"/>
        </w:rPr>
        <w:t>关于积极发挥行业协会商会作用</w:t>
      </w:r>
    </w:p>
    <w:p>
      <w:pPr>
        <w:spacing w:line="540" w:lineRule="exact"/>
        <w:jc w:val="center"/>
        <w:rPr>
          <w:rFonts w:ascii="方正小标宋简体" w:eastAsia="方正小标宋简体"/>
          <w:sz w:val="44"/>
          <w:szCs w:val="32"/>
        </w:rPr>
      </w:pPr>
      <w:r>
        <w:rPr>
          <w:rFonts w:hint="eastAsia" w:ascii="方正小标宋简体" w:eastAsia="方正小标宋简体"/>
          <w:bCs/>
          <w:sz w:val="44"/>
          <w:szCs w:val="32"/>
        </w:rPr>
        <w:t>支持民营中小企业复工复产的通知</w:t>
      </w:r>
    </w:p>
    <w:p>
      <w:pPr>
        <w:spacing w:beforeLines="50" w:line="540" w:lineRule="exact"/>
        <w:jc w:val="center"/>
        <w:rPr>
          <w:rFonts w:hint="eastAsia" w:ascii="楷体_GB2312" w:eastAsia="楷体_GB2312"/>
          <w:sz w:val="32"/>
          <w:szCs w:val="32"/>
        </w:rPr>
      </w:pPr>
      <w:r>
        <w:rPr>
          <w:rFonts w:hint="eastAsia" w:ascii="楷体_GB2312" w:eastAsia="楷体_GB2312"/>
          <w:sz w:val="32"/>
          <w:szCs w:val="32"/>
        </w:rPr>
        <w:t>发改办体改〔2020〕175号</w:t>
      </w:r>
    </w:p>
    <w:p>
      <w:pPr>
        <w:spacing w:line="540" w:lineRule="exact"/>
        <w:jc w:val="left"/>
        <w:rPr>
          <w:rFonts w:ascii="仿宋_GB2312" w:eastAsia="仿宋_GB2312"/>
          <w:sz w:val="32"/>
          <w:szCs w:val="32"/>
        </w:rPr>
      </w:pPr>
    </w:p>
    <w:p>
      <w:pPr>
        <w:spacing w:line="540" w:lineRule="exact"/>
        <w:rPr>
          <w:rFonts w:ascii="仿宋_GB2312" w:eastAsia="仿宋_GB2312"/>
          <w:sz w:val="32"/>
          <w:szCs w:val="32"/>
        </w:rPr>
      </w:pPr>
      <w:r>
        <w:rPr>
          <w:rFonts w:ascii="仿宋_GB2312" w:eastAsia="仿宋_GB2312"/>
          <w:sz w:val="32"/>
          <w:szCs w:val="32"/>
        </w:rPr>
        <w:t>各行业协会商会：</w:t>
      </w:r>
      <w:r>
        <w:rPr>
          <w:rFonts w:ascii="仿宋_GB2312" w:eastAsia="仿宋_GB2312"/>
          <w:sz w:val="32"/>
          <w:szCs w:val="32"/>
        </w:rPr>
        <w:br w:type="textWrapping"/>
      </w:r>
      <w:r>
        <w:rPr>
          <w:rFonts w:ascii="仿宋_GB2312" w:eastAsia="仿宋_GB2312"/>
          <w:sz w:val="32"/>
          <w:szCs w:val="32"/>
        </w:rPr>
        <w:t>  新冠肺炎疫情发生以来，广大行业协会商会勇于担当、主动作为，积极组织行业企业协调重要物资与服务保障，指导推动企业复工复产，有力服务了疫情防控和经济社会发展工作大局。按照习近平总书记提出的发挥行业协会商会等社会组织作用，指导和帮助企业等会员单位科学精准防疫、有序复工复产的要求，各行业协会商会要不断提高政治站位，强化使命担当，充分发挥协会党组织战斗堡垒和党员先锋模范作用，利用好协会扎根行业、贴近企业的独特优势，在动员企业全力参与疫情防控的同时，积极支持行业企业特别是民营中小企业有序复工复产，在助力企业渡难关中提升服务水平和治理能力，实现转型发展，巩固改革成果。现就有关事项通知如下。</w:t>
      </w:r>
      <w:r>
        <w:rPr>
          <w:rFonts w:ascii="仿宋_GB2312" w:eastAsia="仿宋_GB2312"/>
          <w:sz w:val="32"/>
          <w:szCs w:val="32"/>
        </w:rPr>
        <w:br w:type="textWrapping"/>
      </w:r>
      <w:r>
        <w:rPr>
          <w:rFonts w:hint="eastAsia" w:ascii="黑体" w:eastAsia="黑体"/>
          <w:sz w:val="32"/>
          <w:szCs w:val="32"/>
        </w:rPr>
        <w:t xml:space="preserve">    </w:t>
      </w:r>
      <w:r>
        <w:rPr>
          <w:rFonts w:ascii="黑体" w:hAnsi="黑体" w:eastAsia="黑体"/>
          <w:sz w:val="32"/>
          <w:szCs w:val="32"/>
        </w:rPr>
        <w:t>一、推动企业分区分类分批复工复产</w:t>
      </w:r>
      <w:r>
        <w:rPr>
          <w:rFonts w:ascii="仿宋_GB2312" w:eastAsia="仿宋_GB2312"/>
          <w:sz w:val="32"/>
          <w:szCs w:val="32"/>
        </w:rPr>
        <w:t>。行业协会商会可根据不同地区的疫情状况，分区分级为行业企业尤其是民营中小企业恢复生产秩序做好服务，支持低风险地区企业全面复工复产，中风险地区企业尽快有序复工复产，高风险地区企业根据疫情态势逐步复工复产。涉及医疗卫生、药品器械、防护物资、消毒用品等疫情防控必需，供水、供气、供电、通讯、环卫、物流运输等经济社会运行必需，食品、农牧、基本生活用品、市场流通销售等群众生活必需及其他重要国计民生领域的行业协会商会，要全力协助企业创造条件尽早复工复产。其他领域行业协会商会要积极协调地方政府，推动符合防疫条件的企业尽快开工生产。对近期难以复工复产的行业企业尤其是民营中小企业，行业协会商会要主动了解企业实际困难，及时向有关部门反映并配合协调解决。</w:t>
      </w:r>
      <w:r>
        <w:rPr>
          <w:rFonts w:ascii="仿宋_GB2312" w:eastAsia="仿宋_GB2312"/>
          <w:sz w:val="32"/>
          <w:szCs w:val="32"/>
        </w:rPr>
        <w:br w:type="textWrapping"/>
      </w:r>
      <w:r>
        <w:rPr>
          <w:rFonts w:hint="eastAsia" w:ascii="仿宋_GB2312" w:eastAsia="仿宋_GB2312"/>
          <w:sz w:val="32"/>
          <w:szCs w:val="32"/>
        </w:rPr>
        <w:t xml:space="preserve">    </w:t>
      </w:r>
      <w:r>
        <w:rPr>
          <w:rFonts w:ascii="黑体" w:eastAsia="黑体"/>
          <w:sz w:val="32"/>
          <w:szCs w:val="32"/>
        </w:rPr>
        <w:t>二、协助保障企业复工复产防疫需求。</w:t>
      </w:r>
      <w:r>
        <w:rPr>
          <w:rFonts w:ascii="仿宋_GB2312" w:eastAsia="仿宋_GB2312"/>
          <w:sz w:val="32"/>
          <w:szCs w:val="32"/>
        </w:rPr>
        <w:t>行业协会商会可根据相关规范要求，加强与卫生健康部门沟通，主动制定本行业企业疫情防控手册、防疫预案范本和应急流程指南等，推动企业科学精准落实各项疫情防控和安全生产要求。积极推广居家办公、远程会议、灵活用工、弹性工作、错峰轮岗等方式，降低疫情扩散风险。行业协会商会可以了解汇总本行业企业特别是民营中小企业复工复产所需口罩等防疫用品需求，向各级联防联控机制或物资保障机制提出申请，积极争取调配支持。有条件的行业协会商会可以搭建防疫物资国际国内采购平台，组织民营中小企业集体采购，或者协调整合行业资源自行生产，以满足当前紧迫需求。防疫用品生产领域的行业协会商会要尽力为企业开足马力生产提供咨询服务、技术支持等，优先保障医护人员、公共服务行业以及复工复产的一线企业防疫需求。</w:t>
      </w:r>
      <w:r>
        <w:rPr>
          <w:rFonts w:ascii="仿宋_GB2312" w:eastAsia="仿宋_GB2312"/>
          <w:sz w:val="32"/>
          <w:szCs w:val="32"/>
        </w:rPr>
        <w:br w:type="textWrapping"/>
      </w:r>
      <w:r>
        <w:rPr>
          <w:rFonts w:ascii="仿宋_GB2312" w:eastAsia="仿宋_GB2312"/>
          <w:sz w:val="32"/>
          <w:szCs w:val="32"/>
        </w:rPr>
        <w:t xml:space="preserve">    </w:t>
      </w:r>
      <w:r>
        <w:rPr>
          <w:rFonts w:ascii="黑体" w:eastAsia="黑体"/>
          <w:sz w:val="32"/>
          <w:szCs w:val="32"/>
        </w:rPr>
        <w:t>三、协调解决用工用料用能用运困难</w:t>
      </w:r>
      <w:r>
        <w:rPr>
          <w:rFonts w:ascii="仿宋_GB2312" w:eastAsia="仿宋_GB2312"/>
          <w:sz w:val="32"/>
          <w:szCs w:val="32"/>
        </w:rPr>
        <w:t>。行业协会商会可积极搭建劳动力、原材料、能源、运输服务供需对接平台，及时收集、整理、推送产品供需和招工用工信息，加强与劳务输出量较大地区、原料能源供应大户、骨干物流企业的供需对接，帮助企业稳定就业、畅通供应链。劳动密集型行业领域的协会商会，要及时向地方政府或有关部门反映行业就业情况和用工困难，协调落实救助和纾困政策，缓解因疫情影响导致的用工紧张和就业困难。鼓励行业协会商会面向行业企业开展线上职业培训，帮助企业提高劳动力质量，尽快恢复生产能力。钢铁、煤炭、电力、石油、天然气和基础原材料等行业领域的协会商会要倡导会员企业稳定供应和价格，防止集中复工复产带来的区域性、时段性短缺或价格大幅上涨。铁路、民航、公路、港口、物流、仓储配送、对外贸易等领域的行业协会商会，要积极帮助行业企业特别是民营中小企业解决生产原料和产品的运输、仓储、配送、通关等问题。</w:t>
      </w:r>
      <w:r>
        <w:rPr>
          <w:rFonts w:ascii="仿宋_GB2312" w:eastAsia="仿宋_GB2312"/>
          <w:sz w:val="32"/>
          <w:szCs w:val="32"/>
        </w:rPr>
        <w:br w:type="textWrapping"/>
      </w:r>
      <w:r>
        <w:rPr>
          <w:rFonts w:hint="eastAsia" w:ascii="仿宋_GB2312" w:eastAsia="仿宋_GB2312"/>
          <w:sz w:val="32"/>
          <w:szCs w:val="32"/>
        </w:rPr>
        <w:t xml:space="preserve">    </w:t>
      </w:r>
      <w:r>
        <w:rPr>
          <w:rFonts w:ascii="黑体" w:eastAsia="黑体"/>
          <w:sz w:val="32"/>
          <w:szCs w:val="32"/>
        </w:rPr>
        <w:t>四、提供专业化高质量支援服务。</w:t>
      </w:r>
      <w:r>
        <w:rPr>
          <w:rFonts w:ascii="仿宋_GB2312" w:eastAsia="仿宋_GB2312"/>
          <w:sz w:val="32"/>
          <w:szCs w:val="32"/>
        </w:rPr>
        <w:t>行业协会商会可编制复工复产政策指南和民营中小企业自救指南，搭建线上政策咨询平台，帮助指导企业了解并用好用足税费减免延缴、援企稳岗、劳动用工、金融支持、房租补贴等各项优惠政策。帮助企业降低在进出口贸易、对外承包工程和参加国际展览展会方面的损失，为有需求的企业提供出具不可抗力事实性证明、法律咨询、纠纷调解、供需对接等服务，为企业应对因疫情引起的国际经济纠纷提供指引，在开拓国际市场方面提供支持。引导协调大型制造和商贸企业与上下游民营中小企业开展供应链金融合作，积极寻求地方政府、金融机构或行业龙头企业支持，多渠道缓解企业资金压力。金融领域行业协会商会要倡导金融机构全面落实下调贷款利率、还本付息延期等支持政策，加大对受疫情影响较大地区行业和企业的信贷、发债支持力度。组织法律专家为民营中小企业提供法律援助和咨询服务，帮助应对受疫情影响造成的合同履约、劳资关系等法律问题。搭建会员间信息交流平台，畅通沟通机制，交流经验做法，发挥抱团取暖作用。</w:t>
      </w:r>
      <w:r>
        <w:rPr>
          <w:rFonts w:ascii="仿宋_GB2312" w:eastAsia="仿宋_GB2312"/>
          <w:sz w:val="32"/>
          <w:szCs w:val="32"/>
        </w:rPr>
        <w:br w:type="textWrapping"/>
      </w:r>
      <w:r>
        <w:rPr>
          <w:rFonts w:ascii="仿宋_GB2312" w:eastAsia="仿宋_GB2312"/>
          <w:sz w:val="32"/>
          <w:szCs w:val="32"/>
        </w:rPr>
        <w:t> </w:t>
      </w:r>
      <w:r>
        <w:rPr>
          <w:rFonts w:ascii="黑体" w:eastAsia="黑体"/>
          <w:sz w:val="32"/>
          <w:szCs w:val="32"/>
        </w:rPr>
        <w:t> 五、精准施策全力救助受困企业。</w:t>
      </w:r>
      <w:r>
        <w:rPr>
          <w:rFonts w:ascii="仿宋_GB2312" w:eastAsia="仿宋_GB2312"/>
          <w:sz w:val="32"/>
          <w:szCs w:val="32"/>
        </w:rPr>
        <w:t>建立企业复工复产帮扶机制，及时梳理形成行业内受疫情影响严重、濒临破产倒闭的民营中小企业名单，积极与有关部门对接，根据不同受损程度，协助政府开展精准扶持，特别对创新能力强、发展潜力大的民营中小企业进行专项帮扶。行业协会商会可组织专家团队为困难企业量身定制脱困方案，在应对风险、转型升级、技术创新等方面提供专业咨询服务。协调国有物业、创业创新示范基地等对较困难的企业特别是民营中小企业实行房租减免。商业地产、物业服务等领域行业协会商会要倡导会员企业减免经营困难的中小商户租金。鼓励行业协会商会对受疫情影响严重的民营中小企业和武汉等地区企业会员，减半或免收2020年度会费。</w:t>
      </w:r>
      <w:r>
        <w:rPr>
          <w:rFonts w:ascii="仿宋_GB2312" w:eastAsia="仿宋_GB2312"/>
          <w:sz w:val="32"/>
          <w:szCs w:val="32"/>
        </w:rPr>
        <w:br w:type="textWrapping"/>
      </w:r>
      <w:r>
        <w:rPr>
          <w:rFonts w:hint="eastAsia" w:ascii="黑体" w:eastAsia="黑体"/>
          <w:sz w:val="32"/>
          <w:szCs w:val="32"/>
        </w:rPr>
        <w:t xml:space="preserve">    </w:t>
      </w:r>
      <w:r>
        <w:rPr>
          <w:rFonts w:ascii="黑体" w:hAnsi="黑体" w:eastAsia="黑体"/>
          <w:sz w:val="32"/>
          <w:szCs w:val="32"/>
        </w:rPr>
        <w:t>六、及时反映行业诉求有力支撑政府决策。</w:t>
      </w:r>
      <w:r>
        <w:rPr>
          <w:rFonts w:ascii="仿宋_GB2312" w:eastAsia="仿宋_GB2312"/>
          <w:sz w:val="32"/>
          <w:szCs w:val="32"/>
        </w:rPr>
        <w:t>行业协会商会要通过电话调查、在线访谈等多种方式加强对行业企业的调研，及时跟踪了解疫情对本行业、本领域所带来的冲击和影响。准确摸底企业库存、产能，加强市场运行情况监测和风险预警，调查税费减免延缴、援企稳岗、劳动用工、金融支持、房租补贴等扶持政策落实情况，及时将信息反馈相关部门，供决策参考。提前研究疫情结束后可能出现的产业链配套难、经营难、融资难等问题对行业企业特别是民营中小企业带来的影响，提出风险应对预案。餐饮零售、酒店旅游、影视娱乐、教育培训、畜牧养殖、交通运输等受疫情影响较大的行业领域，协会商会要及时提供行业发展应对指引，积极向有关部门反映行业受损情况，提出帮助行业渡过难关的政策建议，协助政府出台支持政策，提振市场信心。</w:t>
      </w:r>
      <w:r>
        <w:rPr>
          <w:rFonts w:ascii="仿宋_GB2312" w:eastAsia="仿宋_GB2312"/>
          <w:sz w:val="32"/>
          <w:szCs w:val="32"/>
        </w:rPr>
        <w:br w:type="textWrapping"/>
      </w:r>
      <w:r>
        <w:rPr>
          <w:rFonts w:hint="eastAsia" w:ascii="仿宋_GB2312" w:eastAsia="仿宋_GB2312"/>
          <w:sz w:val="32"/>
          <w:szCs w:val="32"/>
        </w:rPr>
        <w:t xml:space="preserve">    </w:t>
      </w:r>
      <w:r>
        <w:rPr>
          <w:rFonts w:ascii="黑体" w:eastAsia="黑体"/>
          <w:sz w:val="32"/>
          <w:szCs w:val="32"/>
        </w:rPr>
        <w:t>七、自觉维护行业市场秩序。</w:t>
      </w:r>
      <w:r>
        <w:rPr>
          <w:rFonts w:ascii="仿宋_GB2312" w:eastAsia="仿宋_GB2312"/>
          <w:sz w:val="32"/>
          <w:szCs w:val="32"/>
        </w:rPr>
        <w:t>行业协会商会要进一步加强行业自律，规范行业企业行为，指导推动企业严格遵守《价格法》《产品质量法》等法律法规，依法诚信经营，不哄抬物价、不串通涨价，组织行业企业不惜售、不限购、不蓄意囤积，配合有关部门严厉打击制造销售假劣药品、医疗器械、医用卫生材料等违法犯罪行为，切实防范假冒伪劣产品上市流通，积极维护市场秩序。推行企业产品标准、质量、安全自我承诺制度，强化民营中小企业社会责任建设。</w:t>
      </w:r>
      <w:r>
        <w:rPr>
          <w:rFonts w:ascii="仿宋_GB2312" w:eastAsia="仿宋_GB2312"/>
          <w:sz w:val="32"/>
          <w:szCs w:val="32"/>
        </w:rPr>
        <w:br w:type="textWrapping"/>
      </w:r>
      <w:r>
        <w:rPr>
          <w:rFonts w:ascii="仿宋_GB2312" w:eastAsia="仿宋_GB2312"/>
          <w:sz w:val="32"/>
          <w:szCs w:val="32"/>
        </w:rPr>
        <w:t> </w:t>
      </w:r>
      <w:r>
        <w:rPr>
          <w:rFonts w:ascii="黑体" w:eastAsia="黑体"/>
          <w:sz w:val="32"/>
          <w:szCs w:val="32"/>
        </w:rPr>
        <w:t> 八、创新推广新模式新业态</w:t>
      </w:r>
      <w:r>
        <w:rPr>
          <w:rFonts w:ascii="仿宋_GB2312" w:eastAsia="仿宋_GB2312"/>
          <w:sz w:val="32"/>
          <w:szCs w:val="32"/>
        </w:rPr>
        <w:t>。行业协会商会要深入研究本行业本领域在疫情期间催生的新业态、新模式。帮助行业企业尤其是民营中小企业充分利用互联网、人工智能、大数据等技术实现智能生产、线上销售、远程服务、网络办公，提升信息化管理水平。支持发展面向中小企业的云制造、云服务平台。在行业内推广线上直播销售、无接触式服务、“不下车式”运输等新方式，引导企业利用好物联网、网上购物、外卖订餐、线上娱乐等数字经济、平台经济发展契机，促进行业实现转型升级。</w:t>
      </w:r>
      <w:r>
        <w:rPr>
          <w:rFonts w:ascii="仿宋_GB2312" w:eastAsia="仿宋_GB2312"/>
          <w:sz w:val="32"/>
          <w:szCs w:val="32"/>
        </w:rPr>
        <w:br w:type="textWrapping"/>
      </w:r>
      <w:r>
        <w:rPr>
          <w:rFonts w:hint="eastAsia" w:ascii="黑体" w:eastAsia="黑体"/>
          <w:sz w:val="32"/>
          <w:szCs w:val="32"/>
        </w:rPr>
        <w:t xml:space="preserve">    </w:t>
      </w:r>
      <w:r>
        <w:rPr>
          <w:rFonts w:ascii="黑体" w:hAnsi="黑体" w:eastAsia="黑体"/>
          <w:sz w:val="32"/>
          <w:szCs w:val="32"/>
        </w:rPr>
        <w:t>九、积极做好舆论宣传引导。</w:t>
      </w:r>
      <w:r>
        <w:rPr>
          <w:rFonts w:ascii="仿宋_GB2312" w:eastAsia="仿宋_GB2312"/>
          <w:sz w:val="32"/>
          <w:szCs w:val="32"/>
        </w:rPr>
        <w:t>行业协会商会要充分利用网站、报刊和“两微一端”等宣传媒介，在行业内深入宣传党中央、国务院重大决策部署，及时解读政策动向并做好贯彻落实。积极发掘、广泛宣传、表扬奖励会员企业在疫情防控、捐款捐助、复工复产等方面的先进典型和感人事迹，总结好的经验做法，鼓舞士气、提振信心，充分展现团结一心、同舟共济、共克时艰的良好精神风貌。对在参与疫情防控、支持复工复产中表现突出的行业协会商会，国家发展改革委、民政部等部门将以适当形式予以通报表扬，组织媒体进行宣传报道，并将此作为社会组织等级评估等工作的重要依据。</w:t>
      </w:r>
      <w:r>
        <w:rPr>
          <w:rFonts w:ascii="仿宋_GB2312" w:eastAsia="仿宋_GB2312"/>
          <w:sz w:val="32"/>
          <w:szCs w:val="32"/>
        </w:rPr>
        <w:br w:type="textWrapping"/>
      </w:r>
    </w:p>
    <w:p>
      <w:pPr>
        <w:spacing w:line="540" w:lineRule="exact"/>
        <w:jc w:val="left"/>
        <w:rPr>
          <w:rFonts w:ascii="仿宋_GB2312" w:eastAsia="仿宋_GB2312"/>
          <w:sz w:val="32"/>
          <w:szCs w:val="32"/>
        </w:rPr>
      </w:pPr>
      <w:r>
        <w:rPr>
          <w:rFonts w:ascii="仿宋_GB2312" w:eastAsia="仿宋_GB2312"/>
          <w:sz w:val="32"/>
          <w:szCs w:val="32"/>
        </w:rPr>
        <w:t> </w:t>
      </w:r>
    </w:p>
    <w:p>
      <w:pPr>
        <w:spacing w:line="540" w:lineRule="exact"/>
        <w:ind w:firstLine="4160" w:firstLineChars="1300"/>
        <w:jc w:val="left"/>
        <w:rPr>
          <w:rFonts w:ascii="仿宋_GB2312" w:eastAsia="仿宋_GB2312"/>
          <w:sz w:val="32"/>
          <w:szCs w:val="32"/>
        </w:rPr>
      </w:pPr>
      <w:r>
        <w:rPr>
          <w:rFonts w:ascii="仿宋_GB2312" w:eastAsia="仿宋_GB2312"/>
          <w:sz w:val="32"/>
          <w:szCs w:val="32"/>
        </w:rPr>
        <w:t>国家发展改革委办公厅</w:t>
      </w:r>
    </w:p>
    <w:p>
      <w:pPr>
        <w:spacing w:line="540" w:lineRule="exact"/>
        <w:ind w:firstLine="4800" w:firstLineChars="1500"/>
        <w:jc w:val="left"/>
        <w:rPr>
          <w:rFonts w:ascii="仿宋_GB2312" w:eastAsia="仿宋_GB2312"/>
          <w:sz w:val="32"/>
          <w:szCs w:val="32"/>
        </w:rPr>
      </w:pPr>
      <w:r>
        <w:rPr>
          <w:rFonts w:ascii="仿宋_GB2312" w:eastAsia="仿宋_GB2312"/>
          <w:sz w:val="32"/>
          <w:szCs w:val="32"/>
        </w:rPr>
        <w:t>民政部办公厅</w:t>
      </w:r>
    </w:p>
    <w:p>
      <w:pPr>
        <w:spacing w:line="540" w:lineRule="exact"/>
        <w:ind w:firstLine="4640" w:firstLineChars="1450"/>
        <w:jc w:val="left"/>
        <w:rPr>
          <w:rFonts w:ascii="仿宋_GB2312" w:eastAsia="仿宋_GB2312"/>
          <w:sz w:val="32"/>
          <w:szCs w:val="32"/>
        </w:rPr>
      </w:pPr>
      <w:r>
        <w:rPr>
          <w:rFonts w:ascii="仿宋_GB2312" w:eastAsia="仿宋_GB2312"/>
          <w:sz w:val="32"/>
          <w:szCs w:val="32"/>
        </w:rPr>
        <w:t>2020年2月27日</w:t>
      </w:r>
    </w:p>
    <w:sectPr>
      <w:pgSz w:w="11906" w:h="16838"/>
      <w:pgMar w:top="1985" w:right="1588" w:bottom="1701"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ZXBSK--GBK1-0">
    <w:altName w:val="宋体"/>
    <w:panose1 w:val="00000000000000000000"/>
    <w:charset w:val="86"/>
    <w:family w:val="auto"/>
    <w:pitch w:val="default"/>
    <w:sig w:usb0="00000000" w:usb1="00000000" w:usb2="00000010" w:usb3="00000000" w:csb0="00040000" w:csb1="00000000"/>
  </w:font>
  <w:font w:name="FZHTK--GBK1-0">
    <w:altName w:val="宋体"/>
    <w:panose1 w:val="00000000000000000000"/>
    <w:charset w:val="86"/>
    <w:family w:val="auto"/>
    <w:pitch w:val="default"/>
    <w:sig w:usb0="00000000" w:usb1="00000000" w:usb2="0000001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JO5t+jDAgAA2gUAAA4AAAAA&#10;AAAAAQAgAAAAHwEAAGRycy9lMm9Eb2MueG1sUEsFBgAAAAAGAAYAWQEAAFQGA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leftChars="100" w:right="210" w:rightChars="100"/>
      <w:jc w:val="right"/>
      <w:rPr>
        <w:rFonts w:ascii="宋体" w:hAnsi="宋体"/>
        <w:sz w:val="28"/>
        <w:szCs w:val="2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1</w:t>
    </w:r>
    <w:r>
      <w:rPr>
        <w:rFonts w:ascii="宋体" w:hAnsi="宋体"/>
        <w:sz w:val="28"/>
        <w:szCs w:val="28"/>
      </w:rPr>
      <w:fldChar w:fldCharType="end"/>
    </w:r>
    <w:r>
      <w:rPr>
        <w:rStyle w:val="11"/>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leftChars="100" w:right="210" w:rightChars="100"/>
      <w:rPr>
        <w:rFonts w:ascii="宋体" w:hAnsi="宋体"/>
        <w:sz w:val="28"/>
        <w:szCs w:val="2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2</w:t>
    </w:r>
    <w:r>
      <w:rPr>
        <w:rFonts w:ascii="宋体" w:hAnsi="宋体"/>
        <w:sz w:val="28"/>
        <w:szCs w:val="28"/>
      </w:rPr>
      <w:fldChar w:fldCharType="end"/>
    </w:r>
    <w:r>
      <w:rPr>
        <w:rStyle w:val="11"/>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g3ZjAyMDg1OGQ5ODY4NmE5NjlkNzRmYmM5NjEwYTgifQ=="/>
  </w:docVars>
  <w:rsids>
    <w:rsidRoot w:val="00496297"/>
    <w:rsid w:val="000E7ECD"/>
    <w:rsid w:val="00120AEB"/>
    <w:rsid w:val="00166096"/>
    <w:rsid w:val="001C5A00"/>
    <w:rsid w:val="001C610F"/>
    <w:rsid w:val="00200041"/>
    <w:rsid w:val="0021239C"/>
    <w:rsid w:val="002918A4"/>
    <w:rsid w:val="002C086F"/>
    <w:rsid w:val="002C56C4"/>
    <w:rsid w:val="003367B0"/>
    <w:rsid w:val="00350378"/>
    <w:rsid w:val="00363ADB"/>
    <w:rsid w:val="00490888"/>
    <w:rsid w:val="00496297"/>
    <w:rsid w:val="005421B0"/>
    <w:rsid w:val="00614488"/>
    <w:rsid w:val="00666B9F"/>
    <w:rsid w:val="00712103"/>
    <w:rsid w:val="008C1684"/>
    <w:rsid w:val="008D1091"/>
    <w:rsid w:val="00953DD1"/>
    <w:rsid w:val="00965747"/>
    <w:rsid w:val="009D2041"/>
    <w:rsid w:val="00A81B62"/>
    <w:rsid w:val="00A913F7"/>
    <w:rsid w:val="00AA6B19"/>
    <w:rsid w:val="00AF5CA1"/>
    <w:rsid w:val="00B44486"/>
    <w:rsid w:val="00B75131"/>
    <w:rsid w:val="00BC4F5E"/>
    <w:rsid w:val="00C82F2A"/>
    <w:rsid w:val="00D34CA7"/>
    <w:rsid w:val="00D45580"/>
    <w:rsid w:val="00D5181C"/>
    <w:rsid w:val="00DB050A"/>
    <w:rsid w:val="00DD21A7"/>
    <w:rsid w:val="00DD6EC3"/>
    <w:rsid w:val="00E9100D"/>
    <w:rsid w:val="00F774E5"/>
    <w:rsid w:val="00F9705D"/>
    <w:rsid w:val="0731539E"/>
    <w:rsid w:val="0CB5090E"/>
    <w:rsid w:val="143B1C76"/>
    <w:rsid w:val="279F7467"/>
    <w:rsid w:val="4C3608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1"/>
    <w:pPr>
      <w:autoSpaceDE w:val="0"/>
      <w:autoSpaceDN w:val="0"/>
      <w:ind w:left="2652" w:right="1990" w:hanging="800"/>
      <w:jc w:val="left"/>
      <w:outlineLvl w:val="0"/>
    </w:pPr>
    <w:rPr>
      <w:rFonts w:ascii="Arial Unicode MS" w:hAnsi="Arial Unicode MS" w:eastAsia="Arial Unicode MS" w:cs="Arial Unicode MS"/>
      <w:kern w:val="0"/>
      <w:sz w:val="40"/>
      <w:szCs w:val="40"/>
      <w:lang w:val="zh-CN" w:bidi="zh-CN"/>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autoRedefine/>
    <w:qFormat/>
    <w:uiPriority w:val="1"/>
    <w:pPr>
      <w:autoSpaceDE w:val="0"/>
      <w:autoSpaceDN w:val="0"/>
      <w:jc w:val="left"/>
    </w:pPr>
    <w:rPr>
      <w:rFonts w:ascii="Arial Unicode MS" w:hAnsi="Arial Unicode MS" w:eastAsia="Arial Unicode MS" w:cs="Arial Unicode MS"/>
      <w:kern w:val="0"/>
      <w:sz w:val="30"/>
      <w:szCs w:val="30"/>
      <w:lang w:val="zh-CN" w:bidi="zh-CN"/>
    </w:rPr>
  </w:style>
  <w:style w:type="paragraph" w:styleId="4">
    <w:name w:val="Date"/>
    <w:basedOn w:val="1"/>
    <w:next w:val="1"/>
    <w:link w:val="12"/>
    <w:autoRedefine/>
    <w:semiHidden/>
    <w:unhideWhenUsed/>
    <w:qFormat/>
    <w:uiPriority w:val="99"/>
    <w:pPr>
      <w:ind w:left="100" w:leftChars="2500"/>
    </w:pPr>
  </w:style>
  <w:style w:type="paragraph" w:styleId="5">
    <w:name w:val="footer"/>
    <w:basedOn w:val="1"/>
    <w:link w:val="18"/>
    <w:autoRedefine/>
    <w:unhideWhenUsed/>
    <w:qFormat/>
    <w:uiPriority w:val="0"/>
    <w:pPr>
      <w:tabs>
        <w:tab w:val="center" w:pos="4153"/>
        <w:tab w:val="right" w:pos="8306"/>
      </w:tabs>
      <w:snapToGrid w:val="0"/>
      <w:jc w:val="left"/>
    </w:pPr>
    <w:rPr>
      <w:sz w:val="18"/>
      <w:szCs w:val="18"/>
    </w:rPr>
  </w:style>
  <w:style w:type="paragraph" w:styleId="6">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autoRedefine/>
    <w:qFormat/>
    <w:uiPriority w:val="22"/>
    <w:rPr>
      <w:b/>
      <w:bCs/>
    </w:rPr>
  </w:style>
  <w:style w:type="character" w:styleId="11">
    <w:name w:val="page number"/>
    <w:basedOn w:val="9"/>
    <w:autoRedefine/>
    <w:qFormat/>
    <w:uiPriority w:val="0"/>
    <w:rPr>
      <w:szCs w:val="20"/>
    </w:rPr>
  </w:style>
  <w:style w:type="character" w:customStyle="1" w:styleId="12">
    <w:name w:val="日期 Char"/>
    <w:basedOn w:val="9"/>
    <w:link w:val="4"/>
    <w:autoRedefine/>
    <w:semiHidden/>
    <w:qFormat/>
    <w:uiPriority w:val="99"/>
  </w:style>
  <w:style w:type="paragraph" w:styleId="13">
    <w:name w:val="List Paragraph"/>
    <w:basedOn w:val="1"/>
    <w:autoRedefine/>
    <w:qFormat/>
    <w:uiPriority w:val="34"/>
    <w:pPr>
      <w:ind w:firstLine="420" w:firstLineChars="200"/>
    </w:pPr>
  </w:style>
  <w:style w:type="character" w:customStyle="1" w:styleId="14">
    <w:name w:val="标题 1 Char"/>
    <w:basedOn w:val="9"/>
    <w:link w:val="2"/>
    <w:autoRedefine/>
    <w:qFormat/>
    <w:uiPriority w:val="1"/>
    <w:rPr>
      <w:rFonts w:ascii="Arial Unicode MS" w:hAnsi="Arial Unicode MS" w:eastAsia="Arial Unicode MS" w:cs="Arial Unicode MS"/>
      <w:kern w:val="0"/>
      <w:sz w:val="40"/>
      <w:szCs w:val="40"/>
      <w:lang w:val="zh-CN" w:bidi="zh-CN"/>
    </w:rPr>
  </w:style>
  <w:style w:type="character" w:customStyle="1" w:styleId="15">
    <w:name w:val="正文文本 Char"/>
    <w:basedOn w:val="9"/>
    <w:link w:val="3"/>
    <w:uiPriority w:val="1"/>
    <w:rPr>
      <w:rFonts w:ascii="Arial Unicode MS" w:hAnsi="Arial Unicode MS" w:eastAsia="Arial Unicode MS" w:cs="Arial Unicode MS"/>
      <w:kern w:val="0"/>
      <w:sz w:val="30"/>
      <w:szCs w:val="30"/>
      <w:lang w:val="zh-CN" w:bidi="zh-CN"/>
    </w:rPr>
  </w:style>
  <w:style w:type="paragraph" w:customStyle="1" w:styleId="16">
    <w:name w:val="Table Paragraph"/>
    <w:basedOn w:val="1"/>
    <w:qFormat/>
    <w:uiPriority w:val="1"/>
    <w:pPr>
      <w:autoSpaceDE w:val="0"/>
      <w:autoSpaceDN w:val="0"/>
      <w:ind w:left="107"/>
      <w:jc w:val="left"/>
    </w:pPr>
    <w:rPr>
      <w:rFonts w:ascii="Arial Unicode MS" w:hAnsi="Arial Unicode MS" w:eastAsia="Arial Unicode MS" w:cs="Arial Unicode MS"/>
      <w:kern w:val="0"/>
      <w:sz w:val="22"/>
      <w:lang w:val="zh-CN" w:bidi="zh-CN"/>
    </w:rPr>
  </w:style>
  <w:style w:type="character" w:customStyle="1" w:styleId="17">
    <w:name w:val="页眉 Char"/>
    <w:basedOn w:val="9"/>
    <w:link w:val="6"/>
    <w:qFormat/>
    <w:uiPriority w:val="99"/>
    <w:rPr>
      <w:sz w:val="18"/>
      <w:szCs w:val="18"/>
    </w:rPr>
  </w:style>
  <w:style w:type="character" w:customStyle="1" w:styleId="18">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215BD3-21C4-43DE-867D-AFCC8123809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110</Pages>
  <Words>8517</Words>
  <Characters>48550</Characters>
  <Lines>404</Lines>
  <Paragraphs>113</Paragraphs>
  <TotalTime>0</TotalTime>
  <ScaleCrop>false</ScaleCrop>
  <LinksUpToDate>false</LinksUpToDate>
  <CharactersWithSpaces>56954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2020-03-30T02:03:00Z</dcterms:created>
  <dc:creator>PC</dc:creator>
  <cp:lastModifiedBy>白白白白</cp:lastModifiedBy>
  <dcterms:modified xsi:type="dcterms:W3CDTF">2024-04-01T07:30:57Z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994745556EF0480193F7639D436EFB6B_12</vt:lpwstr>
  </property>
</Properties>
</file>