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ind w:left="0" w:leftChars="0" w:right="0" w:rightChars="0" w:firstLine="0" w:firstLineChars="0"/>
        <w:jc w:val="center"/>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沂源县</w:t>
      </w:r>
      <w:r>
        <w:rPr>
          <w:rFonts w:hint="eastAsia" w:ascii="方正小标宋简体" w:hAnsi="方正小标宋简体" w:eastAsia="方正小标宋简体" w:cs="方正小标宋简体"/>
          <w:color w:val="333333"/>
          <w:sz w:val="44"/>
          <w:szCs w:val="44"/>
          <w:shd w:val="clear" w:color="auto" w:fill="FFFFFF"/>
          <w:lang w:val="en-US" w:eastAsia="zh-CN"/>
        </w:rPr>
        <w:t>东里镇人民政府</w:t>
      </w:r>
      <w:r>
        <w:rPr>
          <w:rFonts w:hint="eastAsia" w:ascii="方正小标宋简体" w:hAnsi="方正小标宋简体" w:eastAsia="方正小标宋简体" w:cs="方正小标宋简体"/>
          <w:color w:val="333333"/>
          <w:sz w:val="44"/>
          <w:szCs w:val="44"/>
          <w:shd w:val="clear" w:color="auto" w:fill="FFFFFF"/>
        </w:rPr>
        <w:t>202</w:t>
      </w:r>
      <w:r>
        <w:rPr>
          <w:rFonts w:hint="eastAsia" w:ascii="方正小标宋简体" w:hAnsi="方正小标宋简体" w:eastAsia="方正小标宋简体" w:cs="方正小标宋简体"/>
          <w:color w:val="333333"/>
          <w:sz w:val="44"/>
          <w:szCs w:val="44"/>
          <w:shd w:val="clear" w:color="auto" w:fill="FFFFFF"/>
          <w:lang w:val="en-US" w:eastAsia="zh-CN"/>
        </w:rPr>
        <w:t>1</w:t>
      </w:r>
      <w:r>
        <w:rPr>
          <w:rFonts w:hint="eastAsia" w:ascii="方正小标宋简体" w:hAnsi="方正小标宋简体" w:eastAsia="方正小标宋简体" w:cs="方正小标宋简体"/>
          <w:color w:val="333333"/>
          <w:sz w:val="44"/>
          <w:szCs w:val="44"/>
          <w:shd w:val="clear" w:color="auto" w:fill="FFFFFF"/>
        </w:rPr>
        <w:t>年政府信息</w:t>
      </w:r>
    </w:p>
    <w:p>
      <w:pPr>
        <w:pStyle w:val="7"/>
        <w:widowControl/>
        <w:shd w:val="clear" w:color="auto" w:fill="FFFFFF"/>
        <w:ind w:left="0" w:leftChars="0" w:right="0" w:rightChars="0" w:firstLine="0" w:firstLineChars="0"/>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color w:val="333333"/>
          <w:sz w:val="44"/>
          <w:szCs w:val="44"/>
          <w:shd w:val="clear" w:color="auto" w:fill="FFFFFF"/>
        </w:rPr>
        <w:t>公开工作年度报告</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《中华人民共和国政府信息公开条例》（以下简称《条例》）和《中华人民共和国政府信息公开工作年度报告格式》（国办公开办函〔2021〕30号）规定，现公布沂源县东里镇人民政府202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年度政府信息公开工作年度报告。</w:t>
      </w:r>
    </w:p>
    <w:p>
      <w:pPr>
        <w:pStyle w:val="10"/>
        <w:widowControl/>
        <w:shd w:val="clear" w:color="auto" w:fill="FFFFFF"/>
        <w:spacing w:line="560" w:lineRule="exact"/>
        <w:ind w:firstLine="640" w:firstLineChars="200"/>
        <w:jc w:val="both"/>
        <w:rPr>
          <w:rFonts w:hint="eastAsia" w:ascii="黑体" w:hAnsi="黑体" w:eastAsia="黑体" w:cs="黑体"/>
          <w:color w:val="333333"/>
          <w:sz w:val="32"/>
          <w:szCs w:val="32"/>
          <w:shd w:val="clear" w:color="auto" w:fill="FFFFFF"/>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分为</w:t>
      </w:r>
      <w:r>
        <w:rPr>
          <w:rFonts w:hint="eastAsia" w:ascii="仿宋_GB2312" w:hAnsi="仿宋_GB2312" w:eastAsia="仿宋_GB2312" w:cs="仿宋_GB2312"/>
          <w:sz w:val="32"/>
          <w:szCs w:val="32"/>
        </w:rPr>
        <w:t>总体情况、主动公开政府信息情况、收到和处理政府信息公开申请情况、政府信息公开行政复议</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行政诉讼情况、政府信息公开工作存在的主要问题及改进情况、其他需要报告的事项等六部分。报告</w:t>
      </w:r>
      <w:r>
        <w:rPr>
          <w:rFonts w:hint="eastAsia" w:ascii="仿宋_GB2312" w:hAnsi="仿宋_GB2312" w:eastAsia="仿宋_GB2312" w:cs="仿宋_GB2312"/>
          <w:sz w:val="32"/>
          <w:szCs w:val="32"/>
          <w:lang w:eastAsia="zh-CN"/>
        </w:rPr>
        <w:t>涉及的</w:t>
      </w:r>
      <w:r>
        <w:rPr>
          <w:rFonts w:hint="eastAsia" w:ascii="仿宋_GB2312" w:hAnsi="仿宋_GB2312" w:eastAsia="仿宋_GB2312" w:cs="仿宋_GB2312"/>
          <w:sz w:val="32"/>
          <w:szCs w:val="32"/>
        </w:rPr>
        <w:t>数据统计</w:t>
      </w:r>
      <w:r>
        <w:rPr>
          <w:rFonts w:hint="eastAsia" w:ascii="仿宋_GB2312" w:hAnsi="仿宋_GB2312" w:eastAsia="仿宋_GB2312" w:cs="仿宋_GB2312"/>
          <w:sz w:val="32"/>
          <w:szCs w:val="32"/>
          <w:lang w:eastAsia="zh-CN"/>
        </w:rPr>
        <w:t>期限为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年1月1日至12月31日。报告电子版可从沂源县人民政府</w:t>
      </w:r>
      <w:r>
        <w:rPr>
          <w:rFonts w:hint="eastAsia" w:ascii="仿宋_GB2312" w:hAnsi="仿宋_GB2312" w:eastAsia="仿宋_GB2312" w:cs="仿宋_GB2312"/>
          <w:sz w:val="32"/>
          <w:szCs w:val="32"/>
          <w:lang w:eastAsia="zh-CN"/>
        </w:rPr>
        <w:t>官方</w:t>
      </w:r>
      <w:r>
        <w:rPr>
          <w:rFonts w:hint="eastAsia" w:ascii="仿宋_GB2312" w:hAnsi="仿宋_GB2312" w:eastAsia="仿宋_GB2312" w:cs="仿宋_GB2312"/>
          <w:sz w:val="32"/>
          <w:szCs w:val="32"/>
        </w:rPr>
        <w:t>网站（www.yiyuan.gov.cn）下载。如对报告内容有疑问，请与沂源</w:t>
      </w:r>
      <w:r>
        <w:rPr>
          <w:rFonts w:hint="eastAsia" w:ascii="仿宋_GB2312" w:hAnsi="仿宋_GB2312" w:eastAsia="仿宋_GB2312" w:cs="仿宋_GB2312"/>
          <w:sz w:val="32"/>
          <w:szCs w:val="32"/>
          <w:lang w:val="en-US" w:eastAsia="zh-CN"/>
        </w:rPr>
        <w:t>东里镇人民政府</w:t>
      </w:r>
      <w:r>
        <w:rPr>
          <w:rFonts w:hint="eastAsia" w:ascii="仿宋_GB2312" w:hAnsi="仿宋_GB2312" w:eastAsia="仿宋_GB2312" w:cs="仿宋_GB2312"/>
          <w:sz w:val="32"/>
          <w:szCs w:val="32"/>
        </w:rPr>
        <w:t>联系（地址：沂源县</w:t>
      </w:r>
      <w:r>
        <w:rPr>
          <w:rFonts w:hint="eastAsia" w:ascii="仿宋_GB2312" w:hAnsi="仿宋_GB2312" w:eastAsia="仿宋_GB2312" w:cs="仿宋_GB2312"/>
          <w:sz w:val="32"/>
          <w:szCs w:val="32"/>
          <w:lang w:val="en-US" w:eastAsia="zh-CN"/>
        </w:rPr>
        <w:t>东里镇文山街25</w:t>
      </w:r>
      <w:r>
        <w:rPr>
          <w:rFonts w:hint="eastAsia" w:ascii="仿宋_GB2312" w:hAnsi="仿宋_GB2312" w:eastAsia="仿宋_GB2312" w:cs="仿宋_GB2312"/>
          <w:sz w:val="32"/>
          <w:szCs w:val="32"/>
        </w:rPr>
        <w:t>号；邮编：25610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；电话：0533-3</w:t>
      </w:r>
      <w:r>
        <w:rPr>
          <w:rFonts w:hint="eastAsia" w:ascii="仿宋_GB2312" w:hAnsi="仿宋_GB2312" w:eastAsia="仿宋_GB2312" w:cs="仿宋_GB2312"/>
          <w:sz w:val="32"/>
          <w:szCs w:val="32"/>
          <w:lang w:val="en-US" w:eastAsia="zh-CN"/>
        </w:rPr>
        <w:t>311011</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dl3311011</w:t>
      </w:r>
      <w:r>
        <w:rPr>
          <w:rFonts w:hint="eastAsia" w:ascii="仿宋_GB2312" w:hAnsi="仿宋_GB2312" w:eastAsia="仿宋_GB2312" w:cs="仿宋_GB2312"/>
          <w:sz w:val="32"/>
          <w:szCs w:val="32"/>
        </w:rPr>
        <w:t>@zb.shandong.cn）。</w:t>
      </w:r>
    </w:p>
    <w:p>
      <w:pPr>
        <w:pStyle w:val="7"/>
        <w:widowControl/>
        <w:numPr>
          <w:ilvl w:val="0"/>
          <w:numId w:val="1"/>
        </w:numPr>
        <w:shd w:val="clear" w:color="auto" w:fill="FFFFFF"/>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总体情况</w:t>
      </w:r>
    </w:p>
    <w:p>
      <w:pPr>
        <w:pStyle w:val="9"/>
        <w:spacing w:line="560" w:lineRule="exact"/>
        <w:ind w:firstLine="640" w:firstLineChars="200"/>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东里镇</w:t>
      </w:r>
      <w:r>
        <w:rPr>
          <w:rFonts w:hint="eastAsia" w:ascii="仿宋_GB2312" w:hAnsi="仿宋_GB2312" w:eastAsia="仿宋_GB2312" w:cs="仿宋_GB2312"/>
          <w:sz w:val="32"/>
          <w:szCs w:val="32"/>
        </w:rPr>
        <w:t>深入贯彻《中华人民共和国政府信息公开条例》，认真落实</w:t>
      </w:r>
      <w:r>
        <w:rPr>
          <w:rFonts w:hint="eastAsia" w:ascii="仿宋_GB2312" w:hAnsi="仿宋_GB2312" w:eastAsia="仿宋_GB2312" w:cs="仿宋_GB2312"/>
          <w:sz w:val="32"/>
          <w:szCs w:val="32"/>
          <w:lang w:eastAsia="zh-CN"/>
        </w:rPr>
        <w:t>《沂源县</w:t>
      </w:r>
      <w:r>
        <w:rPr>
          <w:rFonts w:hint="eastAsia" w:ascii="仿宋_GB2312" w:hAnsi="仿宋_GB2312" w:eastAsia="仿宋_GB2312" w:cs="仿宋_GB2312"/>
          <w:sz w:val="32"/>
          <w:szCs w:val="32"/>
        </w:rPr>
        <w:t>政务公开工作要点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部署的各项任务，深化重点领域信息公开，完善政务公开制度建设，努力提高信息公开的质量</w:t>
      </w:r>
      <w:r>
        <w:rPr>
          <w:rFonts w:hint="eastAsia" w:ascii="仿宋_GB2312" w:hAnsi="仿宋_GB2312" w:eastAsia="仿宋_GB2312" w:cs="仿宋_GB2312"/>
          <w:sz w:val="32"/>
          <w:szCs w:val="32"/>
          <w:lang w:eastAsia="zh-CN"/>
        </w:rPr>
        <w:t>。</w:t>
      </w:r>
    </w:p>
    <w:p>
      <w:pPr>
        <w:pStyle w:val="7"/>
        <w:keepNext w:val="0"/>
        <w:keepLines w:val="0"/>
        <w:pageBreakBefore w:val="0"/>
        <w:widowControl/>
        <w:numPr>
          <w:ilvl w:val="0"/>
          <w:numId w:val="2"/>
        </w:numPr>
        <w:shd w:val="clear" w:color="auto" w:fill="FFFFFF"/>
        <w:kinsoku/>
        <w:wordWrap/>
        <w:overflowPunct/>
        <w:topLinePunct w:val="0"/>
        <w:autoSpaceDE/>
        <w:autoSpaceDN/>
        <w:bidi w:val="0"/>
        <w:adjustRightInd/>
        <w:spacing w:line="500" w:lineRule="exact"/>
        <w:ind w:left="-10" w:leftChars="0" w:firstLine="640" w:firstLineChars="0"/>
        <w:jc w:val="both"/>
        <w:textAlignment w:val="auto"/>
        <w:outlineLvl w:val="9"/>
        <w:rPr>
          <w:rFonts w:hint="eastAsia" w:ascii="仿宋_GB2312" w:hAnsi="仿宋_GB2312" w:eastAsia="仿宋_GB2312" w:cs="仿宋_GB2312"/>
          <w:b/>
          <w:bCs/>
          <w:color w:val="333333"/>
          <w:sz w:val="32"/>
          <w:szCs w:val="32"/>
          <w:lang w:eastAsia="zh-CN"/>
        </w:rPr>
      </w:pPr>
      <w:r>
        <w:rPr>
          <w:rFonts w:hint="eastAsia" w:ascii="仿宋_GB2312" w:hAnsi="仿宋_GB2312" w:eastAsia="仿宋_GB2312" w:cs="仿宋_GB2312"/>
          <w:b/>
          <w:bCs/>
          <w:color w:val="333333"/>
          <w:sz w:val="32"/>
          <w:szCs w:val="32"/>
          <w:lang w:eastAsia="zh-CN"/>
        </w:rPr>
        <w:t>主动公开信息情况</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年1月1日至202</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年12月31日，</w:t>
      </w:r>
      <w:r>
        <w:rPr>
          <w:rFonts w:hint="eastAsia" w:ascii="仿宋_GB2312" w:hAnsi="仿宋_GB2312" w:eastAsia="仿宋_GB2312"/>
          <w:sz w:val="32"/>
          <w:szCs w:val="32"/>
          <w:lang w:val="en-US" w:eastAsia="zh-CN"/>
        </w:rPr>
        <w:t>沂源县东里镇人民政府</w:t>
      </w:r>
      <w:r>
        <w:rPr>
          <w:rFonts w:hint="eastAsia" w:ascii="仿宋_GB2312" w:hAnsi="仿宋_GB2312" w:eastAsia="仿宋_GB2312"/>
          <w:sz w:val="32"/>
          <w:szCs w:val="32"/>
        </w:rPr>
        <w:t>主要通过</w:t>
      </w:r>
      <w:r>
        <w:rPr>
          <w:rFonts w:hint="eastAsia" w:ascii="仿宋_GB2312" w:hAnsi="仿宋_GB2312" w:eastAsia="仿宋_GB2312" w:cs="仿宋_GB2312"/>
          <w:sz w:val="32"/>
          <w:szCs w:val="32"/>
        </w:rPr>
        <w:t>沂源县人民政府门户网站</w:t>
      </w:r>
      <w:r>
        <w:rPr>
          <w:rFonts w:hint="eastAsia" w:ascii="仿宋_GB2312" w:hAnsi="仿宋_GB2312" w:eastAsia="仿宋_GB2312"/>
          <w:sz w:val="32"/>
          <w:szCs w:val="32"/>
        </w:rPr>
        <w:t>，以网上公开</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jc w:val="both"/>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rPr>
        <w:t>发布的形式，共制作和主动发布政府信</w:t>
      </w:r>
      <w:r>
        <w:rPr>
          <w:rFonts w:hint="eastAsia" w:ascii="仿宋_GB2312" w:hAnsi="仿宋_GB2312" w:eastAsia="仿宋_GB2312"/>
          <w:color w:val="auto"/>
          <w:sz w:val="32"/>
          <w:szCs w:val="32"/>
        </w:rPr>
        <w:t>息</w:t>
      </w:r>
      <w:r>
        <w:rPr>
          <w:rFonts w:hint="eastAsia" w:ascii="仿宋_GB2312" w:hAnsi="仿宋_GB2312" w:eastAsia="仿宋_GB2312"/>
          <w:color w:val="auto"/>
          <w:sz w:val="32"/>
          <w:szCs w:val="32"/>
          <w:lang w:val="en-US" w:eastAsia="zh-CN"/>
        </w:rPr>
        <w:t>77</w:t>
      </w:r>
      <w:r>
        <w:rPr>
          <w:rFonts w:hint="eastAsia" w:ascii="仿宋_GB2312" w:hAnsi="仿宋_GB2312" w:eastAsia="仿宋_GB2312"/>
          <w:sz w:val="32"/>
          <w:szCs w:val="32"/>
        </w:rPr>
        <w:t>条，</w:t>
      </w:r>
      <w:r>
        <w:rPr>
          <w:rFonts w:hint="eastAsia" w:ascii="仿宋_GB2312" w:hAnsi="仿宋_GB2312" w:eastAsia="仿宋_GB2312"/>
          <w:sz w:val="32"/>
          <w:szCs w:val="32"/>
          <w:lang w:eastAsia="zh-CN"/>
        </w:rPr>
        <w:t>主要包含机构职能和业务工作等方面。</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jc w:val="both"/>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drawing>
          <wp:anchor distT="0" distB="0" distL="114935" distR="114935" simplePos="0" relativeHeight="251659264" behindDoc="1" locked="0" layoutInCell="1" allowOverlap="1">
            <wp:simplePos x="0" y="0"/>
            <wp:positionH relativeFrom="column">
              <wp:posOffset>3423920</wp:posOffset>
            </wp:positionH>
            <wp:positionV relativeFrom="paragraph">
              <wp:posOffset>5462270</wp:posOffset>
            </wp:positionV>
            <wp:extent cx="1699895" cy="2539365"/>
            <wp:effectExtent l="0" t="0" r="14605" b="13335"/>
            <wp:wrapTight wrapText="bothSides">
              <wp:wrapPolygon>
                <wp:start x="0" y="0"/>
                <wp:lineTo x="0" y="21389"/>
                <wp:lineTo x="21301" y="21389"/>
                <wp:lineTo x="21301" y="0"/>
                <wp:lineTo x="0" y="0"/>
              </wp:wrapPolygon>
            </wp:wrapTight>
            <wp:docPr id="2" name="图片 2" descr="微信图片_2022012819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128195313"/>
                    <pic:cNvPicPr>
                      <a:picLocks noChangeAspect="1"/>
                    </pic:cNvPicPr>
                  </pic:nvPicPr>
                  <pic:blipFill>
                    <a:blip r:embed="rId5"/>
                    <a:srcRect b="26106"/>
                    <a:stretch>
                      <a:fillRect/>
                    </a:stretch>
                  </pic:blipFill>
                  <pic:spPr>
                    <a:xfrm>
                      <a:off x="0" y="0"/>
                      <a:ext cx="1699895" cy="2539365"/>
                    </a:xfrm>
                    <a:prstGeom prst="rect">
                      <a:avLst/>
                    </a:prstGeom>
                  </pic:spPr>
                </pic:pic>
              </a:graphicData>
            </a:graphic>
          </wp:anchor>
        </w:drawing>
      </w:r>
      <w:r>
        <w:rPr>
          <w:rFonts w:hint="eastAsia" w:ascii="仿宋_GB2312" w:hAnsi="仿宋_GB2312" w:eastAsia="仿宋_GB2312"/>
          <w:sz w:val="32"/>
          <w:szCs w:val="32"/>
          <w:lang w:eastAsia="zh-CN"/>
        </w:rPr>
        <w:drawing>
          <wp:anchor distT="0" distB="0" distL="114935" distR="114935" simplePos="0" relativeHeight="251661312" behindDoc="0" locked="0" layoutInCell="1" allowOverlap="1">
            <wp:simplePos x="0" y="0"/>
            <wp:positionH relativeFrom="column">
              <wp:posOffset>152400</wp:posOffset>
            </wp:positionH>
            <wp:positionV relativeFrom="paragraph">
              <wp:posOffset>2927985</wp:posOffset>
            </wp:positionV>
            <wp:extent cx="4841875" cy="2218055"/>
            <wp:effectExtent l="0" t="0" r="15875" b="10795"/>
            <wp:wrapTopAndBottom/>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6"/>
                    <a:stretch>
                      <a:fillRect/>
                    </a:stretch>
                  </pic:blipFill>
                  <pic:spPr>
                    <a:xfrm>
                      <a:off x="0" y="0"/>
                      <a:ext cx="4841875" cy="2218055"/>
                    </a:xfrm>
                    <a:prstGeom prst="rect">
                      <a:avLst/>
                    </a:prstGeom>
                  </pic:spPr>
                </pic:pic>
              </a:graphicData>
            </a:graphic>
          </wp:anchor>
        </w:drawing>
      </w:r>
      <w:r>
        <w:rPr>
          <w:rFonts w:hint="eastAsia" w:ascii="仿宋_GB2312" w:hAnsi="仿宋_GB2312" w:eastAsia="仿宋_GB2312"/>
          <w:sz w:val="32"/>
          <w:szCs w:val="32"/>
          <w:lang w:eastAsia="zh-CN"/>
        </w:rPr>
        <w:drawing>
          <wp:anchor distT="0" distB="0" distL="114935" distR="114935" simplePos="0" relativeHeight="251660288" behindDoc="0" locked="0" layoutInCell="1" allowOverlap="1">
            <wp:simplePos x="0" y="0"/>
            <wp:positionH relativeFrom="column">
              <wp:posOffset>196850</wp:posOffset>
            </wp:positionH>
            <wp:positionV relativeFrom="paragraph">
              <wp:posOffset>76200</wp:posOffset>
            </wp:positionV>
            <wp:extent cx="4785995" cy="2669540"/>
            <wp:effectExtent l="0" t="0" r="14605" b="16510"/>
            <wp:wrapSquare wrapText="bothSides"/>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7"/>
                    <a:stretch>
                      <a:fillRect/>
                    </a:stretch>
                  </pic:blipFill>
                  <pic:spPr>
                    <a:xfrm>
                      <a:off x="0" y="0"/>
                      <a:ext cx="4785995" cy="2669540"/>
                    </a:xfrm>
                    <a:prstGeom prst="rect">
                      <a:avLst/>
                    </a:prstGeom>
                  </pic:spPr>
                </pic:pic>
              </a:graphicData>
            </a:graphic>
          </wp:anchor>
        </w:drawing>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eastAsia" w:ascii="仿宋_GB2312" w:hAnsi="仿宋_GB2312" w:eastAsia="仿宋_GB2312"/>
          <w:sz w:val="32"/>
          <w:szCs w:val="32"/>
          <w:lang w:eastAsia="zh-CN"/>
        </w:rPr>
      </w:pPr>
    </w:p>
    <w:p>
      <w:pPr>
        <w:pStyle w:val="7"/>
        <w:keepNext w:val="0"/>
        <w:keepLines w:val="0"/>
        <w:pageBreakBefore w:val="0"/>
        <w:widowControl/>
        <w:numPr>
          <w:numId w:val="0"/>
        </w:numPr>
        <w:shd w:val="clear" w:color="auto" w:fill="FFFFFF"/>
        <w:kinsoku/>
        <w:wordWrap/>
        <w:overflowPunct/>
        <w:topLinePunct w:val="0"/>
        <w:autoSpaceDE/>
        <w:autoSpaceDN/>
        <w:bidi w:val="0"/>
        <w:adjustRightInd/>
        <w:spacing w:line="500" w:lineRule="exact"/>
        <w:jc w:val="both"/>
        <w:textAlignment w:val="auto"/>
        <w:outlineLvl w:val="9"/>
        <w:rPr>
          <w:rFonts w:hint="eastAsia" w:ascii="仿宋_GB2312" w:hAnsi="仿宋_GB2312" w:eastAsia="仿宋_GB2312"/>
          <w:sz w:val="32"/>
          <w:szCs w:val="32"/>
        </w:rPr>
      </w:pPr>
    </w:p>
    <w:p>
      <w:pPr>
        <w:pStyle w:val="7"/>
        <w:keepNext w:val="0"/>
        <w:keepLines w:val="0"/>
        <w:pageBreakBefore w:val="0"/>
        <w:widowControl/>
        <w:numPr>
          <w:numId w:val="0"/>
        </w:numPr>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新媒体信息发布工作取得较大进步，微信公众号</w:t>
      </w:r>
      <w:r>
        <w:rPr>
          <w:rFonts w:hint="eastAsia" w:ascii="仿宋_GB2312" w:hAnsi="仿宋_GB2312" w:eastAsia="仿宋_GB2312"/>
          <w:sz w:val="32"/>
          <w:szCs w:val="32"/>
          <w:lang w:eastAsia="zh-CN"/>
        </w:rPr>
        <w:t>“凤驿小镇”</w:t>
      </w:r>
      <w:r>
        <w:rPr>
          <w:rFonts w:hint="eastAsia" w:ascii="仿宋_GB2312" w:hAnsi="仿宋_GB2312" w:eastAsia="仿宋_GB2312"/>
          <w:sz w:val="32"/>
          <w:szCs w:val="32"/>
        </w:rPr>
        <w:t>共发布各类信息</w:t>
      </w:r>
      <w:r>
        <w:rPr>
          <w:rFonts w:hint="eastAsia" w:ascii="仿宋_GB2312" w:hAnsi="仿宋_GB2312" w:eastAsia="仿宋_GB2312"/>
          <w:sz w:val="32"/>
          <w:szCs w:val="32"/>
          <w:lang w:val="en-US" w:eastAsia="zh-CN"/>
        </w:rPr>
        <w:t>380余篇</w:t>
      </w:r>
      <w:r>
        <w:rPr>
          <w:rFonts w:hint="eastAsia" w:ascii="仿宋_GB2312" w:hAnsi="仿宋_GB2312" w:eastAsia="仿宋_GB2312"/>
          <w:sz w:val="32"/>
          <w:szCs w:val="32"/>
        </w:rPr>
        <w:t>，图文并茂的阅读形式</w:t>
      </w:r>
      <w:r>
        <w:rPr>
          <w:rFonts w:hint="eastAsia" w:ascii="仿宋_GB2312" w:hAnsi="仿宋_GB2312" w:eastAsia="仿宋_GB2312"/>
          <w:sz w:val="32"/>
          <w:szCs w:val="32"/>
          <w:lang w:eastAsia="zh-CN"/>
        </w:rPr>
        <w:t>吸引群众</w:t>
      </w:r>
      <w:r>
        <w:rPr>
          <w:rFonts w:hint="eastAsia" w:ascii="仿宋_GB2312" w:hAnsi="仿宋_GB2312" w:eastAsia="仿宋_GB2312"/>
          <w:sz w:val="32"/>
          <w:szCs w:val="32"/>
        </w:rPr>
        <w:t>阅读，宣传效果较好，各类文章累计</w:t>
      </w:r>
      <w:r>
        <w:rPr>
          <w:rFonts w:hint="eastAsia" w:ascii="仿宋_GB2312" w:hAnsi="仿宋_GB2312" w:eastAsia="仿宋_GB2312"/>
          <w:sz w:val="32"/>
          <w:szCs w:val="32"/>
          <w:lang w:eastAsia="zh-CN"/>
        </w:rPr>
        <w:t>阅读</w:t>
      </w:r>
      <w:r>
        <w:rPr>
          <w:rFonts w:hint="eastAsia" w:ascii="仿宋_GB2312" w:hAnsi="仿宋_GB2312" w:eastAsia="仿宋_GB2312"/>
          <w:sz w:val="32"/>
          <w:szCs w:val="32"/>
          <w:lang w:val="en-US" w:eastAsia="zh-CN"/>
        </w:rPr>
        <w:t>400</w:t>
      </w:r>
      <w:r>
        <w:rPr>
          <w:rFonts w:hint="eastAsia" w:ascii="仿宋_GB2312" w:hAnsi="仿宋_GB2312" w:eastAsia="仿宋_GB2312"/>
          <w:sz w:val="32"/>
          <w:szCs w:val="32"/>
        </w:rPr>
        <w:t>万余次。</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eastAsia" w:ascii="仿宋_GB2312" w:hAnsi="仿宋_GB2312" w:eastAsia="仿宋_GB2312"/>
          <w:sz w:val="32"/>
          <w:szCs w:val="32"/>
        </w:rPr>
      </w:pP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rPr>
        <w:t>3.202</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沂源县东里镇人民政府</w:t>
      </w:r>
      <w:r>
        <w:rPr>
          <w:rFonts w:hint="eastAsia" w:ascii="仿宋_GB2312" w:hAnsi="仿宋_GB2312" w:eastAsia="仿宋_GB2312"/>
          <w:sz w:val="32"/>
          <w:szCs w:val="32"/>
        </w:rPr>
        <w:t>制定发布规范性文件0件，清理规范性文件数0件，现行有效的规范性文件0件。</w:t>
      </w:r>
    </w:p>
    <w:p>
      <w:pPr>
        <w:pStyle w:val="7"/>
        <w:keepNext w:val="0"/>
        <w:keepLines w:val="0"/>
        <w:pageBreakBefore w:val="0"/>
        <w:widowControl/>
        <w:numPr>
          <w:ilvl w:val="0"/>
          <w:numId w:val="2"/>
        </w:numPr>
        <w:shd w:val="clear" w:color="auto" w:fill="FFFFFF"/>
        <w:kinsoku/>
        <w:wordWrap/>
        <w:overflowPunct/>
        <w:topLinePunct w:val="0"/>
        <w:autoSpaceDE/>
        <w:autoSpaceDN/>
        <w:bidi w:val="0"/>
        <w:adjustRightInd/>
        <w:spacing w:line="500" w:lineRule="exact"/>
        <w:ind w:left="-10" w:leftChars="0" w:firstLine="640" w:firstLineChars="0"/>
        <w:jc w:val="both"/>
        <w:textAlignment w:val="auto"/>
        <w:outlineLvl w:val="9"/>
        <w:rPr>
          <w:rFonts w:hint="eastAsia" w:ascii="仿宋_GB2312" w:hAnsi="仿宋_GB2312" w:eastAsia="仿宋_GB2312"/>
          <w:b/>
          <w:bCs/>
          <w:sz w:val="32"/>
          <w:szCs w:val="32"/>
          <w:lang w:eastAsia="zh-CN"/>
        </w:rPr>
      </w:pPr>
      <w:r>
        <w:rPr>
          <w:rFonts w:hint="eastAsia" w:ascii="仿宋_GB2312" w:hAnsi="仿宋_GB2312" w:eastAsia="仿宋_GB2312" w:cs="仿宋_GB2312"/>
          <w:b/>
          <w:bCs/>
          <w:color w:val="333333"/>
          <w:sz w:val="32"/>
          <w:szCs w:val="32"/>
          <w:lang w:eastAsia="zh-CN"/>
        </w:rPr>
        <w:t>依申请公开信息情况</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eastAsia" w:ascii="仿宋_GB2312" w:hAnsi="仿宋_GB2312" w:eastAsia="仿宋_GB2312"/>
          <w:sz w:val="32"/>
          <w:szCs w:val="32"/>
          <w:u w:val="none" w:color="auto"/>
          <w:lang w:val="en-US" w:eastAsia="zh-CN"/>
        </w:rPr>
      </w:pPr>
      <w:r>
        <w:rPr>
          <w:rFonts w:hint="eastAsia" w:ascii="仿宋_GB2312" w:hAnsi="仿宋_GB2312" w:eastAsia="仿宋_GB2312"/>
          <w:sz w:val="32"/>
          <w:szCs w:val="32"/>
          <w:lang w:val="en-US" w:eastAsia="zh-CN"/>
        </w:rPr>
        <w:t>2021年1月1日至2021年12月31日，东里镇未收到通过受理电话、网络平台、来信等方式提出的相关政府信息公开申请，未收取涉及政府信息公开申请的任何费用。</w:t>
      </w:r>
    </w:p>
    <w:p>
      <w:pPr>
        <w:pStyle w:val="7"/>
        <w:keepNext w:val="0"/>
        <w:keepLines w:val="0"/>
        <w:pageBreakBefore w:val="0"/>
        <w:widowControl/>
        <w:numPr>
          <w:ilvl w:val="0"/>
          <w:numId w:val="2"/>
        </w:numPr>
        <w:shd w:val="clear" w:color="auto" w:fill="FFFFFF"/>
        <w:kinsoku/>
        <w:wordWrap/>
        <w:overflowPunct/>
        <w:topLinePunct w:val="0"/>
        <w:autoSpaceDE/>
        <w:autoSpaceDN/>
        <w:bidi w:val="0"/>
        <w:adjustRightInd/>
        <w:spacing w:line="500" w:lineRule="exact"/>
        <w:ind w:left="-10" w:leftChars="0" w:firstLine="640" w:firstLineChars="0"/>
        <w:jc w:val="both"/>
        <w:textAlignment w:val="auto"/>
        <w:outlineLvl w:val="9"/>
        <w:rPr>
          <w:rFonts w:hint="eastAsia" w:ascii="仿宋_GB2312" w:hAnsi="仿宋_GB2312" w:eastAsia="仿宋_GB2312"/>
          <w:b/>
          <w:bCs/>
          <w:sz w:val="32"/>
          <w:szCs w:val="32"/>
          <w:lang w:eastAsia="zh-CN"/>
        </w:rPr>
      </w:pPr>
      <w:r>
        <w:rPr>
          <w:rFonts w:hint="eastAsia" w:ascii="仿宋_GB2312" w:hAnsi="仿宋_GB2312" w:eastAsia="仿宋_GB2312" w:cs="仿宋_GB2312"/>
          <w:b/>
          <w:bCs/>
          <w:color w:val="333333"/>
          <w:sz w:val="32"/>
          <w:szCs w:val="32"/>
          <w:lang w:eastAsia="zh-CN"/>
        </w:rPr>
        <w:t>政府信息管理情况</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 xml:space="preserve">     一是加强政务公开组织领导，由主要领导亲自抓，分管领导具体抓，指定专人具体负责日常工作机制; 建立健全政府信息动态调整机制，对领导信息、履职依据、机构职能等事项根据实际情况及时动态调整。</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二是完善保密制度，健全审查机制，规范公开的收集、审查、发布程序，切实做好信息公开保密审查。对拟公开的信息，各办公室认真把关，办公室严格审核，经领导审定后发布，保证政府信息公开不得危及国家安全、公共安全、经济安全和社会稳定。</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三是继续推进重点领域信息公开，依法依规做好政务公开工作，积极通过政府门户网站，发布公开信息，答复公众询问，回应社会关切，为群众提供“一站式”信息公开服务。</w:t>
      </w:r>
    </w:p>
    <w:p>
      <w:pPr>
        <w:pStyle w:val="7"/>
        <w:keepNext w:val="0"/>
        <w:keepLines w:val="0"/>
        <w:pageBreakBefore w:val="0"/>
        <w:widowControl/>
        <w:numPr>
          <w:ilvl w:val="0"/>
          <w:numId w:val="2"/>
        </w:numPr>
        <w:shd w:val="clear" w:color="auto" w:fill="FFFFFF"/>
        <w:kinsoku/>
        <w:wordWrap/>
        <w:overflowPunct/>
        <w:topLinePunct w:val="0"/>
        <w:autoSpaceDE/>
        <w:autoSpaceDN/>
        <w:bidi w:val="0"/>
        <w:adjustRightInd/>
        <w:spacing w:line="500" w:lineRule="exact"/>
        <w:ind w:left="-10" w:leftChars="0" w:firstLine="640" w:firstLineChars="0"/>
        <w:jc w:val="both"/>
        <w:textAlignment w:val="auto"/>
        <w:outlineLvl w:val="9"/>
        <w:rPr>
          <w:rFonts w:hint="eastAsia" w:ascii="仿宋_GB2312" w:hAnsi="仿宋_GB2312" w:eastAsia="仿宋_GB2312"/>
          <w:b/>
          <w:bCs/>
          <w:sz w:val="32"/>
          <w:szCs w:val="32"/>
          <w:lang w:eastAsia="zh-CN"/>
        </w:rPr>
      </w:pPr>
      <w:r>
        <w:rPr>
          <w:rFonts w:hint="eastAsia" w:ascii="仿宋_GB2312" w:hAnsi="仿宋_GB2312" w:eastAsia="仿宋_GB2312" w:cs="仿宋_GB2312"/>
          <w:b/>
          <w:bCs/>
          <w:color w:val="333333"/>
          <w:sz w:val="32"/>
          <w:szCs w:val="32"/>
          <w:lang w:eastAsia="zh-CN"/>
        </w:rPr>
        <w:t>平台建设情况</w:t>
      </w:r>
    </w:p>
    <w:p>
      <w:pPr>
        <w:pStyle w:val="7"/>
        <w:keepNext w:val="0"/>
        <w:keepLines w:val="0"/>
        <w:pageBreakBefore w:val="0"/>
        <w:widowControl/>
        <w:shd w:val="clear" w:color="auto" w:fill="FFFFFF"/>
        <w:kinsoku/>
        <w:wordWrap/>
        <w:overflowPunct/>
        <w:topLinePunct w:val="0"/>
        <w:autoSpaceDE/>
        <w:autoSpaceDN/>
        <w:bidi w:val="0"/>
        <w:adjustRightInd/>
        <w:spacing w:line="500" w:lineRule="exact"/>
        <w:ind w:firstLine="640" w:firstLineChars="0"/>
        <w:jc w:val="both"/>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充分发挥沂源县人民政府网站的平台作用，</w:t>
      </w:r>
      <w:r>
        <w:rPr>
          <w:rFonts w:hint="eastAsia" w:ascii="仿宋_GB2312" w:hAnsi="仿宋_GB2312" w:eastAsia="仿宋_GB2312"/>
          <w:sz w:val="32"/>
          <w:szCs w:val="32"/>
          <w:lang w:val="en-US" w:eastAsia="zh-CN"/>
        </w:rPr>
        <w:t>在县政府和大数据局的指导下增设政务公开项目，政务公开目录、内容等更加健全完善，</w:t>
      </w:r>
      <w:r>
        <w:rPr>
          <w:rFonts w:hint="eastAsia" w:ascii="仿宋_GB2312" w:hAnsi="仿宋_GB2312" w:eastAsia="仿宋_GB2312"/>
          <w:sz w:val="32"/>
          <w:szCs w:val="32"/>
          <w:lang w:eastAsia="zh-CN"/>
        </w:rPr>
        <w:t>及时发布完善机构职能、领导分工、政府文件、部门文件、重点领域公开等信息，确保应当公开的内容及时公开。在镇便民服务大厅设置政务公开专区，专区配备led高清显示屏，政务公开自助查阅机，资料阅览架，及信息公开服务展示，自助办理，查阅获取等多功能于一体，为公众提供导购式指引式政府信息服务。</w:t>
      </w:r>
    </w:p>
    <w:p>
      <w:pPr>
        <w:pStyle w:val="7"/>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left="-10" w:leftChars="0" w:firstLine="640" w:firstLineChars="0"/>
        <w:jc w:val="both"/>
        <w:textAlignment w:val="auto"/>
        <w:outlineLvl w:val="9"/>
        <w:rPr>
          <w:rFonts w:hint="eastAsia" w:ascii="仿宋_GB2312" w:hAnsi="仿宋_GB2312" w:eastAsia="仿宋_GB2312"/>
          <w:b/>
          <w:bCs/>
          <w:sz w:val="32"/>
          <w:szCs w:val="32"/>
          <w:lang w:eastAsia="zh-CN"/>
        </w:rPr>
      </w:pPr>
      <w:r>
        <w:rPr>
          <w:rFonts w:hint="eastAsia" w:ascii="仿宋_GB2312" w:hAnsi="仿宋_GB2312" w:eastAsia="仿宋_GB2312" w:cs="仿宋_GB2312"/>
          <w:b/>
          <w:bCs/>
          <w:color w:val="333333"/>
          <w:sz w:val="32"/>
          <w:szCs w:val="32"/>
          <w:lang w:eastAsia="zh-CN"/>
        </w:rPr>
        <w:t>监督保障情况</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640"/>
        <w:jc w:val="both"/>
        <w:textAlignment w:val="auto"/>
        <w:outlineLvl w:val="9"/>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建立政府信息监督保障机制，遵循“谁公开，谁审查，谁负责”的原则，保证政府信息公开的安全。政务公开领导小组以镇政府主要负责人为组长，班子成员为副组长，相关部门负责人为成员，领导小组下设办公室，具体负责组织实施领导小组决定事项，研究提出信息发布规划和有关工作方案，安排2名专职人员负责信息公开发布工作。2021年我镇组织2次政务公开业务培训，培训对象为各部门、站所业务骨干，有效提升了我镇机关干部政务公开意识和能力。</w:t>
      </w:r>
    </w:p>
    <w:p>
      <w:pPr>
        <w:pStyle w:val="7"/>
        <w:keepNext w:val="0"/>
        <w:keepLines w:val="0"/>
        <w:pageBreakBefore w:val="0"/>
        <w:widowControl/>
        <w:numPr>
          <w:ilvl w:val="0"/>
          <w:numId w:val="3"/>
        </w:numPr>
        <w:shd w:val="clear" w:color="auto" w:fill="FFFFFF"/>
        <w:kinsoku/>
        <w:wordWrap/>
        <w:overflowPunct/>
        <w:topLinePunct w:val="0"/>
        <w:autoSpaceDE/>
        <w:autoSpaceDN/>
        <w:bidi w:val="0"/>
        <w:adjustRightInd/>
        <w:spacing w:after="240" w:afterLines="0" w:afterAutospacing="0" w:line="500" w:lineRule="exact"/>
        <w:ind w:firstLine="640" w:firstLineChars="0"/>
        <w:jc w:val="both"/>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主动公开政府信息情况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jc w:val="center"/>
        </w:trPr>
        <w:tc>
          <w:tcPr>
            <w:tcW w:w="8234" w:type="dxa"/>
            <w:gridSpan w:val="4"/>
            <w:tcBorders>
              <w:bottom w:val="single" w:color="000000" w:sz="2" w:space="0"/>
            </w:tcBorders>
            <w:noWrap w:val="0"/>
            <w:vAlign w:val="center"/>
          </w:tcPr>
          <w:p>
            <w:pPr>
              <w:jc w:val="center"/>
              <w:rPr>
                <w:b/>
                <w:bCs/>
                <w:sz w:val="21"/>
                <w:szCs w:val="21"/>
              </w:rPr>
            </w:pPr>
            <w:r>
              <w:rPr>
                <w:rFonts w:hint="eastAsia" w:ascii="黑体" w:hAnsi="黑体" w:eastAsia="黑体" w:cs="黑体"/>
                <w:b/>
                <w:bCs/>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bCs/>
                <w:sz w:val="21"/>
                <w:szCs w:val="21"/>
                <w:lang w:eastAsia="zh-CN"/>
              </w:rPr>
            </w:pPr>
            <w:r>
              <w:rPr>
                <w:rFonts w:hint="eastAsia" w:ascii="宋体" w:hAnsi="宋体" w:eastAsia="宋体" w:cs="宋体"/>
                <w:bCs/>
                <w:sz w:val="21"/>
                <w:szCs w:val="21"/>
              </w:rPr>
              <w:t>本年</w:t>
            </w:r>
            <w:r>
              <w:rPr>
                <w:rFonts w:hint="eastAsia" w:ascii="宋体" w:hAnsi="宋体" w:cs="宋体"/>
                <w:bCs/>
                <w:sz w:val="21"/>
                <w:szCs w:val="21"/>
                <w:lang w:eastAsia="zh-CN"/>
              </w:rPr>
              <w:t>制发件数</w:t>
            </w:r>
          </w:p>
        </w:tc>
        <w:tc>
          <w:tcPr>
            <w:tcW w:w="188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bCs/>
                <w:sz w:val="21"/>
                <w:szCs w:val="21"/>
                <w:lang w:eastAsia="zh-CN"/>
              </w:rPr>
            </w:pPr>
            <w:r>
              <w:rPr>
                <w:rFonts w:hint="eastAsia" w:ascii="宋体" w:hAnsi="宋体" w:eastAsia="宋体" w:cs="宋体"/>
                <w:bCs/>
                <w:sz w:val="21"/>
                <w:szCs w:val="21"/>
              </w:rPr>
              <w:t>本年</w:t>
            </w:r>
            <w:r>
              <w:rPr>
                <w:rFonts w:hint="eastAsia" w:ascii="宋体" w:hAnsi="宋体" w:cs="宋体"/>
                <w:bCs/>
                <w:sz w:val="21"/>
                <w:szCs w:val="21"/>
                <w:lang w:eastAsia="zh-CN"/>
              </w:rPr>
              <w:t>废止件数</w:t>
            </w:r>
          </w:p>
        </w:tc>
        <w:tc>
          <w:tcPr>
            <w:tcW w:w="1995" w:type="dxa"/>
            <w:tcBorders>
              <w:top w:val="single" w:color="000000" w:sz="2" w:space="0"/>
              <w:left w:val="single" w:color="000000" w:sz="2" w:space="0"/>
              <w:bottom w:val="single" w:color="000000" w:sz="2" w:space="0"/>
            </w:tcBorders>
            <w:noWrap w:val="0"/>
            <w:vAlign w:val="center"/>
          </w:tcPr>
          <w:p>
            <w:pPr>
              <w:jc w:val="cente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现行有效件数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规章</w:t>
            </w:r>
          </w:p>
        </w:tc>
        <w:tc>
          <w:tcPr>
            <w:tcW w:w="1842"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1995" w:type="dxa"/>
            <w:tcBorders>
              <w:top w:val="single" w:color="000000" w:sz="2" w:space="0"/>
              <w:left w:val="single" w:color="000000" w:sz="2" w:space="0"/>
              <w:bottom w:val="single" w:color="000000" w:sz="2" w:space="0"/>
            </w:tcBorders>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规范性文件</w:t>
            </w:r>
          </w:p>
        </w:tc>
        <w:tc>
          <w:tcPr>
            <w:tcW w:w="1842"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1995" w:type="dxa"/>
            <w:tcBorders>
              <w:top w:val="single" w:color="000000" w:sz="2" w:space="0"/>
              <w:left w:val="single" w:color="000000" w:sz="2" w:space="0"/>
              <w:bottom w:val="single" w:color="000000" w:sz="2" w:space="0"/>
            </w:tcBorders>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234" w:type="dxa"/>
            <w:gridSpan w:val="4"/>
            <w:tcBorders>
              <w:top w:val="single" w:color="000000" w:sz="2" w:space="0"/>
              <w:bottom w:val="single" w:color="000000" w:sz="2" w:space="0"/>
            </w:tcBorders>
            <w:noWrap w:val="0"/>
            <w:vAlign w:val="center"/>
          </w:tcPr>
          <w:p>
            <w:pPr>
              <w:jc w:val="center"/>
              <w:rPr>
                <w:rFonts w:ascii="黑体" w:hAnsi="黑体" w:eastAsia="黑体" w:cs="黑体"/>
                <w:b/>
                <w:bCs/>
                <w:sz w:val="21"/>
                <w:szCs w:val="21"/>
              </w:rPr>
            </w:pPr>
            <w:r>
              <w:rPr>
                <w:rFonts w:hint="eastAsia" w:ascii="黑体" w:hAnsi="黑体" w:eastAsia="黑体" w:cs="黑体"/>
                <w:b/>
                <w:bCs/>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信息内容</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ascii="宋体" w:hAnsi="宋体" w:eastAsia="宋体" w:cs="宋体"/>
                <w:bCs/>
                <w:sz w:val="21"/>
                <w:szCs w:val="21"/>
              </w:rPr>
            </w:pPr>
            <w:r>
              <w:rPr>
                <w:rFonts w:hint="eastAsia" w:ascii="宋体" w:hAnsi="宋体" w:cs="宋体"/>
                <w:bCs/>
                <w:sz w:val="21"/>
                <w:szCs w:val="21"/>
                <w:lang w:eastAsia="zh-CN"/>
              </w:rPr>
              <w:t>本年</w:t>
            </w:r>
            <w:r>
              <w:rPr>
                <w:rFonts w:hint="eastAsia" w:ascii="宋体" w:hAnsi="宋体" w:eastAsia="宋体" w:cs="宋体"/>
                <w:bCs/>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行政许可</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8234" w:type="dxa"/>
            <w:gridSpan w:val="4"/>
            <w:tcBorders>
              <w:top w:val="single" w:color="000000" w:sz="2" w:space="0"/>
              <w:bottom w:val="single" w:color="000000" w:sz="2" w:space="0"/>
            </w:tcBorders>
            <w:noWrap w:val="0"/>
            <w:vAlign w:val="center"/>
          </w:tcPr>
          <w:p>
            <w:pPr>
              <w:jc w:val="center"/>
              <w:rPr>
                <w:rFonts w:ascii="黑体" w:hAnsi="黑体" w:eastAsia="黑体" w:cs="黑体"/>
                <w:b/>
                <w:bCs/>
                <w:sz w:val="21"/>
                <w:szCs w:val="21"/>
              </w:rPr>
            </w:pPr>
            <w:r>
              <w:rPr>
                <w:rFonts w:hint="eastAsia" w:ascii="黑体" w:hAnsi="黑体" w:eastAsia="黑体" w:cs="黑体"/>
                <w:b/>
                <w:bCs/>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信息内容</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ascii="宋体" w:hAnsi="宋体" w:eastAsia="宋体" w:cs="宋体"/>
                <w:bCs/>
                <w:sz w:val="21"/>
                <w:szCs w:val="21"/>
              </w:rPr>
            </w:pPr>
            <w:r>
              <w:rPr>
                <w:rFonts w:hint="eastAsia" w:ascii="宋体" w:hAnsi="宋体" w:cs="宋体"/>
                <w:bCs/>
                <w:sz w:val="21"/>
                <w:szCs w:val="21"/>
                <w:lang w:eastAsia="zh-CN"/>
              </w:rPr>
              <w:t>本年处理决定</w:t>
            </w:r>
            <w:r>
              <w:rPr>
                <w:rFonts w:hint="eastAsia" w:ascii="宋体" w:hAnsi="宋体" w:eastAsia="宋体" w:cs="宋体"/>
                <w:bCs/>
                <w:sz w:val="21"/>
                <w:szCs w:val="21"/>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行政处罚</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行政强制</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234" w:type="dxa"/>
            <w:gridSpan w:val="4"/>
            <w:tcBorders>
              <w:top w:val="single" w:color="000000" w:sz="2" w:space="0"/>
              <w:bottom w:val="single" w:color="000000" w:sz="2" w:space="0"/>
            </w:tcBorders>
            <w:noWrap w:val="0"/>
            <w:vAlign w:val="center"/>
          </w:tcPr>
          <w:p>
            <w:pPr>
              <w:jc w:val="center"/>
              <w:rPr>
                <w:rFonts w:ascii="黑体" w:hAnsi="黑体" w:eastAsia="黑体" w:cs="黑体"/>
                <w:b/>
                <w:bCs/>
                <w:sz w:val="21"/>
                <w:szCs w:val="21"/>
              </w:rPr>
            </w:pPr>
            <w:r>
              <w:rPr>
                <w:rFonts w:hint="eastAsia" w:ascii="黑体" w:hAnsi="黑体" w:eastAsia="黑体" w:cs="黑体"/>
                <w:b/>
                <w:bCs/>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信息内容</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eastAsia" w:ascii="宋体" w:hAnsi="宋体" w:eastAsia="宋体" w:cs="宋体"/>
                <w:bCs/>
                <w:sz w:val="21"/>
                <w:szCs w:val="21"/>
                <w:lang w:eastAsia="zh-CN"/>
              </w:rPr>
            </w:pPr>
            <w:r>
              <w:rPr>
                <w:rFonts w:hint="eastAsia" w:ascii="宋体" w:hAnsi="宋体" w:eastAsia="宋体" w:cs="宋体"/>
                <w:bCs/>
                <w:sz w:val="21"/>
                <w:szCs w:val="21"/>
              </w:rPr>
              <w:t>本年</w:t>
            </w:r>
            <w:r>
              <w:rPr>
                <w:rFonts w:hint="eastAsia" w:ascii="宋体" w:hAnsi="宋体" w:cs="宋体"/>
                <w:bCs/>
                <w:sz w:val="21"/>
                <w:szCs w:val="21"/>
                <w:lang w:eastAsia="zh-CN"/>
              </w:rPr>
              <w:t>收费金额（单位：万元）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行政事业性收费</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r>
    </w:tbl>
    <w:p>
      <w:pPr>
        <w:pStyle w:val="7"/>
        <w:keepNext w:val="0"/>
        <w:keepLines w:val="0"/>
        <w:pageBreakBefore w:val="0"/>
        <w:widowControl/>
        <w:shd w:val="clear" w:color="auto" w:fill="FFFFFF"/>
        <w:kinsoku/>
        <w:wordWrap/>
        <w:overflowPunct/>
        <w:topLinePunct w:val="0"/>
        <w:autoSpaceDE/>
        <w:autoSpaceDN/>
        <w:bidi w:val="0"/>
        <w:adjustRightInd/>
        <w:spacing w:after="240" w:afterLines="0" w:afterAutospacing="0" w:line="500" w:lineRule="exact"/>
        <w:jc w:val="both"/>
        <w:textAlignment w:val="auto"/>
        <w:outlineLvl w:val="9"/>
        <w:rPr>
          <w:rFonts w:hint="eastAsia" w:ascii="黑体" w:hAnsi="黑体" w:eastAsia="黑体" w:cs="黑体"/>
          <w:b/>
          <w:color w:val="333333"/>
          <w:sz w:val="32"/>
          <w:szCs w:val="32"/>
          <w:shd w:val="clear" w:color="auto" w:fill="FFFFFF"/>
          <w:lang w:val="en-US" w:eastAsia="zh-CN"/>
        </w:rPr>
      </w:pPr>
      <w:r>
        <w:rPr>
          <w:rFonts w:hint="eastAsia" w:ascii="黑体" w:hAnsi="黑体" w:eastAsia="黑体" w:cs="黑体"/>
          <w:b/>
          <w:color w:val="333333"/>
          <w:sz w:val="32"/>
          <w:szCs w:val="32"/>
          <w:shd w:val="clear" w:color="auto" w:fill="FFFFFF"/>
          <w:lang w:val="en-US" w:eastAsia="zh-CN"/>
        </w:rPr>
        <w:t xml:space="preserve"> </w:t>
      </w:r>
    </w:p>
    <w:p>
      <w:pPr>
        <w:pStyle w:val="7"/>
        <w:keepNext w:val="0"/>
        <w:keepLines w:val="0"/>
        <w:pageBreakBefore w:val="0"/>
        <w:widowControl/>
        <w:shd w:val="clear" w:color="auto" w:fill="FFFFFF"/>
        <w:kinsoku/>
        <w:wordWrap/>
        <w:overflowPunct/>
        <w:topLinePunct w:val="0"/>
        <w:autoSpaceDE/>
        <w:autoSpaceDN/>
        <w:bidi w:val="0"/>
        <w:adjustRightInd/>
        <w:spacing w:after="240" w:afterLines="0" w:afterAutospacing="0" w:line="500" w:lineRule="exact"/>
        <w:jc w:val="both"/>
        <w:textAlignment w:val="auto"/>
        <w:outlineLvl w:val="9"/>
        <w:rPr>
          <w:rFonts w:ascii="黑体" w:hAnsi="黑体" w:eastAsia="黑体" w:cs="黑体"/>
          <w:color w:val="333333"/>
          <w:sz w:val="32"/>
          <w:szCs w:val="32"/>
        </w:rPr>
      </w:pPr>
      <w:r>
        <w:rPr>
          <w:rFonts w:hint="eastAsia" w:ascii="黑体" w:hAnsi="黑体" w:eastAsia="黑体" w:cs="黑体"/>
          <w:b/>
          <w:color w:val="333333"/>
          <w:sz w:val="32"/>
          <w:szCs w:val="32"/>
          <w:shd w:val="clear" w:color="auto" w:fill="FFFFFF"/>
          <w:lang w:val="en-US" w:eastAsia="zh-CN"/>
        </w:rPr>
        <w:t xml:space="preserve">   </w:t>
      </w:r>
      <w:r>
        <w:rPr>
          <w:rFonts w:hint="eastAsia" w:ascii="黑体" w:hAnsi="黑体" w:eastAsia="黑体" w:cs="黑体"/>
          <w:b/>
          <w:color w:val="333333"/>
          <w:sz w:val="32"/>
          <w:szCs w:val="32"/>
          <w:shd w:val="clear" w:color="auto" w:fill="FFFFFF"/>
        </w:rPr>
        <w:t>三、收到和处理政府信息公开申请情况</w:t>
      </w:r>
    </w:p>
    <w:tbl>
      <w:tblPr>
        <w:tblStyle w:val="4"/>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134"/>
        <w:gridCol w:w="1878"/>
        <w:gridCol w:w="567"/>
        <w:gridCol w:w="637"/>
        <w:gridCol w:w="637"/>
        <w:gridCol w:w="776"/>
        <w:gridCol w:w="776"/>
        <w:gridCol w:w="497"/>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135" w:type="dxa"/>
            <w:gridSpan w:val="3"/>
            <w:vMerge w:val="restart"/>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（本列数据的勾稽关系为：第一项加第二项之和，等于第三项加第四项之和）</w:t>
            </w:r>
          </w:p>
        </w:tc>
        <w:tc>
          <w:tcPr>
            <w:tcW w:w="4387" w:type="dxa"/>
            <w:gridSpan w:val="7"/>
            <w:noWrap w:val="0"/>
            <w:vAlign w:val="center"/>
          </w:tcPr>
          <w:p>
            <w:pPr>
              <w:jc w:val="center"/>
              <w:rPr>
                <w:rFonts w:ascii="黑体" w:hAnsi="黑体" w:eastAsia="黑体" w:cs="黑体"/>
                <w:b/>
                <w:bCs/>
                <w:sz w:val="21"/>
                <w:szCs w:val="21"/>
              </w:rPr>
            </w:pPr>
            <w:r>
              <w:rPr>
                <w:rFonts w:hint="eastAsia" w:ascii="黑体" w:hAnsi="黑体" w:eastAsia="黑体" w:cs="黑体"/>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135" w:type="dxa"/>
            <w:gridSpan w:val="3"/>
            <w:vMerge w:val="continue"/>
            <w:noWrap w:val="0"/>
            <w:vAlign w:val="center"/>
          </w:tcPr>
          <w:p>
            <w:pPr>
              <w:jc w:val="both"/>
              <w:rPr>
                <w:rFonts w:ascii="黑体" w:hAnsi="黑体" w:eastAsia="黑体" w:cs="黑体"/>
                <w:b/>
                <w:bCs/>
                <w:sz w:val="21"/>
                <w:szCs w:val="21"/>
              </w:rPr>
            </w:pPr>
          </w:p>
        </w:tc>
        <w:tc>
          <w:tcPr>
            <w:tcW w:w="567" w:type="dxa"/>
            <w:vMerge w:val="restart"/>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自然人</w:t>
            </w:r>
          </w:p>
        </w:tc>
        <w:tc>
          <w:tcPr>
            <w:tcW w:w="3323" w:type="dxa"/>
            <w:gridSpan w:val="5"/>
            <w:noWrap w:val="0"/>
            <w:vAlign w:val="center"/>
          </w:tcPr>
          <w:p>
            <w:pPr>
              <w:jc w:val="center"/>
              <w:rPr>
                <w:rFonts w:ascii="黑体" w:hAnsi="黑体" w:eastAsia="黑体" w:cs="黑体"/>
                <w:b/>
                <w:bCs/>
                <w:sz w:val="21"/>
                <w:szCs w:val="21"/>
              </w:rPr>
            </w:pPr>
            <w:r>
              <w:rPr>
                <w:rFonts w:hint="eastAsia" w:ascii="黑体" w:hAnsi="黑体" w:eastAsia="黑体" w:cs="黑体"/>
                <w:b/>
                <w:bCs/>
                <w:sz w:val="21"/>
                <w:szCs w:val="21"/>
              </w:rPr>
              <w:t>法人或其他组织</w:t>
            </w:r>
          </w:p>
        </w:tc>
        <w:tc>
          <w:tcPr>
            <w:tcW w:w="497" w:type="dxa"/>
            <w:vMerge w:val="restart"/>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135" w:type="dxa"/>
            <w:gridSpan w:val="3"/>
            <w:vMerge w:val="continue"/>
            <w:noWrap w:val="0"/>
            <w:vAlign w:val="center"/>
          </w:tcPr>
          <w:p>
            <w:pPr>
              <w:jc w:val="both"/>
              <w:rPr>
                <w:rFonts w:ascii="黑体" w:hAnsi="黑体" w:eastAsia="黑体" w:cs="黑体"/>
                <w:b/>
                <w:bCs/>
                <w:sz w:val="21"/>
                <w:szCs w:val="21"/>
              </w:rPr>
            </w:pPr>
          </w:p>
        </w:tc>
        <w:tc>
          <w:tcPr>
            <w:tcW w:w="567" w:type="dxa"/>
            <w:vMerge w:val="continue"/>
            <w:noWrap w:val="0"/>
            <w:vAlign w:val="center"/>
          </w:tcPr>
          <w:p>
            <w:pPr>
              <w:jc w:val="both"/>
              <w:rPr>
                <w:rFonts w:ascii="黑体" w:hAnsi="黑体" w:eastAsia="黑体" w:cs="黑体"/>
                <w:b/>
                <w:bCs/>
                <w:sz w:val="21"/>
                <w:szCs w:val="21"/>
              </w:rPr>
            </w:pPr>
          </w:p>
        </w:tc>
        <w:tc>
          <w:tcPr>
            <w:tcW w:w="637" w:type="dxa"/>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商业企业</w:t>
            </w:r>
          </w:p>
        </w:tc>
        <w:tc>
          <w:tcPr>
            <w:tcW w:w="637" w:type="dxa"/>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科研机构</w:t>
            </w:r>
          </w:p>
        </w:tc>
        <w:tc>
          <w:tcPr>
            <w:tcW w:w="776" w:type="dxa"/>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社会公益组织</w:t>
            </w:r>
          </w:p>
        </w:tc>
        <w:tc>
          <w:tcPr>
            <w:tcW w:w="776" w:type="dxa"/>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法律服务机构</w:t>
            </w:r>
          </w:p>
        </w:tc>
        <w:tc>
          <w:tcPr>
            <w:tcW w:w="497" w:type="dxa"/>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其他</w:t>
            </w:r>
          </w:p>
        </w:tc>
        <w:tc>
          <w:tcPr>
            <w:tcW w:w="497" w:type="dxa"/>
            <w:vMerge w:val="continue"/>
            <w:noWrap w:val="0"/>
            <w:vAlign w:val="center"/>
          </w:tcPr>
          <w:p>
            <w:pPr>
              <w:jc w:val="both"/>
              <w:rPr>
                <w:rFonts w:ascii="Calibri" w:hAnsi="Calibri" w:eastAsia="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35" w:type="dxa"/>
            <w:gridSpan w:val="3"/>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一、本年新收政府信息公开申请数量</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二、上年结转政府信息公开申请数量</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23" w:type="dxa"/>
            <w:vMerge w:val="restart"/>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三、本年度办理结果</w:t>
            </w:r>
          </w:p>
        </w:tc>
        <w:tc>
          <w:tcPr>
            <w:tcW w:w="3012" w:type="dxa"/>
            <w:gridSpan w:val="2"/>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（一）予以公开</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23" w:type="dxa"/>
            <w:vMerge w:val="continue"/>
            <w:noWrap w:val="0"/>
            <w:vAlign w:val="top"/>
          </w:tcPr>
          <w:p>
            <w:pPr>
              <w:jc w:val="both"/>
              <w:rPr>
                <w:rFonts w:ascii="宋体" w:hAnsi="宋体" w:eastAsia="宋体" w:cs="宋体"/>
                <w:bCs/>
                <w:sz w:val="21"/>
                <w:szCs w:val="21"/>
              </w:rPr>
            </w:pPr>
          </w:p>
        </w:tc>
        <w:tc>
          <w:tcPr>
            <w:tcW w:w="3012" w:type="dxa"/>
            <w:gridSpan w:val="2"/>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（二）部分公开（区分处理的，只计这一情形，不计其他情形）</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restart"/>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（三）不予公开</w:t>
            </w: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1．属于国家秘密</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2．其他法律行政法规禁止公开</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3．危及“三安全一稳定”</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4．保护第三方合法权益</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5．属于三类内部事务信息</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6．属于四类过程性信息</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7．属于行政执法案卷</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8．属于行政查询事项</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restart"/>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（四）无法提供</w:t>
            </w: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1．本单位不掌握相关政府信息</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2．没有现成信息需要另行制作</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3．补正后申请内容仍不明确</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restart"/>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（五）不予处理</w:t>
            </w: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1．信访举报投诉类申请</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top"/>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2．重复申请</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top"/>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3．要求提供公开出版物</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top"/>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4．无正当理由大量反复申请</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top"/>
          </w:tcPr>
          <w:p>
            <w:pPr>
              <w:jc w:val="both"/>
              <w:rPr>
                <w:rFonts w:ascii="宋体" w:hAnsi="宋体" w:eastAsia="宋体" w:cs="宋体"/>
                <w:bCs/>
                <w:sz w:val="21"/>
                <w:szCs w:val="21"/>
              </w:rPr>
            </w:pPr>
          </w:p>
        </w:tc>
        <w:tc>
          <w:tcPr>
            <w:tcW w:w="1878" w:type="dxa"/>
            <w:noWrap w:val="0"/>
            <w:vAlign w:val="top"/>
          </w:tcPr>
          <w:p>
            <w:pPr>
              <w:ind w:left="210" w:hanging="210" w:hangingChars="100"/>
              <w:jc w:val="both"/>
              <w:rPr>
                <w:rFonts w:ascii="宋体" w:hAnsi="宋体" w:eastAsia="宋体" w:cs="宋体"/>
                <w:bCs/>
                <w:sz w:val="21"/>
                <w:szCs w:val="21"/>
              </w:rPr>
            </w:pPr>
            <w:r>
              <w:rPr>
                <w:rFonts w:hint="eastAsia" w:ascii="宋体" w:hAnsi="宋体" w:eastAsia="宋体" w:cs="宋体"/>
                <w:bCs/>
                <w:sz w:val="21"/>
                <w:szCs w:val="21"/>
              </w:rPr>
              <w:t>5．要求行政机关确认或重新出具已获取信息</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restart"/>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（六）其他处理</w:t>
            </w:r>
          </w:p>
        </w:tc>
        <w:tc>
          <w:tcPr>
            <w:tcW w:w="1878" w:type="dxa"/>
            <w:noWrap w:val="0"/>
            <w:vAlign w:val="center"/>
          </w:tcPr>
          <w:p>
            <w:pPr>
              <w:jc w:val="both"/>
              <w:rPr>
                <w:rFonts w:hint="default" w:ascii="宋体" w:hAnsi="宋体" w:eastAsia="宋体" w:cs="宋体"/>
                <w:bCs/>
                <w:sz w:val="21"/>
                <w:szCs w:val="21"/>
                <w:lang w:val="en-US" w:eastAsia="zh-CN"/>
              </w:rPr>
            </w:pPr>
            <w:r>
              <w:rPr>
                <w:rFonts w:hint="eastAsia" w:ascii="宋体" w:hAnsi="宋体" w:cs="宋体"/>
                <w:bCs/>
                <w:sz w:val="21"/>
                <w:szCs w:val="21"/>
                <w:lang w:val="en-US" w:eastAsia="zh-CN"/>
              </w:rPr>
              <w:t>1.申请人无正当理由逾期不补正、行政机关不再处理其政府信息公开申请</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hint="eastAsia" w:ascii="宋体" w:hAnsi="宋体" w:eastAsia="宋体" w:cs="宋体"/>
                <w:bCs/>
                <w:sz w:val="21"/>
                <w:szCs w:val="21"/>
              </w:rPr>
            </w:pPr>
          </w:p>
        </w:tc>
        <w:tc>
          <w:tcPr>
            <w:tcW w:w="1878" w:type="dxa"/>
            <w:noWrap w:val="0"/>
            <w:vAlign w:val="center"/>
          </w:tcPr>
          <w:p>
            <w:pPr>
              <w:jc w:val="both"/>
              <w:rPr>
                <w:rFonts w:hint="default" w:ascii="宋体" w:hAnsi="宋体" w:eastAsia="宋体" w:cs="宋体"/>
                <w:bCs/>
                <w:sz w:val="21"/>
                <w:szCs w:val="21"/>
                <w:lang w:val="en-US" w:eastAsia="zh-CN"/>
              </w:rPr>
            </w:pPr>
            <w:r>
              <w:rPr>
                <w:rFonts w:hint="eastAsia" w:ascii="宋体" w:hAnsi="宋体" w:cs="宋体"/>
                <w:bCs/>
                <w:sz w:val="21"/>
                <w:szCs w:val="21"/>
                <w:lang w:val="en-US" w:eastAsia="zh-CN"/>
              </w:rPr>
              <w:t>2.申请人逾期未按收费通知要求缴纳费用、行政机关不再处理其政府信息公开申请</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center"/>
          </w:tcPr>
          <w:p>
            <w:pPr>
              <w:jc w:val="both"/>
              <w:rPr>
                <w:rFonts w:hint="default" w:ascii="宋体" w:hAnsi="宋体" w:eastAsia="宋体" w:cs="宋体"/>
                <w:bCs/>
                <w:sz w:val="21"/>
                <w:szCs w:val="21"/>
                <w:lang w:val="en-US" w:eastAsia="zh-CN"/>
              </w:rPr>
            </w:pPr>
            <w:r>
              <w:rPr>
                <w:rFonts w:hint="eastAsia" w:ascii="宋体" w:hAnsi="宋体" w:cs="宋体"/>
                <w:bCs/>
                <w:sz w:val="21"/>
                <w:szCs w:val="21"/>
                <w:lang w:val="en-US" w:eastAsia="zh-CN"/>
              </w:rPr>
              <w:t>3.其他</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3" w:type="dxa"/>
            <w:vMerge w:val="continue"/>
            <w:noWrap w:val="0"/>
            <w:vAlign w:val="top"/>
          </w:tcPr>
          <w:p>
            <w:pPr>
              <w:jc w:val="both"/>
              <w:rPr>
                <w:rFonts w:ascii="宋体" w:hAnsi="宋体" w:eastAsia="宋体" w:cs="宋体"/>
                <w:bCs/>
                <w:sz w:val="21"/>
                <w:szCs w:val="21"/>
              </w:rPr>
            </w:pPr>
          </w:p>
        </w:tc>
        <w:tc>
          <w:tcPr>
            <w:tcW w:w="3012" w:type="dxa"/>
            <w:gridSpan w:val="2"/>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（七）总计</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35" w:type="dxa"/>
            <w:gridSpan w:val="3"/>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四、结转下年度继续办理</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bl>
    <w:p>
      <w:pPr>
        <w:pStyle w:val="7"/>
        <w:keepNext w:val="0"/>
        <w:keepLines w:val="0"/>
        <w:pageBreakBefore w:val="0"/>
        <w:widowControl/>
        <w:shd w:val="clear" w:color="auto" w:fill="FFFFFF"/>
        <w:kinsoku/>
        <w:wordWrap/>
        <w:overflowPunct/>
        <w:topLinePunct w:val="0"/>
        <w:autoSpaceDE/>
        <w:autoSpaceDN/>
        <w:bidi w:val="0"/>
        <w:adjustRightInd/>
        <w:spacing w:line="500" w:lineRule="exact"/>
        <w:jc w:val="both"/>
        <w:textAlignment w:val="auto"/>
        <w:outlineLvl w:val="9"/>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lang w:val="en-US" w:eastAsia="zh-CN"/>
        </w:rPr>
        <w:t xml:space="preserve">   </w:t>
      </w:r>
      <w:r>
        <w:rPr>
          <w:rFonts w:hint="eastAsia" w:ascii="黑体" w:hAnsi="黑体" w:eastAsia="黑体" w:cs="宋体"/>
          <w:color w:val="333333"/>
          <w:sz w:val="32"/>
          <w:szCs w:val="32"/>
          <w:shd w:val="clear" w:color="auto" w:fill="FFFFFF"/>
        </w:rPr>
        <w:t>四、政府信息公开行政复议、行政诉讼情况</w:t>
      </w:r>
    </w:p>
    <w:tbl>
      <w:tblPr>
        <w:tblStyle w:val="4"/>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594"/>
        <w:gridCol w:w="594"/>
        <w:gridCol w:w="597"/>
        <w:gridCol w:w="465"/>
        <w:gridCol w:w="594"/>
        <w:gridCol w:w="594"/>
        <w:gridCol w:w="594"/>
        <w:gridCol w:w="594"/>
        <w:gridCol w:w="463"/>
        <w:gridCol w:w="594"/>
        <w:gridCol w:w="594"/>
        <w:gridCol w:w="594"/>
        <w:gridCol w:w="594"/>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844" w:type="dxa"/>
            <w:gridSpan w:val="5"/>
            <w:noWrap w:val="0"/>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行政复议</w:t>
            </w:r>
          </w:p>
        </w:tc>
        <w:tc>
          <w:tcPr>
            <w:tcW w:w="5678" w:type="dxa"/>
            <w:gridSpan w:val="10"/>
            <w:noWrap w:val="0"/>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94" w:type="dxa"/>
            <w:vMerge w:val="restart"/>
            <w:noWrap w:val="0"/>
            <w:vAlign w:val="center"/>
          </w:tcPr>
          <w:p>
            <w:pPr>
              <w:autoSpaceDE/>
              <w:autoSpaceDN/>
              <w:jc w:val="both"/>
              <w:rPr>
                <w:rFonts w:ascii="黑体" w:hAnsi="黑体" w:eastAsia="黑体" w:cs="黑体"/>
                <w:b/>
                <w:bCs/>
                <w:sz w:val="18"/>
                <w:szCs w:val="18"/>
              </w:rPr>
            </w:pPr>
            <w:r>
              <w:rPr>
                <w:rFonts w:hint="eastAsia" w:ascii="黑体" w:hAnsi="黑体" w:eastAsia="黑体" w:cs="黑体"/>
                <w:b/>
                <w:bCs/>
                <w:sz w:val="18"/>
                <w:szCs w:val="18"/>
              </w:rPr>
              <w:t>结果维持</w:t>
            </w:r>
          </w:p>
        </w:tc>
        <w:tc>
          <w:tcPr>
            <w:tcW w:w="594" w:type="dxa"/>
            <w:vMerge w:val="restart"/>
            <w:noWrap w:val="0"/>
            <w:vAlign w:val="center"/>
          </w:tcPr>
          <w:p>
            <w:pPr>
              <w:autoSpaceDE/>
              <w:autoSpaceDN/>
              <w:jc w:val="both"/>
              <w:rPr>
                <w:rFonts w:ascii="黑体" w:hAnsi="黑体" w:eastAsia="黑体" w:cs="黑体"/>
                <w:b/>
                <w:bCs/>
                <w:sz w:val="18"/>
                <w:szCs w:val="18"/>
              </w:rPr>
            </w:pPr>
            <w:r>
              <w:rPr>
                <w:rFonts w:hint="eastAsia" w:ascii="黑体" w:hAnsi="黑体" w:eastAsia="黑体" w:cs="黑体"/>
                <w:b/>
                <w:bCs/>
                <w:sz w:val="18"/>
                <w:szCs w:val="18"/>
              </w:rPr>
              <w:t>结果纠正</w:t>
            </w:r>
          </w:p>
        </w:tc>
        <w:tc>
          <w:tcPr>
            <w:tcW w:w="594" w:type="dxa"/>
            <w:vMerge w:val="restart"/>
            <w:noWrap w:val="0"/>
            <w:vAlign w:val="center"/>
          </w:tcPr>
          <w:p>
            <w:pPr>
              <w:autoSpaceDE/>
              <w:autoSpaceDN/>
              <w:jc w:val="both"/>
              <w:rPr>
                <w:rFonts w:ascii="黑体" w:hAnsi="黑体" w:eastAsia="黑体" w:cs="黑体"/>
                <w:b/>
                <w:bCs/>
                <w:sz w:val="18"/>
                <w:szCs w:val="18"/>
              </w:rPr>
            </w:pPr>
            <w:r>
              <w:rPr>
                <w:rFonts w:hint="eastAsia" w:ascii="黑体" w:hAnsi="黑体" w:eastAsia="黑体" w:cs="黑体"/>
                <w:b/>
                <w:bCs/>
                <w:sz w:val="18"/>
                <w:szCs w:val="18"/>
              </w:rPr>
              <w:t>其他结果</w:t>
            </w:r>
          </w:p>
        </w:tc>
        <w:tc>
          <w:tcPr>
            <w:tcW w:w="597" w:type="dxa"/>
            <w:vMerge w:val="restart"/>
            <w:noWrap w:val="0"/>
            <w:vAlign w:val="center"/>
          </w:tcPr>
          <w:p>
            <w:pPr>
              <w:autoSpaceDE/>
              <w:autoSpaceDN/>
              <w:jc w:val="both"/>
              <w:rPr>
                <w:rFonts w:ascii="黑体" w:hAnsi="黑体" w:eastAsia="黑体" w:cs="黑体"/>
                <w:b/>
                <w:bCs/>
                <w:sz w:val="18"/>
                <w:szCs w:val="18"/>
              </w:rPr>
            </w:pPr>
            <w:r>
              <w:rPr>
                <w:rFonts w:hint="eastAsia" w:ascii="黑体" w:hAnsi="黑体" w:eastAsia="黑体" w:cs="黑体"/>
                <w:b/>
                <w:bCs/>
                <w:sz w:val="18"/>
                <w:szCs w:val="18"/>
              </w:rPr>
              <w:t>尚未审结</w:t>
            </w:r>
          </w:p>
        </w:tc>
        <w:tc>
          <w:tcPr>
            <w:tcW w:w="465" w:type="dxa"/>
            <w:vMerge w:val="restart"/>
            <w:noWrap w:val="0"/>
            <w:vAlign w:val="center"/>
          </w:tcPr>
          <w:p>
            <w:pPr>
              <w:autoSpaceDE/>
              <w:autoSpaceDN/>
              <w:jc w:val="both"/>
              <w:rPr>
                <w:rFonts w:ascii="黑体" w:hAnsi="黑体" w:eastAsia="黑体" w:cs="黑体"/>
                <w:b/>
                <w:bCs/>
                <w:sz w:val="18"/>
                <w:szCs w:val="18"/>
              </w:rPr>
            </w:pPr>
            <w:r>
              <w:rPr>
                <w:rFonts w:hint="eastAsia" w:ascii="黑体" w:hAnsi="黑体" w:eastAsia="黑体" w:cs="黑体"/>
                <w:b/>
                <w:bCs/>
                <w:sz w:val="18"/>
                <w:szCs w:val="18"/>
              </w:rPr>
              <w:t>总计</w:t>
            </w:r>
          </w:p>
        </w:tc>
        <w:tc>
          <w:tcPr>
            <w:tcW w:w="2839" w:type="dxa"/>
            <w:gridSpan w:val="5"/>
            <w:noWrap w:val="0"/>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未经复议直接起诉</w:t>
            </w:r>
          </w:p>
        </w:tc>
        <w:tc>
          <w:tcPr>
            <w:tcW w:w="2839" w:type="dxa"/>
            <w:gridSpan w:val="5"/>
            <w:noWrap w:val="0"/>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4" w:type="dxa"/>
            <w:vMerge w:val="continue"/>
            <w:noWrap w:val="0"/>
            <w:vAlign w:val="center"/>
          </w:tcPr>
          <w:p>
            <w:pPr>
              <w:jc w:val="both"/>
              <w:rPr>
                <w:rFonts w:ascii="黑体" w:hAnsi="黑体" w:eastAsia="黑体" w:cs="黑体"/>
                <w:b/>
                <w:bCs/>
                <w:sz w:val="18"/>
                <w:szCs w:val="18"/>
              </w:rPr>
            </w:pPr>
          </w:p>
        </w:tc>
        <w:tc>
          <w:tcPr>
            <w:tcW w:w="594" w:type="dxa"/>
            <w:vMerge w:val="continue"/>
            <w:noWrap w:val="0"/>
            <w:vAlign w:val="center"/>
          </w:tcPr>
          <w:p>
            <w:pPr>
              <w:jc w:val="both"/>
              <w:rPr>
                <w:rFonts w:ascii="黑体" w:hAnsi="黑体" w:eastAsia="黑体" w:cs="黑体"/>
                <w:b/>
                <w:bCs/>
                <w:sz w:val="18"/>
                <w:szCs w:val="18"/>
              </w:rPr>
            </w:pPr>
          </w:p>
        </w:tc>
        <w:tc>
          <w:tcPr>
            <w:tcW w:w="594" w:type="dxa"/>
            <w:vMerge w:val="continue"/>
            <w:noWrap w:val="0"/>
            <w:vAlign w:val="center"/>
          </w:tcPr>
          <w:p>
            <w:pPr>
              <w:jc w:val="both"/>
              <w:rPr>
                <w:rFonts w:ascii="黑体" w:hAnsi="黑体" w:eastAsia="黑体" w:cs="黑体"/>
                <w:b/>
                <w:bCs/>
                <w:sz w:val="18"/>
                <w:szCs w:val="18"/>
              </w:rPr>
            </w:pPr>
          </w:p>
        </w:tc>
        <w:tc>
          <w:tcPr>
            <w:tcW w:w="597" w:type="dxa"/>
            <w:vMerge w:val="continue"/>
            <w:noWrap w:val="0"/>
            <w:vAlign w:val="center"/>
          </w:tcPr>
          <w:p>
            <w:pPr>
              <w:jc w:val="both"/>
              <w:rPr>
                <w:rFonts w:ascii="黑体" w:hAnsi="黑体" w:eastAsia="黑体" w:cs="黑体"/>
                <w:b/>
                <w:bCs/>
                <w:sz w:val="18"/>
                <w:szCs w:val="18"/>
              </w:rPr>
            </w:pPr>
          </w:p>
        </w:tc>
        <w:tc>
          <w:tcPr>
            <w:tcW w:w="465" w:type="dxa"/>
            <w:vMerge w:val="continue"/>
            <w:noWrap w:val="0"/>
            <w:vAlign w:val="center"/>
          </w:tcPr>
          <w:p>
            <w:pPr>
              <w:jc w:val="both"/>
              <w:rPr>
                <w:rFonts w:ascii="黑体" w:hAnsi="黑体" w:eastAsia="黑体" w:cs="黑体"/>
                <w:b/>
                <w:bCs/>
                <w:sz w:val="18"/>
                <w:szCs w:val="18"/>
              </w:rPr>
            </w:pP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结果维持</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结果纠正</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其他结果</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尚未审结</w:t>
            </w:r>
          </w:p>
        </w:tc>
        <w:tc>
          <w:tcPr>
            <w:tcW w:w="463"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总计</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结果维持</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结果纠正</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其他结果</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尚未审结</w:t>
            </w:r>
          </w:p>
        </w:tc>
        <w:tc>
          <w:tcPr>
            <w:tcW w:w="463"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7"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465"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463"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463"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r>
    </w:tbl>
    <w:p>
      <w:pPr>
        <w:pStyle w:val="7"/>
        <w:keepNext w:val="0"/>
        <w:keepLines w:val="0"/>
        <w:pageBreakBefore w:val="0"/>
        <w:widowControl/>
        <w:shd w:val="clear" w:color="auto" w:fill="FFFFFF"/>
        <w:kinsoku/>
        <w:wordWrap/>
        <w:overflowPunct/>
        <w:topLinePunct w:val="0"/>
        <w:autoSpaceDE/>
        <w:autoSpaceDN/>
        <w:bidi w:val="0"/>
        <w:adjustRightInd/>
        <w:spacing w:line="500" w:lineRule="exact"/>
        <w:jc w:val="both"/>
        <w:textAlignment w:val="auto"/>
        <w:outlineLvl w:val="9"/>
        <w:rPr>
          <w:rFonts w:hint="eastAsia" w:ascii="黑体" w:hAnsi="黑体" w:eastAsia="黑体" w:cs="宋体"/>
          <w:color w:val="333333"/>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pacing w:line="500" w:lineRule="exact"/>
        <w:ind w:firstLine="420" w:firstLineChars="0"/>
        <w:jc w:val="both"/>
        <w:textAlignment w:val="auto"/>
        <w:outlineLvl w:val="9"/>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right="0" w:firstLine="640" w:firstLineChars="200"/>
        <w:rPr>
          <w:rStyle w:val="6"/>
          <w:rFonts w:hint="eastAsia" w:ascii="Times New Roman" w:hAnsi="Times New Roman" w:eastAsia="仿宋_GB2312" w:cs="Times New Roman"/>
          <w:b w:val="0"/>
          <w:bCs w:val="0"/>
          <w:color w:val="auto"/>
          <w:sz w:val="32"/>
          <w:szCs w:val="32"/>
          <w:shd w:val="clear" w:color="auto" w:fill="FFFFFF"/>
        </w:rPr>
      </w:pPr>
      <w:bookmarkStart w:id="0" w:name="_GoBack"/>
      <w:bookmarkEnd w:id="0"/>
      <w:r>
        <w:rPr>
          <w:rStyle w:val="6"/>
          <w:rFonts w:hint="default" w:ascii="Times New Roman" w:hAnsi="Times New Roman" w:eastAsia="仿宋_GB2312" w:cs="Times New Roman"/>
          <w:b w:val="0"/>
          <w:bCs w:val="0"/>
          <w:color w:val="auto"/>
          <w:sz w:val="32"/>
          <w:szCs w:val="32"/>
          <w:shd w:val="clear" w:color="auto" w:fill="FFFFFF"/>
        </w:rPr>
        <w:t>20</w:t>
      </w:r>
      <w:r>
        <w:rPr>
          <w:rStyle w:val="6"/>
          <w:rFonts w:hint="eastAsia" w:eastAsia="仿宋_GB2312" w:cs="Times New Roman"/>
          <w:b w:val="0"/>
          <w:bCs w:val="0"/>
          <w:color w:val="auto"/>
          <w:sz w:val="32"/>
          <w:szCs w:val="32"/>
          <w:shd w:val="clear" w:color="auto" w:fill="FFFFFF"/>
          <w:lang w:val="en-US" w:eastAsia="zh-CN"/>
        </w:rPr>
        <w:t>21</w:t>
      </w:r>
      <w:r>
        <w:rPr>
          <w:rStyle w:val="6"/>
          <w:rFonts w:hint="default" w:ascii="Times New Roman" w:hAnsi="Times New Roman" w:eastAsia="仿宋_GB2312" w:cs="Times New Roman"/>
          <w:b w:val="0"/>
          <w:bCs w:val="0"/>
          <w:color w:val="auto"/>
          <w:sz w:val="32"/>
          <w:szCs w:val="32"/>
          <w:shd w:val="clear" w:color="auto" w:fill="FFFFFF"/>
        </w:rPr>
        <w:t>年，我</w:t>
      </w:r>
      <w:r>
        <w:rPr>
          <w:rStyle w:val="6"/>
          <w:rFonts w:hint="eastAsia" w:ascii="Times New Roman" w:hAnsi="Times New Roman" w:eastAsia="仿宋_GB2312" w:cs="Times New Roman"/>
          <w:b w:val="0"/>
          <w:bCs w:val="0"/>
          <w:color w:val="auto"/>
          <w:sz w:val="32"/>
          <w:szCs w:val="32"/>
          <w:shd w:val="clear" w:color="auto" w:fill="FFFFFF"/>
          <w:lang w:eastAsia="zh-CN"/>
        </w:rPr>
        <w:t>镇</w:t>
      </w:r>
      <w:r>
        <w:rPr>
          <w:rStyle w:val="6"/>
          <w:rFonts w:hint="default" w:ascii="Times New Roman" w:hAnsi="Times New Roman" w:eastAsia="仿宋_GB2312" w:cs="Times New Roman"/>
          <w:b w:val="0"/>
          <w:bCs w:val="0"/>
          <w:color w:val="auto"/>
          <w:sz w:val="32"/>
          <w:szCs w:val="32"/>
          <w:shd w:val="clear" w:color="auto" w:fill="FFFFFF"/>
        </w:rPr>
        <w:t>在推进政府信息公开方面有了一定的成效，</w:t>
      </w:r>
      <w:r>
        <w:rPr>
          <w:rStyle w:val="6"/>
          <w:rFonts w:hint="eastAsia" w:eastAsia="仿宋_GB2312" w:cs="Times New Roman"/>
          <w:b w:val="0"/>
          <w:bCs w:val="0"/>
          <w:color w:val="auto"/>
          <w:sz w:val="32"/>
          <w:szCs w:val="32"/>
          <w:shd w:val="clear" w:color="auto" w:fill="FFFFFF"/>
          <w:lang w:eastAsia="zh-CN"/>
        </w:rPr>
        <w:t>但还存在一些问题。</w:t>
      </w:r>
      <w:r>
        <w:rPr>
          <w:rStyle w:val="6"/>
          <w:rFonts w:hint="eastAsia" w:ascii="Times New Roman" w:hAnsi="Times New Roman" w:eastAsia="仿宋_GB2312" w:cs="Times New Roman"/>
          <w:b w:val="0"/>
          <w:bCs w:val="0"/>
          <w:color w:val="auto"/>
          <w:sz w:val="32"/>
          <w:szCs w:val="32"/>
          <w:shd w:val="clear" w:color="auto" w:fill="FFFFFF"/>
          <w:lang w:eastAsia="zh-CN"/>
        </w:rPr>
        <w:t>一</w:t>
      </w:r>
      <w:r>
        <w:rPr>
          <w:rStyle w:val="6"/>
          <w:rFonts w:hint="eastAsia" w:ascii="Times New Roman" w:hAnsi="Times New Roman" w:eastAsia="仿宋_GB2312" w:cs="Times New Roman"/>
          <w:b w:val="0"/>
          <w:bCs w:val="0"/>
          <w:color w:val="auto"/>
          <w:sz w:val="32"/>
          <w:szCs w:val="32"/>
          <w:shd w:val="clear" w:color="auto" w:fill="FFFFFF"/>
        </w:rPr>
        <w:t>是依法主动公开意识有待增强。少数干部对政府信息公开工作的重要性认识依然不足，</w:t>
      </w:r>
      <w:r>
        <w:rPr>
          <w:rStyle w:val="6"/>
          <w:rFonts w:hint="eastAsia" w:ascii="Times New Roman" w:hAnsi="Times New Roman" w:eastAsia="仿宋_GB2312" w:cs="Times New Roman"/>
          <w:b w:val="0"/>
          <w:bCs w:val="0"/>
          <w:color w:val="auto"/>
          <w:sz w:val="32"/>
          <w:szCs w:val="32"/>
          <w:shd w:val="clear" w:color="auto" w:fill="FFFFFF"/>
          <w:lang w:eastAsia="zh-CN"/>
        </w:rPr>
        <w:t>只是被动地按上级要求公开</w:t>
      </w:r>
      <w:r>
        <w:rPr>
          <w:rStyle w:val="6"/>
          <w:rFonts w:hint="eastAsia" w:ascii="Times New Roman" w:hAnsi="Times New Roman" w:eastAsia="仿宋_GB2312" w:cs="Times New Roman"/>
          <w:b w:val="0"/>
          <w:bCs w:val="0"/>
          <w:color w:val="auto"/>
          <w:sz w:val="32"/>
          <w:szCs w:val="32"/>
          <w:shd w:val="clear" w:color="auto" w:fill="FFFFFF"/>
        </w:rPr>
        <w:t>，影响到主动公开工作的落实。</w:t>
      </w:r>
      <w:r>
        <w:rPr>
          <w:rStyle w:val="6"/>
          <w:rFonts w:hint="eastAsia" w:eastAsia="仿宋_GB2312" w:cs="Times New Roman"/>
          <w:b w:val="0"/>
          <w:bCs w:val="0"/>
          <w:color w:val="auto"/>
          <w:sz w:val="32"/>
          <w:szCs w:val="32"/>
          <w:shd w:val="clear" w:color="auto" w:fill="FFFFFF"/>
          <w:lang w:eastAsia="zh-CN"/>
        </w:rPr>
        <w:t>二</w:t>
      </w:r>
      <w:r>
        <w:rPr>
          <w:rStyle w:val="6"/>
          <w:rFonts w:hint="eastAsia" w:ascii="Times New Roman" w:hAnsi="Times New Roman" w:eastAsia="仿宋_GB2312" w:cs="Times New Roman"/>
          <w:b w:val="0"/>
          <w:bCs w:val="0"/>
          <w:color w:val="auto"/>
          <w:sz w:val="32"/>
          <w:szCs w:val="32"/>
          <w:shd w:val="clear" w:color="auto" w:fill="FFFFFF"/>
        </w:rPr>
        <w:t>是信息公开类型及内容覆盖不够全面，</w:t>
      </w:r>
      <w:r>
        <w:rPr>
          <w:rStyle w:val="6"/>
          <w:rFonts w:hint="eastAsia" w:eastAsia="仿宋_GB2312" w:cs="Times New Roman"/>
          <w:b w:val="0"/>
          <w:bCs w:val="0"/>
          <w:color w:val="auto"/>
          <w:sz w:val="32"/>
          <w:szCs w:val="32"/>
          <w:shd w:val="clear" w:color="auto" w:fill="FFFFFF"/>
          <w:lang w:eastAsia="zh-CN"/>
        </w:rPr>
        <w:t>数量不够多，</w:t>
      </w:r>
      <w:r>
        <w:rPr>
          <w:rStyle w:val="6"/>
          <w:rFonts w:hint="eastAsia" w:ascii="Times New Roman" w:hAnsi="Times New Roman" w:eastAsia="仿宋_GB2312" w:cs="Times New Roman"/>
          <w:b w:val="0"/>
          <w:bCs w:val="0"/>
          <w:color w:val="auto"/>
          <w:sz w:val="32"/>
          <w:szCs w:val="32"/>
          <w:shd w:val="clear" w:color="auto" w:fill="FFFFFF"/>
        </w:rPr>
        <w:t>对公众关心的热点、焦点问题信息关注不够。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right="0" w:firstLine="640" w:firstLineChars="200"/>
        <w:rPr>
          <w:rFonts w:hint="eastAsia" w:ascii="仿宋" w:eastAsia="仿宋"/>
          <w:sz w:val="32"/>
          <w:szCs w:val="32"/>
          <w:highlight w:val="yellow"/>
        </w:rPr>
      </w:pPr>
      <w:r>
        <w:rPr>
          <w:rStyle w:val="6"/>
          <w:rFonts w:hint="eastAsia" w:ascii="Times New Roman" w:hAnsi="Times New Roman" w:eastAsia="仿宋_GB2312" w:cs="Times New Roman"/>
          <w:b w:val="0"/>
          <w:bCs w:val="0"/>
          <w:color w:val="auto"/>
          <w:sz w:val="32"/>
          <w:szCs w:val="32"/>
          <w:shd w:val="clear" w:color="auto" w:fill="FFFFFF"/>
          <w:lang w:eastAsia="zh-CN"/>
        </w:rPr>
        <w:t>下一步我镇</w:t>
      </w:r>
      <w:r>
        <w:rPr>
          <w:rStyle w:val="6"/>
          <w:rFonts w:hint="eastAsia" w:ascii="Times New Roman" w:hAnsi="Times New Roman" w:eastAsia="仿宋_GB2312" w:cs="Times New Roman"/>
          <w:b w:val="0"/>
          <w:bCs w:val="0"/>
          <w:color w:val="auto"/>
          <w:sz w:val="32"/>
          <w:szCs w:val="32"/>
          <w:shd w:val="clear" w:color="auto" w:fill="FFFFFF"/>
        </w:rPr>
        <w:t>将继续按照上级要求，把握政策文件，认真贯彻落实政务公开工作要点，不断提高政府信息公开工作实效，进一步提高政务公开工作水平</w:t>
      </w:r>
      <w:r>
        <w:rPr>
          <w:rStyle w:val="6"/>
          <w:rFonts w:hint="eastAsia" w:ascii="Times New Roman" w:hAnsi="Times New Roman" w:eastAsia="仿宋_GB2312" w:cs="Times New Roman"/>
          <w:b w:val="0"/>
          <w:bCs w:val="0"/>
          <w:color w:val="auto"/>
          <w:sz w:val="32"/>
          <w:szCs w:val="32"/>
          <w:shd w:val="clear" w:color="auto" w:fill="FFFFFF"/>
          <w:lang w:eastAsia="zh-CN"/>
        </w:rPr>
        <w:t>。一是安排专人专职负责，平时定期更新维护系统，及时对公开的栏目进行查漏补缺，对重要信息及时发布，同时督促其他业务部门公开相关信息</w:t>
      </w:r>
      <w:r>
        <w:rPr>
          <w:rStyle w:val="6"/>
          <w:rFonts w:hint="eastAsia" w:ascii="Times New Roman" w:hAnsi="Times New Roman" w:eastAsia="仿宋_GB2312" w:cs="Times New Roman"/>
          <w:b w:val="0"/>
          <w:bCs w:val="0"/>
          <w:color w:val="auto"/>
          <w:sz w:val="32"/>
          <w:szCs w:val="32"/>
          <w:shd w:val="clear" w:color="auto" w:fill="FFFFFF"/>
        </w:rPr>
        <w:t>，努力提高信息公开的质量。</w:t>
      </w:r>
      <w:r>
        <w:rPr>
          <w:rStyle w:val="6"/>
          <w:rFonts w:hint="eastAsia" w:ascii="Times New Roman" w:hAnsi="Times New Roman" w:eastAsia="仿宋_GB2312" w:cs="Times New Roman"/>
          <w:b w:val="0"/>
          <w:bCs w:val="0"/>
          <w:color w:val="auto"/>
          <w:sz w:val="32"/>
          <w:szCs w:val="32"/>
          <w:shd w:val="clear" w:color="auto" w:fill="FFFFFF"/>
          <w:lang w:eastAsia="zh-CN"/>
        </w:rPr>
        <w:t>二是</w:t>
      </w:r>
      <w:r>
        <w:rPr>
          <w:rStyle w:val="6"/>
          <w:rFonts w:hint="eastAsia" w:ascii="Times New Roman" w:hAnsi="Times New Roman" w:eastAsia="仿宋_GB2312" w:cs="Times New Roman"/>
          <w:b w:val="0"/>
          <w:bCs w:val="0"/>
          <w:color w:val="auto"/>
          <w:sz w:val="32"/>
          <w:szCs w:val="32"/>
          <w:shd w:val="clear" w:color="auto" w:fill="FFFFFF"/>
        </w:rPr>
        <w:t>积极主动建设政府信息公开平台，优化调整政府信息公开平台的栏目和功能，扩大政府信息公开渠道和范围，提高更新速率，改进公开方式，提升政府网站吸引力和亲和力。</w:t>
      </w:r>
      <w:r>
        <w:rPr>
          <w:rStyle w:val="6"/>
          <w:rFonts w:hint="eastAsia" w:ascii="Times New Roman" w:hAnsi="Times New Roman" w:eastAsia="仿宋_GB2312" w:cs="Times New Roman"/>
          <w:b w:val="0"/>
          <w:bCs w:val="0"/>
          <w:color w:val="auto"/>
          <w:sz w:val="32"/>
          <w:szCs w:val="32"/>
          <w:shd w:val="clear" w:color="auto" w:fill="FFFFFF"/>
          <w:lang w:eastAsia="zh-CN"/>
        </w:rPr>
        <w:t>三是</w:t>
      </w:r>
      <w:r>
        <w:rPr>
          <w:rStyle w:val="6"/>
          <w:rFonts w:hint="eastAsia" w:ascii="Times New Roman" w:hAnsi="Times New Roman" w:eastAsia="仿宋_GB2312" w:cs="Times New Roman"/>
          <w:b w:val="0"/>
          <w:bCs w:val="0"/>
          <w:color w:val="auto"/>
          <w:sz w:val="32"/>
          <w:szCs w:val="32"/>
          <w:shd w:val="clear" w:color="auto" w:fill="FFFFFF"/>
        </w:rPr>
        <w:t>进一步适应新常态、新思路，</w:t>
      </w:r>
      <w:r>
        <w:rPr>
          <w:rStyle w:val="6"/>
          <w:rFonts w:hint="eastAsia" w:ascii="Times New Roman" w:hAnsi="Times New Roman" w:eastAsia="仿宋_GB2312" w:cs="Times New Roman"/>
          <w:b w:val="0"/>
          <w:bCs w:val="0"/>
          <w:color w:val="auto"/>
          <w:sz w:val="32"/>
          <w:szCs w:val="32"/>
          <w:shd w:val="clear" w:color="auto" w:fill="FFFFFF"/>
          <w:lang w:eastAsia="zh-CN"/>
        </w:rPr>
        <w:t>创新政务公开形式，</w:t>
      </w:r>
      <w:r>
        <w:rPr>
          <w:rStyle w:val="6"/>
          <w:rFonts w:hint="eastAsia" w:ascii="Times New Roman" w:hAnsi="Times New Roman" w:eastAsia="仿宋_GB2312" w:cs="Times New Roman"/>
          <w:b w:val="0"/>
          <w:bCs w:val="0"/>
          <w:color w:val="auto"/>
          <w:sz w:val="32"/>
          <w:szCs w:val="32"/>
          <w:shd w:val="clear" w:color="auto" w:fill="FFFFFF"/>
        </w:rPr>
        <w:t>不断提升政府信息公开工作整体水平，</w:t>
      </w:r>
      <w:r>
        <w:rPr>
          <w:rStyle w:val="6"/>
          <w:rFonts w:hint="eastAsia" w:ascii="Times New Roman" w:hAnsi="Times New Roman" w:eastAsia="仿宋_GB2312" w:cs="Times New Roman"/>
          <w:b w:val="0"/>
          <w:bCs w:val="0"/>
          <w:color w:val="auto"/>
          <w:sz w:val="32"/>
          <w:szCs w:val="32"/>
          <w:shd w:val="clear" w:color="auto" w:fill="FFFFFF"/>
          <w:lang w:eastAsia="zh-CN"/>
        </w:rPr>
        <w:t>通过与其他镇办交流学习等形式，</w:t>
      </w:r>
      <w:r>
        <w:rPr>
          <w:rStyle w:val="6"/>
          <w:rFonts w:hint="eastAsia" w:eastAsia="仿宋_GB2312" w:cs="Times New Roman"/>
          <w:b w:val="0"/>
          <w:bCs w:val="0"/>
          <w:color w:val="auto"/>
          <w:sz w:val="32"/>
          <w:szCs w:val="32"/>
          <w:shd w:val="clear" w:color="auto" w:fill="FFFFFF"/>
          <w:lang w:eastAsia="zh-CN"/>
        </w:rPr>
        <w:t>加强</w:t>
      </w:r>
      <w:r>
        <w:rPr>
          <w:rStyle w:val="6"/>
          <w:rFonts w:hint="eastAsia" w:ascii="Times New Roman" w:hAnsi="Times New Roman" w:eastAsia="仿宋_GB2312" w:cs="Times New Roman"/>
          <w:b w:val="0"/>
          <w:bCs w:val="0"/>
          <w:color w:val="auto"/>
          <w:sz w:val="32"/>
          <w:szCs w:val="32"/>
          <w:shd w:val="clear" w:color="auto" w:fill="FFFFFF"/>
        </w:rPr>
        <w:t>干部职工</w:t>
      </w:r>
      <w:r>
        <w:rPr>
          <w:rStyle w:val="6"/>
          <w:rFonts w:hint="eastAsia" w:ascii="Times New Roman" w:hAnsi="Times New Roman" w:eastAsia="仿宋_GB2312" w:cs="Times New Roman"/>
          <w:b w:val="0"/>
          <w:bCs w:val="0"/>
          <w:color w:val="auto"/>
          <w:sz w:val="32"/>
          <w:szCs w:val="32"/>
          <w:shd w:val="clear" w:color="auto" w:fill="FFFFFF"/>
          <w:lang w:eastAsia="zh-CN"/>
        </w:rPr>
        <w:t>的</w:t>
      </w:r>
      <w:r>
        <w:rPr>
          <w:rStyle w:val="6"/>
          <w:rFonts w:hint="eastAsia" w:ascii="Times New Roman" w:hAnsi="Times New Roman" w:eastAsia="仿宋_GB2312" w:cs="Times New Roman"/>
          <w:b w:val="0"/>
          <w:bCs w:val="0"/>
          <w:color w:val="auto"/>
          <w:sz w:val="32"/>
          <w:szCs w:val="32"/>
          <w:shd w:val="clear" w:color="auto" w:fill="FFFFFF"/>
        </w:rPr>
        <w:t>理论知识学习，提升专业素养。</w:t>
      </w:r>
    </w:p>
    <w:p>
      <w:pPr>
        <w:pStyle w:val="7"/>
        <w:keepNext w:val="0"/>
        <w:keepLines w:val="0"/>
        <w:pageBreakBefore w:val="0"/>
        <w:widowControl/>
        <w:shd w:val="clear" w:color="auto" w:fill="FFFFFF"/>
        <w:kinsoku/>
        <w:wordWrap/>
        <w:overflowPunct/>
        <w:topLinePunct w:val="0"/>
        <w:autoSpaceDE/>
        <w:autoSpaceDN/>
        <w:bidi w:val="0"/>
        <w:adjustRightInd/>
        <w:spacing w:line="500" w:lineRule="exact"/>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黑体" w:hAnsi="黑体" w:eastAsia="黑体" w:cs="宋体"/>
          <w:color w:val="333333"/>
          <w:sz w:val="32"/>
          <w:szCs w:val="32"/>
          <w:shd w:val="clear" w:color="auto" w:fill="FFFFFF"/>
          <w:lang w:val="en-US" w:eastAsia="zh-CN"/>
        </w:rPr>
        <w:t xml:space="preserve">    </w:t>
      </w:r>
      <w:r>
        <w:rPr>
          <w:rFonts w:hint="eastAsia" w:ascii="黑体" w:hAnsi="黑体" w:eastAsia="黑体" w:cs="宋体"/>
          <w:color w:val="333333"/>
          <w:sz w:val="32"/>
          <w:szCs w:val="32"/>
          <w:shd w:val="clear" w:color="auto" w:fill="FFFFFF"/>
        </w:rPr>
        <w:t>六、其他需要报告的事项</w:t>
      </w:r>
    </w:p>
    <w:p>
      <w:pPr>
        <w:pStyle w:val="7"/>
        <w:keepNext w:val="0"/>
        <w:keepLines w:val="0"/>
        <w:pageBreakBefore w:val="0"/>
        <w:numPr>
          <w:ilvl w:val="0"/>
          <w:numId w:val="0"/>
        </w:numPr>
        <w:kinsoku/>
        <w:wordWrap/>
        <w:overflowPunct/>
        <w:topLinePunct w:val="0"/>
        <w:autoSpaceDE/>
        <w:autoSpaceDN/>
        <w:bidi w:val="0"/>
        <w:adjustRightInd/>
        <w:snapToGrid w:val="0"/>
        <w:spacing w:line="500" w:lineRule="exact"/>
        <w:ind w:firstLine="643" w:firstLineChars="200"/>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（一）依据《政府信息公开信息处理费管理办法》收取信息处理费情况</w:t>
      </w:r>
    </w:p>
    <w:p>
      <w:pPr>
        <w:pStyle w:val="7"/>
        <w:keepNext w:val="0"/>
        <w:keepLines w:val="0"/>
        <w:pageBreakBefore w:val="0"/>
        <w:kinsoku/>
        <w:wordWrap/>
        <w:overflowPunct/>
        <w:topLinePunct w:val="0"/>
        <w:autoSpaceDE/>
        <w:autoSpaceDN/>
        <w:bidi w:val="0"/>
        <w:adjustRightInd/>
        <w:snapToGrid w:val="0"/>
        <w:spacing w:line="500" w:lineRule="exact"/>
        <w:ind w:firstLine="640" w:firstLineChars="200"/>
        <w:jc w:val="both"/>
        <w:textAlignment w:val="auto"/>
        <w:outlineLvl w:val="9"/>
        <w:rPr>
          <w:rFonts w:hint="default"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eastAsia="zh-CN"/>
        </w:rPr>
        <w:t>收费情况。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pStyle w:val="7"/>
        <w:keepNext w:val="0"/>
        <w:keepLines w:val="0"/>
        <w:pageBreakBefore w:val="0"/>
        <w:numPr>
          <w:ilvl w:val="0"/>
          <w:numId w:val="4"/>
        </w:numPr>
        <w:kinsoku/>
        <w:wordWrap/>
        <w:overflowPunct/>
        <w:topLinePunct w:val="0"/>
        <w:autoSpaceDE/>
        <w:autoSpaceDN/>
        <w:bidi w:val="0"/>
        <w:adjustRightInd/>
        <w:snapToGrid w:val="0"/>
        <w:spacing w:line="500" w:lineRule="exact"/>
        <w:ind w:firstLine="643" w:firstLineChars="200"/>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落实上级年度政务公开工作要点情况</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outlineLvl w:val="9"/>
        <w:rPr>
          <w:rFonts w:hint="eastAsia" w:ascii="仿宋_GB2312" w:hAnsi="宋体" w:eastAsia="仿宋_GB2312" w:cs="宋体"/>
          <w:b w:val="0"/>
          <w:bCs w:val="0"/>
          <w:color w:val="333333"/>
          <w:sz w:val="32"/>
          <w:szCs w:val="32"/>
          <w:shd w:val="clear" w:color="auto" w:fill="FFFFFF"/>
          <w:lang w:val="en-US" w:eastAsia="zh-CN"/>
        </w:rPr>
      </w:pPr>
      <w:r>
        <w:rPr>
          <w:rFonts w:hint="eastAsia" w:ascii="仿宋_GB2312" w:hAnsi="宋体" w:eastAsia="仿宋_GB2312" w:cs="宋体"/>
          <w:b w:val="0"/>
          <w:bCs w:val="0"/>
          <w:color w:val="333333"/>
          <w:sz w:val="32"/>
          <w:szCs w:val="32"/>
          <w:shd w:val="clear" w:color="auto" w:fill="FFFFFF"/>
          <w:lang w:val="en-US" w:eastAsia="zh-CN"/>
        </w:rPr>
        <w:t>1.建立健全政务公开工作制度。完善主动公开、依申请公开机制，按规定的内容和时限公开。成立我镇信息公开领导小组和办公室，主要负责同志定期听取政务公开工作汇报，研究部署推进工作。确定一位班子成员分管政务公开工作，将政务公开工作纳入绩效考核体系，并且开展工作培训，逐步建立健全政务公开的长效机制。</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outlineLvl w:val="9"/>
        <w:rPr>
          <w:rFonts w:hint="eastAsia" w:ascii="仿宋_GB2312" w:hAnsi="宋体" w:eastAsia="仿宋_GB2312" w:cs="宋体"/>
          <w:b w:val="0"/>
          <w:bCs w:val="0"/>
          <w:color w:val="333333"/>
          <w:sz w:val="32"/>
          <w:szCs w:val="32"/>
          <w:shd w:val="clear" w:color="auto" w:fill="FFFFFF"/>
          <w:lang w:val="en-US" w:eastAsia="zh-CN"/>
        </w:rPr>
      </w:pPr>
      <w:r>
        <w:rPr>
          <w:rFonts w:hint="eastAsia" w:ascii="仿宋_GB2312" w:hAnsi="宋体" w:eastAsia="仿宋_GB2312" w:cs="宋体"/>
          <w:b w:val="0"/>
          <w:bCs w:val="0"/>
          <w:color w:val="333333"/>
          <w:sz w:val="32"/>
          <w:szCs w:val="32"/>
          <w:shd w:val="clear" w:color="auto" w:fill="FFFFFF"/>
          <w:lang w:val="en-US" w:eastAsia="zh-CN"/>
        </w:rPr>
        <w:t>2.认真落实政务公开重点工作任务，推进权力清单和责任清单公开，及时对权责清单进行动态调整，适时更新完善权责清单和本级政府行政机关机构职能目录，按照《沂源县人民政府办公室关于印发沂源县全面推行行政指导工作的通知》（源政办字〔2021〕17号）要求，通过政府信息公开平台公开本单位行政指导事项目录清单，推进政务服务标准化、规范化、便利化。</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outlineLvl w:val="9"/>
        <w:rPr>
          <w:rFonts w:hint="eastAsia" w:ascii="仿宋_GB2312" w:hAnsi="宋体" w:eastAsia="仿宋_GB2312" w:cs="宋体"/>
          <w:b w:val="0"/>
          <w:bCs w:val="0"/>
          <w:color w:val="333333"/>
          <w:sz w:val="32"/>
          <w:szCs w:val="32"/>
          <w:shd w:val="clear" w:color="auto" w:fill="FFFFFF"/>
          <w:lang w:val="en-US" w:eastAsia="zh-CN"/>
        </w:rPr>
      </w:pPr>
      <w:r>
        <w:rPr>
          <w:rFonts w:hint="eastAsia" w:ascii="仿宋_GB2312" w:hAnsi="宋体" w:eastAsia="仿宋_GB2312" w:cs="宋体"/>
          <w:b w:val="0"/>
          <w:bCs w:val="0"/>
          <w:color w:val="333333"/>
          <w:sz w:val="32"/>
          <w:szCs w:val="32"/>
          <w:shd w:val="clear" w:color="auto" w:fill="FFFFFF"/>
          <w:lang w:val="en-US" w:eastAsia="zh-CN"/>
        </w:rPr>
        <w:t>3.加强政务公开平台建设，推进政务服务公开。充分发挥沂源县人民政府网站的平台作用，在县政府和大数据局的指导下增设政务公开项目，政务公开目录、内容等更加健全完善，及时发布完善机构职能、领导分工、政府文件、部门文件、重点领域公开等信息，确保应当公开的内容及时公开。</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outlineLvl w:val="9"/>
        <w:rPr>
          <w:rFonts w:hint="eastAsia" w:ascii="仿宋_GB2312" w:hAnsi="宋体" w:eastAsia="仿宋_GB2312" w:cs="宋体"/>
          <w:b w:val="0"/>
          <w:bCs w:val="0"/>
          <w:color w:val="333333"/>
          <w:sz w:val="32"/>
          <w:szCs w:val="32"/>
          <w:shd w:val="clear" w:color="auto" w:fill="FFFFFF"/>
          <w:lang w:val="en-US" w:eastAsia="zh-CN"/>
        </w:rPr>
      </w:pPr>
      <w:r>
        <w:rPr>
          <w:rFonts w:hint="eastAsia" w:ascii="仿宋_GB2312" w:hAnsi="宋体" w:eastAsia="仿宋_GB2312" w:cs="宋体"/>
          <w:b w:val="0"/>
          <w:bCs w:val="0"/>
          <w:color w:val="333333"/>
          <w:sz w:val="32"/>
          <w:szCs w:val="32"/>
          <w:shd w:val="clear" w:color="auto" w:fill="FFFFFF"/>
          <w:lang w:val="en-US" w:eastAsia="zh-CN"/>
        </w:rPr>
        <w:t>4.切实加强回应社会关切</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val="0"/>
          <w:bCs w:val="0"/>
          <w:color w:val="333333"/>
          <w:sz w:val="32"/>
          <w:szCs w:val="32"/>
          <w:shd w:val="clear" w:color="auto" w:fill="FFFFFF"/>
          <w:lang w:val="en-US" w:eastAsia="zh-CN"/>
        </w:rPr>
        <w:t>对涉及本镇的重要政务舆情、媒体关切等热点问题，及时研判处置，提高回应的及时性、权威性，讲清事实真相、有关政策措施、处置结果等。针对涉及突发事件的各种虚假不实信息，要迅速澄清事实，消除不良影响</w:t>
      </w:r>
      <w:r>
        <w:rPr>
          <w:rFonts w:hint="eastAsia" w:ascii="仿宋_GB2312" w:hAnsi="宋体" w:eastAsia="仿宋_GB2312" w:cs="宋体"/>
          <w:b/>
          <w:bCs/>
          <w:color w:val="333333"/>
          <w:sz w:val="32"/>
          <w:szCs w:val="32"/>
          <w:shd w:val="clear" w:color="auto" w:fill="FFFFFF"/>
          <w:lang w:val="en-US" w:eastAsia="zh-CN"/>
        </w:rPr>
        <w:t>。</w:t>
      </w:r>
    </w:p>
    <w:p>
      <w:pPr>
        <w:pStyle w:val="7"/>
        <w:keepNext w:val="0"/>
        <w:keepLines w:val="0"/>
        <w:pageBreakBefore w:val="0"/>
        <w:numPr>
          <w:ilvl w:val="0"/>
          <w:numId w:val="0"/>
        </w:numPr>
        <w:kinsoku/>
        <w:wordWrap/>
        <w:overflowPunct/>
        <w:topLinePunct w:val="0"/>
        <w:autoSpaceDE/>
        <w:autoSpaceDN/>
        <w:bidi w:val="0"/>
        <w:adjustRightInd/>
        <w:snapToGrid w:val="0"/>
        <w:spacing w:line="500" w:lineRule="exact"/>
        <w:ind w:firstLine="643" w:firstLineChars="200"/>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（三）人大代表建议和政协提案办理结果公开情况</w:t>
      </w:r>
    </w:p>
    <w:p>
      <w:pPr>
        <w:pStyle w:val="7"/>
        <w:keepNext w:val="0"/>
        <w:keepLines w:val="0"/>
        <w:pageBreakBefore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outlineLvl w:val="9"/>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val="en-US" w:eastAsia="zh-CN"/>
        </w:rPr>
        <w:t>自2021年1月1日起至2021年12月31日，我镇办理答复人大代表建议和政协提案2条，已全部公开。</w:t>
      </w:r>
    </w:p>
    <w:p>
      <w:pPr>
        <w:pStyle w:val="7"/>
        <w:keepNext w:val="0"/>
        <w:keepLines w:val="0"/>
        <w:pageBreakBefore w:val="0"/>
        <w:kinsoku/>
        <w:wordWrap/>
        <w:overflowPunct/>
        <w:topLinePunct w:val="0"/>
        <w:autoSpaceDE/>
        <w:autoSpaceDN/>
        <w:bidi w:val="0"/>
        <w:adjustRightInd/>
        <w:snapToGrid w:val="0"/>
        <w:spacing w:line="500" w:lineRule="exact"/>
        <w:ind w:firstLine="643" w:firstLineChars="200"/>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（四）年度政务公开工作创新情况</w:t>
      </w:r>
    </w:p>
    <w:p>
      <w:pPr>
        <w:pStyle w:val="7"/>
        <w:keepNext w:val="0"/>
        <w:keepLines w:val="0"/>
        <w:pageBreakBefore w:val="0"/>
        <w:kinsoku/>
        <w:wordWrap/>
        <w:overflowPunct/>
        <w:topLinePunct w:val="0"/>
        <w:autoSpaceDE/>
        <w:autoSpaceDN/>
        <w:bidi w:val="0"/>
        <w:adjustRightInd/>
        <w:snapToGrid w:val="0"/>
        <w:spacing w:line="500" w:lineRule="exact"/>
        <w:ind w:firstLine="640" w:firstLineChars="200"/>
        <w:jc w:val="both"/>
        <w:textAlignment w:val="auto"/>
        <w:outlineLvl w:val="9"/>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val="en-US" w:eastAsia="zh-CN"/>
        </w:rPr>
        <w:t>创新政务公开工作方式方法。将政府门户网站作为信息公开第一平台，统筹规范栏目设置，对栏目缺失和重复现象及时整改，查漏补缺，充分发挥网站发布信息、解读政策、回应关切、引导舆论的功能。着力打造政府网站数据库，完善搜索查询功能，将需要公开的信息分门别类，以便群众获取。增强与微信公众号等新媒体的联动，增强信息传播效果。</w:t>
      </w:r>
    </w:p>
    <w:p>
      <w:pPr>
        <w:pStyle w:val="7"/>
        <w:keepNext w:val="0"/>
        <w:keepLines w:val="0"/>
        <w:pageBreakBefore w:val="0"/>
        <w:kinsoku/>
        <w:wordWrap/>
        <w:overflowPunct/>
        <w:topLinePunct w:val="0"/>
        <w:autoSpaceDE/>
        <w:autoSpaceDN/>
        <w:bidi w:val="0"/>
        <w:adjustRightInd/>
        <w:snapToGrid w:val="0"/>
        <w:spacing w:line="500" w:lineRule="exact"/>
        <w:ind w:firstLine="643" w:firstLineChars="200"/>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（五）政府信息公开工作年度报告数据统计需要说明的事项</w:t>
      </w:r>
    </w:p>
    <w:p>
      <w:pPr>
        <w:pStyle w:val="7"/>
        <w:keepNext w:val="0"/>
        <w:keepLines w:val="0"/>
        <w:pageBreakBefore w:val="0"/>
        <w:kinsoku/>
        <w:wordWrap/>
        <w:overflowPunct/>
        <w:topLinePunct w:val="0"/>
        <w:autoSpaceDE/>
        <w:autoSpaceDN/>
        <w:bidi w:val="0"/>
        <w:adjustRightInd/>
        <w:snapToGrid w:val="0"/>
        <w:spacing w:line="500" w:lineRule="exact"/>
        <w:ind w:firstLine="930" w:firstLineChars="300"/>
        <w:jc w:val="both"/>
        <w:textAlignment w:val="auto"/>
        <w:outlineLvl w:val="9"/>
        <w:rPr>
          <w:rFonts w:ascii="仿宋" w:hAnsi="仿宋" w:eastAsia="仿宋" w:cs="仿宋"/>
          <w:i w:val="0"/>
          <w:iCs w:val="0"/>
          <w:caps w:val="0"/>
          <w:color w:val="000000"/>
          <w:spacing w:val="0"/>
          <w:sz w:val="31"/>
          <w:szCs w:val="31"/>
          <w:shd w:val="clear" w:fill="FFFFFF"/>
        </w:rPr>
      </w:pPr>
      <w:r>
        <w:rPr>
          <w:rFonts w:ascii="仿宋" w:hAnsi="仿宋" w:eastAsia="仿宋" w:cs="仿宋"/>
          <w:i w:val="0"/>
          <w:iCs w:val="0"/>
          <w:caps w:val="0"/>
          <w:color w:val="000000"/>
          <w:spacing w:val="0"/>
          <w:sz w:val="31"/>
          <w:szCs w:val="31"/>
          <w:shd w:val="clear" w:fill="FFFFFF"/>
        </w:rPr>
        <w:t>无年度报告数据统计</w:t>
      </w:r>
      <w:r>
        <w:rPr>
          <w:rFonts w:hint="eastAsia" w:ascii="仿宋" w:hAnsi="仿宋" w:eastAsia="仿宋" w:cs="仿宋"/>
          <w:i w:val="0"/>
          <w:iCs w:val="0"/>
          <w:caps w:val="0"/>
          <w:color w:val="000000"/>
          <w:spacing w:val="0"/>
          <w:sz w:val="31"/>
          <w:szCs w:val="31"/>
          <w:shd w:val="clear" w:fill="FFFFFF"/>
          <w:lang w:eastAsia="zh-CN"/>
        </w:rPr>
        <w:t>需要</w:t>
      </w:r>
      <w:r>
        <w:rPr>
          <w:rFonts w:ascii="仿宋" w:hAnsi="仿宋" w:eastAsia="仿宋" w:cs="仿宋"/>
          <w:i w:val="0"/>
          <w:iCs w:val="0"/>
          <w:caps w:val="0"/>
          <w:color w:val="000000"/>
          <w:spacing w:val="0"/>
          <w:sz w:val="31"/>
          <w:szCs w:val="31"/>
          <w:shd w:val="clear" w:fill="FFFFFF"/>
        </w:rPr>
        <w:t>说明事项</w:t>
      </w:r>
    </w:p>
    <w:p>
      <w:pPr>
        <w:pStyle w:val="7"/>
        <w:keepNext w:val="0"/>
        <w:keepLines w:val="0"/>
        <w:pageBreakBefore w:val="0"/>
        <w:kinsoku/>
        <w:wordWrap/>
        <w:overflowPunct/>
        <w:topLinePunct w:val="0"/>
        <w:autoSpaceDE/>
        <w:autoSpaceDN/>
        <w:bidi w:val="0"/>
        <w:adjustRightInd/>
        <w:snapToGrid w:val="0"/>
        <w:spacing w:line="500" w:lineRule="exact"/>
        <w:ind w:firstLine="643" w:firstLineChars="200"/>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（六）需要报告的其他事项</w:t>
      </w:r>
    </w:p>
    <w:p>
      <w:pPr>
        <w:pStyle w:val="7"/>
        <w:keepNext w:val="0"/>
        <w:keepLines w:val="0"/>
        <w:pageBreakBefore w:val="0"/>
        <w:kinsoku/>
        <w:wordWrap/>
        <w:overflowPunct/>
        <w:topLinePunct w:val="0"/>
        <w:autoSpaceDE/>
        <w:autoSpaceDN/>
        <w:bidi w:val="0"/>
        <w:adjustRightInd/>
        <w:snapToGrid w:val="0"/>
        <w:spacing w:line="500" w:lineRule="exact"/>
        <w:ind w:firstLine="960" w:firstLineChars="300"/>
        <w:jc w:val="both"/>
        <w:textAlignment w:val="auto"/>
        <w:outlineLvl w:val="9"/>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val="en-US" w:eastAsia="zh-CN"/>
        </w:rPr>
        <w:t>无其他事项需要报告</w:t>
      </w:r>
    </w:p>
    <w:p>
      <w:pPr>
        <w:pStyle w:val="7"/>
        <w:keepNext w:val="0"/>
        <w:keepLines w:val="0"/>
        <w:pageBreakBefore w:val="0"/>
        <w:kinsoku/>
        <w:wordWrap/>
        <w:overflowPunct/>
        <w:topLinePunct w:val="0"/>
        <w:autoSpaceDE/>
        <w:autoSpaceDN/>
        <w:bidi w:val="0"/>
        <w:adjustRightInd/>
        <w:snapToGrid w:val="0"/>
        <w:spacing w:line="500" w:lineRule="exact"/>
        <w:ind w:firstLine="643" w:firstLineChars="200"/>
        <w:jc w:val="both"/>
        <w:textAlignment w:val="auto"/>
        <w:outlineLvl w:val="9"/>
        <w:rPr>
          <w:rFonts w:hint="default"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（七）其他有关文件专门要求通过政府信息公开工作年度报告予以报告的事项</w:t>
      </w:r>
    </w:p>
    <w:p>
      <w:pPr>
        <w:pStyle w:val="7"/>
        <w:keepNext w:val="0"/>
        <w:keepLines w:val="0"/>
        <w:pageBreakBefore w:val="0"/>
        <w:kinsoku/>
        <w:wordWrap/>
        <w:overflowPunct/>
        <w:topLinePunct w:val="0"/>
        <w:autoSpaceDE/>
        <w:autoSpaceDN/>
        <w:bidi w:val="0"/>
        <w:adjustRightInd/>
        <w:snapToGrid w:val="0"/>
        <w:spacing w:line="500" w:lineRule="exact"/>
        <w:ind w:firstLine="960" w:firstLineChars="300"/>
        <w:jc w:val="both"/>
        <w:textAlignment w:val="auto"/>
        <w:outlineLvl w:val="9"/>
        <w:rPr>
          <w:rFonts w:hint="eastAsia" w:ascii="仿宋_GB2312" w:hAnsi="宋体" w:eastAsia="仿宋_GB2312" w:cs="宋体"/>
          <w:color w:val="333333"/>
          <w:sz w:val="32"/>
          <w:szCs w:val="32"/>
          <w:shd w:val="clear" w:color="auto" w:fill="FFFFFF"/>
          <w:lang w:eastAsia="zh-CN"/>
        </w:rPr>
      </w:pPr>
      <w:r>
        <w:rPr>
          <w:rFonts w:hint="eastAsia" w:ascii="仿宋_GB2312" w:hAnsi="宋体" w:eastAsia="仿宋_GB2312" w:cs="宋体"/>
          <w:color w:val="333333"/>
          <w:sz w:val="32"/>
          <w:szCs w:val="32"/>
          <w:shd w:val="clear" w:color="auto" w:fill="FFFFFF"/>
          <w:lang w:val="en-US" w:eastAsia="zh-CN"/>
        </w:rPr>
        <w:t>无其他事项需要报告</w:t>
      </w:r>
    </w:p>
    <w:p>
      <w:pPr>
        <w:pStyle w:val="7"/>
        <w:keepNext w:val="0"/>
        <w:keepLines w:val="0"/>
        <w:pageBreakBefore w:val="0"/>
        <w:kinsoku/>
        <w:wordWrap/>
        <w:overflowPunct/>
        <w:topLinePunct w:val="0"/>
        <w:autoSpaceDE/>
        <w:autoSpaceDN/>
        <w:bidi w:val="0"/>
        <w:adjustRightInd/>
        <w:snapToGrid w:val="0"/>
        <w:spacing w:line="500" w:lineRule="exact"/>
        <w:ind w:firstLine="640" w:firstLineChars="200"/>
        <w:jc w:val="both"/>
        <w:textAlignment w:val="auto"/>
        <w:outlineLvl w:val="9"/>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val="en-US" w:eastAsia="zh-CN"/>
        </w:rPr>
        <w:t xml:space="preserve">                            </w:t>
      </w:r>
    </w:p>
    <w:p>
      <w:pPr>
        <w:pStyle w:val="7"/>
        <w:keepNext w:val="0"/>
        <w:keepLines w:val="0"/>
        <w:pageBreakBefore w:val="0"/>
        <w:kinsoku/>
        <w:wordWrap/>
        <w:overflowPunct/>
        <w:topLinePunct w:val="0"/>
        <w:autoSpaceDE/>
        <w:autoSpaceDN/>
        <w:bidi w:val="0"/>
        <w:adjustRightInd/>
        <w:snapToGrid w:val="0"/>
        <w:spacing w:line="500" w:lineRule="exact"/>
        <w:ind w:firstLine="5440" w:firstLineChars="1700"/>
        <w:jc w:val="both"/>
        <w:textAlignment w:val="auto"/>
        <w:outlineLvl w:val="9"/>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val="en-US" w:eastAsia="zh-CN"/>
        </w:rPr>
        <w:t>2022年1月10日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D"/>
    <w:multiLevelType w:val="singleLevel"/>
    <w:tmpl w:val="0000000D"/>
    <w:lvl w:ilvl="0" w:tentative="0">
      <w:start w:val="1"/>
      <w:numFmt w:val="chineseCounting"/>
      <w:suff w:val="nothing"/>
      <w:lvlText w:val="（%1）"/>
      <w:lvlJc w:val="left"/>
      <w:pPr>
        <w:ind w:left="-10"/>
      </w:pPr>
    </w:lvl>
  </w:abstractNum>
  <w:abstractNum w:abstractNumId="2">
    <w:nsid w:val="04AB190B"/>
    <w:multiLevelType w:val="singleLevel"/>
    <w:tmpl w:val="04AB190B"/>
    <w:lvl w:ilvl="0" w:tentative="0">
      <w:start w:val="1"/>
      <w:numFmt w:val="chineseCounting"/>
      <w:suff w:val="nothing"/>
      <w:lvlText w:val="%1、"/>
      <w:lvlJc w:val="left"/>
      <w:rPr>
        <w:rFonts w:hint="eastAsia"/>
      </w:rPr>
    </w:lvl>
  </w:abstractNum>
  <w:abstractNum w:abstractNumId="3">
    <w:nsid w:val="06EFF723"/>
    <w:multiLevelType w:val="singleLevel"/>
    <w:tmpl w:val="06EFF723"/>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71B68"/>
    <w:rsid w:val="02DA4776"/>
    <w:rsid w:val="033E696D"/>
    <w:rsid w:val="03FB6549"/>
    <w:rsid w:val="05F26BC8"/>
    <w:rsid w:val="064918B1"/>
    <w:rsid w:val="0995305F"/>
    <w:rsid w:val="09C06A67"/>
    <w:rsid w:val="0C7D0A90"/>
    <w:rsid w:val="0D682F64"/>
    <w:rsid w:val="0DBF06AB"/>
    <w:rsid w:val="0E214EC1"/>
    <w:rsid w:val="0EED1247"/>
    <w:rsid w:val="10875725"/>
    <w:rsid w:val="10A74D0F"/>
    <w:rsid w:val="10F352F5"/>
    <w:rsid w:val="111D5E14"/>
    <w:rsid w:val="11867E5D"/>
    <w:rsid w:val="13737F6D"/>
    <w:rsid w:val="13A37E6F"/>
    <w:rsid w:val="14744FB8"/>
    <w:rsid w:val="15F315EF"/>
    <w:rsid w:val="16AC6DE4"/>
    <w:rsid w:val="176E384F"/>
    <w:rsid w:val="17C214C3"/>
    <w:rsid w:val="1952228A"/>
    <w:rsid w:val="19947BE2"/>
    <w:rsid w:val="1AC74D79"/>
    <w:rsid w:val="1B097409"/>
    <w:rsid w:val="1B4F7512"/>
    <w:rsid w:val="1B5E4E89"/>
    <w:rsid w:val="1BC03F6C"/>
    <w:rsid w:val="1E0B732E"/>
    <w:rsid w:val="1EF31DBD"/>
    <w:rsid w:val="1F924F9F"/>
    <w:rsid w:val="1F933745"/>
    <w:rsid w:val="1F980D5B"/>
    <w:rsid w:val="22763833"/>
    <w:rsid w:val="22775A7A"/>
    <w:rsid w:val="22B002C2"/>
    <w:rsid w:val="23952182"/>
    <w:rsid w:val="24697B84"/>
    <w:rsid w:val="255A0F8D"/>
    <w:rsid w:val="2650413E"/>
    <w:rsid w:val="271B0BF0"/>
    <w:rsid w:val="273568A4"/>
    <w:rsid w:val="28394853"/>
    <w:rsid w:val="2844757A"/>
    <w:rsid w:val="28776A06"/>
    <w:rsid w:val="2CD45AC9"/>
    <w:rsid w:val="2E8C0E31"/>
    <w:rsid w:val="2F4B1946"/>
    <w:rsid w:val="31A87524"/>
    <w:rsid w:val="34EF05F2"/>
    <w:rsid w:val="36F506AD"/>
    <w:rsid w:val="37844FAB"/>
    <w:rsid w:val="39D54C2E"/>
    <w:rsid w:val="3D193084"/>
    <w:rsid w:val="3DDC1B5E"/>
    <w:rsid w:val="3E2643E7"/>
    <w:rsid w:val="3E996570"/>
    <w:rsid w:val="3EE36D79"/>
    <w:rsid w:val="3F197A96"/>
    <w:rsid w:val="3F8C0042"/>
    <w:rsid w:val="419D3E11"/>
    <w:rsid w:val="428365DA"/>
    <w:rsid w:val="436A288B"/>
    <w:rsid w:val="442E5667"/>
    <w:rsid w:val="448C05DF"/>
    <w:rsid w:val="44E73A68"/>
    <w:rsid w:val="45D95AEB"/>
    <w:rsid w:val="477535AD"/>
    <w:rsid w:val="49CB21C4"/>
    <w:rsid w:val="4BEB6533"/>
    <w:rsid w:val="4E2F62EB"/>
    <w:rsid w:val="4EA71845"/>
    <w:rsid w:val="4EE5726A"/>
    <w:rsid w:val="4FF77255"/>
    <w:rsid w:val="503314C3"/>
    <w:rsid w:val="5082087C"/>
    <w:rsid w:val="50BF6559"/>
    <w:rsid w:val="5141379C"/>
    <w:rsid w:val="51F021AD"/>
    <w:rsid w:val="52681859"/>
    <w:rsid w:val="53A019B1"/>
    <w:rsid w:val="55A439DB"/>
    <w:rsid w:val="55A75279"/>
    <w:rsid w:val="55CC1183"/>
    <w:rsid w:val="589715D5"/>
    <w:rsid w:val="5A3F22BE"/>
    <w:rsid w:val="5A5B488C"/>
    <w:rsid w:val="5A850901"/>
    <w:rsid w:val="5B4A5024"/>
    <w:rsid w:val="5B4D0590"/>
    <w:rsid w:val="5BA142A2"/>
    <w:rsid w:val="5BE014E5"/>
    <w:rsid w:val="5D521F6E"/>
    <w:rsid w:val="5E0076AA"/>
    <w:rsid w:val="5EE52114"/>
    <w:rsid w:val="5EF86B45"/>
    <w:rsid w:val="5F2D2D5B"/>
    <w:rsid w:val="5F41673E"/>
    <w:rsid w:val="60132BBC"/>
    <w:rsid w:val="61E33ADD"/>
    <w:rsid w:val="62F42FAE"/>
    <w:rsid w:val="643423CE"/>
    <w:rsid w:val="64C73242"/>
    <w:rsid w:val="657B6664"/>
    <w:rsid w:val="65950CDA"/>
    <w:rsid w:val="671B5AC7"/>
    <w:rsid w:val="67825B46"/>
    <w:rsid w:val="68791920"/>
    <w:rsid w:val="68AB4C28"/>
    <w:rsid w:val="6ABD2AF4"/>
    <w:rsid w:val="6B296FCD"/>
    <w:rsid w:val="6B6F63E1"/>
    <w:rsid w:val="6D3E250F"/>
    <w:rsid w:val="6E2912F0"/>
    <w:rsid w:val="6F23376B"/>
    <w:rsid w:val="708450DF"/>
    <w:rsid w:val="71227EB6"/>
    <w:rsid w:val="72B72B58"/>
    <w:rsid w:val="73475A29"/>
    <w:rsid w:val="78D21D0C"/>
    <w:rsid w:val="79B17A43"/>
    <w:rsid w:val="7AE065D8"/>
    <w:rsid w:val="7BF96CF1"/>
    <w:rsid w:val="7C0D1885"/>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Normal (Web)"/>
    <w:basedOn w:val="8"/>
    <w:qFormat/>
    <w:uiPriority w:val="0"/>
    <w:pPr>
      <w:jc w:val="left"/>
    </w:pPr>
    <w:rPr>
      <w:rFonts w:cs="Times New Roman"/>
      <w:kern w:val="0"/>
      <w:sz w:val="24"/>
    </w:rPr>
  </w:style>
  <w:style w:type="paragraph" w:customStyle="1" w:styleId="8">
    <w:name w:val="正文 New"/>
    <w:qFormat/>
    <w:uiPriority w:val="0"/>
    <w:pPr>
      <w:widowControl w:val="0"/>
      <w:jc w:val="both"/>
    </w:pPr>
    <w:rPr>
      <w:rFonts w:ascii="Calibri" w:hAnsi="Calibri" w:eastAsia="宋体" w:cs="黑体"/>
      <w:kern w:val="2"/>
      <w:sz w:val="21"/>
      <w:szCs w:val="24"/>
      <w:lang w:val="en-US" w:eastAsia="zh-CN"/>
    </w:rPr>
  </w:style>
  <w:style w:type="paragraph" w:customStyle="1" w:styleId="9">
    <w:name w:val="正文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10">
    <w:name w:val="Normal (Web) New New New New New New New New New"/>
    <w:basedOn w:val="9"/>
    <w:qFormat/>
    <w:uiPriority w:val="0"/>
    <w:pPr>
      <w:jc w:val="left"/>
    </w:pPr>
    <w:rPr>
      <w:kern w:val="0"/>
      <w:sz w:val="24"/>
    </w:rPr>
  </w:style>
  <w:style w:type="paragraph" w:customStyle="1" w:styleId="11">
    <w:name w:val="Normal (Web) New New New New New New New New"/>
    <w:basedOn w:val="12"/>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2">
    <w:name w:val="正文 New New New New"/>
    <w:qFormat/>
    <w:uiPriority w:val="0"/>
    <w:pPr>
      <w:widowControl w:val="0"/>
      <w:jc w:val="both"/>
    </w:pPr>
    <w:rPr>
      <w:rFonts w:ascii="Calibri" w:hAnsi="Calibri" w:eastAsia="宋体" w:cs="黑体"/>
      <w:kern w:val="2"/>
      <w:sz w:val="21"/>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2022-01-12T05:04:00Z</dcterms:created>
  <dc:creator>Administrator</dc:creator>
  <cp:lastModifiedBy>nS！7</cp:lastModifiedBy>
  <dcterms:modified xsi:type="dcterms:W3CDTF">2022-01-29T06:54:05Z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5A64E141A4E3434D81C3394BF01B41D1</vt:lpwstr>
  </property>
</Properties>
</file>