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8"/>
        <w:jc w:val="right"/>
        <w:textAlignment w:val="auto"/>
        <w:outlineLvl w:val="9"/>
        <w:rPr>
          <w:rFonts w:hint="default" w:ascii="Times New Roman" w:hAnsi="Times New Roman" w:eastAsia="黑体" w:cs="Times New Roman"/>
          <w:b/>
          <w:bCs w:val="0"/>
        </w:rPr>
      </w:pPr>
      <w:r>
        <w:rPr>
          <w:rFonts w:hint="default" w:ascii="Times New Roman" w:hAnsi="Times New Roman" w:eastAsia="黑体" w:cs="Times New Roman"/>
          <w:b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default" w:ascii="Times New Roman" w:hAnsi="Times New Roman" w:eastAsia="黑体" w:cs="Times New Roman"/>
          <w:b/>
          <w:bCs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default" w:ascii="Times New Roman" w:hAnsi="Times New Roman" w:cs="Times New Roman"/>
          <w:b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default" w:ascii="Times New Roman" w:hAnsi="Times New Roman" w:cs="Times New Roman"/>
          <w:b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default" w:ascii="Times New Roman" w:hAnsi="Times New Roman" w:cs="Times New Roman"/>
          <w:b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bCs w:val="0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东政发〔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号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签发人：陈立兵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default" w:ascii="Times New Roman" w:hAnsi="Times New Roman" w:eastAsia="黑体" w:cs="Times New Roman"/>
          <w:b/>
          <w:bCs w:val="0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61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olor w:val="auto"/>
          <w:kern w:val="2"/>
          <w:sz w:val="36"/>
          <w:szCs w:val="36"/>
          <w:lang w:val="en-US" w:eastAsia="zh-CN" w:bidi="ar-SA"/>
        </w:rPr>
        <w:t>对</w:t>
      </w:r>
      <w:r>
        <w:rPr>
          <w:rFonts w:hint="eastAsia" w:ascii="Times New Roman" w:hAnsi="Times New Roman" w:eastAsia="方正小标宋简体" w:cs="Times New Roman"/>
          <w:b/>
          <w:bCs/>
          <w:i w:val="0"/>
          <w:color w:val="auto"/>
          <w:kern w:val="2"/>
          <w:sz w:val="36"/>
          <w:szCs w:val="36"/>
          <w:lang w:val="en-US" w:eastAsia="zh-CN" w:bidi="ar-SA"/>
        </w:rPr>
        <w:t>县政协十届四次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bCs/>
          <w:i w:val="0"/>
          <w:color w:val="auto"/>
          <w:kern w:val="2"/>
          <w:sz w:val="36"/>
          <w:szCs w:val="36"/>
          <w:lang w:val="en-US" w:eastAsia="zh-CN" w:bidi="ar-SA"/>
        </w:rPr>
        <w:t>会议委员</w:t>
      </w:r>
      <w:r>
        <w:rPr>
          <w:rFonts w:hint="default" w:ascii="Times New Roman" w:hAnsi="Times New Roman" w:eastAsia="方正小标宋简体" w:cs="Times New Roman"/>
          <w:b/>
          <w:bCs/>
          <w:i w:val="0"/>
          <w:color w:val="auto"/>
          <w:kern w:val="2"/>
          <w:sz w:val="36"/>
          <w:szCs w:val="36"/>
          <w:lang w:val="en-US" w:eastAsia="zh-CN" w:bidi="ar-SA"/>
        </w:rPr>
        <w:t>第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2"/>
          <w:sz w:val="36"/>
          <w:szCs w:val="36"/>
          <w:lang w:val="en-US" w:eastAsia="zh-CN" w:bidi="ar-SA"/>
        </w:rPr>
        <w:t>61</w:t>
      </w:r>
      <w:r>
        <w:rPr>
          <w:rFonts w:hint="default" w:ascii="Times New Roman" w:hAnsi="Times New Roman" w:eastAsia="方正小标宋简体" w:cs="Times New Roman"/>
          <w:b/>
          <w:bCs/>
          <w:i w:val="0"/>
          <w:color w:val="auto"/>
          <w:kern w:val="2"/>
          <w:sz w:val="36"/>
          <w:szCs w:val="36"/>
          <w:lang w:val="en-US" w:eastAsia="zh-CN" w:bidi="ar-SA"/>
        </w:rPr>
        <w:t>号</w:t>
      </w:r>
      <w:r>
        <w:rPr>
          <w:rFonts w:hint="eastAsia" w:ascii="Times New Roman" w:hAnsi="Times New Roman" w:eastAsia="方正小标宋简体" w:cs="Times New Roman"/>
          <w:b/>
          <w:bCs/>
          <w:i w:val="0"/>
          <w:color w:val="auto"/>
          <w:kern w:val="2"/>
          <w:sz w:val="36"/>
          <w:szCs w:val="36"/>
          <w:lang w:val="en-US" w:eastAsia="zh-CN" w:bidi="ar-SA"/>
        </w:rPr>
        <w:t>提案</w:t>
      </w:r>
      <w:r>
        <w:rPr>
          <w:rFonts w:hint="default" w:ascii="Times New Roman" w:hAnsi="Times New Roman" w:eastAsia="方正小标宋简体" w:cs="Times New Roman"/>
          <w:b/>
          <w:bCs/>
          <w:i w:val="0"/>
          <w:color w:val="auto"/>
          <w:kern w:val="2"/>
          <w:sz w:val="36"/>
          <w:szCs w:val="36"/>
          <w:lang w:val="en-US" w:eastAsia="zh-CN" w:bidi="ar-SA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林、房立华、桑晓军、王恩竹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您提出的《关于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建设东里镇便民水果市场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的建议》已收悉，现答复如下：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3" w:firstLineChars="200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每逢水果上市季节，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黄金桃、葡萄等水果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集中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上市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仅依靠现有的集贸市场难以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满足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销售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需求，部分农产品销售无固定场所，存在占道经营、影响交通安全等问题。为了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满足农产品交易需求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现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通过以下措施，积极建设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便民水果市场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，促进农产品流通。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接到《关于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建设东里镇便民水果市场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的建议》后，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东里镇党委政府高度重视，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协调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综合行政执法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队、乡规办、东里交警中队、东里市场监管所及相关责任区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对群众聚集区的临时空闲场地进行了实地考察和分析，本着“疏堵结合、统筹兼顾”的原则，既方便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村民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生活，又增加农户收入，同时减少街道占道经营行为，在以下区域设置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便民水果市场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，具体位置如下：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一、韩旺集贸市场，今年投资20余万元扩建市场3500平米，将占道经营部分整体纳入，目前市场总占地面积达到25亩、16600平米。成立了由7人组成的集贸市场物业管理公司，进行市场化、规范化管理。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在东长旺村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新建3处、15000平米的黄桃交易市场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设置为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季节性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全天候便民市场。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二、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香磨葡萄市场，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投资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万余元，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3000平方米露天市场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设置为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季节性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全天候便民市场。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三、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东安便民水果市场，投资100万元左右，搭建5000平方米轻钢棚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设置为全天候便民市场。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我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根据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水果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便民市场选址，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与国土所，乡规办、综合执法队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、市场监管所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等相关部门对接，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加强对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水果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便民市场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规范管理力度，全力维护好市场秩序，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方便群众购买和销售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农产品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感谢您对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东里镇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便民水果市场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工作的关心、支持，衷心欢迎您一如既往的对我们的工作提出意见和建议。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Lines="0"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东里镇人民政府（公章）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 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联系单位：东里镇，联系人：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王林，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联系电话：3311011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抄送：县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政协提案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84D65"/>
    <w:rsid w:val="097D5099"/>
    <w:rsid w:val="0B584C8B"/>
    <w:rsid w:val="0BB3317B"/>
    <w:rsid w:val="0BB548E4"/>
    <w:rsid w:val="0CA0621F"/>
    <w:rsid w:val="0F570224"/>
    <w:rsid w:val="10B84B09"/>
    <w:rsid w:val="12CC6FF8"/>
    <w:rsid w:val="1416714D"/>
    <w:rsid w:val="1BF62B9A"/>
    <w:rsid w:val="1EB07198"/>
    <w:rsid w:val="29E8149D"/>
    <w:rsid w:val="2CD839F7"/>
    <w:rsid w:val="375050B3"/>
    <w:rsid w:val="398E742D"/>
    <w:rsid w:val="3BC9530F"/>
    <w:rsid w:val="3D1840C7"/>
    <w:rsid w:val="3ED77AE3"/>
    <w:rsid w:val="409D5B6A"/>
    <w:rsid w:val="458C71C3"/>
    <w:rsid w:val="4E8510D8"/>
    <w:rsid w:val="4F281C2C"/>
    <w:rsid w:val="51D61DAA"/>
    <w:rsid w:val="51F078A6"/>
    <w:rsid w:val="53F72BAF"/>
    <w:rsid w:val="58745194"/>
    <w:rsid w:val="5B6F7B5A"/>
    <w:rsid w:val="60D5020D"/>
    <w:rsid w:val="62742A76"/>
    <w:rsid w:val="62E05A0D"/>
    <w:rsid w:val="65243F62"/>
    <w:rsid w:val="65A33E9F"/>
    <w:rsid w:val="683918F5"/>
    <w:rsid w:val="68727BA7"/>
    <w:rsid w:val="6954055C"/>
    <w:rsid w:val="6AEE0A44"/>
    <w:rsid w:val="6C056C08"/>
    <w:rsid w:val="6C1C6A87"/>
    <w:rsid w:val="712230A7"/>
    <w:rsid w:val="73E77752"/>
    <w:rsid w:val="7C07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1"/>
    <w:pPr>
      <w:ind w:left="722"/>
      <w:outlineLvl w:val="3"/>
    </w:pPr>
    <w:rPr>
      <w:rFonts w:ascii="方正小标宋简体" w:hAnsi="方正小标宋简体" w:eastAsia="方正小标宋简体" w:cs="方正小标宋简体"/>
      <w:b/>
      <w:bCs/>
      <w:i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nS！7</cp:lastModifiedBy>
  <cp:lastPrinted>2020-11-24T02:30:05Z</cp:lastPrinted>
  <dcterms:modified xsi:type="dcterms:W3CDTF">2020-11-24T02:38:01Z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