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autoSpaceDN/>
        <w:ind w:firstLine="480"/>
        <w:jc w:val="center"/>
        <w:rPr>
          <w:rFonts w:ascii="Times New Roman" w:hAnsi="Times New Roman" w:eastAsia="宋体" w:cs="Times New Roman"/>
          <w:kern w:val="2"/>
          <w:szCs w:val="22"/>
          <w:lang w:eastAsia="zh-CN"/>
        </w:rPr>
      </w:pPr>
    </w:p>
    <w:p>
      <w:pPr>
        <w:autoSpaceDE/>
        <w:autoSpaceDN/>
        <w:ind w:firstLine="480"/>
        <w:jc w:val="center"/>
        <w:rPr>
          <w:rFonts w:ascii="Times New Roman" w:hAnsi="Times New Roman" w:eastAsia="宋体" w:cs="Times New Roman"/>
          <w:kern w:val="2"/>
          <w:szCs w:val="22"/>
          <w:lang w:eastAsia="zh-CN"/>
        </w:rPr>
      </w:pPr>
    </w:p>
    <w:p>
      <w:pPr>
        <w:autoSpaceDE/>
        <w:autoSpaceDN/>
        <w:ind w:firstLine="480"/>
        <w:jc w:val="center"/>
        <w:rPr>
          <w:rFonts w:ascii="Times New Roman" w:hAnsi="Times New Roman" w:eastAsia="宋体" w:cs="Times New Roman"/>
          <w:kern w:val="2"/>
          <w:szCs w:val="22"/>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eastAsia" w:ascii="宋体" w:hAnsi="宋体" w:eastAsia="宋体" w:cs="Times New Roman"/>
          <w:b/>
          <w:bCs/>
          <w:kern w:val="2"/>
          <w:sz w:val="48"/>
          <w:szCs w:val="48"/>
          <w:lang w:eastAsia="zh-CN"/>
        </w:rPr>
      </w:pPr>
      <w:bookmarkStart w:id="0" w:name="_Toc12177"/>
      <w:bookmarkStart w:id="1" w:name="_Toc6072783"/>
      <w:bookmarkStart w:id="2" w:name="_Toc509731007"/>
      <w:r>
        <w:rPr>
          <w:rFonts w:hint="eastAsia" w:ascii="宋体" w:hAnsi="宋体" w:eastAsia="宋体" w:cs="Times New Roman"/>
          <w:b/>
          <w:bCs/>
          <w:kern w:val="2"/>
          <w:sz w:val="48"/>
          <w:szCs w:val="48"/>
          <w:lang w:eastAsia="zh-CN"/>
        </w:rPr>
        <w:t>莱钢集团鲁南矿业有限公司</w:t>
      </w:r>
      <w:bookmarkEnd w:id="0"/>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0"/>
        <w:rPr>
          <w:rFonts w:hint="eastAsia" w:ascii="宋体" w:hAnsi="宋体" w:eastAsia="宋体" w:cs="Times New Roman"/>
          <w:b/>
          <w:bCs/>
          <w:kern w:val="2"/>
          <w:sz w:val="48"/>
          <w:szCs w:val="48"/>
          <w:lang w:eastAsia="zh-CN"/>
        </w:rPr>
      </w:pPr>
      <w:bookmarkStart w:id="3" w:name="_Toc14980"/>
      <w:r>
        <w:rPr>
          <w:rFonts w:hint="eastAsia" w:ascii="宋体" w:hAnsi="宋体" w:eastAsia="宋体" w:cs="Times New Roman"/>
          <w:b/>
          <w:bCs/>
          <w:kern w:val="2"/>
          <w:sz w:val="48"/>
          <w:szCs w:val="48"/>
          <w:lang w:eastAsia="zh-CN"/>
        </w:rPr>
        <w:t>露天转地下开采工程（二期/扩界）项目</w:t>
      </w:r>
      <w:bookmarkEnd w:id="1"/>
      <w:bookmarkEnd w:id="2"/>
      <w:bookmarkEnd w:id="3"/>
    </w:p>
    <w:p>
      <w:pPr>
        <w:keepNext w:val="0"/>
        <w:keepLines w:val="0"/>
        <w:pageBreakBefore w:val="0"/>
        <w:widowControl w:val="0"/>
        <w:kinsoku/>
        <w:wordWrap/>
        <w:overflowPunct/>
        <w:topLinePunct w:val="0"/>
        <w:autoSpaceDE/>
        <w:autoSpaceDN/>
        <w:bidi w:val="0"/>
        <w:adjustRightInd/>
        <w:snapToGrid/>
        <w:spacing w:line="360" w:lineRule="auto"/>
        <w:ind w:firstLine="182" w:firstLineChars="24"/>
        <w:jc w:val="center"/>
        <w:textAlignment w:val="auto"/>
        <w:rPr>
          <w:rFonts w:hint="eastAsia" w:ascii="楷体_GB2312" w:hAnsi="Times New Roman" w:eastAsia="楷体_GB2312" w:cs="Times New Roman"/>
          <w:b/>
          <w:bCs/>
          <w:w w:val="90"/>
          <w:kern w:val="2"/>
          <w:sz w:val="84"/>
          <w:szCs w:val="84"/>
          <w:lang w:eastAsia="zh-CN"/>
        </w:rPr>
      </w:pPr>
      <w:r>
        <w:rPr>
          <w:rFonts w:hint="eastAsia" w:ascii="楷体_GB2312" w:hAnsi="Times New Roman" w:eastAsia="楷体_GB2312" w:cs="Times New Roman"/>
          <w:b/>
          <w:bCs/>
          <w:w w:val="90"/>
          <w:kern w:val="2"/>
          <w:sz w:val="84"/>
          <w:szCs w:val="84"/>
          <w:lang w:eastAsia="zh-CN"/>
        </w:rPr>
        <w:t>环境影响报告书</w:t>
      </w:r>
    </w:p>
    <w:p>
      <w:pPr>
        <w:autoSpaceDE/>
        <w:autoSpaceDN/>
        <w:spacing w:line="80" w:lineRule="atLeast"/>
        <w:ind w:firstLine="482"/>
        <w:jc w:val="center"/>
        <w:rPr>
          <w:rFonts w:ascii="Times New Roman" w:hAnsi="Times New Roman" w:eastAsia="宋体" w:cs="Times New Roman"/>
          <w:b/>
          <w:kern w:val="2"/>
          <w:szCs w:val="22"/>
          <w:lang w:eastAsia="zh-CN"/>
        </w:rPr>
      </w:pPr>
    </w:p>
    <w:p>
      <w:pPr>
        <w:autoSpaceDE/>
        <w:autoSpaceDN/>
        <w:spacing w:line="80" w:lineRule="atLeast"/>
        <w:ind w:firstLine="482"/>
        <w:jc w:val="center"/>
        <w:rPr>
          <w:rFonts w:ascii="Times New Roman" w:hAnsi="Times New Roman" w:eastAsia="宋体" w:cs="Times New Roman"/>
          <w:b/>
          <w:kern w:val="2"/>
          <w:szCs w:val="22"/>
          <w:lang w:eastAsia="zh-CN"/>
        </w:rPr>
      </w:pPr>
    </w:p>
    <w:p>
      <w:pPr>
        <w:autoSpaceDE/>
        <w:autoSpaceDN/>
        <w:spacing w:line="80" w:lineRule="atLeast"/>
        <w:ind w:firstLine="482"/>
        <w:jc w:val="center"/>
        <w:rPr>
          <w:rFonts w:ascii="Times New Roman" w:hAnsi="Times New Roman" w:eastAsia="宋体" w:cs="Times New Roman"/>
          <w:b/>
          <w:kern w:val="2"/>
          <w:szCs w:val="22"/>
          <w:lang w:eastAsia="zh-CN"/>
        </w:rPr>
      </w:pPr>
    </w:p>
    <w:p>
      <w:pPr>
        <w:autoSpaceDE/>
        <w:autoSpaceDN/>
        <w:spacing w:line="560" w:lineRule="atLeast"/>
        <w:ind w:firstLine="643"/>
        <w:jc w:val="center"/>
        <w:rPr>
          <w:rFonts w:ascii="Times New Roman" w:hAnsi="Times New Roman" w:eastAsia="宋体" w:cs="Times New Roman"/>
          <w:b/>
          <w:kern w:val="2"/>
          <w:sz w:val="32"/>
          <w:szCs w:val="22"/>
          <w:lang w:eastAsia="zh-CN"/>
        </w:rPr>
      </w:pPr>
    </w:p>
    <w:p>
      <w:pPr>
        <w:autoSpaceDE/>
        <w:autoSpaceDN/>
        <w:spacing w:line="560" w:lineRule="atLeast"/>
        <w:ind w:firstLine="640"/>
        <w:jc w:val="center"/>
        <w:rPr>
          <w:rFonts w:ascii="Times New Roman" w:hAnsi="Times New Roman" w:eastAsia="宋体" w:cs="Times New Roman"/>
          <w:kern w:val="2"/>
          <w:sz w:val="32"/>
          <w:szCs w:val="22"/>
          <w:lang w:eastAsia="zh-CN"/>
        </w:rPr>
      </w:pPr>
    </w:p>
    <w:p>
      <w:pPr>
        <w:autoSpaceDE/>
        <w:autoSpaceDN/>
        <w:spacing w:line="560" w:lineRule="atLeast"/>
        <w:ind w:firstLine="640"/>
        <w:jc w:val="center"/>
        <w:rPr>
          <w:rFonts w:ascii="Times New Roman" w:hAnsi="Times New Roman" w:eastAsia="宋体" w:cs="Times New Roman"/>
          <w:kern w:val="2"/>
          <w:sz w:val="32"/>
          <w:szCs w:val="22"/>
          <w:lang w:eastAsia="zh-CN"/>
        </w:rPr>
      </w:pPr>
    </w:p>
    <w:p>
      <w:pPr>
        <w:autoSpaceDE/>
        <w:autoSpaceDN/>
        <w:spacing w:line="560" w:lineRule="atLeast"/>
        <w:ind w:firstLine="640"/>
        <w:jc w:val="center"/>
        <w:rPr>
          <w:rFonts w:ascii="Times New Roman" w:hAnsi="Times New Roman" w:eastAsia="宋体" w:cs="Times New Roman"/>
          <w:kern w:val="2"/>
          <w:sz w:val="32"/>
          <w:szCs w:val="22"/>
          <w:lang w:eastAsia="zh-CN"/>
        </w:rPr>
      </w:pPr>
    </w:p>
    <w:p>
      <w:pPr>
        <w:autoSpaceDE/>
        <w:autoSpaceDN/>
        <w:spacing w:line="560" w:lineRule="atLeast"/>
        <w:ind w:firstLine="640"/>
        <w:jc w:val="center"/>
        <w:rPr>
          <w:rFonts w:ascii="Times New Roman" w:hAnsi="Times New Roman" w:eastAsia="宋体" w:cs="Times New Roman"/>
          <w:kern w:val="2"/>
          <w:sz w:val="32"/>
          <w:szCs w:val="22"/>
          <w:lang w:eastAsia="zh-CN"/>
        </w:rPr>
      </w:pPr>
    </w:p>
    <w:p>
      <w:pPr>
        <w:autoSpaceDE/>
        <w:autoSpaceDN/>
        <w:spacing w:line="560" w:lineRule="atLeast"/>
        <w:ind w:firstLine="640"/>
        <w:jc w:val="center"/>
        <w:rPr>
          <w:rFonts w:ascii="黑体" w:hAnsi="黑体" w:eastAsia="黑体" w:cs="Times New Roman"/>
          <w:kern w:val="2"/>
          <w:sz w:val="32"/>
          <w:szCs w:val="22"/>
          <w:lang w:eastAsia="zh-CN"/>
        </w:rPr>
      </w:pPr>
    </w:p>
    <w:p>
      <w:pPr>
        <w:pStyle w:val="2"/>
        <w:rPr>
          <w:rFonts w:ascii="黑体" w:hAnsi="黑体" w:eastAsia="黑体" w:cs="Times New Roman"/>
          <w:kern w:val="2"/>
          <w:sz w:val="32"/>
          <w:szCs w:val="22"/>
          <w:lang w:eastAsia="zh-CN"/>
        </w:rPr>
      </w:pPr>
    </w:p>
    <w:p>
      <w:pPr>
        <w:rPr>
          <w:lang w:eastAsia="zh-CN"/>
        </w:rPr>
      </w:pPr>
    </w:p>
    <w:p>
      <w:pPr>
        <w:autoSpaceDE/>
        <w:autoSpaceDN/>
        <w:spacing w:line="700" w:lineRule="atLeast"/>
        <w:ind w:firstLine="0" w:firstLineChars="0"/>
        <w:jc w:val="center"/>
        <w:rPr>
          <w:rFonts w:hint="eastAsia" w:ascii="宋体" w:hAnsi="宋体" w:eastAsia="宋体" w:cs="Times New Roman"/>
          <w:b/>
          <w:spacing w:val="-4"/>
          <w:kern w:val="2"/>
          <w:sz w:val="36"/>
          <w:szCs w:val="36"/>
          <w:lang w:eastAsia="zh-CN"/>
        </w:rPr>
      </w:pPr>
      <w:r>
        <w:rPr>
          <w:rFonts w:hint="eastAsia" w:ascii="宋体" w:hAnsi="宋体" w:eastAsia="宋体" w:cs="Times New Roman"/>
          <w:b/>
          <w:spacing w:val="-4"/>
          <w:kern w:val="2"/>
          <w:sz w:val="36"/>
          <w:szCs w:val="36"/>
          <w:lang w:eastAsia="zh-CN"/>
        </w:rPr>
        <w:t>济南浩宏伟业技术咨询有限公司</w:t>
      </w:r>
    </w:p>
    <w:p>
      <w:pPr>
        <w:autoSpaceDE/>
        <w:autoSpaceDN/>
        <w:spacing w:line="700" w:lineRule="atLeast"/>
        <w:ind w:firstLine="0" w:firstLineChars="0"/>
        <w:jc w:val="center"/>
        <w:rPr>
          <w:rFonts w:ascii="宋体" w:hAnsi="宋体" w:eastAsia="宋体" w:cs="Times New Roman"/>
          <w:b/>
          <w:spacing w:val="-4"/>
          <w:kern w:val="2"/>
          <w:sz w:val="36"/>
          <w:szCs w:val="36"/>
          <w:lang w:eastAsia="zh-CN"/>
        </w:rPr>
      </w:pPr>
      <w:r>
        <w:rPr>
          <w:rFonts w:hint="eastAsia" w:ascii="宋体" w:hAnsi="宋体" w:eastAsia="宋体" w:cs="Times New Roman"/>
          <w:b/>
          <w:spacing w:val="-4"/>
          <w:kern w:val="2"/>
          <w:sz w:val="36"/>
          <w:szCs w:val="36"/>
          <w:lang w:eastAsia="zh-CN"/>
        </w:rPr>
        <w:t>二零二一年九月</w:t>
      </w:r>
    </w:p>
    <w:p>
      <w:pPr>
        <w:pStyle w:val="5"/>
        <w:spacing w:before="191" w:after="191"/>
        <w:outlineLvl w:val="9"/>
        <w:rPr>
          <w:rFonts w:hint="eastAsia" w:ascii="宋体" w:hAnsi="宋体" w:eastAsia="宋体" w:cs="宋体"/>
          <w:lang w:val="en-US" w:eastAsia="zh-CN"/>
        </w:rPr>
        <w:sectPr>
          <w:headerReference r:id="rId5" w:type="default"/>
          <w:footerReference r:id="rId7" w:type="default"/>
          <w:headerReference r:id="rId6" w:type="even"/>
          <w:footerReference r:id="rId8" w:type="even"/>
          <w:pgSz w:w="11905" w:h="16838"/>
          <w:pgMar w:top="1417" w:right="1247" w:bottom="1247" w:left="1587" w:header="850" w:footer="850" w:gutter="0"/>
          <w:pgBorders>
            <w:top w:val="none" w:sz="0" w:space="0"/>
            <w:left w:val="none" w:sz="0" w:space="0"/>
            <w:bottom w:val="none" w:sz="0" w:space="0"/>
            <w:right w:val="none" w:sz="0" w:space="0"/>
          </w:pgBorders>
          <w:pgNumType w:fmt="upperRoman"/>
          <w:cols w:space="0" w:num="1"/>
          <w:docGrid w:type="lines" w:linePitch="383" w:charSpace="0"/>
        </w:sectPr>
      </w:pPr>
    </w:p>
    <w:p>
      <w:pPr>
        <w:pStyle w:val="5"/>
        <w:bidi w:val="0"/>
        <w:rPr>
          <w:rFonts w:hint="eastAsia"/>
          <w:lang w:val="en-US" w:eastAsia="zh-CN"/>
        </w:rPr>
      </w:pPr>
      <w:bookmarkStart w:id="4" w:name="_Toc6792"/>
      <w:r>
        <w:rPr>
          <w:rFonts w:hint="eastAsia"/>
          <w:lang w:val="en-US" w:eastAsia="zh-CN"/>
        </w:rPr>
        <w:t>概 述</w:t>
      </w:r>
      <w:bookmarkEnd w:id="4"/>
    </w:p>
    <w:p>
      <w:pPr>
        <w:pStyle w:val="6"/>
        <w:keepNext w:val="0"/>
        <w:keepLines w:val="0"/>
        <w:pageBreakBefore w:val="0"/>
        <w:widowControl w:val="0"/>
        <w:numPr>
          <w:ilvl w:val="0"/>
          <w:numId w:val="1"/>
        </w:numPr>
        <w:kinsoku/>
        <w:wordWrap/>
        <w:overflowPunct/>
        <w:topLinePunct w:val="0"/>
        <w:bidi w:val="0"/>
        <w:adjustRightInd/>
        <w:snapToGrid/>
        <w:textAlignment w:val="auto"/>
        <w:rPr>
          <w:rFonts w:hint="eastAsia"/>
          <w:lang w:val="en-US" w:eastAsia="zh-CN"/>
        </w:rPr>
      </w:pPr>
      <w:bookmarkStart w:id="5" w:name="_Toc1876"/>
      <w:r>
        <w:rPr>
          <w:rFonts w:hint="eastAsia"/>
          <w:lang w:val="en-US" w:eastAsia="zh-CN"/>
        </w:rPr>
        <w:t>建设项目的特点</w:t>
      </w:r>
      <w:bookmarkEnd w:id="5"/>
    </w:p>
    <w:p>
      <w:pPr>
        <w:keepNext w:val="0"/>
        <w:keepLines w:val="0"/>
        <w:pageBreakBefore w:val="0"/>
        <w:widowControl w:val="0"/>
        <w:numPr>
          <w:ilvl w:val="0"/>
          <w:numId w:val="0"/>
        </w:numPr>
        <w:kinsoku/>
        <w:wordWrap/>
        <w:overflowPunct/>
        <w:topLinePunct w:val="0"/>
        <w:autoSpaceDE w:val="0"/>
        <w:autoSpaceDN w:val="0"/>
        <w:bidi w:val="0"/>
        <w:adjustRightInd/>
        <w:snapToGrid/>
        <w:ind w:leftChars="0" w:firstLine="482" w:firstLineChars="200"/>
        <w:textAlignment w:val="auto"/>
        <w:rPr>
          <w:rFonts w:hint="eastAsia"/>
          <w:b/>
          <w:bCs/>
          <w:lang w:val="en-US" w:eastAsia="zh-CN"/>
        </w:rPr>
      </w:pPr>
      <w:r>
        <w:rPr>
          <w:rFonts w:hint="eastAsia"/>
          <w:b/>
          <w:bCs/>
          <w:lang w:val="en-US" w:eastAsia="zh-CN"/>
        </w:rPr>
        <w:t>（一）项目由来</w:t>
      </w:r>
    </w:p>
    <w:p>
      <w:pPr>
        <w:keepNext w:val="0"/>
        <w:keepLines w:val="0"/>
        <w:pageBreakBefore w:val="0"/>
        <w:widowControl w:val="0"/>
        <w:kinsoku/>
        <w:wordWrap/>
        <w:overflowPunct/>
        <w:topLinePunct w:val="0"/>
        <w:bidi w:val="0"/>
        <w:adjustRightInd/>
        <w:snapToGrid/>
        <w:ind w:firstLine="560"/>
        <w:textAlignment w:val="auto"/>
        <w:rPr>
          <w:rFonts w:hint="eastAsia" w:ascii="宋体" w:hAnsi="宋体" w:eastAsia="宋体" w:cs="宋体"/>
          <w:lang w:eastAsia="zh-CN"/>
        </w:rPr>
      </w:pPr>
      <w:r>
        <w:rPr>
          <w:rFonts w:hint="eastAsia" w:ascii="宋体" w:hAnsi="宋体" w:eastAsia="宋体" w:cs="宋体"/>
          <w:lang w:eastAsia="zh-CN"/>
        </w:rPr>
        <w:t>2004年，鲁南矿业委托山东省冶金设计院编制《莱钢集团鲁南矿业有限公司露天转地下开采工程项目环境影响报告书》，报告书中明确“鲁南矿业露天转地下开采工程王峪矿区包括上河矿段和王峪矿段，分两期建设”。上河矿段于2006年开工、2011年竣工。鲁南矿业于2011年6月委托山东正元地质资源勘查有限责任公司对</w:t>
      </w:r>
      <w:r>
        <w:rPr>
          <w:rFonts w:hint="eastAsia" w:cs="宋体"/>
          <w:lang w:eastAsia="zh-CN"/>
        </w:rPr>
        <w:t>王峪矿段</w:t>
      </w:r>
      <w:r>
        <w:rPr>
          <w:rFonts w:hint="eastAsia" w:ascii="宋体" w:hAnsi="宋体" w:eastAsia="宋体" w:cs="宋体"/>
          <w:lang w:eastAsia="zh-CN"/>
        </w:rPr>
        <w:t>进行地质勘探，勘探结果：王峪矿段（61线～75线、+157～-50m）保有铁矿石资源储量1394.6万t，TFe34.94%。此次勘探结果相比于2005年勘探结果（王峪矿段（61线～75线）保有铁矿石资源储量716.2万t，TFe34.45%）而言，铁矿石资源储量显著增加，增加的矿石储量主要分布在-50m～+50m之间，故二期工程王峪矿段开采深度</w:t>
      </w:r>
      <w:r>
        <w:rPr>
          <w:rFonts w:hint="eastAsia" w:cs="宋体"/>
          <w:lang w:eastAsia="zh-CN"/>
        </w:rPr>
        <w:t>拟</w:t>
      </w:r>
      <w:r>
        <w:rPr>
          <w:rFonts w:hint="eastAsia" w:ascii="宋体" w:hAnsi="宋体" w:eastAsia="宋体" w:cs="宋体"/>
          <w:lang w:eastAsia="zh-CN"/>
        </w:rPr>
        <w:t>由原来的+50m~+158m变更为-50m~+157m。</w:t>
      </w:r>
    </w:p>
    <w:p>
      <w:pPr>
        <w:keepNext w:val="0"/>
        <w:keepLines w:val="0"/>
        <w:pageBreakBefore w:val="0"/>
        <w:widowControl w:val="0"/>
        <w:kinsoku/>
        <w:wordWrap/>
        <w:overflowPunct/>
        <w:topLinePunct w:val="0"/>
        <w:bidi w:val="0"/>
        <w:adjustRightInd/>
        <w:snapToGrid/>
        <w:ind w:firstLine="560"/>
        <w:textAlignment w:val="auto"/>
        <w:rPr>
          <w:rFonts w:hint="eastAsia" w:ascii="宋体" w:hAnsi="宋体" w:eastAsia="宋体" w:cs="宋体"/>
          <w:lang w:eastAsia="zh-CN"/>
        </w:rPr>
      </w:pPr>
      <w:r>
        <w:rPr>
          <w:rFonts w:hint="eastAsia" w:ascii="宋体" w:hAnsi="宋体" w:eastAsia="宋体" w:cs="宋体"/>
          <w:lang w:eastAsia="zh-CN"/>
        </w:rPr>
        <w:t>根据《国务院关于修改&lt;建设项目环境保护管理条例&gt;的决定》（国务院令 第682号，2017年10月1日实施）中第十二条“建设项目环境影响报告书、环境影响报告表经批准后，建设项目的性质、规模、地点、采用的生产工艺或者防治污染、防止生态破坏的措施发生重大变动的，建设单位应当重新报批建设项目环境影响报告书、环境影响报告表”，鲁南矿业露天转地下开采工程（二期/扩界）王峪矿段采矿开采深度由原来的+50m~+158m变更为-50m~+157m，属于重大变动，须重新报批建设项目环境影响报告书。</w:t>
      </w:r>
    </w:p>
    <w:p>
      <w:pPr>
        <w:keepNext w:val="0"/>
        <w:keepLines w:val="0"/>
        <w:pageBreakBefore w:val="0"/>
        <w:widowControl w:val="0"/>
        <w:numPr>
          <w:ilvl w:val="0"/>
          <w:numId w:val="2"/>
        </w:numPr>
        <w:kinsoku/>
        <w:wordWrap/>
        <w:overflowPunct/>
        <w:topLinePunct w:val="0"/>
        <w:autoSpaceDE w:val="0"/>
        <w:autoSpaceDN w:val="0"/>
        <w:bidi w:val="0"/>
        <w:adjustRightInd/>
        <w:snapToGrid/>
        <w:ind w:leftChars="0" w:firstLine="482" w:firstLineChars="200"/>
        <w:textAlignment w:val="auto"/>
        <w:rPr>
          <w:rFonts w:hint="eastAsia"/>
          <w:b/>
          <w:bCs/>
          <w:lang w:val="en-US" w:eastAsia="zh-CN"/>
        </w:rPr>
      </w:pPr>
      <w:r>
        <w:rPr>
          <w:rFonts w:hint="eastAsia"/>
          <w:b/>
          <w:bCs/>
          <w:lang w:val="en-US" w:eastAsia="zh-CN"/>
        </w:rPr>
        <w:t>项目概况</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项目名称：莱钢集团鲁南矿业有限公司露天转地下开采工程（二期/扩界）</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建设性质：扩界，开采矿种为铁</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建设单位：莱钢集团鲁南矿业有限公司</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建设地点：山东省临沂市沂水县和淄博市沂源县交界处沂蒙山区腹地</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行业类别：铁矿采选B081</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产品方案：原矿石50万t/a</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服务年限：矿山服务年限为43年。其中稳产期31年，后期减产期12年（主要为开采露天保护层的矿体）</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总投资：投资19397.48万元</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劳动定员：本工程不新增劳动人员，充分利用现有员工，具体人员安排由公司内部进行调控</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工作制度：矿山采用连续工作制，年工作日330天，每天3班，每班8小时</w:t>
      </w:r>
    </w:p>
    <w:p>
      <w:pPr>
        <w:keepNext w:val="0"/>
        <w:keepLines w:val="0"/>
        <w:pageBreakBefore w:val="0"/>
        <w:widowControl w:val="0"/>
        <w:kinsoku/>
        <w:wordWrap/>
        <w:overflowPunct/>
        <w:topLinePunct w:val="0"/>
        <w:bidi w:val="0"/>
        <w:adjustRightInd/>
        <w:snapToGrid/>
        <w:textAlignment w:val="auto"/>
        <w:rPr>
          <w:rFonts w:hint="eastAsia"/>
          <w:lang w:eastAsia="zh-CN"/>
        </w:rPr>
      </w:pPr>
      <w:r>
        <w:rPr>
          <w:rFonts w:hint="eastAsia" w:eastAsia="宋体"/>
          <w:lang w:eastAsia="zh-CN"/>
        </w:rPr>
        <w:t>主要工程内容：王峪矿段，采矿范围为63线~75线、-50m~+157m。主要建设地下采矿设施、2个风井、1个中央回风井、破碎系统、皮带运输系统等。</w:t>
      </w:r>
    </w:p>
    <w:p>
      <w:pPr>
        <w:pStyle w:val="14"/>
        <w:keepNext w:val="0"/>
        <w:keepLines w:val="0"/>
        <w:pageBreakBefore w:val="0"/>
        <w:widowControl w:val="0"/>
        <w:kinsoku/>
        <w:wordWrap/>
        <w:overflowPunct/>
        <w:topLinePunct w:val="0"/>
        <w:bidi w:val="0"/>
        <w:adjustRightInd/>
        <w:snapToGrid/>
        <w:ind w:firstLine="560"/>
        <w:textAlignment w:val="auto"/>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建设现状：本项目处于基建期。</w:t>
      </w:r>
    </w:p>
    <w:p>
      <w:pPr>
        <w:pStyle w:val="6"/>
        <w:keepNext w:val="0"/>
        <w:keepLines w:val="0"/>
        <w:pageBreakBefore w:val="0"/>
        <w:widowControl w:val="0"/>
        <w:numPr>
          <w:ilvl w:val="0"/>
          <w:numId w:val="1"/>
        </w:numPr>
        <w:kinsoku/>
        <w:wordWrap/>
        <w:overflowPunct/>
        <w:topLinePunct w:val="0"/>
        <w:bidi w:val="0"/>
        <w:adjustRightInd/>
        <w:snapToGrid/>
        <w:textAlignment w:val="auto"/>
        <w:rPr>
          <w:rFonts w:hint="eastAsia"/>
          <w:lang w:val="en-US" w:eastAsia="zh-CN"/>
        </w:rPr>
      </w:pPr>
      <w:bookmarkStart w:id="6" w:name="_Toc11286"/>
      <w:r>
        <w:rPr>
          <w:rFonts w:hint="eastAsia"/>
          <w:lang w:val="en-US" w:eastAsia="zh-CN"/>
        </w:rPr>
        <w:t>环境影响评价的工作过程</w:t>
      </w:r>
      <w:bookmarkEnd w:id="6"/>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bCs/>
          <w:kern w:val="2"/>
          <w:szCs w:val="22"/>
          <w:lang w:eastAsia="zh-CN"/>
        </w:rPr>
      </w:pPr>
      <w:r>
        <w:rPr>
          <w:rFonts w:ascii="Times New Roman" w:hAnsi="Times New Roman" w:eastAsia="宋体" w:cs="Times New Roman"/>
          <w:kern w:val="2"/>
          <w:szCs w:val="22"/>
          <w:lang w:eastAsia="zh-CN"/>
        </w:rPr>
        <w:t>根据《中华人民共和国环境影响评价法》、《建设项目环境保护管理条例》及《建设项目环境影响评价分类管理名录》的有关规定，</w:t>
      </w:r>
      <w:r>
        <w:rPr>
          <w:rFonts w:hint="eastAsia" w:ascii="Times New Roman" w:hAnsi="Times New Roman" w:eastAsia="宋体" w:cs="Times New Roman"/>
          <w:kern w:val="2"/>
          <w:szCs w:val="22"/>
          <w:lang w:eastAsia="zh-CN"/>
        </w:rPr>
        <w:t>本项目</w:t>
      </w:r>
      <w:r>
        <w:rPr>
          <w:rFonts w:ascii="宋体" w:hAnsi="宋体" w:eastAsia="宋体" w:cs="Times New Roman"/>
          <w:kern w:val="2"/>
          <w:szCs w:val="22"/>
          <w:lang w:eastAsia="zh-CN"/>
        </w:rPr>
        <w:t>属于“</w:t>
      </w:r>
      <w:r>
        <w:rPr>
          <w:rFonts w:hint="eastAsia" w:ascii="宋体" w:hAnsi="宋体" w:eastAsia="宋体" w:cs="Times New Roman"/>
          <w:kern w:val="2"/>
          <w:szCs w:val="22"/>
          <w:lang w:eastAsia="zh-CN"/>
        </w:rPr>
        <w:t>六、黑色金属矿采选</w:t>
      </w:r>
      <w:r>
        <w:rPr>
          <w:rFonts w:ascii="宋体" w:hAnsi="宋体" w:eastAsia="宋体" w:cs="Times New Roman"/>
          <w:kern w:val="2"/>
          <w:szCs w:val="22"/>
          <w:lang w:eastAsia="zh-CN"/>
        </w:rPr>
        <w:t>”</w:t>
      </w:r>
      <w:r>
        <w:rPr>
          <w:rFonts w:ascii="Times New Roman" w:hAnsi="Times New Roman" w:eastAsia="宋体" w:cs="Times New Roman"/>
          <w:kern w:val="2"/>
          <w:szCs w:val="22"/>
          <w:lang w:eastAsia="zh-CN"/>
        </w:rPr>
        <w:t>中的</w:t>
      </w:r>
      <w:r>
        <w:rPr>
          <w:rFonts w:ascii="宋体" w:hAnsi="宋体" w:eastAsia="宋体" w:cs="Times New Roman"/>
          <w:kern w:val="2"/>
          <w:szCs w:val="22"/>
          <w:lang w:eastAsia="zh-CN"/>
        </w:rPr>
        <w:t>“</w:t>
      </w:r>
      <w:r>
        <w:rPr>
          <w:rFonts w:hint="eastAsia" w:ascii="Times New Roman" w:hAnsi="Times New Roman" w:eastAsia="宋体" w:cs="Times New Roman"/>
          <w:kern w:val="2"/>
          <w:szCs w:val="22"/>
          <w:lang w:eastAsia="zh-CN"/>
        </w:rPr>
        <w:t>铁矿采选 081</w:t>
      </w:r>
      <w:r>
        <w:rPr>
          <w:rFonts w:ascii="宋体" w:hAnsi="宋体" w:eastAsia="宋体" w:cs="Times New Roman"/>
          <w:kern w:val="2"/>
          <w:szCs w:val="22"/>
          <w:lang w:eastAsia="zh-CN"/>
        </w:rPr>
        <w:t>”</w:t>
      </w:r>
      <w:r>
        <w:rPr>
          <w:rFonts w:hint="eastAsia" w:ascii="Times New Roman" w:hAnsi="Times New Roman" w:eastAsia="宋体" w:cs="Times New Roman"/>
          <w:kern w:val="2"/>
          <w:szCs w:val="22"/>
          <w:lang w:eastAsia="zh-CN"/>
        </w:rPr>
        <w:t>项目</w:t>
      </w:r>
      <w:r>
        <w:rPr>
          <w:rFonts w:ascii="Times New Roman" w:hAnsi="Times New Roman" w:eastAsia="宋体" w:cs="Times New Roman"/>
          <w:kern w:val="2"/>
          <w:szCs w:val="22"/>
          <w:lang w:eastAsia="zh-CN"/>
        </w:rPr>
        <w:t>，</w:t>
      </w:r>
      <w:r>
        <w:rPr>
          <w:rFonts w:hint="eastAsia" w:ascii="Times New Roman" w:hAnsi="Times New Roman" w:eastAsia="宋体" w:cs="Times New Roman"/>
          <w:kern w:val="2"/>
          <w:szCs w:val="22"/>
          <w:lang w:eastAsia="zh-CN"/>
        </w:rPr>
        <w:t>属于地下开采</w:t>
      </w:r>
      <w:r>
        <w:rPr>
          <w:rFonts w:ascii="Times New Roman" w:hAnsi="Times New Roman" w:eastAsia="宋体" w:cs="Times New Roman"/>
          <w:kern w:val="2"/>
          <w:szCs w:val="22"/>
          <w:lang w:eastAsia="zh-CN"/>
        </w:rPr>
        <w:t>，需编制环境影响报告书。</w:t>
      </w:r>
      <w:r>
        <w:rPr>
          <w:rFonts w:hint="eastAsia" w:ascii="Times New Roman" w:hAnsi="Times New Roman" w:eastAsia="宋体" w:cs="Times New Roman"/>
          <w:bCs/>
          <w:kern w:val="2"/>
          <w:szCs w:val="22"/>
          <w:lang w:eastAsia="zh-CN"/>
        </w:rPr>
        <w:t>为此莱钢集团鲁南矿业有限公司委托济南浩宏伟业技术咨询有限公司进行环境影响评价工作。</w:t>
      </w:r>
    </w:p>
    <w:p>
      <w:pPr>
        <w:keepNext w:val="0"/>
        <w:keepLines w:val="0"/>
        <w:pageBreakBefore w:val="0"/>
        <w:widowControl w:val="0"/>
        <w:kinsoku/>
        <w:wordWrap/>
        <w:overflowPunct/>
        <w:topLinePunct w:val="0"/>
        <w:autoSpaceDE/>
        <w:autoSpaceDN/>
        <w:bidi w:val="0"/>
        <w:adjustRightInd/>
        <w:snapToGrid/>
        <w:ind w:firstLine="480"/>
        <w:textAlignment w:val="auto"/>
        <w:rPr>
          <w:rFonts w:ascii="Times New Roman" w:hAnsi="Times New Roman" w:eastAsia="宋体" w:cs="Times New Roman"/>
          <w:bCs/>
          <w:kern w:val="2"/>
          <w:szCs w:val="22"/>
          <w:lang w:eastAsia="zh-CN"/>
        </w:rPr>
      </w:pPr>
      <w:r>
        <w:rPr>
          <w:rFonts w:hint="eastAsia" w:ascii="Times New Roman" w:hAnsi="Times New Roman" w:eastAsia="宋体" w:cs="Times New Roman"/>
          <w:bCs/>
          <w:kern w:val="2"/>
          <w:szCs w:val="22"/>
          <w:lang w:eastAsia="zh-CN"/>
        </w:rPr>
        <w:t>接受委托后，按照环境影响评价工作程序，我单位立即组织有关人员进行现场踏勘、收集相关资料，在此基础上编制完成了《莱钢集团鲁南矿业有限公司露天转地下开采工程（二期/扩界）项目环境影响报告书》。</w:t>
      </w:r>
    </w:p>
    <w:p>
      <w:pPr>
        <w:keepNext w:val="0"/>
        <w:keepLines w:val="0"/>
        <w:pageBreakBefore w:val="0"/>
        <w:widowControl w:val="0"/>
        <w:kinsoku/>
        <w:wordWrap/>
        <w:overflowPunct/>
        <w:topLinePunct w:val="0"/>
        <w:autoSpaceDE/>
        <w:autoSpaceDN/>
        <w:bidi w:val="0"/>
        <w:adjustRightInd/>
        <w:snapToGrid/>
        <w:ind w:firstLine="480"/>
        <w:textAlignment w:val="auto"/>
        <w:rPr>
          <w:rFonts w:hint="eastAsia" w:ascii="Times New Roman" w:hAnsi="Times New Roman" w:eastAsia="宋体" w:cs="Times New Roman"/>
          <w:bCs/>
          <w:kern w:val="2"/>
          <w:szCs w:val="22"/>
          <w:lang w:eastAsia="zh-CN"/>
        </w:rPr>
      </w:pPr>
      <w:r>
        <w:rPr>
          <w:rFonts w:hint="eastAsia" w:ascii="Times New Roman" w:hAnsi="Times New Roman" w:eastAsia="宋体" w:cs="Times New Roman"/>
          <w:bCs/>
          <w:kern w:val="2"/>
          <w:szCs w:val="22"/>
          <w:lang w:eastAsia="zh-CN"/>
        </w:rPr>
        <w:t>根据《</w:t>
      </w:r>
      <w:r>
        <w:rPr>
          <w:rFonts w:hint="eastAsia" w:ascii="Times New Roman" w:hAnsi="Times New Roman" w:eastAsia="宋体" w:cs="Times New Roman"/>
          <w:kern w:val="2"/>
          <w:szCs w:val="22"/>
          <w:lang w:eastAsia="zh-CN"/>
        </w:rPr>
        <w:t>建设项目</w:t>
      </w:r>
      <w:r>
        <w:rPr>
          <w:rFonts w:hint="eastAsia" w:ascii="Times New Roman" w:hAnsi="Times New Roman" w:eastAsia="宋体" w:cs="Times New Roman"/>
          <w:bCs/>
          <w:kern w:val="2"/>
          <w:szCs w:val="22"/>
          <w:lang w:eastAsia="zh-CN"/>
        </w:rPr>
        <w:t>环境影响评价技术导则</w:t>
      </w:r>
      <w:r>
        <w:rPr>
          <w:rFonts w:ascii="Times New Roman" w:hAnsi="Times New Roman" w:eastAsia="宋体" w:cs="Times New Roman"/>
          <w:bCs/>
          <w:kern w:val="2"/>
          <w:szCs w:val="22"/>
          <w:lang w:eastAsia="zh-CN"/>
        </w:rPr>
        <w:t xml:space="preserve">  </w:t>
      </w:r>
      <w:r>
        <w:rPr>
          <w:rFonts w:hint="eastAsia" w:ascii="Times New Roman" w:hAnsi="Times New Roman" w:eastAsia="宋体" w:cs="Times New Roman"/>
          <w:bCs/>
          <w:kern w:val="2"/>
          <w:szCs w:val="22"/>
          <w:lang w:eastAsia="zh-CN"/>
        </w:rPr>
        <w:t>总纲》（</w:t>
      </w:r>
      <w:r>
        <w:rPr>
          <w:rFonts w:ascii="Times New Roman" w:hAnsi="Times New Roman" w:eastAsia="宋体" w:cs="Times New Roman"/>
          <w:bCs/>
          <w:kern w:val="2"/>
          <w:szCs w:val="22"/>
          <w:lang w:eastAsia="zh-CN"/>
        </w:rPr>
        <w:t>HJ</w:t>
      </w:r>
      <w:r>
        <w:rPr>
          <w:rFonts w:hint="eastAsia" w:ascii="Times New Roman" w:hAnsi="Times New Roman" w:eastAsia="宋体" w:cs="Times New Roman"/>
          <w:bCs/>
          <w:kern w:val="2"/>
          <w:szCs w:val="22"/>
          <w:lang w:val="en-US" w:eastAsia="zh-CN"/>
        </w:rPr>
        <w:t xml:space="preserve"> </w:t>
      </w:r>
      <w:r>
        <w:rPr>
          <w:rFonts w:ascii="Times New Roman" w:hAnsi="Times New Roman" w:eastAsia="宋体" w:cs="Times New Roman"/>
          <w:bCs/>
          <w:kern w:val="2"/>
          <w:szCs w:val="22"/>
          <w:lang w:eastAsia="zh-CN"/>
        </w:rPr>
        <w:t>2.1-2016</w:t>
      </w:r>
      <w:r>
        <w:rPr>
          <w:rFonts w:hint="eastAsia" w:ascii="Times New Roman" w:hAnsi="Times New Roman" w:eastAsia="宋体" w:cs="Times New Roman"/>
          <w:bCs/>
          <w:kern w:val="2"/>
          <w:szCs w:val="22"/>
          <w:lang w:eastAsia="zh-CN"/>
        </w:rPr>
        <w:t>）等相关技术规范的要求，拟建项目环境影响评价的工作过程及程序见图</w:t>
      </w:r>
      <w:r>
        <w:rPr>
          <w:rFonts w:hint="eastAsia" w:ascii="Times New Roman" w:hAnsi="Times New Roman" w:eastAsia="宋体" w:cs="Times New Roman"/>
          <w:bCs/>
          <w:kern w:val="2"/>
          <w:szCs w:val="22"/>
          <w:lang w:val="en-US" w:eastAsia="zh-CN"/>
        </w:rPr>
        <w:t>1</w:t>
      </w:r>
      <w:r>
        <w:rPr>
          <w:rFonts w:hint="eastAsia" w:ascii="Times New Roman" w:hAnsi="Times New Roman" w:eastAsia="宋体" w:cs="Times New Roman"/>
          <w:bCs/>
          <w:kern w:val="2"/>
          <w:szCs w:val="22"/>
          <w:lang w:eastAsia="zh-CN"/>
        </w:rPr>
        <w:t>。</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7" w:type="dxa"/>
            <w:tcBorders>
              <w:tl2br w:val="nil"/>
              <w:tr2bl w:val="nil"/>
            </w:tcBorders>
          </w:tcPr>
          <w:p>
            <w:pPr>
              <w:keepNext w:val="0"/>
              <w:keepLines w:val="0"/>
              <w:suppressLineNumbers w:val="0"/>
              <w:autoSpaceDE/>
              <w:autoSpaceDN/>
              <w:spacing w:before="0" w:beforeAutospacing="0" w:after="0" w:afterAutospacing="0"/>
              <w:ind w:left="0" w:right="0"/>
              <w:jc w:val="center"/>
              <w:rPr>
                <w:rFonts w:hint="default" w:ascii="Times New Roman" w:hAnsi="Times New Roman" w:eastAsia="宋体" w:cs="Times New Roman"/>
                <w:b/>
                <w:bCs w:val="0"/>
                <w:kern w:val="2"/>
                <w:szCs w:val="22"/>
                <w:vertAlign w:val="baseline"/>
                <w:lang w:eastAsia="zh-CN"/>
              </w:rPr>
            </w:pPr>
            <w:r>
              <w:rPr>
                <w:rFonts w:hint="eastAsia" w:ascii="Times New Roman" w:hAnsi="Times New Roman" w:eastAsia="宋体" w:cs="Times New Roman"/>
                <w:b/>
                <w:bCs w:val="0"/>
                <w:kern w:val="2"/>
                <w:szCs w:val="22"/>
                <w:vertAlign w:val="baseline"/>
                <w:lang w:eastAsia="zh-CN"/>
              </w:rPr>
              <w:t>图</w:t>
            </w:r>
            <w:r>
              <w:rPr>
                <w:rFonts w:hint="eastAsia" w:ascii="Times New Roman" w:hAnsi="Times New Roman" w:eastAsia="宋体" w:cs="Times New Roman"/>
                <w:b/>
                <w:bCs w:val="0"/>
                <w:kern w:val="2"/>
                <w:szCs w:val="22"/>
                <w:vertAlign w:val="baseline"/>
                <w:lang w:val="en-US" w:eastAsia="zh-CN"/>
              </w:rPr>
              <w:t>1</w:t>
            </w:r>
            <w:r>
              <w:rPr>
                <w:rFonts w:hint="eastAsia" w:ascii="Times New Roman" w:hAnsi="Times New Roman" w:eastAsia="宋体" w:cs="Times New Roman"/>
                <w:b/>
                <w:bCs w:val="0"/>
                <w:kern w:val="2"/>
                <w:szCs w:val="22"/>
                <w:vertAlign w:val="baseline"/>
                <w:lang w:eastAsia="zh-CN"/>
              </w:rPr>
              <w:t xml:space="preserve"> 环评工作程序示意图</w:t>
            </w:r>
            <w:r>
              <w:rPr>
                <w:rFonts w:hint="default" w:ascii="Times New Roman" w:hAnsi="Times New Roman" w:eastAsia="宋体" w:cs="Times New Roman"/>
                <w:b/>
                <w:bCs w:val="0"/>
                <w:kern w:val="2"/>
                <w:szCs w:val="22"/>
                <w:vertAlign w:val="baseline"/>
                <w:lang w:eastAsia="zh-CN"/>
              </w:rPr>
              <w:drawing>
                <wp:anchor distT="0" distB="0" distL="114300" distR="114300" simplePos="0" relativeHeight="251801600" behindDoc="0" locked="0" layoutInCell="1" allowOverlap="1">
                  <wp:simplePos x="0" y="0"/>
                  <wp:positionH relativeFrom="column">
                    <wp:posOffset>774065</wp:posOffset>
                  </wp:positionH>
                  <wp:positionV relativeFrom="paragraph">
                    <wp:posOffset>-906145</wp:posOffset>
                  </wp:positionV>
                  <wp:extent cx="4485005" cy="4970780"/>
                  <wp:effectExtent l="0" t="0" r="10795" b="1270"/>
                  <wp:wrapTopAndBottom/>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
                          <pic:cNvPicPr>
                            <a:picLocks noChangeAspect="1"/>
                          </pic:cNvPicPr>
                        </pic:nvPicPr>
                        <pic:blipFill>
                          <a:blip r:embed="rId83" r:link="rId84"/>
                          <a:srcRect l="1259" r="903" b="6331"/>
                          <a:stretch>
                            <a:fillRect/>
                          </a:stretch>
                        </pic:blipFill>
                        <pic:spPr>
                          <a:xfrm>
                            <a:off x="0" y="0"/>
                            <a:ext cx="4485005" cy="4970780"/>
                          </a:xfrm>
                          <a:prstGeom prst="rect">
                            <a:avLst/>
                          </a:prstGeom>
                          <a:noFill/>
                          <a:ln>
                            <a:noFill/>
                          </a:ln>
                        </pic:spPr>
                      </pic:pic>
                    </a:graphicData>
                  </a:graphic>
                </wp:anchor>
              </w:drawing>
            </w:r>
          </w:p>
        </w:tc>
      </w:tr>
    </w:tbl>
    <w:p>
      <w:pPr>
        <w:pStyle w:val="6"/>
        <w:numPr>
          <w:ilvl w:val="0"/>
          <w:numId w:val="1"/>
        </w:numPr>
        <w:bidi w:val="0"/>
        <w:rPr>
          <w:rFonts w:hint="eastAsia"/>
          <w:lang w:val="en-US" w:eastAsia="zh-CN"/>
        </w:rPr>
      </w:pPr>
      <w:bookmarkStart w:id="7" w:name="_Toc1872"/>
      <w:r>
        <w:rPr>
          <w:rFonts w:hint="eastAsia"/>
          <w:lang w:val="en-US" w:eastAsia="zh-CN"/>
        </w:rPr>
        <w:t>分析判定相关情况</w:t>
      </w:r>
      <w:bookmarkEnd w:id="7"/>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ind w:leftChars="0"/>
        <w:textAlignment w:val="auto"/>
        <w:rPr>
          <w:rFonts w:hint="eastAsia"/>
          <w:b/>
          <w:bCs/>
          <w:lang w:val="en-US" w:eastAsia="zh-CN"/>
        </w:rPr>
      </w:pPr>
      <w:r>
        <w:rPr>
          <w:rFonts w:hint="eastAsia"/>
          <w:b/>
          <w:bCs/>
          <w:lang w:val="en-US" w:eastAsia="zh-CN"/>
        </w:rPr>
        <w:t>（一）场地选址合理性分析</w:t>
      </w:r>
    </w:p>
    <w:p>
      <w:pPr>
        <w:keepNext w:val="0"/>
        <w:keepLines w:val="0"/>
        <w:pageBreakBefore w:val="0"/>
        <w:widowControl w:val="0"/>
        <w:kinsoku/>
        <w:wordWrap/>
        <w:overflowPunct/>
        <w:topLinePunct w:val="0"/>
        <w:autoSpaceDE w:val="0"/>
        <w:autoSpaceDN w:val="0"/>
        <w:bidi w:val="0"/>
        <w:adjustRightInd/>
        <w:snapToGrid/>
        <w:textAlignment w:val="auto"/>
        <w:rPr>
          <w:rFonts w:hint="eastAsia"/>
          <w:lang w:val="en-US" w:eastAsia="zh-CN"/>
        </w:rPr>
      </w:pPr>
      <w:r>
        <w:rPr>
          <w:rFonts w:hint="eastAsia"/>
          <w:lang w:val="en-US" w:eastAsia="zh-CN"/>
        </w:rPr>
        <w:t>本项目位于临沂市沂水县与淄博市沂源县交界处，不在山东沂水国家湿地公园和沂水县沂河自然保护区保护边界内。</w:t>
      </w:r>
    </w:p>
    <w:p>
      <w:pPr>
        <w:keepNext w:val="0"/>
        <w:keepLines w:val="0"/>
        <w:pageBreakBefore w:val="0"/>
        <w:widowControl w:val="0"/>
        <w:kinsoku/>
        <w:wordWrap/>
        <w:overflowPunct/>
        <w:topLinePunct w:val="0"/>
        <w:autoSpaceDE w:val="0"/>
        <w:autoSpaceDN w:val="0"/>
        <w:bidi w:val="0"/>
        <w:adjustRightInd/>
        <w:snapToGrid/>
        <w:textAlignment w:val="auto"/>
        <w:rPr>
          <w:rFonts w:hint="eastAsia"/>
          <w:lang w:val="en-US" w:eastAsia="zh-CN"/>
        </w:rPr>
      </w:pPr>
      <w:r>
        <w:rPr>
          <w:rFonts w:hint="eastAsia"/>
          <w:lang w:val="en-US" w:eastAsia="zh-CN"/>
        </w:rPr>
        <w:t>本项目符合《沂水县诸葛镇总体规划（2017-2035年）》、《沂源县土地利用总体规划（2006-2020年）》发展规划。</w:t>
      </w:r>
    </w:p>
    <w:p>
      <w:pPr>
        <w:pStyle w:val="2"/>
        <w:keepNext w:val="0"/>
        <w:keepLines w:val="0"/>
        <w:pageBreakBefore w:val="0"/>
        <w:widowControl w:val="0"/>
        <w:kinsoku/>
        <w:wordWrap/>
        <w:overflowPunct/>
        <w:topLinePunct w:val="0"/>
        <w:autoSpaceDE w:val="0"/>
        <w:autoSpaceDN w:val="0"/>
        <w:bidi w:val="0"/>
        <w:adjustRightInd/>
        <w:snapToGrid/>
        <w:spacing w:after="0"/>
        <w:textAlignment w:val="auto"/>
        <w:rPr>
          <w:rFonts w:hint="eastAsia"/>
          <w:lang w:val="en-US" w:eastAsia="zh-CN"/>
        </w:rPr>
      </w:pPr>
      <w:r>
        <w:rPr>
          <w:rFonts w:hint="eastAsia"/>
          <w:lang w:val="en-US" w:eastAsia="zh-CN"/>
        </w:rPr>
        <w:t>本项目满足《山东省矿产资源总体规划（2016-2020年）》、《临沂市矿产资源总体规划（2016-2020年）》及《淄博市矿产资源总体规划（2016-2020）》的要求。</w:t>
      </w:r>
    </w:p>
    <w:p>
      <w:pPr>
        <w:rPr>
          <w:rFonts w:hint="eastAsia"/>
          <w:lang w:val="en-US" w:eastAsia="zh-CN"/>
        </w:rPr>
      </w:pPr>
      <w:r>
        <w:rPr>
          <w:rFonts w:hint="eastAsia"/>
          <w:lang w:val="en-US" w:eastAsia="zh-CN"/>
        </w:rPr>
        <w:t>本项目不在沂水县、沂源县集中式饮用水水源保护区范围内。</w:t>
      </w:r>
    </w:p>
    <w:p>
      <w:pPr>
        <w:pStyle w:val="2"/>
        <w:keepNext w:val="0"/>
        <w:keepLines w:val="0"/>
        <w:pageBreakBefore w:val="0"/>
        <w:widowControl w:val="0"/>
        <w:numPr>
          <w:ilvl w:val="0"/>
          <w:numId w:val="0"/>
        </w:numPr>
        <w:kinsoku/>
        <w:wordWrap/>
        <w:overflowPunct/>
        <w:topLinePunct w:val="0"/>
        <w:autoSpaceDE w:val="0"/>
        <w:autoSpaceDN w:val="0"/>
        <w:bidi w:val="0"/>
        <w:adjustRightInd/>
        <w:snapToGrid/>
        <w:spacing w:after="0"/>
        <w:ind w:leftChars="0"/>
        <w:textAlignment w:val="auto"/>
        <w:rPr>
          <w:rFonts w:hint="eastAsia"/>
          <w:b/>
          <w:bCs/>
          <w:lang w:val="en-US" w:eastAsia="zh-CN"/>
        </w:rPr>
      </w:pPr>
      <w:r>
        <w:rPr>
          <w:rFonts w:hint="eastAsia"/>
          <w:b/>
          <w:bCs/>
          <w:lang w:val="en-US" w:eastAsia="zh-CN"/>
        </w:rPr>
        <w:t>（二）与产业政策符合性分析</w:t>
      </w:r>
    </w:p>
    <w:p>
      <w:pPr>
        <w:ind w:firstLine="560"/>
        <w:rPr>
          <w:rFonts w:hint="eastAsia" w:ascii="宋体" w:hAnsi="宋体" w:eastAsia="宋体" w:cs="宋体"/>
          <w:lang w:eastAsia="zh-CN"/>
        </w:rPr>
      </w:pPr>
      <w:r>
        <w:rPr>
          <w:rFonts w:hint="eastAsia" w:ascii="宋体" w:hAnsi="宋体" w:eastAsia="宋体" w:cs="宋体"/>
          <w:lang w:eastAsia="zh-CN"/>
        </w:rPr>
        <w:t>根据《产业结构调整指导目录（2019年本）》，</w:t>
      </w:r>
      <w:r>
        <w:rPr>
          <w:rFonts w:hint="eastAsia" w:cs="宋体"/>
          <w:lang w:eastAsia="zh-CN"/>
        </w:rPr>
        <w:t>本项目</w:t>
      </w:r>
      <w:r>
        <w:rPr>
          <w:rFonts w:hint="eastAsia" w:ascii="宋体" w:hAnsi="宋体" w:eastAsia="宋体" w:cs="宋体"/>
          <w:lang w:eastAsia="zh-CN"/>
        </w:rPr>
        <w:t>属于“鼓励类”第八项“钢铁”中第1条“1、黑色金属矿山接替资源勘探及关键勘探技术开发，低品位难选矿综合选别和利用技术，高品质铁精矿绿色高效智能化生产技术与装备”，符合国家产业政策相关要求，且项目未使用国家淘汰和限制使用的工艺及设备。</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采矿规模为50万吨/年，符合《关于调整部分矿种矿山生产建设规模标准的通知》（国土资发[2004]208号）中“铁（地下开采）最低生产建设规模（3万吨/年）”的要求，</w:t>
      </w:r>
      <w:r>
        <w:rPr>
          <w:rFonts w:hint="eastAsia" w:cs="宋体"/>
          <w:lang w:eastAsia="zh-CN"/>
        </w:rPr>
        <w:t>本项目</w:t>
      </w:r>
      <w:r>
        <w:rPr>
          <w:rFonts w:hint="eastAsia" w:ascii="宋体" w:hAnsi="宋体" w:eastAsia="宋体" w:cs="宋体"/>
          <w:lang w:eastAsia="zh-CN"/>
        </w:rPr>
        <w:t>属于中型矿山。</w:t>
      </w:r>
      <w:r>
        <w:rPr>
          <w:rFonts w:hint="eastAsia" w:cs="宋体"/>
          <w:lang w:eastAsia="zh-CN"/>
        </w:rPr>
        <w:t>本项目</w:t>
      </w:r>
      <w:r>
        <w:rPr>
          <w:rFonts w:hint="eastAsia" w:ascii="宋体" w:hAnsi="宋体" w:eastAsia="宋体" w:cs="宋体"/>
          <w:lang w:eastAsia="zh-CN"/>
        </w:rPr>
        <w:t>建成投入使用后，鲁南矿业采矿规模为100万吨/年，属于大型矿山。</w:t>
      </w:r>
    </w:p>
    <w:p>
      <w:pPr>
        <w:autoSpaceDE/>
        <w:autoSpaceDN/>
        <w:spacing w:line="440" w:lineRule="exact"/>
        <w:ind w:firstLine="482"/>
        <w:rPr>
          <w:rFonts w:ascii="Times New Roman" w:hAnsi="Times New Roman" w:eastAsia="宋体" w:cs="Times New Roman"/>
          <w:b/>
          <w:kern w:val="2"/>
          <w:szCs w:val="22"/>
          <w:lang w:eastAsia="zh-CN"/>
        </w:rPr>
      </w:pPr>
      <w:r>
        <w:rPr>
          <w:rFonts w:hint="eastAsia" w:ascii="Times New Roman" w:hAnsi="Times New Roman" w:eastAsia="宋体" w:cs="Times New Roman"/>
          <w:b/>
          <w:kern w:val="2"/>
          <w:szCs w:val="22"/>
          <w:lang w:eastAsia="zh-CN"/>
        </w:rPr>
        <w:t>（</w:t>
      </w:r>
      <w:r>
        <w:rPr>
          <w:rFonts w:hint="eastAsia" w:ascii="Times New Roman" w:hAnsi="Times New Roman" w:cs="Times New Roman"/>
          <w:b/>
          <w:kern w:val="2"/>
          <w:szCs w:val="22"/>
          <w:lang w:eastAsia="zh-CN"/>
        </w:rPr>
        <w:t>三</w:t>
      </w:r>
      <w:r>
        <w:rPr>
          <w:rFonts w:hint="eastAsia" w:ascii="Times New Roman" w:hAnsi="Times New Roman" w:eastAsia="宋体" w:cs="Times New Roman"/>
          <w:b/>
          <w:kern w:val="2"/>
          <w:szCs w:val="22"/>
          <w:lang w:eastAsia="zh-CN"/>
        </w:rPr>
        <w:t>）“</w:t>
      </w:r>
      <w:r>
        <w:rPr>
          <w:rFonts w:ascii="Times New Roman" w:hAnsi="Times New Roman" w:eastAsia="宋体" w:cs="Times New Roman"/>
          <w:b/>
          <w:kern w:val="2"/>
          <w:szCs w:val="22"/>
          <w:lang w:eastAsia="zh-CN"/>
        </w:rPr>
        <w:t>三线一单</w:t>
      </w:r>
      <w:r>
        <w:rPr>
          <w:rFonts w:hint="eastAsia" w:ascii="Times New Roman" w:hAnsi="Times New Roman" w:eastAsia="宋体" w:cs="Times New Roman"/>
          <w:b/>
          <w:kern w:val="2"/>
          <w:szCs w:val="22"/>
          <w:lang w:eastAsia="zh-CN"/>
        </w:rPr>
        <w:t>“</w:t>
      </w:r>
      <w:r>
        <w:rPr>
          <w:rFonts w:ascii="Times New Roman" w:hAnsi="Times New Roman" w:eastAsia="宋体" w:cs="Times New Roman"/>
          <w:b/>
          <w:kern w:val="2"/>
          <w:szCs w:val="22"/>
          <w:lang w:eastAsia="zh-CN"/>
        </w:rPr>
        <w:t>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Cs w:val="22"/>
          <w:lang w:eastAsia="zh-CN"/>
        </w:rPr>
      </w:pPr>
      <w:r>
        <w:rPr>
          <w:rFonts w:ascii="Times New Roman" w:hAnsi="Times New Roman" w:eastAsia="宋体" w:cs="Times New Roman"/>
          <w:kern w:val="2"/>
          <w:szCs w:val="22"/>
          <w:lang w:eastAsia="zh-CN"/>
        </w:rPr>
        <w:t>“三线一单”主要指生态保护红线、环境质量底线、资源利用上线和环境准入负面清单。</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kern w:val="2"/>
          <w:szCs w:val="22"/>
          <w:lang w:eastAsia="zh-CN"/>
        </w:rPr>
      </w:pPr>
      <w:r>
        <w:rPr>
          <w:rFonts w:ascii="Times New Roman" w:hAnsi="Times New Roman" w:eastAsia="宋体" w:cs="Times New Roman"/>
          <w:b/>
          <w:kern w:val="2"/>
          <w:szCs w:val="22"/>
          <w:lang w:eastAsia="zh-CN"/>
        </w:rPr>
        <w:t>（1）生态保护红线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Cs w:val="22"/>
          <w:lang w:eastAsia="zh-CN"/>
        </w:rPr>
      </w:pPr>
      <w:r>
        <w:rPr>
          <w:rFonts w:ascii="Times New Roman" w:hAnsi="Times New Roman" w:eastAsia="宋体" w:cs="Times New Roman"/>
          <w:kern w:val="2"/>
          <w:szCs w:val="22"/>
          <w:lang w:eastAsia="zh-CN"/>
        </w:rPr>
        <w:t>根据《山东省生态保护红线规划》（2016-2020），</w:t>
      </w:r>
      <w:r>
        <w:rPr>
          <w:rFonts w:hint="eastAsia" w:ascii="Times New Roman" w:hAnsi="Times New Roman" w:eastAsia="宋体" w:cs="Times New Roman"/>
          <w:kern w:val="2"/>
          <w:szCs w:val="22"/>
          <w:lang w:val="en-US" w:eastAsia="zh-CN"/>
        </w:rPr>
        <w:t>本项目不在保护红线内</w:t>
      </w:r>
      <w:r>
        <w:rPr>
          <w:rFonts w:hint="eastAsia" w:ascii="Times New Roman" w:hAnsi="Times New Roman" w:eastAsia="宋体" w:cs="Times New Roman"/>
          <w:kern w:val="2"/>
          <w:szCs w:val="22"/>
          <w:lang w:eastAsia="zh-CN"/>
        </w:rPr>
        <w:t>，项目的建设符合《山东省生态保护红线规划》的相关要求。</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kern w:val="2"/>
          <w:szCs w:val="22"/>
          <w:lang w:eastAsia="zh-CN"/>
        </w:rPr>
      </w:pPr>
      <w:r>
        <w:rPr>
          <w:rFonts w:ascii="Times New Roman" w:hAnsi="Times New Roman" w:eastAsia="宋体" w:cs="Times New Roman"/>
          <w:b/>
          <w:kern w:val="2"/>
          <w:szCs w:val="22"/>
          <w:lang w:eastAsia="zh-CN"/>
        </w:rPr>
        <w:t>（2）环境质量底线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本项目所在地为大气环境空气质量不达标区，评价范围内包含的临沂市沂水县和淄博市沂源县亦为不达标区，因此综合判定，本项目区域为不达标区。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根据地表水监测数据，其水质不能完全满足《地表水环境质量标准》（</w:t>
      </w:r>
      <w:r>
        <w:rPr>
          <w:rFonts w:ascii="Times New Roman" w:hAnsi="Times New Roman" w:eastAsia="宋体" w:cs="Times New Roman"/>
          <w:kern w:val="2"/>
          <w:szCs w:val="22"/>
          <w:lang w:eastAsia="zh-CN"/>
        </w:rPr>
        <w:t>GB3838-2002</w:t>
      </w:r>
      <w:r>
        <w:rPr>
          <w:rFonts w:hint="eastAsia" w:ascii="Times New Roman" w:hAnsi="Times New Roman" w:eastAsia="宋体" w:cs="Times New Roman"/>
          <w:kern w:val="2"/>
          <w:szCs w:val="22"/>
          <w:lang w:eastAsia="zh-CN"/>
        </w:rPr>
        <w:t>）</w:t>
      </w:r>
      <w:r>
        <w:rPr>
          <w:rFonts w:hint="eastAsia" w:ascii="Times New Roman" w:hAnsi="宋体" w:eastAsia="宋体" w:cs="Times New Roman"/>
          <w:kern w:val="2"/>
          <w:szCs w:val="22"/>
          <w:lang w:eastAsia="zh-CN"/>
        </w:rPr>
        <w:t>Ⅳ</w:t>
      </w:r>
      <w:r>
        <w:rPr>
          <w:rFonts w:hint="eastAsia" w:ascii="Times New Roman" w:hAnsi="Times New Roman" w:eastAsia="宋体" w:cs="Times New Roman"/>
          <w:kern w:val="2"/>
          <w:szCs w:val="22"/>
          <w:lang w:eastAsia="zh-CN"/>
        </w:rPr>
        <w:t>类标准要求；地下水满足《地下水质量标准》（</w:t>
      </w:r>
      <w:r>
        <w:rPr>
          <w:rFonts w:ascii="Times New Roman" w:hAnsi="Times New Roman" w:eastAsia="宋体" w:cs="Times New Roman"/>
          <w:kern w:val="2"/>
          <w:szCs w:val="22"/>
          <w:lang w:eastAsia="zh-CN"/>
        </w:rPr>
        <w:t>GB/T14848-2017</w:t>
      </w:r>
      <w:r>
        <w:rPr>
          <w:rFonts w:hint="eastAsia" w:ascii="Times New Roman" w:hAnsi="Times New Roman" w:eastAsia="宋体" w:cs="Times New Roman"/>
          <w:kern w:val="2"/>
          <w:szCs w:val="22"/>
          <w:lang w:eastAsia="zh-CN"/>
        </w:rPr>
        <w:t>）Ⅲ类标准要求；根据监测数据，除了靠近S234省道西厂界</w:t>
      </w:r>
      <w:r>
        <w:rPr>
          <w:rFonts w:hint="eastAsia" w:ascii="Times New Roman" w:hAnsi="Times New Roman" w:cs="Times New Roman"/>
          <w:kern w:val="2"/>
          <w:szCs w:val="22"/>
          <w:lang w:eastAsia="zh-CN"/>
        </w:rPr>
        <w:t>外，其余</w:t>
      </w:r>
      <w:r>
        <w:rPr>
          <w:rFonts w:hint="eastAsia" w:ascii="Times New Roman" w:hAnsi="Times New Roman" w:eastAsia="宋体" w:cs="Times New Roman"/>
          <w:kern w:val="2"/>
          <w:szCs w:val="22"/>
          <w:lang w:eastAsia="zh-CN"/>
        </w:rPr>
        <w:t>各监测点昼夜噪声监测值均满足《声环境质量标准》</w:t>
      </w:r>
      <w:r>
        <w:rPr>
          <w:rFonts w:ascii="Times New Roman" w:hAnsi="Times New Roman" w:eastAsia="宋体" w:cs="Times New Roman"/>
          <w:kern w:val="2"/>
          <w:szCs w:val="22"/>
          <w:lang w:eastAsia="zh-CN"/>
        </w:rPr>
        <w:t>(GB3096-2008)2</w:t>
      </w:r>
      <w:r>
        <w:rPr>
          <w:rFonts w:hint="eastAsia" w:ascii="Times New Roman" w:hAnsi="Times New Roman" w:eastAsia="宋体" w:cs="Times New Roman"/>
          <w:kern w:val="2"/>
          <w:szCs w:val="22"/>
          <w:lang w:eastAsia="zh-CN"/>
        </w:rPr>
        <w:t>类标准。目前临沂市和淄博市均正在实施大气污染综合治理攻坚计划和沂河流域污染治理攻坚行动工作方案，可以预见项目所在区域环境空气质量和沂河流域地表水环境将得到大大改善。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本项目井下采矿，废气经过湿式作业、喷雾洒水除尘、通风等措施处理后，对周边环境影响较小；项目不新增员工，无新增生活废水；本项目废水为矿井涌水，全部回用，不外排；对周围地表水体影响较小。项目对环境质量底线贡献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kern w:val="2"/>
          <w:szCs w:val="22"/>
          <w:lang w:eastAsia="zh-CN"/>
        </w:rPr>
      </w:pPr>
      <w:r>
        <w:rPr>
          <w:rFonts w:ascii="Times New Roman" w:hAnsi="Times New Roman" w:eastAsia="宋体" w:cs="Times New Roman"/>
          <w:b/>
          <w:kern w:val="2"/>
          <w:szCs w:val="22"/>
          <w:lang w:eastAsia="zh-CN"/>
        </w:rPr>
        <w:t>（3）资源利用上限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本项目已取得采矿证</w:t>
      </w:r>
      <w:r>
        <w:rPr>
          <w:rFonts w:ascii="Times New Roman" w:hAnsi="Times New Roman" w:eastAsia="宋体" w:cs="Times New Roman"/>
          <w:kern w:val="2"/>
          <w:szCs w:val="22"/>
          <w:lang w:eastAsia="zh-CN"/>
        </w:rPr>
        <w:t>，满足资源利用上限。</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kern w:val="2"/>
          <w:szCs w:val="22"/>
          <w:lang w:eastAsia="zh-CN"/>
        </w:rPr>
      </w:pPr>
      <w:r>
        <w:rPr>
          <w:rFonts w:ascii="Times New Roman" w:hAnsi="Times New Roman" w:eastAsia="宋体" w:cs="Times New Roman"/>
          <w:b/>
          <w:kern w:val="2"/>
          <w:szCs w:val="22"/>
          <w:lang w:eastAsia="zh-CN"/>
        </w:rPr>
        <w:t>（4）环境准入负面清单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临沂市和淄博市暂</w:t>
      </w:r>
      <w:r>
        <w:rPr>
          <w:rFonts w:ascii="Times New Roman" w:hAnsi="Times New Roman" w:eastAsia="宋体" w:cs="Times New Roman"/>
          <w:kern w:val="2"/>
          <w:szCs w:val="22"/>
          <w:lang w:eastAsia="zh-CN"/>
        </w:rPr>
        <w:t>未发布环境准入负面清单。</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综上所述，本项目符合国家产业政策，符合省、市、区矿产资源总体规划，矿山建设符合相关政策要求及土地利用总体规划。项目建设原则上不违背国家及省蓝天保卫战行动计划等相关政策要求，基本符合“三线一单”相关管控要求。</w:t>
      </w:r>
    </w:p>
    <w:p>
      <w:pPr>
        <w:pStyle w:val="6"/>
        <w:numPr>
          <w:ilvl w:val="0"/>
          <w:numId w:val="1"/>
        </w:numPr>
        <w:bidi w:val="0"/>
        <w:rPr>
          <w:rFonts w:hint="eastAsia"/>
          <w:lang w:val="en-US" w:eastAsia="zh-CN"/>
        </w:rPr>
      </w:pPr>
      <w:bookmarkStart w:id="8" w:name="_Toc14423"/>
      <w:r>
        <w:rPr>
          <w:rFonts w:hint="eastAsia"/>
          <w:lang w:val="en-US" w:eastAsia="zh-CN"/>
        </w:rPr>
        <w:t>关注的主要环境问题</w:t>
      </w:r>
      <w:bookmarkEnd w:id="8"/>
    </w:p>
    <w:p>
      <w:pPr>
        <w:bidi w:val="0"/>
        <w:rPr>
          <w:b/>
          <w:bCs/>
          <w:lang w:eastAsia="zh-CN"/>
        </w:rPr>
      </w:pPr>
      <w:r>
        <w:rPr>
          <w:rFonts w:hint="eastAsia"/>
          <w:b/>
          <w:bCs/>
          <w:lang w:eastAsia="zh-CN"/>
        </w:rPr>
        <w:t>（一）</w:t>
      </w:r>
      <w:r>
        <w:rPr>
          <w:b/>
          <w:bCs/>
          <w:lang w:eastAsia="zh-CN"/>
        </w:rPr>
        <w:t>施工期</w:t>
      </w:r>
    </w:p>
    <w:p>
      <w:pPr>
        <w:bidi w:val="0"/>
        <w:rPr>
          <w:lang w:eastAsia="zh-CN"/>
        </w:rPr>
      </w:pPr>
      <w:r>
        <w:rPr>
          <w:lang w:eastAsia="zh-CN"/>
        </w:rPr>
        <w:t>废气：主要为施工扬尘及施工机械和车辆尾气。</w:t>
      </w:r>
    </w:p>
    <w:p>
      <w:pPr>
        <w:bidi w:val="0"/>
        <w:rPr>
          <w:lang w:eastAsia="zh-CN"/>
        </w:rPr>
      </w:pPr>
      <w:r>
        <w:rPr>
          <w:lang w:eastAsia="zh-CN"/>
        </w:rPr>
        <w:t>废水：主要为施工废水及生活污水。</w:t>
      </w:r>
    </w:p>
    <w:p>
      <w:pPr>
        <w:bidi w:val="0"/>
        <w:rPr>
          <w:lang w:eastAsia="zh-CN"/>
        </w:rPr>
      </w:pPr>
      <w:r>
        <w:rPr>
          <w:lang w:eastAsia="zh-CN"/>
        </w:rPr>
        <w:t>噪声：主要为施工机械设备作业噪声和车辆运输噪声。</w:t>
      </w:r>
    </w:p>
    <w:p>
      <w:pPr>
        <w:bidi w:val="0"/>
        <w:rPr>
          <w:lang w:eastAsia="zh-CN"/>
        </w:rPr>
      </w:pPr>
      <w:r>
        <w:rPr>
          <w:lang w:eastAsia="zh-CN"/>
        </w:rPr>
        <w:t>固废：主要为废弃土方、生活垃圾等。</w:t>
      </w:r>
    </w:p>
    <w:p>
      <w:pPr>
        <w:bidi w:val="0"/>
        <w:rPr>
          <w:lang w:eastAsia="zh-CN"/>
        </w:rPr>
      </w:pPr>
      <w:r>
        <w:rPr>
          <w:rFonts w:hint="eastAsia"/>
          <w:lang w:eastAsia="zh-CN"/>
        </w:rPr>
        <w:t>（</w:t>
      </w:r>
      <w:r>
        <w:rPr>
          <w:rFonts w:hint="eastAsia"/>
          <w:b/>
          <w:bCs/>
          <w:lang w:eastAsia="zh-CN"/>
        </w:rPr>
        <w:t>二）</w:t>
      </w:r>
      <w:r>
        <w:rPr>
          <w:b/>
          <w:bCs/>
          <w:lang w:eastAsia="zh-CN"/>
        </w:rPr>
        <w:t>运营期</w:t>
      </w:r>
    </w:p>
    <w:p>
      <w:pPr>
        <w:bidi w:val="0"/>
        <w:rPr>
          <w:lang w:eastAsia="zh-CN"/>
        </w:rPr>
      </w:pPr>
      <w:r>
        <w:rPr>
          <w:lang w:eastAsia="zh-CN"/>
        </w:rPr>
        <w:t>废气：主要为矿山开采、</w:t>
      </w:r>
      <w:r>
        <w:rPr>
          <w:rFonts w:hint="eastAsia"/>
          <w:lang w:eastAsia="zh-CN"/>
        </w:rPr>
        <w:t>原矿运输、废土石转运</w:t>
      </w:r>
      <w:r>
        <w:rPr>
          <w:lang w:eastAsia="zh-CN"/>
        </w:rPr>
        <w:t>产生的粉尘和燃油机械废气。</w:t>
      </w:r>
    </w:p>
    <w:p>
      <w:pPr>
        <w:bidi w:val="0"/>
        <w:rPr>
          <w:lang w:eastAsia="zh-CN"/>
        </w:rPr>
      </w:pPr>
      <w:r>
        <w:rPr>
          <w:lang w:eastAsia="zh-CN"/>
        </w:rPr>
        <w:t>废水：主要为</w:t>
      </w:r>
      <w:r>
        <w:rPr>
          <w:rFonts w:hint="eastAsia"/>
          <w:lang w:eastAsia="zh-CN"/>
        </w:rPr>
        <w:t>矿井涌水</w:t>
      </w:r>
      <w:r>
        <w:rPr>
          <w:lang w:eastAsia="zh-CN"/>
        </w:rPr>
        <w:t>。</w:t>
      </w:r>
    </w:p>
    <w:p>
      <w:pPr>
        <w:bidi w:val="0"/>
        <w:rPr>
          <w:lang w:eastAsia="zh-CN"/>
        </w:rPr>
      </w:pPr>
      <w:r>
        <w:rPr>
          <w:lang w:eastAsia="zh-CN"/>
        </w:rPr>
        <w:t>噪声：主要为采矿凿岩、爆破、铲装、运输作业噪声，以及开采爆破振动等。</w:t>
      </w:r>
    </w:p>
    <w:p>
      <w:pPr>
        <w:bidi w:val="0"/>
        <w:rPr>
          <w:lang w:eastAsia="zh-CN"/>
        </w:rPr>
      </w:pPr>
      <w:r>
        <w:rPr>
          <w:lang w:eastAsia="zh-CN"/>
        </w:rPr>
        <w:t>固废：主要为</w:t>
      </w:r>
      <w:r>
        <w:rPr>
          <w:rFonts w:hint="eastAsia"/>
          <w:lang w:eastAsia="zh-CN"/>
        </w:rPr>
        <w:t>维修危废和污泥</w:t>
      </w:r>
      <w:r>
        <w:rPr>
          <w:lang w:eastAsia="zh-CN"/>
        </w:rPr>
        <w:t>。</w:t>
      </w:r>
    </w:p>
    <w:p>
      <w:pPr>
        <w:bidi w:val="0"/>
        <w:rPr>
          <w:lang w:eastAsia="zh-CN"/>
        </w:rPr>
      </w:pPr>
      <w:r>
        <w:rPr>
          <w:lang w:eastAsia="zh-CN"/>
        </w:rPr>
        <w:t>生态：采矿引起的水土流失、土地功能改变、植被破坏等生态问题。</w:t>
      </w:r>
    </w:p>
    <w:p>
      <w:pPr>
        <w:bidi w:val="0"/>
        <w:rPr>
          <w:lang w:eastAsia="zh-CN"/>
        </w:rPr>
      </w:pPr>
      <w:r>
        <w:rPr>
          <w:lang w:eastAsia="zh-CN"/>
        </w:rPr>
        <w:t>环境风险：关注矿山爆破风险。</w:t>
      </w:r>
    </w:p>
    <w:p>
      <w:pPr>
        <w:pStyle w:val="6"/>
        <w:numPr>
          <w:ilvl w:val="0"/>
          <w:numId w:val="1"/>
        </w:numPr>
        <w:bidi w:val="0"/>
        <w:rPr>
          <w:rFonts w:hint="eastAsia"/>
          <w:lang w:val="en-US" w:eastAsia="zh-CN"/>
        </w:rPr>
      </w:pPr>
      <w:bookmarkStart w:id="9" w:name="_Toc16271"/>
      <w:r>
        <w:rPr>
          <w:rFonts w:hint="eastAsia"/>
          <w:lang w:val="en-US" w:eastAsia="zh-CN"/>
        </w:rPr>
        <w:t>环境影响报告书主要结论</w:t>
      </w:r>
      <w:bookmarkEnd w:id="9"/>
    </w:p>
    <w:p>
      <w:pPr>
        <w:bidi w:val="0"/>
        <w:rPr>
          <w:lang w:eastAsia="zh-CN"/>
        </w:rPr>
      </w:pPr>
      <w:r>
        <w:rPr>
          <w:rFonts w:hint="eastAsia"/>
          <w:lang w:eastAsia="zh-CN"/>
        </w:rPr>
        <w:t>莱钢集团鲁南矿业有限公司露天转地下开采工程（二期/扩界），符合国家产业政策，符合矿产资源总体规划；符合城市总体规划的有关要求，基本符合“三线一单”相关要求；拟采取的环保措施技术可靠、经济可行；污染物排放满足相应排放标准及总量控制的要求；项目环境风险能够有效控制。在严格落实报告书提出的各项环保措施和建议的前提下，从环境保护角度分析，项目建设可行。</w:t>
      </w:r>
    </w:p>
    <w:p>
      <w:pPr>
        <w:bidi w:val="0"/>
        <w:rPr>
          <w:lang w:eastAsia="zh-CN"/>
        </w:rPr>
      </w:pPr>
      <w:r>
        <w:rPr>
          <w:lang w:eastAsia="zh-CN"/>
        </w:rPr>
        <w:t>在报告书的编写过程中，得到了相关部门的热情指导和大力支持，得到了建设单位</w:t>
      </w:r>
      <w:r>
        <w:rPr>
          <w:rFonts w:hint="eastAsia"/>
          <w:lang w:eastAsia="zh-CN"/>
        </w:rPr>
        <w:t>莱钢集团鲁南矿业有限公司</w:t>
      </w:r>
      <w:r>
        <w:rPr>
          <w:lang w:eastAsia="zh-CN"/>
        </w:rPr>
        <w:t>、监测单位</w:t>
      </w:r>
      <w:r>
        <w:rPr>
          <w:rFonts w:hint="eastAsia"/>
          <w:lang w:eastAsia="zh-CN"/>
        </w:rPr>
        <w:t>济南浩宏伟业检测技术有限公司、青岛谱尼测试有限公司</w:t>
      </w:r>
      <w:r>
        <w:rPr>
          <w:lang w:eastAsia="zh-CN"/>
        </w:rPr>
        <w:t>的积极配合，在此一并表示感谢！</w:t>
      </w:r>
    </w:p>
    <w:p>
      <w:pPr>
        <w:autoSpaceDE/>
        <w:autoSpaceDN/>
        <w:spacing w:line="360" w:lineRule="auto"/>
        <w:ind w:right="257" w:rightChars="107" w:firstLine="480"/>
        <w:jc w:val="right"/>
        <w:rPr>
          <w:rFonts w:ascii="Times New Roman" w:hAnsi="Times New Roman" w:cs="Times New Roman"/>
          <w:kern w:val="2"/>
          <w:szCs w:val="22"/>
          <w:lang w:eastAsia="zh-CN"/>
        </w:rPr>
      </w:pPr>
      <w:r>
        <w:rPr>
          <w:rFonts w:ascii="Times New Roman" w:hAnsi="Times New Roman" w:cs="Times New Roman"/>
          <w:kern w:val="2"/>
          <w:szCs w:val="22"/>
          <w:lang w:eastAsia="zh-CN"/>
        </w:rPr>
        <w:t>项目组</w:t>
      </w:r>
    </w:p>
    <w:p>
      <w:pPr>
        <w:autoSpaceDE/>
        <w:autoSpaceDN/>
        <w:spacing w:line="360" w:lineRule="auto"/>
        <w:ind w:firstLine="480"/>
        <w:jc w:val="right"/>
        <w:rPr>
          <w:rFonts w:ascii="Times New Roman" w:hAnsi="Times New Roman" w:cs="Times New Roman"/>
          <w:kern w:val="2"/>
          <w:szCs w:val="22"/>
          <w:lang w:eastAsia="zh-CN"/>
        </w:rPr>
      </w:pPr>
      <w:r>
        <w:rPr>
          <w:rFonts w:hint="eastAsia" w:ascii="Times New Roman" w:hAnsi="Times New Roman" w:cs="Times New Roman"/>
          <w:kern w:val="2"/>
          <w:szCs w:val="22"/>
          <w:lang w:val="en-US" w:eastAsia="zh-CN"/>
        </w:rPr>
        <w:t>2021</w:t>
      </w:r>
      <w:r>
        <w:rPr>
          <w:rFonts w:ascii="Times New Roman" w:hAnsi="Times New Roman" w:cs="Times New Roman"/>
          <w:kern w:val="2"/>
          <w:szCs w:val="22"/>
          <w:lang w:eastAsia="zh-CN"/>
        </w:rPr>
        <w:t>年</w:t>
      </w:r>
      <w:r>
        <w:rPr>
          <w:rFonts w:hint="eastAsia" w:ascii="Times New Roman" w:hAnsi="Times New Roman" w:cs="Times New Roman"/>
          <w:kern w:val="2"/>
          <w:szCs w:val="22"/>
          <w:lang w:val="en-US" w:eastAsia="zh-CN"/>
        </w:rPr>
        <w:t>9</w:t>
      </w:r>
      <w:r>
        <w:rPr>
          <w:rFonts w:ascii="Times New Roman" w:hAnsi="Times New Roman" w:cs="Times New Roman"/>
          <w:kern w:val="2"/>
          <w:szCs w:val="22"/>
          <w:lang w:eastAsia="zh-CN"/>
        </w:rPr>
        <w:t>月</w:t>
      </w:r>
    </w:p>
    <w:p>
      <w:pPr>
        <w:pStyle w:val="2"/>
        <w:numPr>
          <w:ilvl w:val="0"/>
          <w:numId w:val="0"/>
        </w:numPr>
        <w:ind w:leftChars="0"/>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pStyle w:val="2"/>
        <w:rPr>
          <w:rFonts w:hint="eastAsia"/>
          <w:lang w:val="en-US" w:eastAsia="zh-CN"/>
        </w:rPr>
      </w:pPr>
    </w:p>
    <w:p>
      <w:pPr>
        <w:rPr>
          <w:rFonts w:hint="eastAsia"/>
          <w:lang w:val="en-US" w:eastAsia="zh-CN"/>
        </w:rPr>
      </w:pPr>
    </w:p>
    <w:p>
      <w:pPr>
        <w:numPr>
          <w:ilvl w:val="0"/>
          <w:numId w:val="0"/>
        </w:numPr>
        <w:bidi w:val="0"/>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pPr>
    </w:p>
    <w:p>
      <w:pPr>
        <w:pStyle w:val="2"/>
        <w:rPr>
          <w:rFonts w:hint="eastAsia"/>
          <w:lang w:val="en-US" w:eastAsia="zh-CN"/>
        </w:rPr>
      </w:pPr>
    </w:p>
    <w:p>
      <w:pPr>
        <w:rPr>
          <w:rFonts w:hint="eastAsia"/>
          <w:lang w:val="en-US" w:eastAsia="zh-CN"/>
        </w:rPr>
        <w:sectPr>
          <w:footerReference r:id="rId9" w:type="default"/>
          <w:footerReference r:id="rId10" w:type="even"/>
          <w:pgSz w:w="11905" w:h="16838"/>
          <w:pgMar w:top="1417" w:right="1247" w:bottom="1247" w:left="1587" w:header="850" w:footer="850" w:gutter="0"/>
          <w:pgBorders>
            <w:top w:val="none" w:sz="0" w:space="0"/>
            <w:left w:val="none" w:sz="0" w:space="0"/>
            <w:bottom w:val="none" w:sz="0" w:space="0"/>
            <w:right w:val="none" w:sz="0" w:space="0"/>
          </w:pgBorders>
          <w:pgNumType w:fmt="decimal" w:start="1"/>
          <w:cols w:space="0" w:num="1"/>
          <w:docGrid w:type="lines" w:linePitch="383" w:charSpace="0"/>
        </w:sectPr>
      </w:pPr>
    </w:p>
    <w:sdt>
      <w:sdtPr>
        <w:rPr>
          <w:lang w:val="en-US" w:eastAsia="en-US"/>
        </w:rPr>
        <w:id w:val="147467270"/>
        <w15:color w:val="DBDBDB"/>
        <w:docPartObj>
          <w:docPartGallery w:val="Table of Contents"/>
          <w:docPartUnique/>
        </w:docPartObj>
      </w:sdtPr>
      <w:sdtEndPr>
        <w:rPr>
          <w:rFonts w:hint="eastAsia" w:ascii="宋体" w:hAnsi="宋体" w:eastAsia="宋体" w:cs="宋体"/>
          <w:b/>
          <w:bCs/>
          <w:kern w:val="2"/>
          <w:sz w:val="24"/>
          <w:szCs w:val="28"/>
          <w:lang w:val="en-US" w:eastAsia="zh-CN" w:bidi="ar-SA"/>
        </w:rPr>
      </w:sdtEndPr>
      <w:sdtContent>
        <w:p>
          <w:pPr>
            <w:pStyle w:val="5"/>
            <w:bidi w:val="0"/>
          </w:pPr>
          <w:r>
            <w:t>目</w:t>
          </w:r>
          <w:r>
            <w:rPr>
              <w:rFonts w:hint="eastAsia"/>
              <w:lang w:val="en-US" w:eastAsia="zh-CN"/>
            </w:rPr>
            <w:t xml:space="preserve"> </w:t>
          </w:r>
          <w:r>
            <w:t>录</w:t>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Cs w:val="28"/>
            </w:rPr>
            <w:fldChar w:fldCharType="begin"/>
          </w:r>
          <w:r>
            <w:rPr>
              <w:rFonts w:hint="eastAsia" w:ascii="宋体" w:hAnsi="宋体" w:eastAsia="宋体" w:cs="宋体"/>
              <w:b/>
              <w:bCs/>
              <w:szCs w:val="28"/>
            </w:rPr>
            <w:instrText xml:space="preserve">TOC \o "1-2" \h \u </w:instrText>
          </w:r>
          <w:r>
            <w:rPr>
              <w:rFonts w:hint="eastAsia" w:ascii="宋体" w:hAnsi="宋体" w:eastAsia="宋体" w:cs="宋体"/>
              <w:b/>
              <w:bCs/>
              <w:szCs w:val="28"/>
            </w:rPr>
            <w:fldChar w:fldCharType="separate"/>
          </w: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_Toc11328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第一章 总 则</w:t>
          </w:r>
          <w:r>
            <w:rPr>
              <w:b/>
              <w:sz w:val="24"/>
              <w:szCs w:val="24"/>
            </w:rPr>
            <w:tab/>
          </w:r>
          <w:r>
            <w:rPr>
              <w:b/>
              <w:sz w:val="24"/>
              <w:szCs w:val="24"/>
            </w:rPr>
            <w:fldChar w:fldCharType="begin"/>
          </w:r>
          <w:r>
            <w:rPr>
              <w:b/>
              <w:sz w:val="24"/>
              <w:szCs w:val="24"/>
            </w:rPr>
            <w:instrText xml:space="preserve"> PAGEREF _Toc11328 \h </w:instrText>
          </w:r>
          <w:r>
            <w:rPr>
              <w:b/>
              <w:sz w:val="24"/>
              <w:szCs w:val="24"/>
            </w:rPr>
            <w:fldChar w:fldCharType="separate"/>
          </w:r>
          <w:r>
            <w:rPr>
              <w:b/>
              <w:sz w:val="24"/>
              <w:szCs w:val="24"/>
            </w:rPr>
            <w:t>1</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_Toc21904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1.1 编制依据</w:t>
          </w:r>
          <w:r>
            <w:rPr>
              <w:sz w:val="24"/>
              <w:szCs w:val="24"/>
            </w:rPr>
            <w:tab/>
          </w:r>
          <w:r>
            <w:rPr>
              <w:sz w:val="24"/>
              <w:szCs w:val="24"/>
            </w:rPr>
            <w:fldChar w:fldCharType="begin"/>
          </w:r>
          <w:r>
            <w:rPr>
              <w:sz w:val="24"/>
              <w:szCs w:val="24"/>
            </w:rPr>
            <w:instrText xml:space="preserve"> PAGEREF _Toc21904 \h </w:instrText>
          </w:r>
          <w:r>
            <w:rPr>
              <w:sz w:val="24"/>
              <w:szCs w:val="24"/>
            </w:rPr>
            <w:fldChar w:fldCharType="separate"/>
          </w:r>
          <w:r>
            <w:rPr>
              <w:sz w:val="24"/>
              <w:szCs w:val="24"/>
            </w:rPr>
            <w:t>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_Toc22903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1.2 评价目的、指导思想和评价重点</w:t>
          </w:r>
          <w:r>
            <w:rPr>
              <w:sz w:val="24"/>
              <w:szCs w:val="24"/>
            </w:rPr>
            <w:tab/>
          </w:r>
          <w:r>
            <w:rPr>
              <w:sz w:val="24"/>
              <w:szCs w:val="24"/>
            </w:rPr>
            <w:fldChar w:fldCharType="begin"/>
          </w:r>
          <w:r>
            <w:rPr>
              <w:sz w:val="24"/>
              <w:szCs w:val="24"/>
            </w:rPr>
            <w:instrText xml:space="preserve"> PAGEREF _Toc22903 \h </w:instrText>
          </w:r>
          <w:r>
            <w:rPr>
              <w:sz w:val="24"/>
              <w:szCs w:val="24"/>
            </w:rPr>
            <w:fldChar w:fldCharType="separate"/>
          </w:r>
          <w:r>
            <w:rPr>
              <w:sz w:val="24"/>
              <w:szCs w:val="24"/>
            </w:rPr>
            <w:t>11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_Toc20523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1.3 环境影响因素识别及评价因子筛选</w:t>
          </w:r>
          <w:r>
            <w:rPr>
              <w:sz w:val="24"/>
              <w:szCs w:val="24"/>
            </w:rPr>
            <w:tab/>
          </w:r>
          <w:r>
            <w:rPr>
              <w:sz w:val="24"/>
              <w:szCs w:val="24"/>
            </w:rPr>
            <w:fldChar w:fldCharType="begin"/>
          </w:r>
          <w:r>
            <w:rPr>
              <w:sz w:val="24"/>
              <w:szCs w:val="24"/>
            </w:rPr>
            <w:instrText xml:space="preserve"> PAGEREF _Toc20523 \h </w:instrText>
          </w:r>
          <w:r>
            <w:rPr>
              <w:sz w:val="24"/>
              <w:szCs w:val="24"/>
            </w:rPr>
            <w:fldChar w:fldCharType="separate"/>
          </w:r>
          <w:r>
            <w:rPr>
              <w:sz w:val="24"/>
              <w:szCs w:val="24"/>
            </w:rPr>
            <w:t>12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_Toc7941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 xml:space="preserve">1.4 </w:t>
          </w:r>
          <w:r>
            <w:rPr>
              <w:rFonts w:hint="eastAsia" w:ascii="宋体" w:hAnsi="宋体" w:eastAsia="宋体" w:cs="宋体"/>
              <w:sz w:val="24"/>
              <w:szCs w:val="24"/>
            </w:rPr>
            <w:t>评价标准</w:t>
          </w:r>
          <w:r>
            <w:rPr>
              <w:sz w:val="24"/>
              <w:szCs w:val="24"/>
            </w:rPr>
            <w:tab/>
          </w:r>
          <w:r>
            <w:rPr>
              <w:sz w:val="24"/>
              <w:szCs w:val="24"/>
            </w:rPr>
            <w:fldChar w:fldCharType="begin"/>
          </w:r>
          <w:r>
            <w:rPr>
              <w:sz w:val="24"/>
              <w:szCs w:val="24"/>
            </w:rPr>
            <w:instrText xml:space="preserve"> PAGEREF _Toc7941 \h </w:instrText>
          </w:r>
          <w:r>
            <w:rPr>
              <w:sz w:val="24"/>
              <w:szCs w:val="24"/>
            </w:rPr>
            <w:fldChar w:fldCharType="separate"/>
          </w:r>
          <w:r>
            <w:rPr>
              <w:sz w:val="24"/>
              <w:szCs w:val="24"/>
            </w:rPr>
            <w:t>15</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_Toc11013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1.5 评价等级与评价范围</w:t>
          </w:r>
          <w:r>
            <w:rPr>
              <w:sz w:val="24"/>
              <w:szCs w:val="24"/>
            </w:rPr>
            <w:tab/>
          </w:r>
          <w:r>
            <w:rPr>
              <w:sz w:val="24"/>
              <w:szCs w:val="24"/>
            </w:rPr>
            <w:fldChar w:fldCharType="begin"/>
          </w:r>
          <w:r>
            <w:rPr>
              <w:sz w:val="24"/>
              <w:szCs w:val="24"/>
            </w:rPr>
            <w:instrText xml:space="preserve"> PAGEREF _Toc11013 \h </w:instrText>
          </w:r>
          <w:r>
            <w:rPr>
              <w:sz w:val="24"/>
              <w:szCs w:val="24"/>
            </w:rPr>
            <w:fldChar w:fldCharType="separate"/>
          </w:r>
          <w:r>
            <w:rPr>
              <w:sz w:val="24"/>
              <w:szCs w:val="24"/>
            </w:rPr>
            <w:t>21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_Toc10505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1.6 评价范围小结及重点保护目标</w:t>
          </w:r>
          <w:r>
            <w:rPr>
              <w:sz w:val="24"/>
              <w:szCs w:val="24"/>
            </w:rPr>
            <w:tab/>
          </w:r>
          <w:r>
            <w:rPr>
              <w:sz w:val="24"/>
              <w:szCs w:val="24"/>
            </w:rPr>
            <w:fldChar w:fldCharType="begin"/>
          </w:r>
          <w:r>
            <w:rPr>
              <w:sz w:val="24"/>
              <w:szCs w:val="24"/>
            </w:rPr>
            <w:instrText xml:space="preserve"> PAGEREF _Toc10505 \h </w:instrText>
          </w:r>
          <w:r>
            <w:rPr>
              <w:sz w:val="24"/>
              <w:szCs w:val="24"/>
            </w:rPr>
            <w:fldChar w:fldCharType="separate"/>
          </w:r>
          <w:r>
            <w:rPr>
              <w:sz w:val="24"/>
              <w:szCs w:val="24"/>
            </w:rPr>
            <w:t>24</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_Toc26084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1.7 评价时段、对象、重点</w:t>
          </w:r>
          <w:r>
            <w:rPr>
              <w:sz w:val="24"/>
              <w:szCs w:val="24"/>
            </w:rPr>
            <w:tab/>
          </w:r>
          <w:r>
            <w:rPr>
              <w:sz w:val="24"/>
              <w:szCs w:val="24"/>
            </w:rPr>
            <w:fldChar w:fldCharType="begin"/>
          </w:r>
          <w:r>
            <w:rPr>
              <w:sz w:val="24"/>
              <w:szCs w:val="24"/>
            </w:rPr>
            <w:instrText xml:space="preserve"> PAGEREF _Toc26084 \h </w:instrText>
          </w:r>
          <w:r>
            <w:rPr>
              <w:sz w:val="24"/>
              <w:szCs w:val="24"/>
            </w:rPr>
            <w:fldChar w:fldCharType="separate"/>
          </w:r>
          <w:r>
            <w:rPr>
              <w:sz w:val="24"/>
              <w:szCs w:val="24"/>
            </w:rPr>
            <w:t>25</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_Toc29643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第二章 现有工程分析</w:t>
          </w:r>
          <w:r>
            <w:rPr>
              <w:b/>
              <w:sz w:val="24"/>
              <w:szCs w:val="24"/>
            </w:rPr>
            <w:tab/>
          </w:r>
          <w:r>
            <w:rPr>
              <w:b/>
              <w:sz w:val="24"/>
              <w:szCs w:val="24"/>
            </w:rPr>
            <w:fldChar w:fldCharType="begin"/>
          </w:r>
          <w:r>
            <w:rPr>
              <w:b/>
              <w:sz w:val="24"/>
              <w:szCs w:val="24"/>
            </w:rPr>
            <w:instrText xml:space="preserve"> PAGEREF _Toc29643 \h </w:instrText>
          </w:r>
          <w:r>
            <w:rPr>
              <w:b/>
              <w:sz w:val="24"/>
              <w:szCs w:val="24"/>
            </w:rPr>
            <w:fldChar w:fldCharType="separate"/>
          </w:r>
          <w:r>
            <w:rPr>
              <w:b/>
              <w:sz w:val="24"/>
              <w:szCs w:val="24"/>
            </w:rPr>
            <w:t>27</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_Toc292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2.1 现有项目情况</w:t>
          </w:r>
          <w:r>
            <w:rPr>
              <w:sz w:val="24"/>
              <w:szCs w:val="24"/>
            </w:rPr>
            <w:tab/>
          </w:r>
          <w:r>
            <w:rPr>
              <w:sz w:val="24"/>
              <w:szCs w:val="24"/>
            </w:rPr>
            <w:fldChar w:fldCharType="begin"/>
          </w:r>
          <w:r>
            <w:rPr>
              <w:sz w:val="24"/>
              <w:szCs w:val="24"/>
            </w:rPr>
            <w:instrText xml:space="preserve"> PAGEREF _Toc292 \h </w:instrText>
          </w:r>
          <w:r>
            <w:rPr>
              <w:sz w:val="24"/>
              <w:szCs w:val="24"/>
            </w:rPr>
            <w:fldChar w:fldCharType="separate"/>
          </w:r>
          <w:r>
            <w:rPr>
              <w:sz w:val="24"/>
              <w:szCs w:val="24"/>
            </w:rPr>
            <w:t>27</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_Toc26274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2.2 现有采矿工程</w:t>
          </w:r>
          <w:r>
            <w:rPr>
              <w:sz w:val="24"/>
              <w:szCs w:val="24"/>
            </w:rPr>
            <w:tab/>
          </w:r>
          <w:r>
            <w:rPr>
              <w:sz w:val="24"/>
              <w:szCs w:val="24"/>
            </w:rPr>
            <w:fldChar w:fldCharType="begin"/>
          </w:r>
          <w:r>
            <w:rPr>
              <w:sz w:val="24"/>
              <w:szCs w:val="24"/>
            </w:rPr>
            <w:instrText xml:space="preserve"> PAGEREF _Toc26274 \h </w:instrText>
          </w:r>
          <w:r>
            <w:rPr>
              <w:sz w:val="24"/>
              <w:szCs w:val="24"/>
            </w:rPr>
            <w:fldChar w:fldCharType="separate"/>
          </w:r>
          <w:r>
            <w:rPr>
              <w:sz w:val="24"/>
              <w:szCs w:val="24"/>
            </w:rPr>
            <w:t>32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_Toc13691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2.3 现有选矿厂及尾矿库</w:t>
          </w:r>
          <w:r>
            <w:rPr>
              <w:sz w:val="24"/>
              <w:szCs w:val="24"/>
            </w:rPr>
            <w:tab/>
          </w:r>
          <w:r>
            <w:rPr>
              <w:sz w:val="24"/>
              <w:szCs w:val="24"/>
            </w:rPr>
            <w:fldChar w:fldCharType="begin"/>
          </w:r>
          <w:r>
            <w:rPr>
              <w:sz w:val="24"/>
              <w:szCs w:val="24"/>
            </w:rPr>
            <w:instrText xml:space="preserve"> PAGEREF _Toc13691 \h </w:instrText>
          </w:r>
          <w:r>
            <w:rPr>
              <w:sz w:val="24"/>
              <w:szCs w:val="24"/>
            </w:rPr>
            <w:fldChar w:fldCharType="separate"/>
          </w:r>
          <w:r>
            <w:rPr>
              <w:sz w:val="24"/>
              <w:szCs w:val="24"/>
            </w:rPr>
            <w:t>45</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_Toc4898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2.4 现有球团厂</w:t>
          </w:r>
          <w:r>
            <w:rPr>
              <w:sz w:val="24"/>
              <w:szCs w:val="24"/>
            </w:rPr>
            <w:tab/>
          </w:r>
          <w:r>
            <w:rPr>
              <w:sz w:val="24"/>
              <w:szCs w:val="24"/>
            </w:rPr>
            <w:fldChar w:fldCharType="begin"/>
          </w:r>
          <w:r>
            <w:rPr>
              <w:sz w:val="24"/>
              <w:szCs w:val="24"/>
            </w:rPr>
            <w:instrText xml:space="preserve"> PAGEREF _Toc4898 \h </w:instrText>
          </w:r>
          <w:r>
            <w:rPr>
              <w:sz w:val="24"/>
              <w:szCs w:val="24"/>
            </w:rPr>
            <w:fldChar w:fldCharType="separate"/>
          </w:r>
          <w:r>
            <w:rPr>
              <w:sz w:val="24"/>
              <w:szCs w:val="24"/>
            </w:rPr>
            <w:t>61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_Toc772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2.5 企业生活污水处理站</w:t>
          </w:r>
          <w:r>
            <w:rPr>
              <w:sz w:val="24"/>
              <w:szCs w:val="24"/>
            </w:rPr>
            <w:tab/>
          </w:r>
          <w:r>
            <w:rPr>
              <w:sz w:val="24"/>
              <w:szCs w:val="24"/>
            </w:rPr>
            <w:fldChar w:fldCharType="begin"/>
          </w:r>
          <w:r>
            <w:rPr>
              <w:sz w:val="24"/>
              <w:szCs w:val="24"/>
            </w:rPr>
            <w:instrText xml:space="preserve"> PAGEREF _Toc772 \h </w:instrText>
          </w:r>
          <w:r>
            <w:rPr>
              <w:sz w:val="24"/>
              <w:szCs w:val="24"/>
            </w:rPr>
            <w:fldChar w:fldCharType="separate"/>
          </w:r>
          <w:r>
            <w:rPr>
              <w:sz w:val="24"/>
              <w:szCs w:val="24"/>
            </w:rPr>
            <w:t>71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_Toc8843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2.6 现有工程物料平衡图</w:t>
          </w:r>
          <w:r>
            <w:rPr>
              <w:sz w:val="24"/>
              <w:szCs w:val="24"/>
            </w:rPr>
            <w:tab/>
          </w:r>
          <w:r>
            <w:rPr>
              <w:sz w:val="24"/>
              <w:szCs w:val="24"/>
            </w:rPr>
            <w:fldChar w:fldCharType="begin"/>
          </w:r>
          <w:r>
            <w:rPr>
              <w:sz w:val="24"/>
              <w:szCs w:val="24"/>
            </w:rPr>
            <w:instrText xml:space="preserve"> PAGEREF _Toc8843 \h </w:instrText>
          </w:r>
          <w:r>
            <w:rPr>
              <w:sz w:val="24"/>
              <w:szCs w:val="24"/>
            </w:rPr>
            <w:fldChar w:fldCharType="separate"/>
          </w:r>
          <w:r>
            <w:rPr>
              <w:sz w:val="24"/>
              <w:szCs w:val="24"/>
            </w:rPr>
            <w:t>72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_Toc6497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2.7 现有工程用水平衡图</w:t>
          </w:r>
          <w:r>
            <w:rPr>
              <w:sz w:val="24"/>
              <w:szCs w:val="24"/>
            </w:rPr>
            <w:tab/>
          </w:r>
          <w:r>
            <w:rPr>
              <w:sz w:val="24"/>
              <w:szCs w:val="24"/>
            </w:rPr>
            <w:fldChar w:fldCharType="begin"/>
          </w:r>
          <w:r>
            <w:rPr>
              <w:sz w:val="24"/>
              <w:szCs w:val="24"/>
            </w:rPr>
            <w:instrText xml:space="preserve"> PAGEREF _Toc6497 \h </w:instrText>
          </w:r>
          <w:r>
            <w:rPr>
              <w:sz w:val="24"/>
              <w:szCs w:val="24"/>
            </w:rPr>
            <w:fldChar w:fldCharType="separate"/>
          </w:r>
          <w:r>
            <w:rPr>
              <w:sz w:val="24"/>
              <w:szCs w:val="24"/>
            </w:rPr>
            <w:t>73</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_Toc27192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2.8 现有工程现场照片</w:t>
          </w:r>
          <w:r>
            <w:rPr>
              <w:sz w:val="24"/>
              <w:szCs w:val="24"/>
            </w:rPr>
            <w:tab/>
          </w:r>
          <w:r>
            <w:rPr>
              <w:sz w:val="24"/>
              <w:szCs w:val="24"/>
            </w:rPr>
            <w:fldChar w:fldCharType="begin"/>
          </w:r>
          <w:r>
            <w:rPr>
              <w:sz w:val="24"/>
              <w:szCs w:val="24"/>
            </w:rPr>
            <w:instrText xml:space="preserve"> PAGEREF _Toc27192 \h </w:instrText>
          </w:r>
          <w:r>
            <w:rPr>
              <w:sz w:val="24"/>
              <w:szCs w:val="24"/>
            </w:rPr>
            <w:fldChar w:fldCharType="separate"/>
          </w:r>
          <w:r>
            <w:rPr>
              <w:sz w:val="24"/>
              <w:szCs w:val="24"/>
            </w:rPr>
            <w:t>74</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_Toc16030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2.7 现有工程存在的主要问题及整改措施</w:t>
          </w:r>
          <w:r>
            <w:rPr>
              <w:sz w:val="24"/>
              <w:szCs w:val="24"/>
            </w:rPr>
            <w:tab/>
          </w:r>
          <w:r>
            <w:rPr>
              <w:sz w:val="24"/>
              <w:szCs w:val="24"/>
            </w:rPr>
            <w:fldChar w:fldCharType="begin"/>
          </w:r>
          <w:r>
            <w:rPr>
              <w:sz w:val="24"/>
              <w:szCs w:val="24"/>
            </w:rPr>
            <w:instrText xml:space="preserve"> PAGEREF _Toc16030 \h </w:instrText>
          </w:r>
          <w:r>
            <w:rPr>
              <w:sz w:val="24"/>
              <w:szCs w:val="24"/>
            </w:rPr>
            <w:fldChar w:fldCharType="separate"/>
          </w:r>
          <w:r>
            <w:rPr>
              <w:sz w:val="24"/>
              <w:szCs w:val="24"/>
            </w:rPr>
            <w:t>76</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2.8 现有工程污染物产排情况汇总</w:t>
          </w:r>
          <w:r>
            <w:rPr>
              <w:sz w:val="24"/>
              <w:szCs w:val="24"/>
            </w:rPr>
            <w:tab/>
          </w:r>
          <w:r>
            <w:rPr>
              <w:sz w:val="24"/>
              <w:szCs w:val="24"/>
            </w:rPr>
            <w:fldChar w:fldCharType="begin"/>
          </w:r>
          <w:r>
            <w:rPr>
              <w:sz w:val="24"/>
              <w:szCs w:val="24"/>
            </w:rPr>
            <w:instrText xml:space="preserve"> PAGEREF _Toc91 \h </w:instrText>
          </w:r>
          <w:r>
            <w:rPr>
              <w:sz w:val="24"/>
              <w:szCs w:val="24"/>
            </w:rPr>
            <w:fldChar w:fldCharType="separate"/>
          </w:r>
          <w:r>
            <w:rPr>
              <w:sz w:val="24"/>
              <w:szCs w:val="24"/>
            </w:rPr>
            <w:t>78</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_Toc5254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第三章 本项目分析</w:t>
          </w:r>
          <w:r>
            <w:rPr>
              <w:b/>
              <w:sz w:val="24"/>
              <w:szCs w:val="24"/>
            </w:rPr>
            <w:tab/>
          </w:r>
          <w:r>
            <w:rPr>
              <w:b/>
              <w:sz w:val="24"/>
              <w:szCs w:val="24"/>
            </w:rPr>
            <w:fldChar w:fldCharType="begin"/>
          </w:r>
          <w:r>
            <w:rPr>
              <w:b/>
              <w:sz w:val="24"/>
              <w:szCs w:val="24"/>
            </w:rPr>
            <w:instrText xml:space="preserve"> PAGEREF _Toc5254 \h </w:instrText>
          </w:r>
          <w:r>
            <w:rPr>
              <w:b/>
              <w:sz w:val="24"/>
              <w:szCs w:val="24"/>
            </w:rPr>
            <w:fldChar w:fldCharType="separate"/>
          </w:r>
          <w:r>
            <w:rPr>
              <w:b/>
              <w:sz w:val="24"/>
              <w:szCs w:val="24"/>
            </w:rPr>
            <w:t>81</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_Toc18769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3.1 项目由来</w:t>
          </w:r>
          <w:r>
            <w:rPr>
              <w:sz w:val="24"/>
              <w:szCs w:val="24"/>
            </w:rPr>
            <w:tab/>
          </w:r>
          <w:r>
            <w:rPr>
              <w:sz w:val="24"/>
              <w:szCs w:val="24"/>
            </w:rPr>
            <w:fldChar w:fldCharType="begin"/>
          </w:r>
          <w:r>
            <w:rPr>
              <w:sz w:val="24"/>
              <w:szCs w:val="24"/>
            </w:rPr>
            <w:instrText xml:space="preserve"> PAGEREF _Toc18769 \h </w:instrText>
          </w:r>
          <w:r>
            <w:rPr>
              <w:sz w:val="24"/>
              <w:szCs w:val="24"/>
            </w:rPr>
            <w:fldChar w:fldCharType="separate"/>
          </w:r>
          <w:r>
            <w:rPr>
              <w:sz w:val="24"/>
              <w:szCs w:val="24"/>
            </w:rPr>
            <w:t>81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_Toc7862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3.2 项目基本情况</w:t>
          </w:r>
          <w:r>
            <w:rPr>
              <w:sz w:val="24"/>
              <w:szCs w:val="24"/>
            </w:rPr>
            <w:tab/>
          </w:r>
          <w:r>
            <w:rPr>
              <w:sz w:val="24"/>
              <w:szCs w:val="24"/>
            </w:rPr>
            <w:fldChar w:fldCharType="begin"/>
          </w:r>
          <w:r>
            <w:rPr>
              <w:sz w:val="24"/>
              <w:szCs w:val="24"/>
            </w:rPr>
            <w:instrText xml:space="preserve"> PAGEREF _Toc7862 \h </w:instrText>
          </w:r>
          <w:r>
            <w:rPr>
              <w:sz w:val="24"/>
              <w:szCs w:val="24"/>
            </w:rPr>
            <w:fldChar w:fldCharType="separate"/>
          </w:r>
          <w:r>
            <w:rPr>
              <w:sz w:val="24"/>
              <w:szCs w:val="24"/>
            </w:rPr>
            <w:t>82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_Toc11303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3.3 项目组成</w:t>
          </w:r>
          <w:r>
            <w:rPr>
              <w:sz w:val="24"/>
              <w:szCs w:val="24"/>
            </w:rPr>
            <w:tab/>
          </w:r>
          <w:r>
            <w:rPr>
              <w:sz w:val="24"/>
              <w:szCs w:val="24"/>
            </w:rPr>
            <w:fldChar w:fldCharType="begin"/>
          </w:r>
          <w:r>
            <w:rPr>
              <w:sz w:val="24"/>
              <w:szCs w:val="24"/>
            </w:rPr>
            <w:instrText xml:space="preserve"> PAGEREF _Toc11303 \h </w:instrText>
          </w:r>
          <w:r>
            <w:rPr>
              <w:sz w:val="24"/>
              <w:szCs w:val="24"/>
            </w:rPr>
            <w:fldChar w:fldCharType="separate"/>
          </w:r>
          <w:r>
            <w:rPr>
              <w:sz w:val="24"/>
              <w:szCs w:val="24"/>
            </w:rPr>
            <w:t>82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_Toc24614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3.4 主要经济技术指标</w:t>
          </w:r>
          <w:r>
            <w:rPr>
              <w:sz w:val="24"/>
              <w:szCs w:val="24"/>
            </w:rPr>
            <w:tab/>
          </w:r>
          <w:r>
            <w:rPr>
              <w:sz w:val="24"/>
              <w:szCs w:val="24"/>
            </w:rPr>
            <w:fldChar w:fldCharType="begin"/>
          </w:r>
          <w:r>
            <w:rPr>
              <w:sz w:val="24"/>
              <w:szCs w:val="24"/>
            </w:rPr>
            <w:instrText xml:space="preserve"> PAGEREF _Toc24614 \h </w:instrText>
          </w:r>
          <w:r>
            <w:rPr>
              <w:sz w:val="24"/>
              <w:szCs w:val="24"/>
            </w:rPr>
            <w:fldChar w:fldCharType="separate"/>
          </w:r>
          <w:r>
            <w:rPr>
              <w:sz w:val="24"/>
              <w:szCs w:val="24"/>
            </w:rPr>
            <w:t>85</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_Toc24485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3.5 总平面布置图</w:t>
          </w:r>
          <w:r>
            <w:rPr>
              <w:sz w:val="24"/>
              <w:szCs w:val="24"/>
            </w:rPr>
            <w:tab/>
          </w:r>
          <w:r>
            <w:rPr>
              <w:sz w:val="24"/>
              <w:szCs w:val="24"/>
            </w:rPr>
            <w:fldChar w:fldCharType="begin"/>
          </w:r>
          <w:r>
            <w:rPr>
              <w:sz w:val="24"/>
              <w:szCs w:val="24"/>
            </w:rPr>
            <w:instrText xml:space="preserve"> PAGEREF _Toc24485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rFonts w:hint="eastAsia" w:ascii="宋体" w:hAnsi="宋体" w:eastAsia="宋体" w:cs="宋体"/>
              <w:bCs/>
              <w:sz w:val="24"/>
              <w:szCs w:val="24"/>
            </w:rPr>
            <w:sectPr>
              <w:footerReference r:id="rId11" w:type="default"/>
              <w:footerReference r:id="rId12" w:type="even"/>
              <w:pgSz w:w="11905" w:h="16838"/>
              <w:pgMar w:top="1417" w:right="1247" w:bottom="1247" w:left="1587" w:header="850" w:footer="850" w:gutter="0"/>
              <w:pgBorders>
                <w:top w:val="none" w:sz="0" w:space="0"/>
                <w:left w:val="none" w:sz="0" w:space="0"/>
                <w:bottom w:val="none" w:sz="0" w:space="0"/>
                <w:right w:val="none" w:sz="0" w:space="0"/>
              </w:pgBorders>
              <w:pgNumType w:fmt="decimal" w:start="1"/>
              <w:cols w:space="0" w:num="1"/>
              <w:docGrid w:type="lines" w:linePitch="383" w:charSpace="0"/>
            </w:sectPr>
          </w:pP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_Toc15716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3.6 主要设备</w:t>
          </w:r>
          <w:r>
            <w:rPr>
              <w:sz w:val="24"/>
              <w:szCs w:val="24"/>
            </w:rPr>
            <w:tab/>
          </w:r>
          <w:r>
            <w:rPr>
              <w:sz w:val="24"/>
              <w:szCs w:val="24"/>
            </w:rPr>
            <w:fldChar w:fldCharType="begin"/>
          </w:r>
          <w:r>
            <w:rPr>
              <w:sz w:val="24"/>
              <w:szCs w:val="24"/>
            </w:rPr>
            <w:instrText xml:space="preserve"> PAGEREF _Toc15716 \h </w:instrText>
          </w:r>
          <w:r>
            <w:rPr>
              <w:sz w:val="24"/>
              <w:szCs w:val="24"/>
            </w:rPr>
            <w:fldChar w:fldCharType="separate"/>
          </w:r>
          <w:r>
            <w:rPr>
              <w:sz w:val="24"/>
              <w:szCs w:val="24"/>
            </w:rPr>
            <w:t>86</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_Toc17250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3.7 主要原辅材料</w:t>
          </w:r>
          <w:r>
            <w:rPr>
              <w:sz w:val="24"/>
              <w:szCs w:val="24"/>
            </w:rPr>
            <w:tab/>
          </w:r>
          <w:r>
            <w:rPr>
              <w:sz w:val="24"/>
              <w:szCs w:val="24"/>
            </w:rPr>
            <w:fldChar w:fldCharType="begin"/>
          </w:r>
          <w:r>
            <w:rPr>
              <w:sz w:val="24"/>
              <w:szCs w:val="24"/>
            </w:rPr>
            <w:instrText xml:space="preserve"> PAGEREF _Toc17250 \h </w:instrText>
          </w:r>
          <w:r>
            <w:rPr>
              <w:sz w:val="24"/>
              <w:szCs w:val="24"/>
            </w:rPr>
            <w:fldChar w:fldCharType="separate"/>
          </w:r>
          <w:r>
            <w:rPr>
              <w:sz w:val="24"/>
              <w:szCs w:val="24"/>
            </w:rPr>
            <w:t>87</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_Toc30694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3.8 产品方案</w:t>
          </w:r>
          <w:r>
            <w:rPr>
              <w:sz w:val="24"/>
              <w:szCs w:val="24"/>
            </w:rPr>
            <w:tab/>
          </w:r>
          <w:r>
            <w:rPr>
              <w:sz w:val="24"/>
              <w:szCs w:val="24"/>
            </w:rPr>
            <w:fldChar w:fldCharType="begin"/>
          </w:r>
          <w:r>
            <w:rPr>
              <w:sz w:val="24"/>
              <w:szCs w:val="24"/>
            </w:rPr>
            <w:instrText xml:space="preserve"> PAGEREF _Toc30694 \h </w:instrText>
          </w:r>
          <w:r>
            <w:rPr>
              <w:sz w:val="24"/>
              <w:szCs w:val="24"/>
            </w:rPr>
            <w:fldChar w:fldCharType="separate"/>
          </w:r>
          <w:r>
            <w:rPr>
              <w:sz w:val="24"/>
              <w:szCs w:val="24"/>
            </w:rPr>
            <w:t>87</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_Toc23119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3.9 工艺流程及产排污</w:t>
          </w:r>
          <w:r>
            <w:rPr>
              <w:sz w:val="24"/>
              <w:szCs w:val="24"/>
            </w:rPr>
            <w:tab/>
          </w:r>
          <w:r>
            <w:rPr>
              <w:sz w:val="24"/>
              <w:szCs w:val="24"/>
            </w:rPr>
            <w:fldChar w:fldCharType="begin"/>
          </w:r>
          <w:r>
            <w:rPr>
              <w:sz w:val="24"/>
              <w:szCs w:val="24"/>
            </w:rPr>
            <w:instrText xml:space="preserve"> PAGEREF _Toc23119 \h </w:instrText>
          </w:r>
          <w:r>
            <w:rPr>
              <w:sz w:val="24"/>
              <w:szCs w:val="24"/>
            </w:rPr>
            <w:fldChar w:fldCharType="separate"/>
          </w:r>
          <w:r>
            <w:rPr>
              <w:sz w:val="24"/>
              <w:szCs w:val="24"/>
            </w:rPr>
            <w:t>88</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_Toc30948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3.10 公辅系统</w:t>
          </w:r>
          <w:r>
            <w:rPr>
              <w:sz w:val="24"/>
              <w:szCs w:val="24"/>
            </w:rPr>
            <w:tab/>
          </w:r>
          <w:r>
            <w:rPr>
              <w:sz w:val="24"/>
              <w:szCs w:val="24"/>
            </w:rPr>
            <w:fldChar w:fldCharType="begin"/>
          </w:r>
          <w:r>
            <w:rPr>
              <w:sz w:val="24"/>
              <w:szCs w:val="24"/>
            </w:rPr>
            <w:instrText xml:space="preserve"> PAGEREF _Toc30948 \h </w:instrText>
          </w:r>
          <w:r>
            <w:rPr>
              <w:sz w:val="24"/>
              <w:szCs w:val="24"/>
            </w:rPr>
            <w:fldChar w:fldCharType="separate"/>
          </w:r>
          <w:r>
            <w:rPr>
              <w:sz w:val="24"/>
              <w:szCs w:val="24"/>
            </w:rPr>
            <w:t>88</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_Toc15017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3.11 采空区处理</w:t>
          </w:r>
          <w:r>
            <w:rPr>
              <w:sz w:val="24"/>
              <w:szCs w:val="24"/>
            </w:rPr>
            <w:tab/>
          </w:r>
          <w:r>
            <w:rPr>
              <w:sz w:val="24"/>
              <w:szCs w:val="24"/>
            </w:rPr>
            <w:fldChar w:fldCharType="begin"/>
          </w:r>
          <w:r>
            <w:rPr>
              <w:sz w:val="24"/>
              <w:szCs w:val="24"/>
            </w:rPr>
            <w:instrText xml:space="preserve"> PAGEREF _Toc15017 \h </w:instrText>
          </w:r>
          <w:r>
            <w:rPr>
              <w:sz w:val="24"/>
              <w:szCs w:val="24"/>
            </w:rPr>
            <w:fldChar w:fldCharType="separate"/>
          </w:r>
          <w:r>
            <w:rPr>
              <w:sz w:val="24"/>
              <w:szCs w:val="24"/>
            </w:rPr>
            <w:t>91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_Toc4096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3.12 井下防治水</w:t>
          </w:r>
          <w:r>
            <w:rPr>
              <w:sz w:val="24"/>
              <w:szCs w:val="24"/>
            </w:rPr>
            <w:tab/>
          </w:r>
          <w:r>
            <w:rPr>
              <w:sz w:val="24"/>
              <w:szCs w:val="24"/>
            </w:rPr>
            <w:fldChar w:fldCharType="begin"/>
          </w:r>
          <w:r>
            <w:rPr>
              <w:sz w:val="24"/>
              <w:szCs w:val="24"/>
            </w:rPr>
            <w:instrText xml:space="preserve"> PAGEREF _Toc4096 \h </w:instrText>
          </w:r>
          <w:r>
            <w:rPr>
              <w:sz w:val="24"/>
              <w:szCs w:val="24"/>
            </w:rPr>
            <w:fldChar w:fldCharType="separate"/>
          </w:r>
          <w:r>
            <w:rPr>
              <w:sz w:val="24"/>
              <w:szCs w:val="24"/>
            </w:rPr>
            <w:t>92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_Toc9847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3.13 污染物控制措施及产排污情况</w:t>
          </w:r>
          <w:r>
            <w:rPr>
              <w:sz w:val="24"/>
              <w:szCs w:val="24"/>
            </w:rPr>
            <w:tab/>
          </w:r>
          <w:r>
            <w:rPr>
              <w:sz w:val="24"/>
              <w:szCs w:val="24"/>
            </w:rPr>
            <w:fldChar w:fldCharType="begin"/>
          </w:r>
          <w:r>
            <w:rPr>
              <w:sz w:val="24"/>
              <w:szCs w:val="24"/>
            </w:rPr>
            <w:instrText xml:space="preserve"> PAGEREF _Toc9847 \h </w:instrText>
          </w:r>
          <w:r>
            <w:rPr>
              <w:sz w:val="24"/>
              <w:szCs w:val="24"/>
            </w:rPr>
            <w:fldChar w:fldCharType="separate"/>
          </w:r>
          <w:r>
            <w:rPr>
              <w:sz w:val="24"/>
              <w:szCs w:val="24"/>
            </w:rPr>
            <w:t>92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_Toc11343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3.14 本工程污染物产排情况</w:t>
          </w:r>
          <w:r>
            <w:rPr>
              <w:sz w:val="24"/>
              <w:szCs w:val="24"/>
            </w:rPr>
            <w:tab/>
          </w:r>
          <w:r>
            <w:rPr>
              <w:sz w:val="24"/>
              <w:szCs w:val="24"/>
            </w:rPr>
            <w:fldChar w:fldCharType="begin"/>
          </w:r>
          <w:r>
            <w:rPr>
              <w:sz w:val="24"/>
              <w:szCs w:val="24"/>
            </w:rPr>
            <w:instrText xml:space="preserve"> PAGEREF _Toc11343 \h </w:instrText>
          </w:r>
          <w:r>
            <w:rPr>
              <w:sz w:val="24"/>
              <w:szCs w:val="24"/>
            </w:rPr>
            <w:fldChar w:fldCharType="separate"/>
          </w:r>
          <w:r>
            <w:rPr>
              <w:sz w:val="24"/>
              <w:szCs w:val="24"/>
            </w:rPr>
            <w:t>98</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_Toc22783 </w:instrText>
          </w:r>
          <w:r>
            <w:rPr>
              <w:rFonts w:hint="eastAsia" w:ascii="宋体" w:hAnsi="宋体" w:eastAsia="宋体" w:cs="宋体"/>
              <w:bCs/>
              <w:sz w:val="24"/>
              <w:szCs w:val="24"/>
            </w:rPr>
            <w:fldChar w:fldCharType="separate"/>
          </w:r>
          <w:r>
            <w:rPr>
              <w:rFonts w:hint="eastAsia" w:ascii="宋体" w:hAnsi="宋体" w:eastAsia="宋体" w:cs="宋体"/>
              <w:sz w:val="24"/>
              <w:szCs w:val="24"/>
              <w:lang w:val="en-US" w:eastAsia="zh-CN"/>
            </w:rPr>
            <w:t>3.15 物料平衡</w:t>
          </w:r>
          <w:r>
            <w:rPr>
              <w:sz w:val="24"/>
              <w:szCs w:val="24"/>
            </w:rPr>
            <w:tab/>
          </w:r>
          <w:r>
            <w:rPr>
              <w:sz w:val="24"/>
              <w:szCs w:val="24"/>
            </w:rPr>
            <w:fldChar w:fldCharType="begin"/>
          </w:r>
          <w:r>
            <w:rPr>
              <w:sz w:val="24"/>
              <w:szCs w:val="24"/>
            </w:rPr>
            <w:instrText xml:space="preserve"> PAGEREF _Toc22783 \h </w:instrText>
          </w:r>
          <w:r>
            <w:rPr>
              <w:sz w:val="24"/>
              <w:szCs w:val="24"/>
            </w:rPr>
            <w:fldChar w:fldCharType="separate"/>
          </w:r>
          <w:r>
            <w:rPr>
              <w:sz w:val="24"/>
              <w:szCs w:val="24"/>
            </w:rPr>
            <w:t>99</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_Toc2683 </w:instrText>
          </w:r>
          <w:r>
            <w:rPr>
              <w:rFonts w:hint="eastAsia" w:ascii="宋体" w:hAnsi="宋体" w:eastAsia="宋体" w:cs="宋体"/>
              <w:bCs/>
              <w:sz w:val="24"/>
              <w:szCs w:val="24"/>
            </w:rPr>
            <w:fldChar w:fldCharType="separate"/>
          </w:r>
          <w:r>
            <w:rPr>
              <w:rFonts w:hint="eastAsia" w:ascii="宋体" w:hAnsi="宋体" w:eastAsia="宋体" w:cs="宋体"/>
              <w:sz w:val="24"/>
              <w:szCs w:val="24"/>
              <w:lang w:val="en-US" w:eastAsia="zh-CN"/>
            </w:rPr>
            <w:t>3.16</w:t>
          </w:r>
          <w:r>
            <w:rPr>
              <w:rFonts w:hint="eastAsia" w:ascii="宋体" w:hAnsi="宋体" w:eastAsia="宋体" w:cs="宋体"/>
              <w:sz w:val="24"/>
              <w:szCs w:val="24"/>
              <w:lang w:eastAsia="zh-CN"/>
            </w:rPr>
            <w:t xml:space="preserve"> 企业水平衡图</w:t>
          </w:r>
          <w:r>
            <w:rPr>
              <w:sz w:val="24"/>
              <w:szCs w:val="24"/>
            </w:rPr>
            <w:tab/>
          </w:r>
          <w:r>
            <w:rPr>
              <w:sz w:val="24"/>
              <w:szCs w:val="24"/>
            </w:rPr>
            <w:fldChar w:fldCharType="begin"/>
          </w:r>
          <w:r>
            <w:rPr>
              <w:sz w:val="24"/>
              <w:szCs w:val="24"/>
            </w:rPr>
            <w:instrText xml:space="preserve"> PAGEREF _Toc2683 \h </w:instrText>
          </w:r>
          <w:r>
            <w:rPr>
              <w:sz w:val="24"/>
              <w:szCs w:val="24"/>
            </w:rPr>
            <w:fldChar w:fldCharType="separate"/>
          </w:r>
          <w:r>
            <w:rPr>
              <w:sz w:val="24"/>
              <w:szCs w:val="24"/>
            </w:rPr>
            <w:t>100</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_Toc26897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17</w:t>
          </w:r>
          <w:r>
            <w:rPr>
              <w:rFonts w:hint="eastAsia" w:ascii="宋体" w:hAnsi="宋体" w:eastAsia="宋体" w:cs="宋体"/>
              <w:sz w:val="24"/>
              <w:szCs w:val="24"/>
              <w:lang w:eastAsia="zh-CN"/>
            </w:rPr>
            <w:t xml:space="preserve"> “三本账”</w:t>
          </w:r>
          <w:r>
            <w:rPr>
              <w:sz w:val="24"/>
              <w:szCs w:val="24"/>
            </w:rPr>
            <w:tab/>
          </w:r>
          <w:r>
            <w:rPr>
              <w:sz w:val="24"/>
              <w:szCs w:val="24"/>
            </w:rPr>
            <w:fldChar w:fldCharType="begin"/>
          </w:r>
          <w:r>
            <w:rPr>
              <w:sz w:val="24"/>
              <w:szCs w:val="24"/>
            </w:rPr>
            <w:instrText xml:space="preserve"> PAGEREF _Toc26897 \h </w:instrText>
          </w:r>
          <w:r>
            <w:rPr>
              <w:sz w:val="24"/>
              <w:szCs w:val="24"/>
            </w:rPr>
            <w:fldChar w:fldCharType="separate"/>
          </w:r>
          <w:r>
            <w:rPr>
              <w:sz w:val="24"/>
              <w:szCs w:val="24"/>
            </w:rPr>
            <w:t>101</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_Toc23406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第四章 区域环境概况</w:t>
          </w:r>
          <w:r>
            <w:rPr>
              <w:b/>
              <w:sz w:val="24"/>
              <w:szCs w:val="24"/>
            </w:rPr>
            <w:tab/>
          </w:r>
          <w:r>
            <w:rPr>
              <w:b/>
              <w:sz w:val="24"/>
              <w:szCs w:val="24"/>
            </w:rPr>
            <w:fldChar w:fldCharType="begin"/>
          </w:r>
          <w:r>
            <w:rPr>
              <w:b/>
              <w:sz w:val="24"/>
              <w:szCs w:val="24"/>
            </w:rPr>
            <w:instrText xml:space="preserve"> PAGEREF _Toc23406 \h </w:instrText>
          </w:r>
          <w:r>
            <w:rPr>
              <w:b/>
              <w:sz w:val="24"/>
              <w:szCs w:val="24"/>
            </w:rPr>
            <w:fldChar w:fldCharType="separate"/>
          </w:r>
          <w:r>
            <w:rPr>
              <w:b/>
              <w:sz w:val="24"/>
              <w:szCs w:val="24"/>
            </w:rPr>
            <w:t>103</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_Toc7236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4.1 自然环境概况</w:t>
          </w:r>
          <w:r>
            <w:rPr>
              <w:sz w:val="24"/>
              <w:szCs w:val="24"/>
            </w:rPr>
            <w:tab/>
          </w:r>
          <w:r>
            <w:rPr>
              <w:sz w:val="24"/>
              <w:szCs w:val="24"/>
            </w:rPr>
            <w:fldChar w:fldCharType="begin"/>
          </w:r>
          <w:r>
            <w:rPr>
              <w:sz w:val="24"/>
              <w:szCs w:val="24"/>
            </w:rPr>
            <w:instrText xml:space="preserve"> PAGEREF _Toc7236 \h </w:instrText>
          </w:r>
          <w:r>
            <w:rPr>
              <w:sz w:val="24"/>
              <w:szCs w:val="24"/>
            </w:rPr>
            <w:fldChar w:fldCharType="separate"/>
          </w:r>
          <w:r>
            <w:rPr>
              <w:sz w:val="24"/>
              <w:szCs w:val="24"/>
            </w:rPr>
            <w:t>103</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_Toc28270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4.2 社会经济概况</w:t>
          </w:r>
          <w:r>
            <w:rPr>
              <w:sz w:val="24"/>
              <w:szCs w:val="24"/>
            </w:rPr>
            <w:tab/>
          </w:r>
          <w:r>
            <w:rPr>
              <w:sz w:val="24"/>
              <w:szCs w:val="24"/>
            </w:rPr>
            <w:fldChar w:fldCharType="begin"/>
          </w:r>
          <w:r>
            <w:rPr>
              <w:sz w:val="24"/>
              <w:szCs w:val="24"/>
            </w:rPr>
            <w:instrText xml:space="preserve"> PAGEREF _Toc28270 \h </w:instrText>
          </w:r>
          <w:r>
            <w:rPr>
              <w:sz w:val="24"/>
              <w:szCs w:val="24"/>
            </w:rPr>
            <w:fldChar w:fldCharType="separate"/>
          </w:r>
          <w:r>
            <w:rPr>
              <w:sz w:val="24"/>
              <w:szCs w:val="24"/>
            </w:rPr>
            <w:t>113</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_Toc25758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第五章 环境质量现状调查与评价</w:t>
          </w:r>
          <w:r>
            <w:rPr>
              <w:b/>
              <w:sz w:val="24"/>
              <w:szCs w:val="24"/>
            </w:rPr>
            <w:tab/>
          </w:r>
          <w:r>
            <w:rPr>
              <w:b/>
              <w:sz w:val="24"/>
              <w:szCs w:val="24"/>
            </w:rPr>
            <w:fldChar w:fldCharType="begin"/>
          </w:r>
          <w:r>
            <w:rPr>
              <w:b/>
              <w:sz w:val="24"/>
              <w:szCs w:val="24"/>
            </w:rPr>
            <w:instrText xml:space="preserve"> PAGEREF _Toc25758 \h </w:instrText>
          </w:r>
          <w:r>
            <w:rPr>
              <w:b/>
              <w:sz w:val="24"/>
              <w:szCs w:val="24"/>
            </w:rPr>
            <w:fldChar w:fldCharType="separate"/>
          </w:r>
          <w:r>
            <w:rPr>
              <w:b/>
              <w:sz w:val="24"/>
              <w:szCs w:val="24"/>
            </w:rPr>
            <w:t>115</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_Toc31729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5.1 环境空气质量现状调查与评价</w:t>
          </w:r>
          <w:r>
            <w:rPr>
              <w:sz w:val="24"/>
              <w:szCs w:val="24"/>
            </w:rPr>
            <w:tab/>
          </w:r>
          <w:r>
            <w:rPr>
              <w:sz w:val="24"/>
              <w:szCs w:val="24"/>
            </w:rPr>
            <w:fldChar w:fldCharType="begin"/>
          </w:r>
          <w:r>
            <w:rPr>
              <w:sz w:val="24"/>
              <w:szCs w:val="24"/>
            </w:rPr>
            <w:instrText xml:space="preserve"> PAGEREF _Toc31729 \h </w:instrText>
          </w:r>
          <w:r>
            <w:rPr>
              <w:sz w:val="24"/>
              <w:szCs w:val="24"/>
            </w:rPr>
            <w:fldChar w:fldCharType="separate"/>
          </w:r>
          <w:r>
            <w:rPr>
              <w:sz w:val="24"/>
              <w:szCs w:val="24"/>
            </w:rPr>
            <w:t>115</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_Toc18560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5.2 地表水现状调查与评价</w:t>
          </w:r>
          <w:r>
            <w:rPr>
              <w:sz w:val="24"/>
              <w:szCs w:val="24"/>
            </w:rPr>
            <w:tab/>
          </w:r>
          <w:r>
            <w:rPr>
              <w:sz w:val="24"/>
              <w:szCs w:val="24"/>
            </w:rPr>
            <w:fldChar w:fldCharType="begin"/>
          </w:r>
          <w:r>
            <w:rPr>
              <w:sz w:val="24"/>
              <w:szCs w:val="24"/>
            </w:rPr>
            <w:instrText xml:space="preserve"> PAGEREF _Toc18560 \h </w:instrText>
          </w:r>
          <w:r>
            <w:rPr>
              <w:sz w:val="24"/>
              <w:szCs w:val="24"/>
            </w:rPr>
            <w:fldChar w:fldCharType="separate"/>
          </w:r>
          <w:r>
            <w:rPr>
              <w:sz w:val="24"/>
              <w:szCs w:val="24"/>
            </w:rPr>
            <w:t>121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_Toc27305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5.3 地下水现状调查与评价</w:t>
          </w:r>
          <w:r>
            <w:rPr>
              <w:sz w:val="24"/>
              <w:szCs w:val="24"/>
            </w:rPr>
            <w:tab/>
          </w:r>
          <w:r>
            <w:rPr>
              <w:sz w:val="24"/>
              <w:szCs w:val="24"/>
            </w:rPr>
            <w:fldChar w:fldCharType="begin"/>
          </w:r>
          <w:r>
            <w:rPr>
              <w:sz w:val="24"/>
              <w:szCs w:val="24"/>
            </w:rPr>
            <w:instrText xml:space="preserve"> PAGEREF _Toc27305 \h </w:instrText>
          </w:r>
          <w:r>
            <w:rPr>
              <w:sz w:val="24"/>
              <w:szCs w:val="24"/>
            </w:rPr>
            <w:fldChar w:fldCharType="separate"/>
          </w:r>
          <w:r>
            <w:rPr>
              <w:sz w:val="24"/>
              <w:szCs w:val="24"/>
            </w:rPr>
            <w:t>136</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_Toc28257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5.4 声环境现状调查与评价</w:t>
          </w:r>
          <w:r>
            <w:rPr>
              <w:sz w:val="24"/>
              <w:szCs w:val="24"/>
            </w:rPr>
            <w:tab/>
          </w:r>
          <w:r>
            <w:rPr>
              <w:sz w:val="24"/>
              <w:szCs w:val="24"/>
            </w:rPr>
            <w:fldChar w:fldCharType="begin"/>
          </w:r>
          <w:r>
            <w:rPr>
              <w:sz w:val="24"/>
              <w:szCs w:val="24"/>
            </w:rPr>
            <w:instrText xml:space="preserve"> PAGEREF _Toc28257 \h </w:instrText>
          </w:r>
          <w:r>
            <w:rPr>
              <w:sz w:val="24"/>
              <w:szCs w:val="24"/>
            </w:rPr>
            <w:fldChar w:fldCharType="separate"/>
          </w:r>
          <w:r>
            <w:rPr>
              <w:sz w:val="24"/>
              <w:szCs w:val="24"/>
            </w:rPr>
            <w:t>150</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_Toc24466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5.5 土壤环境现状调查与评价</w:t>
          </w:r>
          <w:r>
            <w:rPr>
              <w:sz w:val="24"/>
              <w:szCs w:val="24"/>
            </w:rPr>
            <w:tab/>
          </w:r>
          <w:r>
            <w:rPr>
              <w:sz w:val="24"/>
              <w:szCs w:val="24"/>
            </w:rPr>
            <w:fldChar w:fldCharType="begin"/>
          </w:r>
          <w:r>
            <w:rPr>
              <w:sz w:val="24"/>
              <w:szCs w:val="24"/>
            </w:rPr>
            <w:instrText xml:space="preserve"> PAGEREF _Toc24466 \h </w:instrText>
          </w:r>
          <w:r>
            <w:rPr>
              <w:sz w:val="24"/>
              <w:szCs w:val="24"/>
            </w:rPr>
            <w:fldChar w:fldCharType="separate"/>
          </w:r>
          <w:r>
            <w:rPr>
              <w:sz w:val="24"/>
              <w:szCs w:val="24"/>
            </w:rPr>
            <w:t>152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_Toc9761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5.6 生态现状调查与评价</w:t>
          </w:r>
          <w:r>
            <w:rPr>
              <w:sz w:val="24"/>
              <w:szCs w:val="24"/>
            </w:rPr>
            <w:tab/>
          </w:r>
          <w:r>
            <w:rPr>
              <w:sz w:val="24"/>
              <w:szCs w:val="24"/>
            </w:rPr>
            <w:fldChar w:fldCharType="begin"/>
          </w:r>
          <w:r>
            <w:rPr>
              <w:sz w:val="24"/>
              <w:szCs w:val="24"/>
            </w:rPr>
            <w:instrText xml:space="preserve"> PAGEREF _Toc9761 \h </w:instrText>
          </w:r>
          <w:r>
            <w:rPr>
              <w:sz w:val="24"/>
              <w:szCs w:val="24"/>
            </w:rPr>
            <w:fldChar w:fldCharType="separate"/>
          </w:r>
          <w:r>
            <w:rPr>
              <w:sz w:val="24"/>
              <w:szCs w:val="24"/>
            </w:rPr>
            <w:t>168</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_Toc5759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第六章 环境影响预测与评价</w:t>
          </w:r>
          <w:r>
            <w:rPr>
              <w:b/>
              <w:sz w:val="24"/>
              <w:szCs w:val="24"/>
            </w:rPr>
            <w:tab/>
          </w:r>
          <w:r>
            <w:rPr>
              <w:b/>
              <w:sz w:val="24"/>
              <w:szCs w:val="24"/>
            </w:rPr>
            <w:fldChar w:fldCharType="begin"/>
          </w:r>
          <w:r>
            <w:rPr>
              <w:b/>
              <w:sz w:val="24"/>
              <w:szCs w:val="24"/>
            </w:rPr>
            <w:instrText xml:space="preserve"> PAGEREF _Toc5759 \h </w:instrText>
          </w:r>
          <w:r>
            <w:rPr>
              <w:b/>
              <w:sz w:val="24"/>
              <w:szCs w:val="24"/>
            </w:rPr>
            <w:fldChar w:fldCharType="separate"/>
          </w:r>
          <w:r>
            <w:rPr>
              <w:b/>
              <w:sz w:val="24"/>
              <w:szCs w:val="24"/>
            </w:rPr>
            <w:t>174</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_Toc501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6.1 施工期环境影响预测与评价</w:t>
          </w:r>
          <w:r>
            <w:rPr>
              <w:sz w:val="24"/>
              <w:szCs w:val="24"/>
            </w:rPr>
            <w:tab/>
          </w:r>
          <w:r>
            <w:rPr>
              <w:sz w:val="24"/>
              <w:szCs w:val="24"/>
            </w:rPr>
            <w:fldChar w:fldCharType="begin"/>
          </w:r>
          <w:r>
            <w:rPr>
              <w:sz w:val="24"/>
              <w:szCs w:val="24"/>
            </w:rPr>
            <w:instrText xml:space="preserve"> PAGEREF _Toc501 \h </w:instrText>
          </w:r>
          <w:r>
            <w:rPr>
              <w:sz w:val="24"/>
              <w:szCs w:val="24"/>
            </w:rPr>
            <w:fldChar w:fldCharType="separate"/>
          </w:r>
          <w:r>
            <w:rPr>
              <w:sz w:val="24"/>
              <w:szCs w:val="24"/>
            </w:rPr>
            <w:t>174</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_Toc12240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6.2 运营期环境空气影响预测与评价</w:t>
          </w:r>
          <w:r>
            <w:rPr>
              <w:sz w:val="24"/>
              <w:szCs w:val="24"/>
            </w:rPr>
            <w:tab/>
          </w:r>
          <w:r>
            <w:rPr>
              <w:sz w:val="24"/>
              <w:szCs w:val="24"/>
            </w:rPr>
            <w:fldChar w:fldCharType="begin"/>
          </w:r>
          <w:r>
            <w:rPr>
              <w:sz w:val="24"/>
              <w:szCs w:val="24"/>
            </w:rPr>
            <w:instrText xml:space="preserve"> PAGEREF _Toc12240 \h </w:instrText>
          </w:r>
          <w:r>
            <w:rPr>
              <w:sz w:val="24"/>
              <w:szCs w:val="24"/>
            </w:rPr>
            <w:fldChar w:fldCharType="separate"/>
          </w:r>
          <w:r>
            <w:rPr>
              <w:sz w:val="24"/>
              <w:szCs w:val="24"/>
            </w:rPr>
            <w:t>177</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_Toc9143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6.3 运营期地表水环境影响分析</w:t>
          </w:r>
          <w:r>
            <w:rPr>
              <w:sz w:val="24"/>
              <w:szCs w:val="24"/>
            </w:rPr>
            <w:tab/>
          </w:r>
          <w:r>
            <w:rPr>
              <w:sz w:val="24"/>
              <w:szCs w:val="24"/>
            </w:rPr>
            <w:fldChar w:fldCharType="begin"/>
          </w:r>
          <w:r>
            <w:rPr>
              <w:sz w:val="24"/>
              <w:szCs w:val="24"/>
            </w:rPr>
            <w:instrText xml:space="preserve"> PAGEREF _Toc9143 \h </w:instrText>
          </w:r>
          <w:r>
            <w:rPr>
              <w:sz w:val="24"/>
              <w:szCs w:val="24"/>
            </w:rPr>
            <w:fldChar w:fldCharType="separate"/>
          </w:r>
          <w:r>
            <w:rPr>
              <w:sz w:val="24"/>
              <w:szCs w:val="24"/>
            </w:rPr>
            <w:t>183</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_Toc9485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6.4 运营期地下水环境影响分析</w:t>
          </w:r>
          <w:r>
            <w:rPr>
              <w:sz w:val="24"/>
              <w:szCs w:val="24"/>
            </w:rPr>
            <w:tab/>
          </w:r>
          <w:r>
            <w:rPr>
              <w:sz w:val="24"/>
              <w:szCs w:val="24"/>
            </w:rPr>
            <w:fldChar w:fldCharType="begin"/>
          </w:r>
          <w:r>
            <w:rPr>
              <w:sz w:val="24"/>
              <w:szCs w:val="24"/>
            </w:rPr>
            <w:instrText xml:space="preserve"> PAGEREF _Toc9485 \h </w:instrText>
          </w:r>
          <w:r>
            <w:rPr>
              <w:sz w:val="24"/>
              <w:szCs w:val="24"/>
            </w:rPr>
            <w:fldChar w:fldCharType="separate"/>
          </w:r>
          <w:r>
            <w:rPr>
              <w:sz w:val="24"/>
              <w:szCs w:val="24"/>
            </w:rPr>
            <w:t>189</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rFonts w:hint="eastAsia" w:ascii="宋体" w:hAnsi="宋体" w:eastAsia="宋体" w:cs="宋体"/>
              <w:bCs/>
              <w:sz w:val="24"/>
              <w:szCs w:val="24"/>
            </w:rPr>
            <w:sectPr>
              <w:footerReference r:id="rId13" w:type="default"/>
              <w:footerReference r:id="rId14" w:type="even"/>
              <w:pgSz w:w="11905" w:h="16838"/>
              <w:pgMar w:top="1417" w:right="1247" w:bottom="1247" w:left="1587" w:header="850" w:footer="850" w:gutter="0"/>
              <w:pgBorders>
                <w:top w:val="none" w:sz="0" w:space="0"/>
                <w:left w:val="none" w:sz="0" w:space="0"/>
                <w:bottom w:val="none" w:sz="0" w:space="0"/>
                <w:right w:val="none" w:sz="0" w:space="0"/>
              </w:pgBorders>
              <w:pgNumType w:fmt="decimal"/>
              <w:cols w:space="0" w:num="1"/>
              <w:docGrid w:type="lines" w:linePitch="383" w:charSpace="0"/>
            </w:sectPr>
          </w:pP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_Toc18840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6.5 运营期声环境影响预测与评价</w:t>
          </w:r>
          <w:r>
            <w:rPr>
              <w:sz w:val="24"/>
              <w:szCs w:val="24"/>
            </w:rPr>
            <w:tab/>
          </w:r>
          <w:r>
            <w:rPr>
              <w:sz w:val="24"/>
              <w:szCs w:val="24"/>
            </w:rPr>
            <w:fldChar w:fldCharType="begin"/>
          </w:r>
          <w:r>
            <w:rPr>
              <w:sz w:val="24"/>
              <w:szCs w:val="24"/>
            </w:rPr>
            <w:instrText xml:space="preserve"> PAGEREF _Toc18840 \h </w:instrText>
          </w:r>
          <w:r>
            <w:rPr>
              <w:sz w:val="24"/>
              <w:szCs w:val="24"/>
            </w:rPr>
            <w:fldChar w:fldCharType="separate"/>
          </w:r>
          <w:r>
            <w:rPr>
              <w:sz w:val="24"/>
              <w:szCs w:val="24"/>
            </w:rPr>
            <w:t>197</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_Toc25411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6.6 土壤环境影响评价</w:t>
          </w:r>
          <w:r>
            <w:rPr>
              <w:sz w:val="24"/>
              <w:szCs w:val="24"/>
            </w:rPr>
            <w:tab/>
          </w:r>
          <w:r>
            <w:rPr>
              <w:sz w:val="24"/>
              <w:szCs w:val="24"/>
            </w:rPr>
            <w:fldChar w:fldCharType="begin"/>
          </w:r>
          <w:r>
            <w:rPr>
              <w:sz w:val="24"/>
              <w:szCs w:val="24"/>
            </w:rPr>
            <w:instrText xml:space="preserve"> PAGEREF _Toc25411 \h </w:instrText>
          </w:r>
          <w:r>
            <w:rPr>
              <w:sz w:val="24"/>
              <w:szCs w:val="24"/>
            </w:rPr>
            <w:fldChar w:fldCharType="separate"/>
          </w:r>
          <w:r>
            <w:rPr>
              <w:sz w:val="24"/>
              <w:szCs w:val="24"/>
            </w:rPr>
            <w:t>205</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_Toc15753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6.7 生态环境影响预测与评价</w:t>
          </w:r>
          <w:r>
            <w:rPr>
              <w:sz w:val="24"/>
              <w:szCs w:val="24"/>
            </w:rPr>
            <w:tab/>
          </w:r>
          <w:r>
            <w:rPr>
              <w:sz w:val="24"/>
              <w:szCs w:val="24"/>
            </w:rPr>
            <w:fldChar w:fldCharType="begin"/>
          </w:r>
          <w:r>
            <w:rPr>
              <w:sz w:val="24"/>
              <w:szCs w:val="24"/>
            </w:rPr>
            <w:instrText xml:space="preserve"> PAGEREF _Toc15753 \h </w:instrText>
          </w:r>
          <w:r>
            <w:rPr>
              <w:sz w:val="24"/>
              <w:szCs w:val="24"/>
            </w:rPr>
            <w:fldChar w:fldCharType="separate"/>
          </w:r>
          <w:r>
            <w:rPr>
              <w:sz w:val="24"/>
              <w:szCs w:val="24"/>
            </w:rPr>
            <w:t>212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_Toc16721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6.8 固体废物环境影响分析</w:t>
          </w:r>
          <w:r>
            <w:rPr>
              <w:sz w:val="24"/>
              <w:szCs w:val="24"/>
            </w:rPr>
            <w:tab/>
          </w:r>
          <w:r>
            <w:rPr>
              <w:sz w:val="24"/>
              <w:szCs w:val="24"/>
            </w:rPr>
            <w:fldChar w:fldCharType="begin"/>
          </w:r>
          <w:r>
            <w:rPr>
              <w:sz w:val="24"/>
              <w:szCs w:val="24"/>
            </w:rPr>
            <w:instrText xml:space="preserve"> PAGEREF _Toc16721 \h </w:instrText>
          </w:r>
          <w:r>
            <w:rPr>
              <w:sz w:val="24"/>
              <w:szCs w:val="24"/>
            </w:rPr>
            <w:fldChar w:fldCharType="separate"/>
          </w:r>
          <w:r>
            <w:rPr>
              <w:sz w:val="24"/>
              <w:szCs w:val="24"/>
            </w:rPr>
            <w:t>220</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_Toc9437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6.9 环境风险分析</w:t>
          </w:r>
          <w:r>
            <w:rPr>
              <w:sz w:val="24"/>
              <w:szCs w:val="24"/>
            </w:rPr>
            <w:tab/>
          </w:r>
          <w:r>
            <w:rPr>
              <w:sz w:val="24"/>
              <w:szCs w:val="24"/>
            </w:rPr>
            <w:fldChar w:fldCharType="begin"/>
          </w:r>
          <w:r>
            <w:rPr>
              <w:sz w:val="24"/>
              <w:szCs w:val="24"/>
            </w:rPr>
            <w:instrText xml:space="preserve"> PAGEREF _Toc9437 \h </w:instrText>
          </w:r>
          <w:r>
            <w:rPr>
              <w:sz w:val="24"/>
              <w:szCs w:val="24"/>
            </w:rPr>
            <w:fldChar w:fldCharType="separate"/>
          </w:r>
          <w:r>
            <w:rPr>
              <w:sz w:val="24"/>
              <w:szCs w:val="24"/>
            </w:rPr>
            <w:t>223</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_Toc31107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第七章 地质环境影响评价</w:t>
          </w:r>
          <w:r>
            <w:rPr>
              <w:b/>
              <w:sz w:val="24"/>
              <w:szCs w:val="24"/>
            </w:rPr>
            <w:tab/>
          </w:r>
          <w:r>
            <w:rPr>
              <w:b/>
              <w:sz w:val="24"/>
              <w:szCs w:val="24"/>
            </w:rPr>
            <w:fldChar w:fldCharType="begin"/>
          </w:r>
          <w:r>
            <w:rPr>
              <w:b/>
              <w:sz w:val="24"/>
              <w:szCs w:val="24"/>
            </w:rPr>
            <w:instrText xml:space="preserve"> PAGEREF _Toc31107 \h </w:instrText>
          </w:r>
          <w:r>
            <w:rPr>
              <w:b/>
              <w:sz w:val="24"/>
              <w:szCs w:val="24"/>
            </w:rPr>
            <w:fldChar w:fldCharType="separate"/>
          </w:r>
          <w:r>
            <w:rPr>
              <w:b/>
              <w:sz w:val="24"/>
              <w:szCs w:val="24"/>
            </w:rPr>
            <w:t>239</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_Toc23013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7.1 地质环境影响评价</w:t>
          </w:r>
          <w:r>
            <w:rPr>
              <w:sz w:val="24"/>
              <w:szCs w:val="24"/>
            </w:rPr>
            <w:tab/>
          </w:r>
          <w:r>
            <w:rPr>
              <w:sz w:val="24"/>
              <w:szCs w:val="24"/>
            </w:rPr>
            <w:fldChar w:fldCharType="begin"/>
          </w:r>
          <w:r>
            <w:rPr>
              <w:sz w:val="24"/>
              <w:szCs w:val="24"/>
            </w:rPr>
            <w:instrText xml:space="preserve"> PAGEREF _Toc23013 \h </w:instrText>
          </w:r>
          <w:r>
            <w:rPr>
              <w:sz w:val="24"/>
              <w:szCs w:val="24"/>
            </w:rPr>
            <w:fldChar w:fldCharType="separate"/>
          </w:r>
          <w:r>
            <w:rPr>
              <w:sz w:val="24"/>
              <w:szCs w:val="24"/>
            </w:rPr>
            <w:t>239</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_Toc18738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7.2 矿山地质环境保护与治理措施</w:t>
          </w:r>
          <w:r>
            <w:rPr>
              <w:sz w:val="24"/>
              <w:szCs w:val="24"/>
            </w:rPr>
            <w:tab/>
          </w:r>
          <w:r>
            <w:rPr>
              <w:sz w:val="24"/>
              <w:szCs w:val="24"/>
            </w:rPr>
            <w:fldChar w:fldCharType="begin"/>
          </w:r>
          <w:r>
            <w:rPr>
              <w:sz w:val="24"/>
              <w:szCs w:val="24"/>
            </w:rPr>
            <w:instrText xml:space="preserve"> PAGEREF _Toc18738 \h </w:instrText>
          </w:r>
          <w:r>
            <w:rPr>
              <w:sz w:val="24"/>
              <w:szCs w:val="24"/>
            </w:rPr>
            <w:fldChar w:fldCharType="separate"/>
          </w:r>
          <w:r>
            <w:rPr>
              <w:sz w:val="24"/>
              <w:szCs w:val="24"/>
            </w:rPr>
            <w:t>241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_Toc1953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7.3 矿山地质环境监测</w:t>
          </w:r>
          <w:r>
            <w:rPr>
              <w:sz w:val="24"/>
              <w:szCs w:val="24"/>
            </w:rPr>
            <w:tab/>
          </w:r>
          <w:r>
            <w:rPr>
              <w:sz w:val="24"/>
              <w:szCs w:val="24"/>
            </w:rPr>
            <w:fldChar w:fldCharType="begin"/>
          </w:r>
          <w:r>
            <w:rPr>
              <w:sz w:val="24"/>
              <w:szCs w:val="24"/>
            </w:rPr>
            <w:instrText xml:space="preserve"> PAGEREF _Toc1953 \h </w:instrText>
          </w:r>
          <w:r>
            <w:rPr>
              <w:sz w:val="24"/>
              <w:szCs w:val="24"/>
            </w:rPr>
            <w:fldChar w:fldCharType="separate"/>
          </w:r>
          <w:r>
            <w:rPr>
              <w:sz w:val="24"/>
              <w:szCs w:val="24"/>
            </w:rPr>
            <w:t>247</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_Toc11845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7.4 小结</w:t>
          </w:r>
          <w:r>
            <w:rPr>
              <w:sz w:val="24"/>
              <w:szCs w:val="24"/>
            </w:rPr>
            <w:tab/>
          </w:r>
          <w:r>
            <w:rPr>
              <w:sz w:val="24"/>
              <w:szCs w:val="24"/>
            </w:rPr>
            <w:fldChar w:fldCharType="begin"/>
          </w:r>
          <w:r>
            <w:rPr>
              <w:sz w:val="24"/>
              <w:szCs w:val="24"/>
            </w:rPr>
            <w:instrText xml:space="preserve"> PAGEREF _Toc11845 \h </w:instrText>
          </w:r>
          <w:r>
            <w:rPr>
              <w:sz w:val="24"/>
              <w:szCs w:val="24"/>
            </w:rPr>
            <w:fldChar w:fldCharType="separate"/>
          </w:r>
          <w:r>
            <w:rPr>
              <w:sz w:val="24"/>
              <w:szCs w:val="24"/>
            </w:rPr>
            <w:t>248</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_Toc16308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第八章 环境保护措施及其可行性论证</w:t>
          </w:r>
          <w:r>
            <w:rPr>
              <w:b/>
              <w:sz w:val="24"/>
              <w:szCs w:val="24"/>
            </w:rPr>
            <w:tab/>
          </w:r>
          <w:r>
            <w:rPr>
              <w:b/>
              <w:sz w:val="24"/>
              <w:szCs w:val="24"/>
            </w:rPr>
            <w:fldChar w:fldCharType="begin"/>
          </w:r>
          <w:r>
            <w:rPr>
              <w:b/>
              <w:sz w:val="24"/>
              <w:szCs w:val="24"/>
            </w:rPr>
            <w:instrText xml:space="preserve"> PAGEREF _Toc16308 \h </w:instrText>
          </w:r>
          <w:r>
            <w:rPr>
              <w:b/>
              <w:sz w:val="24"/>
              <w:szCs w:val="24"/>
            </w:rPr>
            <w:fldChar w:fldCharType="separate"/>
          </w:r>
          <w:r>
            <w:rPr>
              <w:b/>
              <w:sz w:val="24"/>
              <w:szCs w:val="24"/>
            </w:rPr>
            <w:t>249</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_Toc14784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8.1 大气污染防治措施及其可行性论证</w:t>
          </w:r>
          <w:r>
            <w:rPr>
              <w:sz w:val="24"/>
              <w:szCs w:val="24"/>
            </w:rPr>
            <w:tab/>
          </w:r>
          <w:r>
            <w:rPr>
              <w:sz w:val="24"/>
              <w:szCs w:val="24"/>
            </w:rPr>
            <w:fldChar w:fldCharType="begin"/>
          </w:r>
          <w:r>
            <w:rPr>
              <w:sz w:val="24"/>
              <w:szCs w:val="24"/>
            </w:rPr>
            <w:instrText xml:space="preserve"> PAGEREF _Toc14784 \h </w:instrText>
          </w:r>
          <w:r>
            <w:rPr>
              <w:sz w:val="24"/>
              <w:szCs w:val="24"/>
            </w:rPr>
            <w:fldChar w:fldCharType="separate"/>
          </w:r>
          <w:r>
            <w:rPr>
              <w:sz w:val="24"/>
              <w:szCs w:val="24"/>
            </w:rPr>
            <w:t>249</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_Toc17727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8.2 地表水污染防治措施及其可行性论证</w:t>
          </w:r>
          <w:r>
            <w:rPr>
              <w:sz w:val="24"/>
              <w:szCs w:val="24"/>
            </w:rPr>
            <w:tab/>
          </w:r>
          <w:r>
            <w:rPr>
              <w:sz w:val="24"/>
              <w:szCs w:val="24"/>
            </w:rPr>
            <w:fldChar w:fldCharType="begin"/>
          </w:r>
          <w:r>
            <w:rPr>
              <w:sz w:val="24"/>
              <w:szCs w:val="24"/>
            </w:rPr>
            <w:instrText xml:space="preserve"> PAGEREF _Toc17727 \h </w:instrText>
          </w:r>
          <w:r>
            <w:rPr>
              <w:sz w:val="24"/>
              <w:szCs w:val="24"/>
            </w:rPr>
            <w:fldChar w:fldCharType="separate"/>
          </w:r>
          <w:r>
            <w:rPr>
              <w:sz w:val="24"/>
              <w:szCs w:val="24"/>
            </w:rPr>
            <w:t>250</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_Toc26567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8.3 地下水污染防治措施及其可行性论证</w:t>
          </w:r>
          <w:r>
            <w:rPr>
              <w:sz w:val="24"/>
              <w:szCs w:val="24"/>
            </w:rPr>
            <w:tab/>
          </w:r>
          <w:r>
            <w:rPr>
              <w:sz w:val="24"/>
              <w:szCs w:val="24"/>
            </w:rPr>
            <w:fldChar w:fldCharType="begin"/>
          </w:r>
          <w:r>
            <w:rPr>
              <w:sz w:val="24"/>
              <w:szCs w:val="24"/>
            </w:rPr>
            <w:instrText xml:space="preserve"> PAGEREF _Toc26567 \h </w:instrText>
          </w:r>
          <w:r>
            <w:rPr>
              <w:sz w:val="24"/>
              <w:szCs w:val="24"/>
            </w:rPr>
            <w:fldChar w:fldCharType="separate"/>
          </w:r>
          <w:r>
            <w:rPr>
              <w:sz w:val="24"/>
              <w:szCs w:val="24"/>
            </w:rPr>
            <w:t>251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_Toc23377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8.4 噪声污染防治措施及其可行性论证</w:t>
          </w:r>
          <w:r>
            <w:rPr>
              <w:sz w:val="24"/>
              <w:szCs w:val="24"/>
            </w:rPr>
            <w:tab/>
          </w:r>
          <w:r>
            <w:rPr>
              <w:sz w:val="24"/>
              <w:szCs w:val="24"/>
            </w:rPr>
            <w:fldChar w:fldCharType="begin"/>
          </w:r>
          <w:r>
            <w:rPr>
              <w:sz w:val="24"/>
              <w:szCs w:val="24"/>
            </w:rPr>
            <w:instrText xml:space="preserve"> PAGEREF _Toc23377 \h </w:instrText>
          </w:r>
          <w:r>
            <w:rPr>
              <w:sz w:val="24"/>
              <w:szCs w:val="24"/>
            </w:rPr>
            <w:fldChar w:fldCharType="separate"/>
          </w:r>
          <w:r>
            <w:rPr>
              <w:sz w:val="24"/>
              <w:szCs w:val="24"/>
            </w:rPr>
            <w:t>251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_Toc12478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8.5 固废污染防治措施及其可行性论证</w:t>
          </w:r>
          <w:r>
            <w:rPr>
              <w:sz w:val="24"/>
              <w:szCs w:val="24"/>
            </w:rPr>
            <w:tab/>
          </w:r>
          <w:r>
            <w:rPr>
              <w:sz w:val="24"/>
              <w:szCs w:val="24"/>
            </w:rPr>
            <w:fldChar w:fldCharType="begin"/>
          </w:r>
          <w:r>
            <w:rPr>
              <w:sz w:val="24"/>
              <w:szCs w:val="24"/>
            </w:rPr>
            <w:instrText xml:space="preserve"> PAGEREF _Toc12478 \h </w:instrText>
          </w:r>
          <w:r>
            <w:rPr>
              <w:sz w:val="24"/>
              <w:szCs w:val="24"/>
            </w:rPr>
            <w:fldChar w:fldCharType="separate"/>
          </w:r>
          <w:r>
            <w:rPr>
              <w:sz w:val="24"/>
              <w:szCs w:val="24"/>
            </w:rPr>
            <w:t>252</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_Toc7176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8.6 生态保护与恢复措施及其可行性论证</w:t>
          </w:r>
          <w:r>
            <w:rPr>
              <w:sz w:val="24"/>
              <w:szCs w:val="24"/>
            </w:rPr>
            <w:tab/>
          </w:r>
          <w:r>
            <w:rPr>
              <w:sz w:val="24"/>
              <w:szCs w:val="24"/>
            </w:rPr>
            <w:fldChar w:fldCharType="begin"/>
          </w:r>
          <w:r>
            <w:rPr>
              <w:sz w:val="24"/>
              <w:szCs w:val="24"/>
            </w:rPr>
            <w:instrText xml:space="preserve"> PAGEREF _Toc7176 \h </w:instrText>
          </w:r>
          <w:r>
            <w:rPr>
              <w:sz w:val="24"/>
              <w:szCs w:val="24"/>
            </w:rPr>
            <w:fldChar w:fldCharType="separate"/>
          </w:r>
          <w:r>
            <w:rPr>
              <w:sz w:val="24"/>
              <w:szCs w:val="24"/>
            </w:rPr>
            <w:t>253</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_Toc25711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8.7 小结</w:t>
          </w:r>
          <w:r>
            <w:rPr>
              <w:sz w:val="24"/>
              <w:szCs w:val="24"/>
            </w:rPr>
            <w:tab/>
          </w:r>
          <w:r>
            <w:rPr>
              <w:sz w:val="24"/>
              <w:szCs w:val="24"/>
            </w:rPr>
            <w:fldChar w:fldCharType="begin"/>
          </w:r>
          <w:r>
            <w:rPr>
              <w:sz w:val="24"/>
              <w:szCs w:val="24"/>
            </w:rPr>
            <w:instrText xml:space="preserve"> PAGEREF _Toc25711 \h </w:instrText>
          </w:r>
          <w:r>
            <w:rPr>
              <w:sz w:val="24"/>
              <w:szCs w:val="24"/>
            </w:rPr>
            <w:fldChar w:fldCharType="separate"/>
          </w:r>
          <w:r>
            <w:rPr>
              <w:sz w:val="24"/>
              <w:szCs w:val="24"/>
            </w:rPr>
            <w:t>253</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_Toc17820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第九章 总量控制</w:t>
          </w:r>
          <w:r>
            <w:rPr>
              <w:b/>
              <w:sz w:val="24"/>
              <w:szCs w:val="24"/>
            </w:rPr>
            <w:tab/>
          </w:r>
          <w:r>
            <w:rPr>
              <w:b/>
              <w:sz w:val="24"/>
              <w:szCs w:val="24"/>
            </w:rPr>
            <w:fldChar w:fldCharType="begin"/>
          </w:r>
          <w:r>
            <w:rPr>
              <w:b/>
              <w:sz w:val="24"/>
              <w:szCs w:val="24"/>
            </w:rPr>
            <w:instrText xml:space="preserve"> PAGEREF _Toc17820 \h </w:instrText>
          </w:r>
          <w:r>
            <w:rPr>
              <w:b/>
              <w:sz w:val="24"/>
              <w:szCs w:val="24"/>
            </w:rPr>
            <w:fldChar w:fldCharType="separate"/>
          </w:r>
          <w:r>
            <w:rPr>
              <w:b/>
              <w:sz w:val="24"/>
              <w:szCs w:val="24"/>
            </w:rPr>
            <w:t>254</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_Toc10078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9.1 总量控制制度</w:t>
          </w:r>
          <w:r>
            <w:rPr>
              <w:sz w:val="24"/>
              <w:szCs w:val="24"/>
            </w:rPr>
            <w:tab/>
          </w:r>
          <w:r>
            <w:rPr>
              <w:sz w:val="24"/>
              <w:szCs w:val="24"/>
            </w:rPr>
            <w:fldChar w:fldCharType="begin"/>
          </w:r>
          <w:r>
            <w:rPr>
              <w:sz w:val="24"/>
              <w:szCs w:val="24"/>
            </w:rPr>
            <w:instrText xml:space="preserve"> PAGEREF _Toc10078 \h </w:instrText>
          </w:r>
          <w:r>
            <w:rPr>
              <w:sz w:val="24"/>
              <w:szCs w:val="24"/>
            </w:rPr>
            <w:fldChar w:fldCharType="separate"/>
          </w:r>
          <w:r>
            <w:rPr>
              <w:sz w:val="24"/>
              <w:szCs w:val="24"/>
            </w:rPr>
            <w:t>254</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_Toc5357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9.2 总量控制原则与对象</w:t>
          </w:r>
          <w:r>
            <w:rPr>
              <w:sz w:val="24"/>
              <w:szCs w:val="24"/>
            </w:rPr>
            <w:tab/>
          </w:r>
          <w:r>
            <w:rPr>
              <w:sz w:val="24"/>
              <w:szCs w:val="24"/>
            </w:rPr>
            <w:fldChar w:fldCharType="begin"/>
          </w:r>
          <w:r>
            <w:rPr>
              <w:sz w:val="24"/>
              <w:szCs w:val="24"/>
            </w:rPr>
            <w:instrText xml:space="preserve"> PAGEREF _Toc5357 \h </w:instrText>
          </w:r>
          <w:r>
            <w:rPr>
              <w:sz w:val="24"/>
              <w:szCs w:val="24"/>
            </w:rPr>
            <w:fldChar w:fldCharType="separate"/>
          </w:r>
          <w:r>
            <w:rPr>
              <w:sz w:val="24"/>
              <w:szCs w:val="24"/>
            </w:rPr>
            <w:t>254</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_Toc27567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9.3 本项目总量控制分析</w:t>
          </w:r>
          <w:r>
            <w:rPr>
              <w:sz w:val="24"/>
              <w:szCs w:val="24"/>
            </w:rPr>
            <w:tab/>
          </w:r>
          <w:r>
            <w:rPr>
              <w:sz w:val="24"/>
              <w:szCs w:val="24"/>
            </w:rPr>
            <w:fldChar w:fldCharType="begin"/>
          </w:r>
          <w:r>
            <w:rPr>
              <w:sz w:val="24"/>
              <w:szCs w:val="24"/>
            </w:rPr>
            <w:instrText xml:space="preserve"> PAGEREF _Toc27567 \h </w:instrText>
          </w:r>
          <w:r>
            <w:rPr>
              <w:sz w:val="24"/>
              <w:szCs w:val="24"/>
            </w:rPr>
            <w:fldChar w:fldCharType="separate"/>
          </w:r>
          <w:r>
            <w:rPr>
              <w:sz w:val="24"/>
              <w:szCs w:val="24"/>
            </w:rPr>
            <w:t>254</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_Toc16714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第十章 环境经济损益分析</w:t>
          </w:r>
          <w:r>
            <w:rPr>
              <w:b/>
              <w:sz w:val="24"/>
              <w:szCs w:val="24"/>
            </w:rPr>
            <w:tab/>
          </w:r>
          <w:r>
            <w:rPr>
              <w:b/>
              <w:sz w:val="24"/>
              <w:szCs w:val="24"/>
            </w:rPr>
            <w:fldChar w:fldCharType="begin"/>
          </w:r>
          <w:r>
            <w:rPr>
              <w:b/>
              <w:sz w:val="24"/>
              <w:szCs w:val="24"/>
            </w:rPr>
            <w:instrText xml:space="preserve"> PAGEREF _Toc16714 \h </w:instrText>
          </w:r>
          <w:r>
            <w:rPr>
              <w:b/>
              <w:sz w:val="24"/>
              <w:szCs w:val="24"/>
            </w:rPr>
            <w:fldChar w:fldCharType="separate"/>
          </w:r>
          <w:r>
            <w:rPr>
              <w:b/>
              <w:sz w:val="24"/>
              <w:szCs w:val="24"/>
            </w:rPr>
            <w:t>256</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_Toc19019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10.1 环境保护投资估算</w:t>
          </w:r>
          <w:r>
            <w:rPr>
              <w:sz w:val="24"/>
              <w:szCs w:val="24"/>
            </w:rPr>
            <w:tab/>
          </w:r>
          <w:r>
            <w:rPr>
              <w:sz w:val="24"/>
              <w:szCs w:val="24"/>
            </w:rPr>
            <w:fldChar w:fldCharType="begin"/>
          </w:r>
          <w:r>
            <w:rPr>
              <w:sz w:val="24"/>
              <w:szCs w:val="24"/>
            </w:rPr>
            <w:instrText xml:space="preserve"> PAGEREF _Toc19019 \h </w:instrText>
          </w:r>
          <w:r>
            <w:rPr>
              <w:sz w:val="24"/>
              <w:szCs w:val="24"/>
            </w:rPr>
            <w:fldChar w:fldCharType="separate"/>
          </w:r>
          <w:r>
            <w:rPr>
              <w:sz w:val="24"/>
              <w:szCs w:val="24"/>
            </w:rPr>
            <w:t>256</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_Toc2943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10.2 环境经济损益分析</w:t>
          </w:r>
          <w:r>
            <w:rPr>
              <w:sz w:val="24"/>
              <w:szCs w:val="24"/>
            </w:rPr>
            <w:tab/>
          </w:r>
          <w:r>
            <w:rPr>
              <w:sz w:val="24"/>
              <w:szCs w:val="24"/>
            </w:rPr>
            <w:fldChar w:fldCharType="begin"/>
          </w:r>
          <w:r>
            <w:rPr>
              <w:sz w:val="24"/>
              <w:szCs w:val="24"/>
            </w:rPr>
            <w:instrText xml:space="preserve"> PAGEREF _Toc2943 \h </w:instrText>
          </w:r>
          <w:r>
            <w:rPr>
              <w:sz w:val="24"/>
              <w:szCs w:val="24"/>
            </w:rPr>
            <w:fldChar w:fldCharType="separate"/>
          </w:r>
          <w:r>
            <w:rPr>
              <w:sz w:val="24"/>
              <w:szCs w:val="24"/>
            </w:rPr>
            <w:t>256</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_Toc1579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第十一章 环境管理与监测技术</w:t>
          </w:r>
          <w:r>
            <w:rPr>
              <w:b/>
              <w:sz w:val="24"/>
              <w:szCs w:val="24"/>
            </w:rPr>
            <w:tab/>
          </w:r>
          <w:r>
            <w:rPr>
              <w:b/>
              <w:sz w:val="24"/>
              <w:szCs w:val="24"/>
            </w:rPr>
            <w:fldChar w:fldCharType="begin"/>
          </w:r>
          <w:r>
            <w:rPr>
              <w:b/>
              <w:sz w:val="24"/>
              <w:szCs w:val="24"/>
            </w:rPr>
            <w:instrText xml:space="preserve"> PAGEREF _Toc1579 \h </w:instrText>
          </w:r>
          <w:r>
            <w:rPr>
              <w:b/>
              <w:sz w:val="24"/>
              <w:szCs w:val="24"/>
            </w:rPr>
            <w:fldChar w:fldCharType="separate"/>
          </w:r>
          <w:r>
            <w:rPr>
              <w:b/>
              <w:sz w:val="24"/>
              <w:szCs w:val="24"/>
            </w:rPr>
            <w:t>259</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_Toc8831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11.1 环境管理</w:t>
          </w:r>
          <w:r>
            <w:rPr>
              <w:sz w:val="24"/>
              <w:szCs w:val="24"/>
            </w:rPr>
            <w:tab/>
          </w:r>
          <w:r>
            <w:rPr>
              <w:sz w:val="24"/>
              <w:szCs w:val="24"/>
            </w:rPr>
            <w:fldChar w:fldCharType="begin"/>
          </w:r>
          <w:r>
            <w:rPr>
              <w:sz w:val="24"/>
              <w:szCs w:val="24"/>
            </w:rPr>
            <w:instrText xml:space="preserve"> PAGEREF _Toc8831 \h </w:instrText>
          </w:r>
          <w:r>
            <w:rPr>
              <w:sz w:val="24"/>
              <w:szCs w:val="24"/>
            </w:rPr>
            <w:fldChar w:fldCharType="separate"/>
          </w:r>
          <w:r>
            <w:rPr>
              <w:sz w:val="24"/>
              <w:szCs w:val="24"/>
            </w:rPr>
            <w:t>259</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rFonts w:hint="eastAsia" w:ascii="宋体" w:hAnsi="宋体" w:eastAsia="宋体" w:cs="宋体"/>
              <w:bCs/>
              <w:sz w:val="24"/>
              <w:szCs w:val="24"/>
            </w:rPr>
            <w:sectPr>
              <w:footerReference r:id="rId15" w:type="default"/>
              <w:footerReference r:id="rId16" w:type="even"/>
              <w:pgSz w:w="11905" w:h="16838"/>
              <w:pgMar w:top="1417" w:right="1247" w:bottom="1247" w:left="1587" w:header="850" w:footer="850" w:gutter="0"/>
              <w:pgBorders>
                <w:top w:val="none" w:sz="0" w:space="0"/>
                <w:left w:val="none" w:sz="0" w:space="0"/>
                <w:bottom w:val="none" w:sz="0" w:space="0"/>
                <w:right w:val="none" w:sz="0" w:space="0"/>
              </w:pgBorders>
              <w:pgNumType w:fmt="decimal"/>
              <w:cols w:space="0" w:num="1"/>
              <w:docGrid w:type="lines" w:linePitch="383" w:charSpace="0"/>
            </w:sectPr>
          </w:pP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_Toc4844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11.2 环境监测计划</w:t>
          </w:r>
          <w:r>
            <w:rPr>
              <w:sz w:val="24"/>
              <w:szCs w:val="24"/>
            </w:rPr>
            <w:tab/>
          </w:r>
          <w:r>
            <w:rPr>
              <w:sz w:val="24"/>
              <w:szCs w:val="24"/>
            </w:rPr>
            <w:fldChar w:fldCharType="begin"/>
          </w:r>
          <w:r>
            <w:rPr>
              <w:sz w:val="24"/>
              <w:szCs w:val="24"/>
            </w:rPr>
            <w:instrText xml:space="preserve"> PAGEREF _Toc4844 \h </w:instrText>
          </w:r>
          <w:r>
            <w:rPr>
              <w:sz w:val="24"/>
              <w:szCs w:val="24"/>
            </w:rPr>
            <w:fldChar w:fldCharType="separate"/>
          </w:r>
          <w:r>
            <w:rPr>
              <w:sz w:val="24"/>
              <w:szCs w:val="24"/>
            </w:rPr>
            <w:t>260</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_Toc29210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11.3 排污口规范化设置</w:t>
          </w:r>
          <w:r>
            <w:rPr>
              <w:sz w:val="24"/>
              <w:szCs w:val="24"/>
            </w:rPr>
            <w:tab/>
          </w:r>
          <w:r>
            <w:rPr>
              <w:sz w:val="24"/>
              <w:szCs w:val="24"/>
            </w:rPr>
            <w:fldChar w:fldCharType="begin"/>
          </w:r>
          <w:r>
            <w:rPr>
              <w:sz w:val="24"/>
              <w:szCs w:val="24"/>
            </w:rPr>
            <w:instrText xml:space="preserve"> PAGEREF _Toc29210 \h </w:instrText>
          </w:r>
          <w:r>
            <w:rPr>
              <w:sz w:val="24"/>
              <w:szCs w:val="24"/>
            </w:rPr>
            <w:fldChar w:fldCharType="separate"/>
          </w:r>
          <w:r>
            <w:rPr>
              <w:sz w:val="24"/>
              <w:szCs w:val="24"/>
            </w:rPr>
            <w:t>262</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_Toc286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第十二章 规划符合性分析</w:t>
          </w:r>
          <w:r>
            <w:rPr>
              <w:b/>
              <w:sz w:val="24"/>
              <w:szCs w:val="24"/>
            </w:rPr>
            <w:tab/>
          </w:r>
          <w:r>
            <w:rPr>
              <w:b/>
              <w:sz w:val="24"/>
              <w:szCs w:val="24"/>
            </w:rPr>
            <w:fldChar w:fldCharType="begin"/>
          </w:r>
          <w:r>
            <w:rPr>
              <w:b/>
              <w:sz w:val="24"/>
              <w:szCs w:val="24"/>
            </w:rPr>
            <w:instrText xml:space="preserve"> PAGEREF _Toc286 \h </w:instrText>
          </w:r>
          <w:r>
            <w:rPr>
              <w:b/>
              <w:sz w:val="24"/>
              <w:szCs w:val="24"/>
            </w:rPr>
            <w:fldChar w:fldCharType="separate"/>
          </w:r>
          <w:r>
            <w:rPr>
              <w:b/>
              <w:sz w:val="24"/>
              <w:szCs w:val="24"/>
            </w:rPr>
            <w:t>264</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_Toc21662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12.1 场地选址合理性分析</w:t>
          </w:r>
          <w:r>
            <w:rPr>
              <w:sz w:val="24"/>
              <w:szCs w:val="24"/>
            </w:rPr>
            <w:tab/>
          </w:r>
          <w:r>
            <w:rPr>
              <w:sz w:val="24"/>
              <w:szCs w:val="24"/>
            </w:rPr>
            <w:fldChar w:fldCharType="begin"/>
          </w:r>
          <w:r>
            <w:rPr>
              <w:sz w:val="24"/>
              <w:szCs w:val="24"/>
            </w:rPr>
            <w:instrText xml:space="preserve"> PAGEREF _Toc21662 \h </w:instrText>
          </w:r>
          <w:r>
            <w:rPr>
              <w:sz w:val="24"/>
              <w:szCs w:val="24"/>
            </w:rPr>
            <w:fldChar w:fldCharType="separate"/>
          </w:r>
          <w:r>
            <w:rPr>
              <w:sz w:val="24"/>
              <w:szCs w:val="24"/>
            </w:rPr>
            <w:t>264</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_Toc1512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12.2 与产业政策符合性分析</w:t>
          </w:r>
          <w:r>
            <w:rPr>
              <w:sz w:val="24"/>
              <w:szCs w:val="24"/>
            </w:rPr>
            <w:tab/>
          </w:r>
          <w:r>
            <w:rPr>
              <w:sz w:val="24"/>
              <w:szCs w:val="24"/>
            </w:rPr>
            <w:fldChar w:fldCharType="begin"/>
          </w:r>
          <w:r>
            <w:rPr>
              <w:sz w:val="24"/>
              <w:szCs w:val="24"/>
            </w:rPr>
            <w:instrText xml:space="preserve"> PAGEREF _Toc1512 \h </w:instrText>
          </w:r>
          <w:r>
            <w:rPr>
              <w:sz w:val="24"/>
              <w:szCs w:val="24"/>
            </w:rPr>
            <w:fldChar w:fldCharType="separate"/>
          </w:r>
          <w:r>
            <w:rPr>
              <w:sz w:val="24"/>
              <w:szCs w:val="24"/>
            </w:rPr>
            <w:t>268</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_Toc9820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12.3 与环保政策符合性分析</w:t>
          </w:r>
          <w:r>
            <w:rPr>
              <w:sz w:val="24"/>
              <w:szCs w:val="24"/>
            </w:rPr>
            <w:tab/>
          </w:r>
          <w:r>
            <w:rPr>
              <w:sz w:val="24"/>
              <w:szCs w:val="24"/>
            </w:rPr>
            <w:fldChar w:fldCharType="begin"/>
          </w:r>
          <w:r>
            <w:rPr>
              <w:sz w:val="24"/>
              <w:szCs w:val="24"/>
            </w:rPr>
            <w:instrText xml:space="preserve"> PAGEREF _Toc9820 \h </w:instrText>
          </w:r>
          <w:r>
            <w:rPr>
              <w:sz w:val="24"/>
              <w:szCs w:val="24"/>
            </w:rPr>
            <w:fldChar w:fldCharType="separate"/>
          </w:r>
          <w:r>
            <w:rPr>
              <w:sz w:val="24"/>
              <w:szCs w:val="24"/>
            </w:rPr>
            <w:t>274</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_Toc16633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12.4 与“三线一单”相关要求符合性分析</w:t>
          </w:r>
          <w:r>
            <w:rPr>
              <w:sz w:val="24"/>
              <w:szCs w:val="24"/>
            </w:rPr>
            <w:tab/>
          </w:r>
          <w:r>
            <w:rPr>
              <w:sz w:val="24"/>
              <w:szCs w:val="24"/>
            </w:rPr>
            <w:fldChar w:fldCharType="begin"/>
          </w:r>
          <w:r>
            <w:rPr>
              <w:sz w:val="24"/>
              <w:szCs w:val="24"/>
            </w:rPr>
            <w:instrText xml:space="preserve"> PAGEREF _Toc16633 \h </w:instrText>
          </w:r>
          <w:r>
            <w:rPr>
              <w:sz w:val="24"/>
              <w:szCs w:val="24"/>
            </w:rPr>
            <w:fldChar w:fldCharType="separate"/>
          </w:r>
          <w:r>
            <w:rPr>
              <w:sz w:val="24"/>
              <w:szCs w:val="24"/>
            </w:rPr>
            <w:t>281</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_Toc29280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12.4 小结</w:t>
          </w:r>
          <w:r>
            <w:rPr>
              <w:sz w:val="24"/>
              <w:szCs w:val="24"/>
            </w:rPr>
            <w:tab/>
          </w:r>
          <w:r>
            <w:rPr>
              <w:sz w:val="24"/>
              <w:szCs w:val="24"/>
            </w:rPr>
            <w:fldChar w:fldCharType="begin"/>
          </w:r>
          <w:r>
            <w:rPr>
              <w:sz w:val="24"/>
              <w:szCs w:val="24"/>
            </w:rPr>
            <w:instrText xml:space="preserve"> PAGEREF _Toc29280 \h </w:instrText>
          </w:r>
          <w:r>
            <w:rPr>
              <w:sz w:val="24"/>
              <w:szCs w:val="24"/>
            </w:rPr>
            <w:fldChar w:fldCharType="separate"/>
          </w:r>
          <w:r>
            <w:rPr>
              <w:sz w:val="24"/>
              <w:szCs w:val="24"/>
            </w:rPr>
            <w:t>282</w:t>
          </w:r>
          <w:r>
            <w:rPr>
              <w:sz w:val="24"/>
              <w:szCs w:val="24"/>
            </w:rPr>
            <w:fldChar w:fldCharType="end"/>
          </w:r>
          <w:r>
            <w:rPr>
              <w:rFonts w:hint="eastAsia" w:ascii="宋体" w:hAnsi="宋体" w:eastAsia="宋体" w:cs="宋体"/>
              <w:bCs/>
              <w:sz w:val="24"/>
              <w:szCs w:val="24"/>
            </w:rPr>
            <w:fldChar w:fldCharType="end"/>
          </w:r>
        </w:p>
        <w:p>
          <w:pPr>
            <w:pStyle w:val="62"/>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b/>
              <w:sz w:val="24"/>
              <w:szCs w:val="24"/>
            </w:rPr>
          </w:pPr>
          <w:r>
            <w:rPr>
              <w:rFonts w:hint="eastAsia" w:ascii="宋体" w:hAnsi="宋体" w:eastAsia="宋体" w:cs="宋体"/>
              <w:b/>
              <w:bCs/>
              <w:sz w:val="24"/>
              <w:szCs w:val="24"/>
            </w:rPr>
            <w:fldChar w:fldCharType="begin"/>
          </w:r>
          <w:r>
            <w:rPr>
              <w:rFonts w:hint="eastAsia" w:ascii="宋体" w:hAnsi="宋体" w:eastAsia="宋体" w:cs="宋体"/>
              <w:b/>
              <w:bCs/>
              <w:sz w:val="24"/>
              <w:szCs w:val="24"/>
            </w:rPr>
            <w:instrText xml:space="preserve"> HYPERLINK \l _Toc15077 </w:instrText>
          </w:r>
          <w:r>
            <w:rPr>
              <w:rFonts w:hint="eastAsia" w:ascii="宋体" w:hAnsi="宋体" w:eastAsia="宋体" w:cs="宋体"/>
              <w:b/>
              <w:bCs/>
              <w:sz w:val="24"/>
              <w:szCs w:val="24"/>
            </w:rPr>
            <w:fldChar w:fldCharType="separate"/>
          </w:r>
          <w:r>
            <w:rPr>
              <w:rFonts w:hint="eastAsia" w:ascii="宋体" w:hAnsi="宋体" w:eastAsia="宋体" w:cs="宋体"/>
              <w:b/>
              <w:sz w:val="24"/>
              <w:szCs w:val="24"/>
              <w:lang w:eastAsia="zh-CN"/>
            </w:rPr>
            <w:t>第十三章 结论及建议</w:t>
          </w:r>
          <w:r>
            <w:rPr>
              <w:b/>
              <w:sz w:val="24"/>
              <w:szCs w:val="24"/>
            </w:rPr>
            <w:tab/>
          </w:r>
          <w:r>
            <w:rPr>
              <w:b/>
              <w:sz w:val="24"/>
              <w:szCs w:val="24"/>
            </w:rPr>
            <w:fldChar w:fldCharType="begin"/>
          </w:r>
          <w:r>
            <w:rPr>
              <w:b/>
              <w:sz w:val="24"/>
              <w:szCs w:val="24"/>
            </w:rPr>
            <w:instrText xml:space="preserve"> PAGEREF _Toc15077 \h </w:instrText>
          </w:r>
          <w:r>
            <w:rPr>
              <w:b/>
              <w:sz w:val="24"/>
              <w:szCs w:val="24"/>
            </w:rPr>
            <w:fldChar w:fldCharType="separate"/>
          </w:r>
          <w:r>
            <w:rPr>
              <w:b/>
              <w:sz w:val="24"/>
              <w:szCs w:val="24"/>
            </w:rPr>
            <w:t>284</w:t>
          </w:r>
          <w:r>
            <w:rPr>
              <w:b/>
              <w:sz w:val="24"/>
              <w:szCs w:val="24"/>
            </w:rPr>
            <w:fldChar w:fldCharType="end"/>
          </w:r>
          <w:r>
            <w:rPr>
              <w:rFonts w:hint="eastAsia" w:ascii="宋体" w:hAnsi="宋体" w:eastAsia="宋体" w:cs="宋体"/>
              <w:b/>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_Toc27100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13.1 评价结论</w:t>
          </w:r>
          <w:r>
            <w:rPr>
              <w:sz w:val="24"/>
              <w:szCs w:val="24"/>
            </w:rPr>
            <w:tab/>
          </w:r>
          <w:r>
            <w:rPr>
              <w:sz w:val="24"/>
              <w:szCs w:val="24"/>
            </w:rPr>
            <w:fldChar w:fldCharType="begin"/>
          </w:r>
          <w:r>
            <w:rPr>
              <w:sz w:val="24"/>
              <w:szCs w:val="24"/>
            </w:rPr>
            <w:instrText xml:space="preserve"> PAGEREF _Toc27100 \h </w:instrText>
          </w:r>
          <w:r>
            <w:rPr>
              <w:sz w:val="24"/>
              <w:szCs w:val="24"/>
            </w:rPr>
            <w:fldChar w:fldCharType="separate"/>
          </w:r>
          <w:r>
            <w:rPr>
              <w:sz w:val="24"/>
              <w:szCs w:val="24"/>
            </w:rPr>
            <w:t>284</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rPr>
              <w:sz w:val="24"/>
              <w:szCs w:val="24"/>
            </w:rPr>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_Toc10062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13.2 结论</w:t>
          </w:r>
          <w:r>
            <w:rPr>
              <w:sz w:val="24"/>
              <w:szCs w:val="24"/>
            </w:rPr>
            <w:tab/>
          </w:r>
          <w:r>
            <w:rPr>
              <w:sz w:val="24"/>
              <w:szCs w:val="24"/>
            </w:rPr>
            <w:fldChar w:fldCharType="begin"/>
          </w:r>
          <w:r>
            <w:rPr>
              <w:sz w:val="24"/>
              <w:szCs w:val="24"/>
            </w:rPr>
            <w:instrText xml:space="preserve"> PAGEREF _Toc10062 \h </w:instrText>
          </w:r>
          <w:r>
            <w:rPr>
              <w:sz w:val="24"/>
              <w:szCs w:val="24"/>
            </w:rPr>
            <w:fldChar w:fldCharType="separate"/>
          </w:r>
          <w:r>
            <w:rPr>
              <w:sz w:val="24"/>
              <w:szCs w:val="24"/>
            </w:rPr>
            <w:t>288</w:t>
          </w:r>
          <w:r>
            <w:rPr>
              <w:sz w:val="24"/>
              <w:szCs w:val="24"/>
            </w:rPr>
            <w:fldChar w:fldCharType="end"/>
          </w:r>
          <w:r>
            <w:rPr>
              <w:rFonts w:hint="eastAsia" w:ascii="宋体" w:hAnsi="宋体" w:eastAsia="宋体" w:cs="宋体"/>
              <w:bCs/>
              <w:sz w:val="24"/>
              <w:szCs w:val="24"/>
            </w:rPr>
            <w:fldChar w:fldCharType="end"/>
          </w:r>
        </w:p>
        <w:p>
          <w:pPr>
            <w:pStyle w:val="63"/>
            <w:keepNext w:val="0"/>
            <w:keepLines w:val="0"/>
            <w:pageBreakBefore w:val="0"/>
            <w:widowControl/>
            <w:tabs>
              <w:tab w:val="right" w:leader="dot" w:pos="9071"/>
            </w:tabs>
            <w:kinsoku/>
            <w:wordWrap/>
            <w:overflowPunct/>
            <w:topLinePunct w:val="0"/>
            <w:autoSpaceDE/>
            <w:autoSpaceDN/>
            <w:bidi w:val="0"/>
            <w:adjustRightInd/>
            <w:snapToGrid/>
            <w:spacing w:line="520" w:lineRule="exact"/>
            <w:textAlignment w:val="auto"/>
          </w:pPr>
          <w:r>
            <w:rPr>
              <w:rFonts w:hint="eastAsia" w:ascii="宋体" w:hAnsi="宋体" w:eastAsia="宋体" w:cs="宋体"/>
              <w:bCs/>
              <w:sz w:val="24"/>
              <w:szCs w:val="24"/>
            </w:rPr>
            <w:fldChar w:fldCharType="begin"/>
          </w:r>
          <w:r>
            <w:rPr>
              <w:rFonts w:hint="eastAsia" w:ascii="宋体" w:hAnsi="宋体" w:eastAsia="宋体" w:cs="宋体"/>
              <w:bCs/>
              <w:sz w:val="24"/>
              <w:szCs w:val="24"/>
            </w:rPr>
            <w:instrText xml:space="preserve"> HYPERLINK \l _Toc9251 </w:instrText>
          </w:r>
          <w:r>
            <w:rPr>
              <w:rFonts w:hint="eastAsia" w:ascii="宋体" w:hAnsi="宋体" w:eastAsia="宋体" w:cs="宋体"/>
              <w:bCs/>
              <w:sz w:val="24"/>
              <w:szCs w:val="24"/>
            </w:rPr>
            <w:fldChar w:fldCharType="separate"/>
          </w:r>
          <w:r>
            <w:rPr>
              <w:rFonts w:hint="eastAsia" w:ascii="宋体" w:hAnsi="宋体" w:eastAsia="宋体" w:cs="宋体"/>
              <w:sz w:val="24"/>
              <w:szCs w:val="24"/>
              <w:lang w:eastAsia="zh-CN"/>
            </w:rPr>
            <w:t>13.3 建议</w:t>
          </w:r>
          <w:r>
            <w:rPr>
              <w:sz w:val="24"/>
              <w:szCs w:val="24"/>
            </w:rPr>
            <w:tab/>
          </w:r>
          <w:r>
            <w:rPr>
              <w:sz w:val="24"/>
              <w:szCs w:val="24"/>
            </w:rPr>
            <w:fldChar w:fldCharType="begin"/>
          </w:r>
          <w:r>
            <w:rPr>
              <w:sz w:val="24"/>
              <w:szCs w:val="24"/>
            </w:rPr>
            <w:instrText xml:space="preserve"> PAGEREF _Toc9251 \h </w:instrText>
          </w:r>
          <w:r>
            <w:rPr>
              <w:sz w:val="24"/>
              <w:szCs w:val="24"/>
            </w:rPr>
            <w:fldChar w:fldCharType="separate"/>
          </w:r>
          <w:r>
            <w:rPr>
              <w:sz w:val="24"/>
              <w:szCs w:val="24"/>
            </w:rPr>
            <w:t>288</w:t>
          </w:r>
          <w:r>
            <w:rPr>
              <w:sz w:val="24"/>
              <w:szCs w:val="24"/>
            </w:rPr>
            <w:fldChar w:fldCharType="end"/>
          </w:r>
          <w:r>
            <w:rPr>
              <w:rFonts w:hint="eastAsia" w:ascii="宋体" w:hAnsi="宋体" w:eastAsia="宋体" w:cs="宋体"/>
              <w:bCs/>
              <w:sz w:val="24"/>
              <w:szCs w:val="24"/>
            </w:rPr>
            <w:fldChar w:fldCharType="end"/>
          </w:r>
        </w:p>
        <w:p>
          <w:pPr>
            <w:pStyle w:val="16"/>
            <w:ind w:firstLine="560"/>
          </w:pPr>
          <w:r>
            <w:rPr>
              <w:rFonts w:hint="eastAsia" w:ascii="宋体" w:hAnsi="宋体" w:eastAsia="宋体" w:cs="宋体"/>
              <w:b/>
              <w:bCs/>
              <w:szCs w:val="28"/>
            </w:rPr>
            <w:fldChar w:fldCharType="end"/>
          </w:r>
        </w:p>
      </w:sdtContent>
    </w:sdt>
    <w:p>
      <w:pPr>
        <w:pStyle w:val="16"/>
        <w:ind w:firstLine="482" w:firstLineChars="200"/>
        <w:rPr>
          <w:rFonts w:hint="eastAsia" w:ascii="宋体" w:hAnsi="宋体" w:eastAsia="宋体" w:cs="宋体"/>
          <w:szCs w:val="28"/>
        </w:rPr>
      </w:pPr>
      <w:r>
        <w:rPr>
          <w:rFonts w:hint="eastAsia" w:ascii="宋体" w:hAnsi="宋体" w:eastAsia="宋体" w:cs="宋体"/>
          <w:b/>
          <w:bCs/>
          <w:szCs w:val="28"/>
        </w:rPr>
        <w:t>附件</w:t>
      </w:r>
      <w:r>
        <w:rPr>
          <w:rFonts w:hint="eastAsia" w:ascii="宋体" w:hAnsi="宋体" w:eastAsia="宋体" w:cs="宋体"/>
          <w:szCs w:val="28"/>
        </w:rPr>
        <w:t>：</w:t>
      </w:r>
    </w:p>
    <w:p>
      <w:pPr>
        <w:pStyle w:val="16"/>
        <w:ind w:firstLine="560"/>
        <w:rPr>
          <w:rFonts w:hint="eastAsia" w:ascii="宋体" w:hAnsi="宋体" w:eastAsia="宋体" w:cs="宋体"/>
          <w:szCs w:val="28"/>
        </w:rPr>
      </w:pPr>
      <w:r>
        <w:rPr>
          <w:rFonts w:hint="eastAsia" w:ascii="宋体" w:hAnsi="宋体" w:eastAsia="宋体" w:cs="宋体"/>
          <w:szCs w:val="28"/>
        </w:rPr>
        <w:t>建设项目环评基础信息登记表</w:t>
      </w:r>
    </w:p>
    <w:p>
      <w:pPr>
        <w:pStyle w:val="16"/>
        <w:ind w:firstLine="560"/>
        <w:outlineLvl w:val="0"/>
        <w:rPr>
          <w:rFonts w:hint="eastAsia" w:ascii="宋体" w:hAnsi="宋体" w:eastAsia="宋体" w:cs="宋体"/>
          <w:szCs w:val="28"/>
        </w:rPr>
      </w:pPr>
      <w:bookmarkStart w:id="10" w:name="_Toc29612"/>
      <w:r>
        <w:rPr>
          <w:rFonts w:hint="eastAsia" w:ascii="宋体" w:hAnsi="宋体" w:eastAsia="宋体" w:cs="宋体"/>
          <w:szCs w:val="28"/>
        </w:rPr>
        <w:t>附件1 环评委托书</w:t>
      </w:r>
      <w:bookmarkEnd w:id="10"/>
    </w:p>
    <w:p>
      <w:pPr>
        <w:pStyle w:val="16"/>
        <w:ind w:firstLine="560"/>
        <w:outlineLvl w:val="0"/>
        <w:rPr>
          <w:rFonts w:hint="eastAsia" w:ascii="宋体" w:hAnsi="宋体" w:eastAsia="宋体" w:cs="宋体"/>
          <w:szCs w:val="28"/>
        </w:rPr>
      </w:pPr>
      <w:bookmarkStart w:id="11" w:name="_Toc28662"/>
      <w:r>
        <w:rPr>
          <w:rFonts w:hint="eastAsia" w:ascii="宋体" w:hAnsi="宋体" w:eastAsia="宋体" w:cs="宋体"/>
          <w:szCs w:val="28"/>
        </w:rPr>
        <w:t>附件2 营业执照</w:t>
      </w:r>
      <w:bookmarkEnd w:id="11"/>
    </w:p>
    <w:p>
      <w:pPr>
        <w:pStyle w:val="16"/>
        <w:ind w:firstLine="560"/>
        <w:outlineLvl w:val="0"/>
        <w:rPr>
          <w:rFonts w:hint="eastAsia" w:ascii="宋体" w:hAnsi="宋体" w:eastAsia="宋体" w:cs="宋体"/>
          <w:szCs w:val="28"/>
        </w:rPr>
      </w:pPr>
      <w:bookmarkStart w:id="12" w:name="_Toc3939"/>
      <w:r>
        <w:rPr>
          <w:rFonts w:hint="eastAsia" w:ascii="宋体" w:hAnsi="宋体" w:eastAsia="宋体" w:cs="宋体"/>
          <w:szCs w:val="28"/>
        </w:rPr>
        <w:t>附件3 采矿许可证</w:t>
      </w:r>
      <w:bookmarkEnd w:id="12"/>
    </w:p>
    <w:p>
      <w:pPr>
        <w:pStyle w:val="16"/>
        <w:ind w:firstLine="560"/>
        <w:outlineLvl w:val="0"/>
        <w:rPr>
          <w:rFonts w:hint="eastAsia" w:ascii="宋体" w:hAnsi="宋体" w:eastAsia="宋体" w:cs="宋体"/>
          <w:szCs w:val="28"/>
        </w:rPr>
      </w:pPr>
      <w:bookmarkStart w:id="13" w:name="_Toc6573"/>
      <w:r>
        <w:rPr>
          <w:rFonts w:hint="eastAsia" w:ascii="宋体" w:hAnsi="宋体" w:eastAsia="宋体" w:cs="宋体"/>
          <w:szCs w:val="28"/>
        </w:rPr>
        <w:t>附件4 爆破作业许可证</w:t>
      </w:r>
      <w:bookmarkEnd w:id="13"/>
    </w:p>
    <w:p>
      <w:pPr>
        <w:pStyle w:val="16"/>
        <w:ind w:firstLine="560"/>
        <w:outlineLvl w:val="0"/>
        <w:rPr>
          <w:rFonts w:hint="eastAsia" w:ascii="宋体" w:hAnsi="宋体" w:eastAsia="宋体" w:cs="宋体"/>
          <w:szCs w:val="28"/>
        </w:rPr>
      </w:pPr>
      <w:bookmarkStart w:id="14" w:name="_Toc4302"/>
      <w:r>
        <w:rPr>
          <w:rFonts w:hint="eastAsia" w:ascii="宋体" w:hAnsi="宋体" w:eastAsia="宋体" w:cs="宋体"/>
          <w:szCs w:val="28"/>
        </w:rPr>
        <w:t>附件5 环评、验收批复</w:t>
      </w:r>
      <w:bookmarkEnd w:id="14"/>
    </w:p>
    <w:p>
      <w:pPr>
        <w:pStyle w:val="16"/>
        <w:ind w:firstLine="560"/>
        <w:outlineLvl w:val="0"/>
        <w:rPr>
          <w:rFonts w:hint="eastAsia" w:ascii="宋体" w:hAnsi="宋体" w:eastAsia="宋体" w:cs="宋体"/>
          <w:szCs w:val="28"/>
        </w:rPr>
      </w:pPr>
      <w:bookmarkStart w:id="15" w:name="_Toc14940"/>
      <w:r>
        <w:rPr>
          <w:rFonts w:hint="eastAsia" w:ascii="宋体" w:hAnsi="宋体" w:eastAsia="宋体" w:cs="宋体"/>
          <w:szCs w:val="28"/>
        </w:rPr>
        <w:t>附件6 超低排放评估技术审查意见</w:t>
      </w:r>
      <w:bookmarkEnd w:id="15"/>
    </w:p>
    <w:p>
      <w:pPr>
        <w:pStyle w:val="16"/>
        <w:ind w:firstLine="560"/>
        <w:outlineLvl w:val="0"/>
        <w:rPr>
          <w:rFonts w:hint="eastAsia" w:ascii="宋体" w:hAnsi="宋体" w:eastAsia="宋体" w:cs="宋体"/>
          <w:szCs w:val="28"/>
        </w:rPr>
      </w:pPr>
      <w:bookmarkStart w:id="16" w:name="_Toc24077"/>
      <w:r>
        <w:rPr>
          <w:rFonts w:hint="eastAsia" w:ascii="宋体" w:hAnsi="宋体" w:eastAsia="宋体" w:cs="宋体"/>
          <w:szCs w:val="28"/>
        </w:rPr>
        <w:t>附件7 排污许可证</w:t>
      </w:r>
      <w:bookmarkEnd w:id="16"/>
    </w:p>
    <w:p>
      <w:pPr>
        <w:pStyle w:val="16"/>
        <w:ind w:firstLine="560"/>
        <w:outlineLvl w:val="0"/>
        <w:rPr>
          <w:rFonts w:hint="eastAsia" w:ascii="宋体" w:hAnsi="宋体" w:eastAsia="宋体" w:cs="宋体"/>
          <w:szCs w:val="28"/>
        </w:rPr>
      </w:pPr>
      <w:bookmarkStart w:id="17" w:name="_Toc27225"/>
      <w:r>
        <w:rPr>
          <w:rFonts w:hint="eastAsia" w:ascii="宋体" w:hAnsi="宋体" w:eastAsia="宋体" w:cs="宋体"/>
          <w:szCs w:val="28"/>
        </w:rPr>
        <w:t>附件8 储量核实备案资料</w:t>
      </w:r>
      <w:bookmarkEnd w:id="17"/>
    </w:p>
    <w:p>
      <w:pPr>
        <w:pStyle w:val="16"/>
        <w:ind w:firstLine="560"/>
        <w:outlineLvl w:val="0"/>
        <w:rPr>
          <w:rFonts w:hint="eastAsia" w:ascii="宋体" w:hAnsi="宋体" w:eastAsia="宋体" w:cs="宋体"/>
          <w:szCs w:val="28"/>
        </w:rPr>
      </w:pPr>
      <w:bookmarkStart w:id="18" w:name="_Toc5643"/>
      <w:r>
        <w:rPr>
          <w:rFonts w:hint="eastAsia" w:ascii="宋体" w:hAnsi="宋体" w:eastAsia="宋体" w:cs="宋体"/>
          <w:szCs w:val="28"/>
        </w:rPr>
        <w:t>附件9 土地复垦专家意见</w:t>
      </w:r>
      <w:bookmarkEnd w:id="18"/>
    </w:p>
    <w:p>
      <w:pPr>
        <w:pStyle w:val="16"/>
        <w:ind w:firstLine="560"/>
        <w:outlineLvl w:val="0"/>
        <w:rPr>
          <w:rFonts w:hint="eastAsia" w:ascii="宋体" w:hAnsi="宋体" w:eastAsia="宋体" w:cs="宋体"/>
          <w:szCs w:val="28"/>
        </w:rPr>
      </w:pPr>
      <w:bookmarkStart w:id="19" w:name="_Toc15652"/>
      <w:r>
        <w:rPr>
          <w:rFonts w:hint="eastAsia" w:ascii="宋体" w:hAnsi="宋体" w:eastAsia="宋体" w:cs="宋体"/>
          <w:szCs w:val="28"/>
        </w:rPr>
        <w:t>附件10 应急预案备案表</w:t>
      </w:r>
      <w:bookmarkEnd w:id="19"/>
    </w:p>
    <w:p>
      <w:pPr>
        <w:pStyle w:val="16"/>
        <w:ind w:firstLine="560"/>
        <w:outlineLvl w:val="0"/>
        <w:rPr>
          <w:rFonts w:hint="eastAsia" w:ascii="宋体" w:hAnsi="宋体" w:eastAsia="宋体" w:cs="宋体"/>
          <w:szCs w:val="28"/>
        </w:rPr>
      </w:pPr>
      <w:bookmarkStart w:id="20" w:name="_Toc13695"/>
      <w:r>
        <w:rPr>
          <w:rFonts w:hint="eastAsia" w:ascii="宋体" w:hAnsi="宋体" w:eastAsia="宋体" w:cs="宋体"/>
          <w:szCs w:val="28"/>
        </w:rPr>
        <w:t>附件11 监测报告</w:t>
      </w:r>
      <w:bookmarkEnd w:id="20"/>
    </w:p>
    <w:p>
      <w:pPr>
        <w:pStyle w:val="16"/>
        <w:ind w:firstLine="560"/>
        <w:outlineLvl w:val="0"/>
        <w:rPr>
          <w:rFonts w:hint="eastAsia" w:ascii="宋体" w:hAnsi="宋体" w:eastAsia="宋体" w:cs="宋体"/>
          <w:szCs w:val="28"/>
        </w:rPr>
      </w:pPr>
      <w:bookmarkStart w:id="21" w:name="_Toc32486"/>
      <w:r>
        <w:rPr>
          <w:rFonts w:hint="eastAsia" w:ascii="宋体" w:hAnsi="宋体" w:eastAsia="宋体" w:cs="宋体"/>
          <w:szCs w:val="28"/>
        </w:rPr>
        <w:t>附件12 莱钢鲁南矿字[2015]69号调整环境保护委员会的通知</w:t>
      </w:r>
      <w:bookmarkEnd w:id="21"/>
    </w:p>
    <w:p>
      <w:pPr>
        <w:pStyle w:val="16"/>
        <w:ind w:firstLine="560"/>
        <w:outlineLvl w:val="0"/>
        <w:rPr>
          <w:rFonts w:hint="eastAsia" w:ascii="宋体" w:hAnsi="宋体" w:eastAsia="宋体" w:cs="宋体"/>
          <w:szCs w:val="28"/>
        </w:rPr>
        <w:sectPr>
          <w:footerReference r:id="rId17" w:type="default"/>
          <w:footerReference r:id="rId18" w:type="even"/>
          <w:pgSz w:w="11905" w:h="16838"/>
          <w:pgMar w:top="1417" w:right="1247" w:bottom="1247" w:left="1587" w:header="850" w:footer="850" w:gutter="0"/>
          <w:pgBorders>
            <w:top w:val="none" w:sz="0" w:space="0"/>
            <w:left w:val="none" w:sz="0" w:space="0"/>
            <w:bottom w:val="none" w:sz="0" w:space="0"/>
            <w:right w:val="none" w:sz="0" w:space="0"/>
          </w:pgBorders>
          <w:pgNumType w:fmt="decimal"/>
          <w:cols w:space="0" w:num="1"/>
          <w:docGrid w:type="lines" w:linePitch="383" w:charSpace="0"/>
        </w:sectPr>
      </w:pPr>
      <w:bookmarkStart w:id="22" w:name="_Toc22779"/>
    </w:p>
    <w:p>
      <w:pPr>
        <w:pStyle w:val="16"/>
        <w:ind w:firstLine="560"/>
        <w:outlineLvl w:val="0"/>
        <w:rPr>
          <w:rFonts w:hint="eastAsia" w:ascii="宋体" w:hAnsi="宋体" w:eastAsia="宋体" w:cs="宋体"/>
          <w:szCs w:val="28"/>
        </w:rPr>
      </w:pPr>
      <w:r>
        <w:rPr>
          <w:rFonts w:hint="eastAsia" w:ascii="宋体" w:hAnsi="宋体" w:eastAsia="宋体" w:cs="宋体"/>
          <w:szCs w:val="28"/>
        </w:rPr>
        <w:t>附件13 莱钢鲁南矿字[2015]75号组织机构调整</w:t>
      </w:r>
      <w:bookmarkEnd w:id="22"/>
    </w:p>
    <w:p>
      <w:pPr>
        <w:pStyle w:val="16"/>
        <w:ind w:firstLine="560"/>
        <w:outlineLvl w:val="0"/>
        <w:rPr>
          <w:rFonts w:hint="eastAsia" w:ascii="宋体" w:hAnsi="宋体" w:eastAsia="宋体" w:cs="宋体"/>
          <w:b/>
          <w:bCs/>
          <w:szCs w:val="28"/>
        </w:rPr>
      </w:pPr>
      <w:bookmarkStart w:id="23" w:name="_Toc32465"/>
      <w:r>
        <w:rPr>
          <w:rFonts w:hint="eastAsia" w:ascii="宋体" w:hAnsi="宋体" w:eastAsia="宋体" w:cs="宋体"/>
          <w:b/>
          <w:bCs/>
          <w:szCs w:val="28"/>
        </w:rPr>
        <w:t>附图：</w:t>
      </w:r>
      <w:bookmarkEnd w:id="23"/>
    </w:p>
    <w:p>
      <w:pPr>
        <w:pStyle w:val="16"/>
        <w:ind w:firstLine="560"/>
        <w:rPr>
          <w:rFonts w:hint="eastAsia" w:ascii="宋体" w:hAnsi="宋体" w:eastAsia="宋体" w:cs="宋体"/>
          <w:szCs w:val="28"/>
        </w:rPr>
      </w:pPr>
      <w:r>
        <w:rPr>
          <w:rFonts w:hint="eastAsia" w:ascii="宋体" w:hAnsi="宋体" w:eastAsia="宋体" w:cs="宋体"/>
          <w:szCs w:val="28"/>
        </w:rPr>
        <w:t>附图一、采矿区总平面布置图</w:t>
      </w:r>
    </w:p>
    <w:p>
      <w:pPr>
        <w:pStyle w:val="16"/>
        <w:ind w:firstLine="560"/>
        <w:rPr>
          <w:rFonts w:hint="eastAsia" w:ascii="宋体" w:hAnsi="宋体" w:eastAsia="宋体" w:cs="宋体"/>
          <w:szCs w:val="28"/>
        </w:rPr>
      </w:pPr>
      <w:r>
        <w:rPr>
          <w:rFonts w:hint="eastAsia" w:ascii="宋体" w:hAnsi="宋体" w:eastAsia="宋体" w:cs="宋体"/>
          <w:szCs w:val="28"/>
        </w:rPr>
        <w:t>附图二、地形地质图</w:t>
      </w:r>
    </w:p>
    <w:p>
      <w:pPr>
        <w:ind w:firstLine="560"/>
        <w:rPr>
          <w:rFonts w:hint="eastAsia" w:ascii="宋体" w:hAnsi="宋体" w:eastAsia="宋体" w:cs="宋体"/>
          <w:szCs w:val="28"/>
          <w:lang w:eastAsia="zh-CN"/>
        </w:rPr>
      </w:pPr>
      <w:r>
        <w:rPr>
          <w:rFonts w:hint="eastAsia" w:ascii="宋体" w:hAnsi="宋体" w:eastAsia="宋体" w:cs="宋体"/>
          <w:szCs w:val="28"/>
          <w:lang w:eastAsia="zh-CN"/>
        </w:rPr>
        <w:t>附图三、水文地质图</w:t>
      </w:r>
    </w:p>
    <w:p>
      <w:pPr>
        <w:pStyle w:val="16"/>
        <w:ind w:firstLine="560"/>
        <w:rPr>
          <w:rFonts w:hint="eastAsia" w:ascii="宋体" w:hAnsi="宋体" w:eastAsia="宋体" w:cs="宋体"/>
          <w:szCs w:val="28"/>
        </w:rPr>
      </w:pPr>
      <w:r>
        <w:rPr>
          <w:rFonts w:hint="eastAsia" w:ascii="宋体" w:hAnsi="宋体" w:eastAsia="宋体" w:cs="宋体"/>
          <w:szCs w:val="28"/>
        </w:rPr>
        <w:t>附图四、土地利用现状图</w:t>
      </w:r>
    </w:p>
    <w:p>
      <w:pPr>
        <w:pStyle w:val="16"/>
        <w:ind w:firstLine="560"/>
        <w:rPr>
          <w:rFonts w:hint="eastAsia" w:ascii="宋体" w:hAnsi="宋体" w:eastAsia="宋体" w:cs="宋体"/>
          <w:szCs w:val="28"/>
        </w:rPr>
      </w:pPr>
      <w:r>
        <w:rPr>
          <w:rFonts w:hint="eastAsia" w:ascii="宋体" w:hAnsi="宋体" w:eastAsia="宋体" w:cs="宋体"/>
          <w:szCs w:val="28"/>
        </w:rPr>
        <w:t>附图五、工业区总平面布置图</w:t>
      </w:r>
    </w:p>
    <w:p>
      <w:pPr>
        <w:pStyle w:val="16"/>
        <w:ind w:firstLine="560"/>
        <w:rPr>
          <w:rFonts w:hint="eastAsia" w:ascii="宋体" w:hAnsi="宋体" w:eastAsia="宋体" w:cs="宋体"/>
        </w:rPr>
      </w:pPr>
      <w:r>
        <w:rPr>
          <w:rFonts w:hint="eastAsia" w:ascii="宋体" w:hAnsi="宋体" w:eastAsia="宋体" w:cs="宋体"/>
          <w:szCs w:val="28"/>
        </w:rPr>
        <w:t>附图六、变形检测点位图</w:t>
      </w:r>
    </w:p>
    <w:p>
      <w:pPr>
        <w:pStyle w:val="16"/>
        <w:ind w:firstLine="560"/>
        <w:rPr>
          <w:rFonts w:hint="eastAsia" w:ascii="宋体" w:hAnsi="宋体" w:eastAsia="宋体" w:cs="宋体"/>
        </w:rPr>
      </w:pPr>
    </w:p>
    <w:p>
      <w:pPr>
        <w:pStyle w:val="16"/>
        <w:ind w:firstLine="560"/>
        <w:rPr>
          <w:rFonts w:hint="eastAsia" w:ascii="宋体" w:hAnsi="宋体" w:eastAsia="宋体" w:cs="宋体"/>
        </w:rPr>
        <w:sectPr>
          <w:footerReference r:id="rId19" w:type="default"/>
          <w:footerReference r:id="rId20" w:type="even"/>
          <w:pgSz w:w="11905" w:h="16838"/>
          <w:pgMar w:top="1417" w:right="1247" w:bottom="1247" w:left="1587" w:header="850" w:footer="850" w:gutter="0"/>
          <w:pgBorders>
            <w:top w:val="none" w:sz="0" w:space="0"/>
            <w:left w:val="none" w:sz="0" w:space="0"/>
            <w:bottom w:val="none" w:sz="0" w:space="0"/>
            <w:right w:val="none" w:sz="0" w:space="0"/>
          </w:pgBorders>
          <w:pgNumType w:fmt="decimal"/>
          <w:cols w:space="0" w:num="1"/>
          <w:docGrid w:type="lines" w:linePitch="383" w:charSpace="0"/>
        </w:sectPr>
      </w:pPr>
    </w:p>
    <w:p>
      <w:pPr>
        <w:pStyle w:val="5"/>
        <w:spacing w:before="191" w:after="191"/>
        <w:rPr>
          <w:rFonts w:hint="eastAsia" w:ascii="宋体" w:hAnsi="宋体" w:eastAsia="宋体" w:cs="宋体"/>
          <w:lang w:eastAsia="zh-CN"/>
        </w:rPr>
      </w:pPr>
      <w:bookmarkStart w:id="24" w:name="_Toc11328"/>
      <w:bookmarkStart w:id="25" w:name="_Toc6561"/>
      <w:r>
        <w:rPr>
          <w:rFonts w:hint="eastAsia" w:ascii="宋体" w:hAnsi="宋体" w:eastAsia="宋体" w:cs="宋体"/>
          <w:lang w:eastAsia="zh-CN"/>
        </w:rPr>
        <w:t>第一章 总 则</w:t>
      </w:r>
      <w:bookmarkEnd w:id="24"/>
      <w:bookmarkEnd w:id="25"/>
    </w:p>
    <w:p>
      <w:pPr>
        <w:pStyle w:val="6"/>
        <w:rPr>
          <w:rFonts w:hint="eastAsia" w:ascii="宋体" w:hAnsi="宋体" w:eastAsia="宋体" w:cs="宋体"/>
          <w:lang w:eastAsia="zh-CN"/>
        </w:rPr>
      </w:pPr>
      <w:bookmarkStart w:id="26" w:name="_bookmark1"/>
      <w:bookmarkEnd w:id="26"/>
      <w:bookmarkStart w:id="27" w:name="_Toc21904"/>
      <w:bookmarkStart w:id="28" w:name="_Toc28816"/>
      <w:r>
        <w:rPr>
          <w:rFonts w:hint="eastAsia" w:ascii="宋体" w:hAnsi="宋体" w:eastAsia="宋体" w:cs="宋体"/>
          <w:lang w:eastAsia="zh-CN"/>
        </w:rPr>
        <w:t>1.1 编制依据</w:t>
      </w:r>
      <w:bookmarkEnd w:id="27"/>
      <w:bookmarkEnd w:id="28"/>
    </w:p>
    <w:p>
      <w:pPr>
        <w:pStyle w:val="7"/>
        <w:rPr>
          <w:rFonts w:hint="eastAsia" w:ascii="宋体" w:hAnsi="宋体" w:eastAsia="宋体" w:cs="宋体"/>
          <w:lang w:eastAsia="zh-CN"/>
        </w:rPr>
      </w:pPr>
      <w:r>
        <w:rPr>
          <w:rFonts w:hint="eastAsia" w:ascii="宋体" w:hAnsi="宋体" w:eastAsia="宋体" w:cs="宋体"/>
          <w:lang w:eastAsia="zh-CN"/>
        </w:rPr>
        <w:t>1.1.1 国家法律法规</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《中华人民共和国环境保护法》（2015年1月1日起施行）；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《中华人民共和国大气污染防治法》（2018年10月26日修订并施行）；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《中华人民共和国水污染防治法》（2018年1月1日施行）；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《中华人民共和国环境噪声污染防治法》（2018年12月29日施行）；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《中华人民共和国土壤污染防治法》（2019年1月1日施行）；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《中华人民共和国固体废物污染环境防治法》（2020年9月1日施行）；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《中华人民共和国环境影响评价法》（2018年12月29日修订并施行）；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《中华人民共和国矿产资源法》（2009年8月27日修订并施行）；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《中华人民共和国水土保持法》（2011年3月1日起施行）；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《中华人民共和国清洁生产促进法》（2012年2月29日修订并施行）；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《中华人民共和国水法》（2016年7月2日修订并施行）；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《中华人民共和国土地管理法》（2019年8月26日修订并施行）；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《基本农田条例》（国务院令第257号，2011年1月8日修订并施行）；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《土地复垦条例》（国务院令第592号，2011年3月5日）；</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《土地复垦条例实施办法》（国土资源部第56号令，2019年08月14日修正后实施）；</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《建设项目环境保护管理条例》（国务院令第682号，2017年10月1日起施行）；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《排污许可管理条例》（中华人民共和国国务院令 第736号）；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《排污许可管理办法（试行）》（部令 第48号，2019年8月22日修正后实施）；</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《国务院关于落实科学发展观加强环境保护的决定》（国发[2005]39号，2008年3月28日）；</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《国务院关于印发水污染防治行动计划的通知》（国发[2015]17号，2015年4月16日）；</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《国务院关于印发土壤污染防治行动计划的通知》（国发[2016]31号，2016年5月31日）；</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《国务院关于印发大气污染防治行动计划的通知》（国发[2013]37号，2013年9月13日）；</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《国务院关于印发打赢蓝天保卫战三年行动计划的通知》（国发[2018]22号，2018年6月27日）；</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《环境影响评价公众参与办法》（生态环境部令 第4号，2019年1月1日起试行）；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《关于发布&lt;环境影响评价公众参与办法&gt;配套文件的公告》（生态环境部令 公告 2018年第48号，2019年1月1日起试行）；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《建设项目环境影响评价分类管理名录（2021年版）》（生态环境部 部令 第16号，2021年1月1日起试行）；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《产业结构调整指导目录（2019年本）》（2020年1月1日起施行）；</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《国家危险废物名录》（2021年版）；</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《关于进一步加强环境影响评价管理防范环境风险的通知》（环发[2012]77号）；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《关于切实加强风险防范严格环境影响评价管理的通知》（环发[2012]98号）；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《关于发布&lt;矿山生态环境保护与污染防治技术政策&gt;的通知》（环发[2005]109号）；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《关于发布&lt;环境空气细颗粒物污染综合防治技术政策&gt;的公告》（原环境保护部，公告2013年第59号）；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《关于印发〈建设项目环境影响评价政府信息公开指南（试行）〉的通知》（环办[2013]103号）；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《关于印发〈京津冀及周边地区落实大气污染防治行动规划实施细则〉的通知》（环发[2013]104号）；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《关于积极发挥环境保护作用促进供给侧结构性改革的指导意见》（环大气[2016]45号）；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《关于以改善环境质量为核心加强环境影响评价管理的通知（环环评[2016]150号）》；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《关于印发&lt;市场准入负面清单（2019年版）&gt;的通知》（国家发展改革委，发改体改〔2019〕1685号）；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《关于加强矿山地质环境恢复和综合治理的指导意见》（国土资发[2016]63号）；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《关于全面加强生态环境保护坚决打好污染防治攻坚战的意见》（中发[2018]17号）；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《关于调整部分矿种矿山生产建设规模标准的通知》（国土资发[2004]208号）；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《京津冀及周边地区落实大气污染防治行动计划实施细则》（环发[2013]104号）；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《关于印发&lt;京津冀及周边地区、汾渭平原2020-2021年秋冬季大气污染综合治理攻坚行动方案》的通知&gt;（环大气[2020]61号）；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《关于加强涉重金属行业污染防控的意见》（环土壤[2018]22号）；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《关于印发&lt;污染影响类建设项目重大变动清单（试行）&gt;的通知》（环办环评函 [2020]688号）；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《关于印发淀粉等五个行业建设项目重大变动清单的通知》（环办环评函[2019]934号）；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《关于印发制浆造纸等十四个行业建设项目重大变动清单的通知》（环办环评[2018]6号）；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《关于印发环评管理中部分行业建设项目重大变动清单的通知》（环办[2015]52号）。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《关于加强高耗能、高排放建设项目生态环境源头防控的指导意见》（环环评 [2021]45号）；</w:t>
      </w:r>
    </w:p>
    <w:p>
      <w:pPr>
        <w:numPr>
          <w:ilvl w:val="0"/>
          <w:numId w:val="3"/>
        </w:numPr>
        <w:ind w:left="0" w:firstLine="560"/>
        <w:rPr>
          <w:rFonts w:hint="eastAsia" w:ascii="宋体" w:hAnsi="宋体" w:eastAsia="宋体" w:cs="宋体"/>
          <w:lang w:eastAsia="zh-CN"/>
        </w:rPr>
      </w:pPr>
      <w:r>
        <w:rPr>
          <w:rFonts w:hint="eastAsia" w:ascii="宋体" w:hAnsi="宋体" w:eastAsia="宋体" w:cs="宋体"/>
          <w:lang w:eastAsia="zh-CN"/>
        </w:rPr>
        <w:t>《碳排放权交易管理办法（试行）》（生态环境部令 第19号）；</w:t>
      </w:r>
    </w:p>
    <w:p>
      <w:pPr>
        <w:pStyle w:val="7"/>
        <w:rPr>
          <w:rFonts w:hint="eastAsia" w:ascii="宋体" w:hAnsi="宋体" w:eastAsia="宋体" w:cs="宋体"/>
          <w:lang w:eastAsia="zh-CN"/>
        </w:rPr>
      </w:pPr>
      <w:r>
        <w:rPr>
          <w:rFonts w:hint="eastAsia" w:ascii="宋体" w:hAnsi="宋体" w:eastAsia="宋体" w:cs="宋体"/>
          <w:lang w:eastAsia="zh-CN"/>
        </w:rPr>
        <w:t>1.1.2 地方法律、法规及规定</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《山东省水污染防治条例》（2018年12月1日实施）；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《山东省土壤污染防治条例》（2020年1月1日实施）；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《山东省大气污染防治条例》（2018年11月30日修正并实施）；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《山东省环境噪声污染防治条例》（2018年1月23日修改并实施）；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《山东省环境保护条例》（2019年1月1日施行）；</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《山东省南水北调工程沿线区域水污染防治条例》（2018年1月23日修改并施行）；</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《山东省南水北调条例》（2015年5月1日起施行）；</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《山东省实施&lt;中华人民共和国固体废物污染环境防治法&gt;办法》(2018年1月23日修正并实施)；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《山东省实施〈中华人民共和国环境影响评价法〉办法》(2018年11月30日修改并实施)；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《山东省地质环境保护条例》（20019年1月1日起试行）；</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《山东省水土保持条例》（2014年10月1日实施）；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《山东省清洁生产促进条例》（2021年12月1日修改并实施）；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《山东省人民政府关于印发节能减排综合性工作实施方案的通知》（鲁政发[2007]39号）；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《关于贯彻国发[2005]39号文件进一步落实科学发展观加强环境保护的实施意见》（鲁政发[2006]72号）；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《山东省扬尘污染防治管理办法》（2012年1月4日山东省人民政府令第248号公布，根据2018年1月24日山东省人民政府令第311号修订）；</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《山东省环境保护厅关于进一步加强环境安全应急管理工作的通知》(鲁环发[2013]4号)；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《山东省人民政府办公厅关于深化矿产资源开发整合工作的通知》（鲁政办发[2010]1号）；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《山东省人民政府办公厅关于进一步加强矿山企业安全生产工作的意见》（鲁政办发[2011]67号）；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《山东省环境保护厅关于加强建设项目特征污染物监管和绿色生态屏障建设的通知》（鲁环评函[2013]138号）；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《山东省2013-2020年大气污染防治规划》（鲁政发[2013]12号）；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《山东省环境保护厅关于发布山东省环境保护厅审批环境影响评价文件的建设项目目录(2017年本)的通知》（鲁环发[2017]260号）；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山东省环境保护厅关于印发《山东省环境保护厅建设项目环境影响评价审批监管办法》的通知（鲁环发〔2018〕190号）；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《关于印发山东省环境保护厅加强行政审批事中事后监管的办法的通知》（鲁环办[2015]46号）；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《山东省土壤环境保护与综合治理工作方案》（鲁环发[2014]126号）；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《山东省关于加快全省非煤矿山转型升级提高安全环保节约质效管理水平的意见》（鲁政办字[2016]95号）；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《关于印发山东省标本兼治遏制重大事故工作指导方案的通知》（鲁政办发[2016]32号文件，2016年7月11日）；</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山东省人民政府关于印发《山东省生态环境保护“十三五”规划的通知》的通知（鲁政发[2017]10号）；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《山东省人民政府关于印发山东省“十三五”节能减排综合工作方案的通知》（鲁政发[2017]15号）；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《关于加进一步严把环评关口严控新增大气污染物排放的通知》（鲁环函[2017]561号）；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《关于进一步加强建设项目固体废物环境管理的通知（鲁环办函[2016]141号）》；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《关于搞好矿产资源整合实施集约化开采的意见》（鲁政办发[2006]52号）；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《山东省人民政府办公厅关于进一步加强山石资源开发管理的意见》（鲁政办字[2018]79号）；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《山东省人民政府关于印发山东省打赢蓝天保卫战作战方案暨2013—2020年大气污染防治规划三期行动计划（2018—2020年）的通知》（鲁政发[2018]17号）；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《山东省加强污染源头防治推进“四减四增”三年行动方案》（2018-2020年）；</w:t>
      </w:r>
    </w:p>
    <w:p>
      <w:pPr>
        <w:pStyle w:val="16"/>
        <w:ind w:firstLine="560"/>
        <w:rPr>
          <w:rFonts w:hint="eastAsia" w:ascii="宋体" w:hAnsi="宋体" w:eastAsia="宋体" w:cs="宋体"/>
        </w:rPr>
      </w:pPr>
      <w:r>
        <w:rPr>
          <w:rFonts w:hint="eastAsia" w:ascii="宋体" w:hAnsi="宋体" w:eastAsia="宋体" w:cs="宋体"/>
        </w:rPr>
        <w:t>山东省生态环境厅《关于加强高耗能、高排放建设项目生态环境源头防控的实 施意见》（鲁环发〔2021〕5号）；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《山东省绿色矿山建设工作方案》（鲁国土资规[2017]3号）；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《中共山东省委山东省人民政府关于全面加强生态环境保护坚决打好污染防治攻坚战的实施意见》（鲁发[2018]38号）；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《山东省人民政府关于引发山东省土壤污染防治工作方案的通知》（鲁政发[2016]37号）；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《关于印发山东省扬尘污染综合整治方案的通知》（鲁环发[2019]112号）；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《山东省生态环境厅关于印发山东省工业企业无组织排放分行业管控指导意见的通知》（鲁环发〔2020〕30号）；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《关于印发山东省地下水污染防治实施方案的通知》（鲁环发〔2019〕143号）；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《山东省环境保护厅关于印发进一步加强省会城市群大气污染防治工作实施方案的通知》（鲁环发〔2016〕191号）；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《山东省人民政府关于印发山东省打赢蓝天保卫战作战方案暨2013—2020年大气污染防治规划三期行动计划（2018—2020年）的通知》（鲁政发[2020]17号）；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《山东省人民政府办公厅关于印发山东省重污染天气应急预案的通知》（鲁政办字[2020]83号）；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《山东省人民政府关于实施“三线一单”生态环境分区管控的意见》（鲁政字〔2020〕9269号）；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《山东省落实〈京津冀及周边地区2019-2020年秋冬季大气污染综合治理攻坚行动方案〉实施细则》；</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《山东省危险废物专项排查整治方案》（鲁政办字〔2019〕58号）；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w:t>
      </w:r>
      <w:r>
        <w:rPr>
          <w:rFonts w:hint="eastAsia" w:ascii="宋体" w:hAnsi="宋体" w:eastAsia="宋体" w:cs="宋体"/>
        </w:rPr>
        <w:fldChar w:fldCharType="begin"/>
      </w:r>
      <w:r>
        <w:rPr>
          <w:rFonts w:hint="eastAsia" w:ascii="宋体" w:hAnsi="宋体" w:eastAsia="宋体" w:cs="宋体"/>
        </w:rPr>
        <w:instrText xml:space="preserve"> HYPERLINK "http://hbj.linyi.gov.cn/info/1039/28207.htm" \t "http://hbj.linyi.gov.cn/_blank" </w:instrText>
      </w:r>
      <w:r>
        <w:rPr>
          <w:rFonts w:hint="eastAsia" w:ascii="宋体" w:hAnsi="宋体" w:eastAsia="宋体" w:cs="宋体"/>
        </w:rPr>
        <w:fldChar w:fldCharType="separate"/>
      </w:r>
      <w:r>
        <w:rPr>
          <w:rFonts w:hint="eastAsia" w:ascii="宋体" w:hAnsi="宋体" w:eastAsia="宋体" w:cs="宋体"/>
          <w:szCs w:val="28"/>
          <w:lang w:eastAsia="zh-CN"/>
        </w:rPr>
        <w:t>临沂市人民政府关于印发临沂市环境保护“十三五”规划的通知</w:t>
      </w:r>
      <w:r>
        <w:rPr>
          <w:rFonts w:hint="eastAsia" w:ascii="宋体" w:hAnsi="宋体" w:eastAsia="宋体" w:cs="宋体"/>
          <w:szCs w:val="28"/>
          <w:lang w:eastAsia="zh-CN"/>
        </w:rPr>
        <w:fldChar w:fldCharType="end"/>
      </w:r>
      <w:r>
        <w:rPr>
          <w:rFonts w:hint="eastAsia" w:ascii="宋体" w:hAnsi="宋体" w:eastAsia="宋体" w:cs="宋体"/>
          <w:szCs w:val="28"/>
          <w:lang w:eastAsia="zh-CN"/>
        </w:rPr>
        <w:t> 》（临政发[2018]16号）；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《临沂市“十三五”主要污染物减排计划》；</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《临沂市大气污染防治条例》（2021.1.1）；</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《临沂市饮用水水源地保护条例》（临沂市人民代表大会常务委员会 公告 第43号，2020.1.1实施）；</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《临沂市人民政府关于划定临沂市大气污染物排放控制区的公告》（2016.7.19）；</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《临沂市水资源管理办法》（2013.9.21）；</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《临沂市生态环境局关于印发&lt;2021年度环评与排污许可监管工作方案&gt;的通知》（2021.1.8）；</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《淄博市水资源保护管理条例》（2012.1.1）；</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《关于印发《淄博市2021年工业企业扬尘整治方案》的通知》（淄环发〔2021〕19号）；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《淄博市人民政府关于印发淄博市打赢蓝天保卫战三年实施方案（2018—2020年）的通知》（淄政发〔2018〕23号）；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《临沂市人民政府关于印发临沂市大气污染防治2018年攻坚行动方案的通知》（临政发[2018]19号）；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《临沂市人民政府关于印发临沂市碧水保卫战作战方案（2018-2020年）的通知》（临政字[2018]168 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《沂源县打赢蓝天保卫战三年实施方案（2018-2020年）》（源政发〔2018〕21号）；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关于发布《淄博市生态环境局审批环境影响评价文件的建设项目目录(2021年本)》的通知（淄环发〔2021〕7号）；</w:t>
      </w:r>
    </w:p>
    <w:p>
      <w:pPr>
        <w:numPr>
          <w:ilvl w:val="0"/>
          <w:numId w:val="4"/>
        </w:numPr>
        <w:ind w:left="0" w:firstLine="560"/>
        <w:rPr>
          <w:rFonts w:hint="eastAsia" w:ascii="宋体" w:hAnsi="宋体" w:eastAsia="宋体" w:cs="宋体"/>
          <w:szCs w:val="28"/>
          <w:lang w:eastAsia="zh-CN"/>
        </w:rPr>
      </w:pPr>
      <w:bookmarkStart w:id="29" w:name="WenJianBiaoTi"/>
      <w:r>
        <w:rPr>
          <w:rFonts w:hint="eastAsia" w:ascii="宋体" w:hAnsi="宋体" w:eastAsia="宋体" w:cs="宋体"/>
          <w:szCs w:val="28"/>
          <w:lang w:eastAsia="zh-CN"/>
        </w:rPr>
        <w:t>《关于印发淄博市工业企业无组织排放分行业环境管理规范的通知》（淄环发〔2020〕81号）；</w:t>
      </w:r>
      <w:bookmarkEnd w:id="29"/>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《关于做好《国家危险废物名录》（2021版）实施后危险废物环境管理衔接工作的通知》（淄环函〔2021〕1号）；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关于印发《淄博市地下水污染防治实施方案》 的通知（淄环发〔2020〕37号）；</w:t>
      </w:r>
    </w:p>
    <w:p>
      <w:pPr>
        <w:numPr>
          <w:ilvl w:val="0"/>
          <w:numId w:val="4"/>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《关于划定淄博市大气污染物排放控制区的通知》（淄政办字〔2016〕116号）。</w:t>
      </w:r>
    </w:p>
    <w:p>
      <w:pPr>
        <w:pStyle w:val="7"/>
        <w:rPr>
          <w:rFonts w:hint="eastAsia" w:ascii="宋体" w:hAnsi="宋体" w:eastAsia="宋体" w:cs="宋体"/>
          <w:lang w:eastAsia="zh-CN"/>
        </w:rPr>
      </w:pPr>
      <w:r>
        <w:rPr>
          <w:rFonts w:hint="eastAsia" w:ascii="宋体" w:hAnsi="宋体" w:eastAsia="宋体" w:cs="宋体"/>
          <w:lang w:eastAsia="zh-CN"/>
        </w:rPr>
        <w:t>1.1.3 技术规范</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《建设项目环境影响评价技术导则 总纲》（HJ</w:t>
      </w:r>
      <w:r>
        <w:rPr>
          <w:rFonts w:hint="eastAsia" w:cs="宋体"/>
          <w:szCs w:val="28"/>
          <w:lang w:val="en-US" w:eastAsia="zh-CN"/>
        </w:rPr>
        <w:t xml:space="preserve"> </w:t>
      </w:r>
      <w:r>
        <w:rPr>
          <w:rFonts w:hint="eastAsia" w:ascii="宋体" w:hAnsi="宋体" w:eastAsia="宋体" w:cs="宋体"/>
          <w:szCs w:val="28"/>
          <w:lang w:eastAsia="zh-CN"/>
        </w:rPr>
        <w:t>2.1-2016）；</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《环境影响评价技术导则 大气环境》（HJ</w:t>
      </w:r>
      <w:r>
        <w:rPr>
          <w:rFonts w:hint="eastAsia" w:cs="宋体"/>
          <w:szCs w:val="28"/>
          <w:lang w:val="en-US" w:eastAsia="zh-CN"/>
        </w:rPr>
        <w:t xml:space="preserve"> </w:t>
      </w:r>
      <w:r>
        <w:rPr>
          <w:rFonts w:hint="eastAsia" w:ascii="宋体" w:hAnsi="宋体" w:eastAsia="宋体" w:cs="宋体"/>
          <w:szCs w:val="28"/>
          <w:lang w:eastAsia="zh-CN"/>
        </w:rPr>
        <w:t>2.2-2018）；</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《环境影响评价技术导则 地表水环境》（HJ</w:t>
      </w:r>
      <w:r>
        <w:rPr>
          <w:rFonts w:hint="eastAsia" w:cs="宋体"/>
          <w:szCs w:val="28"/>
          <w:lang w:val="en-US" w:eastAsia="zh-CN"/>
        </w:rPr>
        <w:t xml:space="preserve"> </w:t>
      </w:r>
      <w:r>
        <w:rPr>
          <w:rFonts w:hint="eastAsia" w:ascii="宋体" w:hAnsi="宋体" w:eastAsia="宋体" w:cs="宋体"/>
          <w:szCs w:val="28"/>
          <w:lang w:eastAsia="zh-CN"/>
        </w:rPr>
        <w:t>2.3-2018）；</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《环境影响评价技术导则 地下水环境》（HJ</w:t>
      </w:r>
      <w:r>
        <w:rPr>
          <w:rFonts w:hint="eastAsia" w:cs="宋体"/>
          <w:szCs w:val="28"/>
          <w:lang w:val="en-US" w:eastAsia="zh-CN"/>
        </w:rPr>
        <w:t xml:space="preserve"> </w:t>
      </w:r>
      <w:r>
        <w:rPr>
          <w:rFonts w:hint="eastAsia" w:ascii="宋体" w:hAnsi="宋体" w:eastAsia="宋体" w:cs="宋体"/>
          <w:szCs w:val="28"/>
          <w:lang w:eastAsia="zh-CN"/>
        </w:rPr>
        <w:t>610-2016）；</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《环境影响评价技术导则 声环境》（HJ</w:t>
      </w:r>
      <w:r>
        <w:rPr>
          <w:rFonts w:hint="eastAsia" w:cs="宋体"/>
          <w:szCs w:val="28"/>
          <w:lang w:val="en-US" w:eastAsia="zh-CN"/>
        </w:rPr>
        <w:t xml:space="preserve"> </w:t>
      </w:r>
      <w:r>
        <w:rPr>
          <w:rFonts w:hint="eastAsia" w:ascii="宋体" w:hAnsi="宋体" w:eastAsia="宋体" w:cs="宋体"/>
          <w:szCs w:val="28"/>
          <w:lang w:eastAsia="zh-CN"/>
        </w:rPr>
        <w:t>2.4-2009）；</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《环境影响评价技术导则 生态影响》（HJ</w:t>
      </w:r>
      <w:r>
        <w:rPr>
          <w:rFonts w:hint="eastAsia" w:cs="宋体"/>
          <w:szCs w:val="28"/>
          <w:lang w:val="en-US" w:eastAsia="zh-CN"/>
        </w:rPr>
        <w:t xml:space="preserve"> </w:t>
      </w:r>
      <w:r>
        <w:rPr>
          <w:rFonts w:hint="eastAsia" w:ascii="宋体" w:hAnsi="宋体" w:eastAsia="宋体" w:cs="宋体"/>
          <w:szCs w:val="28"/>
          <w:lang w:eastAsia="zh-CN"/>
        </w:rPr>
        <w:t>19-2011）；</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《环境影响评价技术导则 土壤环境（试行）》（HJ</w:t>
      </w:r>
      <w:r>
        <w:rPr>
          <w:rFonts w:hint="eastAsia" w:cs="宋体"/>
          <w:szCs w:val="28"/>
          <w:lang w:val="en-US" w:eastAsia="zh-CN"/>
        </w:rPr>
        <w:t xml:space="preserve"> </w:t>
      </w:r>
      <w:r>
        <w:rPr>
          <w:rFonts w:hint="eastAsia" w:ascii="宋体" w:hAnsi="宋体" w:eastAsia="宋体" w:cs="宋体"/>
          <w:szCs w:val="28"/>
          <w:lang w:eastAsia="zh-CN"/>
        </w:rPr>
        <w:t>964-2018）；</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《建设项目环境风险评价技术导则》（HJ</w:t>
      </w:r>
      <w:r>
        <w:rPr>
          <w:rFonts w:hint="eastAsia" w:cs="宋体"/>
          <w:szCs w:val="28"/>
          <w:lang w:val="en-US" w:eastAsia="zh-CN"/>
        </w:rPr>
        <w:t xml:space="preserve"> </w:t>
      </w:r>
      <w:r>
        <w:rPr>
          <w:rFonts w:hint="eastAsia" w:ascii="宋体" w:hAnsi="宋体" w:eastAsia="宋体" w:cs="宋体"/>
          <w:szCs w:val="28"/>
          <w:lang w:eastAsia="zh-CN"/>
        </w:rPr>
        <w:t>169-2018）；</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《清洁生产标准-铁矿采选行业》（HJ/T</w:t>
      </w:r>
      <w:r>
        <w:rPr>
          <w:rFonts w:hint="eastAsia" w:cs="宋体"/>
          <w:szCs w:val="28"/>
          <w:lang w:val="en-US" w:eastAsia="zh-CN"/>
        </w:rPr>
        <w:t xml:space="preserve"> </w:t>
      </w:r>
      <w:r>
        <w:rPr>
          <w:rFonts w:hint="eastAsia" w:ascii="宋体" w:hAnsi="宋体" w:eastAsia="宋体" w:cs="宋体"/>
          <w:szCs w:val="28"/>
          <w:lang w:eastAsia="zh-CN"/>
        </w:rPr>
        <w:t>294-2006）；</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《地表水和污水监测技术规范》（HJ/T 91-2002）；</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《污水监测技术规范》（HJ 91.1-2019）；</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《地下水监测技术规范》（HJ/T 164-2020）；</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《土壤环境监测技术规范》（HJ/T 166-2004）；</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《建设用地土壤污染状况调查 技术导则》（HJ 25.1-2019）；</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《建设用地土壤污染风险管控和修复 监测技术导则》（ HJ 25.2-2019）；</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《冶金行业绿色矿山建设规范》（DZ/T 0319-2018）；</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《铁矿绿色矿山建设规范》（DB 37/T 3842-2019）；</w:t>
      </w:r>
    </w:p>
    <w:p>
      <w:pPr>
        <w:numPr>
          <w:ilvl w:val="0"/>
          <w:numId w:val="5"/>
        </w:numPr>
        <w:tabs>
          <w:tab w:val="clear" w:pos="0"/>
        </w:tabs>
        <w:ind w:left="0" w:firstLine="560"/>
        <w:rPr>
          <w:rFonts w:hint="eastAsia" w:ascii="宋体" w:hAnsi="宋体" w:eastAsia="宋体" w:cs="宋体"/>
          <w:szCs w:val="28"/>
          <w:lang w:eastAsia="zh-CN"/>
        </w:rPr>
      </w:pPr>
      <w:r>
        <w:rPr>
          <w:rFonts w:hint="eastAsia" w:ascii="宋体" w:hAnsi="宋体" w:eastAsia="宋体" w:cs="宋体"/>
          <w:szCs w:val="28"/>
          <w:lang w:eastAsia="zh-CN"/>
        </w:rPr>
        <w:t>《矿山生态环境保护与恢复治理技术规范(试行)》(HJ</w:t>
      </w:r>
      <w:r>
        <w:rPr>
          <w:rFonts w:hint="eastAsia" w:cs="宋体"/>
          <w:szCs w:val="28"/>
          <w:lang w:val="en-US" w:eastAsia="zh-CN"/>
        </w:rPr>
        <w:t xml:space="preserve"> </w:t>
      </w:r>
      <w:r>
        <w:rPr>
          <w:rFonts w:hint="eastAsia" w:ascii="宋体" w:hAnsi="宋体" w:eastAsia="宋体" w:cs="宋体"/>
          <w:szCs w:val="28"/>
          <w:lang w:eastAsia="zh-CN"/>
        </w:rPr>
        <w:t>651-2013)。</w:t>
      </w:r>
    </w:p>
    <w:p>
      <w:pPr>
        <w:pStyle w:val="7"/>
        <w:rPr>
          <w:rFonts w:hint="eastAsia" w:ascii="宋体" w:hAnsi="宋体" w:eastAsia="宋体" w:cs="宋体"/>
          <w:lang w:eastAsia="zh-CN"/>
        </w:rPr>
      </w:pPr>
      <w:r>
        <w:rPr>
          <w:rFonts w:hint="eastAsia" w:ascii="宋体" w:hAnsi="宋体" w:eastAsia="宋体" w:cs="宋体"/>
          <w:lang w:eastAsia="zh-CN"/>
        </w:rPr>
        <w:t>1.1.4 相关规划</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《国家环境保护“十三五”规划基本思路》（2015年7月）；</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《全国生态保护“十三五”规划纲要》（2016年10月）；</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《全国“十三五”生态环境保护规划》（2016年11月）；</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《山东省主体功能区划》（2013年1月15日）；</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《山东省生态省建设规划纲要》（2003年9月28日）；</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《山东省生态保护红线规划》（2016-2020）；</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《山东省生态环境保护“十三五”规划》（2017年4月）；</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《山东省矿产资源总体规划》（2016-2020年）；</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《山东省水土保持规划》（2016-2030年）；</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《跋山水库饮用水水源保护区定界》（沂水县跋山水库管理处，2018.11.28）；</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《临沂市矿产资源总体规划》（2016-2020）；</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《淄博市矿产资源总体规划》(2016-2020年)；</w:t>
      </w:r>
    </w:p>
    <w:p>
      <w:pPr>
        <w:numPr>
          <w:ilvl w:val="0"/>
          <w:numId w:val="6"/>
        </w:numPr>
        <w:ind w:left="0" w:firstLine="560"/>
        <w:rPr>
          <w:rFonts w:hint="eastAsia" w:ascii="宋体" w:hAnsi="宋体" w:eastAsia="宋体" w:cs="宋体"/>
          <w:szCs w:val="28"/>
          <w:lang w:eastAsia="zh-CN"/>
        </w:rPr>
      </w:pPr>
      <w:r>
        <w:rPr>
          <w:rFonts w:hint="eastAsia" w:ascii="宋体" w:hAnsi="宋体" w:eastAsia="宋体" w:cs="宋体"/>
          <w:szCs w:val="28"/>
          <w:lang w:eastAsia="zh-CN"/>
        </w:rPr>
        <w:t>《沂水县诸葛镇总体规划》（2017-2035年）；</w:t>
      </w:r>
    </w:p>
    <w:p>
      <w:pPr>
        <w:numPr>
          <w:ilvl w:val="0"/>
          <w:numId w:val="6"/>
        </w:numPr>
        <w:ind w:left="0" w:firstLine="560"/>
        <w:rPr>
          <w:rFonts w:hint="eastAsia" w:ascii="宋体" w:hAnsi="宋体" w:eastAsia="宋体" w:cs="宋体"/>
          <w:lang w:eastAsia="zh-CN"/>
        </w:rPr>
      </w:pPr>
      <w:r>
        <w:rPr>
          <w:rFonts w:hint="eastAsia" w:ascii="宋体" w:hAnsi="宋体" w:eastAsia="宋体" w:cs="宋体"/>
          <w:szCs w:val="28"/>
          <w:lang w:eastAsia="zh-CN"/>
        </w:rPr>
        <w:t>《沂源县土地利用总体规划》（2006-2020年）。</w:t>
      </w:r>
    </w:p>
    <w:p>
      <w:pPr>
        <w:pStyle w:val="7"/>
        <w:rPr>
          <w:rFonts w:hint="eastAsia" w:ascii="宋体" w:hAnsi="宋体" w:eastAsia="宋体" w:cs="宋体"/>
          <w:lang w:eastAsia="zh-CN"/>
        </w:rPr>
      </w:pPr>
      <w:r>
        <w:rPr>
          <w:rFonts w:hint="eastAsia" w:ascii="宋体" w:hAnsi="宋体" w:eastAsia="宋体" w:cs="宋体"/>
          <w:lang w:eastAsia="zh-CN"/>
        </w:rPr>
        <w:t>1.1.5 相关资料</w:t>
      </w:r>
    </w:p>
    <w:p>
      <w:pPr>
        <w:numPr>
          <w:ilvl w:val="0"/>
          <w:numId w:val="7"/>
        </w:numPr>
        <w:ind w:left="0" w:firstLine="560"/>
        <w:rPr>
          <w:rFonts w:hint="eastAsia" w:ascii="宋体" w:hAnsi="宋体" w:eastAsia="宋体" w:cs="宋体"/>
          <w:szCs w:val="28"/>
        </w:rPr>
      </w:pPr>
      <w:r>
        <w:rPr>
          <w:rFonts w:hint="eastAsia" w:ascii="宋体" w:hAnsi="宋体" w:eastAsia="宋体" w:cs="宋体"/>
          <w:szCs w:val="28"/>
        </w:rPr>
        <w:t>采矿许可证；</w:t>
      </w:r>
    </w:p>
    <w:p>
      <w:pPr>
        <w:numPr>
          <w:ilvl w:val="0"/>
          <w:numId w:val="7"/>
        </w:numPr>
        <w:ind w:left="0" w:firstLine="560"/>
        <w:rPr>
          <w:rFonts w:hint="eastAsia" w:ascii="宋体" w:hAnsi="宋体" w:eastAsia="宋体" w:cs="宋体"/>
          <w:szCs w:val="28"/>
          <w:lang w:eastAsia="zh-CN"/>
        </w:rPr>
      </w:pPr>
      <w:r>
        <w:rPr>
          <w:rFonts w:hint="eastAsia" w:ascii="宋体" w:hAnsi="宋体" w:eastAsia="宋体" w:cs="宋体"/>
          <w:szCs w:val="28"/>
          <w:lang w:eastAsia="zh-CN"/>
        </w:rPr>
        <w:t>《莱钢集团鲁南矿业有限公司露天转地下开采工程项目环境影响报告书》（2004年）及批复；</w:t>
      </w:r>
    </w:p>
    <w:p>
      <w:pPr>
        <w:numPr>
          <w:ilvl w:val="0"/>
          <w:numId w:val="7"/>
        </w:numPr>
        <w:ind w:left="0" w:firstLine="560"/>
        <w:rPr>
          <w:rFonts w:hint="eastAsia" w:ascii="宋体" w:hAnsi="宋体" w:eastAsia="宋体" w:cs="宋体"/>
          <w:szCs w:val="28"/>
          <w:lang w:eastAsia="zh-CN"/>
        </w:rPr>
      </w:pPr>
      <w:r>
        <w:rPr>
          <w:rFonts w:hint="eastAsia" w:ascii="宋体" w:hAnsi="宋体" w:eastAsia="宋体" w:cs="宋体"/>
          <w:szCs w:val="28"/>
          <w:lang w:eastAsia="zh-CN"/>
        </w:rPr>
        <w:t>《莱钢集团鲁南矿业有限公司露天转地下开采一期工程竣工环境保护验收调查报告》（2012年）及批复；</w:t>
      </w:r>
    </w:p>
    <w:p>
      <w:pPr>
        <w:numPr>
          <w:ilvl w:val="0"/>
          <w:numId w:val="7"/>
        </w:numPr>
        <w:ind w:left="0" w:firstLine="560"/>
        <w:rPr>
          <w:rFonts w:hint="eastAsia" w:ascii="宋体" w:hAnsi="宋体" w:eastAsia="宋体" w:cs="宋体"/>
          <w:szCs w:val="28"/>
          <w:lang w:eastAsia="zh-CN"/>
        </w:rPr>
      </w:pPr>
      <w:r>
        <w:rPr>
          <w:rFonts w:hint="eastAsia" w:ascii="宋体" w:hAnsi="宋体" w:eastAsia="宋体" w:cs="宋体"/>
          <w:szCs w:val="28"/>
          <w:lang w:eastAsia="zh-CN"/>
        </w:rPr>
        <w:t>《莱芜钢铁集团鲁南矿业有限公司选矿工艺技术改造及尾矿利用综合项目环境影响报告书》（2017年）及批复；</w:t>
      </w:r>
    </w:p>
    <w:p>
      <w:pPr>
        <w:numPr>
          <w:ilvl w:val="0"/>
          <w:numId w:val="7"/>
        </w:numPr>
        <w:ind w:left="0" w:firstLine="560"/>
        <w:rPr>
          <w:rFonts w:hint="eastAsia" w:ascii="宋体" w:hAnsi="宋体" w:eastAsia="宋体" w:cs="宋体"/>
          <w:szCs w:val="28"/>
          <w:lang w:eastAsia="zh-CN"/>
        </w:rPr>
      </w:pPr>
      <w:r>
        <w:rPr>
          <w:rFonts w:hint="eastAsia" w:ascii="宋体" w:hAnsi="宋体" w:eastAsia="宋体" w:cs="宋体"/>
          <w:szCs w:val="28"/>
          <w:lang w:eastAsia="zh-CN"/>
        </w:rPr>
        <w:t>《莱钢集团鲁南矿业有限公司王峪矿区（100万t/a）露天转地下开采工程初步设计（变更）》（2018年）；</w:t>
      </w:r>
    </w:p>
    <w:p>
      <w:pPr>
        <w:numPr>
          <w:ilvl w:val="0"/>
          <w:numId w:val="7"/>
        </w:numPr>
        <w:ind w:left="0" w:firstLine="560"/>
        <w:rPr>
          <w:rFonts w:hint="eastAsia" w:ascii="宋体" w:hAnsi="宋体" w:eastAsia="宋体" w:cs="宋体"/>
          <w:szCs w:val="28"/>
          <w:lang w:eastAsia="zh-CN"/>
        </w:rPr>
      </w:pPr>
      <w:r>
        <w:rPr>
          <w:rFonts w:hint="eastAsia" w:ascii="宋体" w:hAnsi="宋体" w:eastAsia="宋体" w:cs="宋体"/>
          <w:szCs w:val="28"/>
          <w:lang w:eastAsia="zh-CN"/>
        </w:rPr>
        <w:t>《莱钢集团鲁南矿业有限公司王峪矿区（100万t/a）露天转地下开采工程资源开发利用方案（变更）》（2018年）及批复；</w:t>
      </w:r>
    </w:p>
    <w:p>
      <w:pPr>
        <w:numPr>
          <w:ilvl w:val="0"/>
          <w:numId w:val="7"/>
        </w:numPr>
        <w:ind w:left="0" w:firstLine="560"/>
        <w:rPr>
          <w:rFonts w:hint="eastAsia" w:ascii="宋体" w:hAnsi="宋体" w:eastAsia="宋体" w:cs="宋体"/>
          <w:szCs w:val="28"/>
          <w:lang w:eastAsia="zh-CN"/>
        </w:rPr>
      </w:pPr>
      <w:r>
        <w:rPr>
          <w:rFonts w:hint="eastAsia" w:ascii="宋体" w:hAnsi="宋体" w:eastAsia="宋体" w:cs="宋体"/>
          <w:szCs w:val="28"/>
          <w:lang w:eastAsia="zh-CN"/>
        </w:rPr>
        <w:t>《莱钢集团鲁南矿业有限公司王峪矿区铁矿矿山地质环境保护与土地复垦方案》（2020.11）及专家意见；</w:t>
      </w:r>
    </w:p>
    <w:p>
      <w:pPr>
        <w:numPr>
          <w:ilvl w:val="0"/>
          <w:numId w:val="7"/>
        </w:numPr>
        <w:ind w:left="0" w:firstLine="560"/>
        <w:rPr>
          <w:rFonts w:hint="eastAsia" w:ascii="宋体" w:hAnsi="宋体" w:eastAsia="宋体" w:cs="宋体"/>
          <w:szCs w:val="28"/>
          <w:lang w:eastAsia="zh-CN"/>
        </w:rPr>
      </w:pPr>
      <w:r>
        <w:rPr>
          <w:rFonts w:hint="eastAsia" w:ascii="宋体" w:hAnsi="宋体" w:eastAsia="宋体" w:cs="宋体"/>
          <w:szCs w:val="28"/>
          <w:lang w:eastAsia="zh-CN"/>
        </w:rPr>
        <w:t>《莱钢集团鲁南矿业有限公司50万吨球团厂岩土工程勘察报告》（2003.4）；</w:t>
      </w:r>
    </w:p>
    <w:p>
      <w:pPr>
        <w:numPr>
          <w:ilvl w:val="0"/>
          <w:numId w:val="7"/>
        </w:numPr>
        <w:ind w:left="0" w:firstLine="560"/>
        <w:rPr>
          <w:rFonts w:hint="eastAsia" w:ascii="宋体" w:hAnsi="宋体" w:eastAsia="宋体" w:cs="宋体"/>
          <w:szCs w:val="28"/>
          <w:lang w:eastAsia="zh-CN"/>
        </w:rPr>
      </w:pPr>
      <w:r>
        <w:rPr>
          <w:rFonts w:hint="eastAsia" w:ascii="宋体" w:hAnsi="宋体" w:eastAsia="宋体" w:cs="宋体"/>
          <w:szCs w:val="28"/>
          <w:lang w:eastAsia="zh-CN"/>
        </w:rPr>
        <w:t>《莱芜钢铁集团鲁南矿业有限公司2#尾矿库岩土工程勘察报告》（2019.5）；</w:t>
      </w:r>
    </w:p>
    <w:p>
      <w:pPr>
        <w:numPr>
          <w:ilvl w:val="0"/>
          <w:numId w:val="7"/>
        </w:numPr>
        <w:ind w:left="0" w:firstLine="560"/>
        <w:rPr>
          <w:rFonts w:hint="eastAsia" w:ascii="宋体" w:hAnsi="宋体" w:eastAsia="宋体" w:cs="宋体"/>
          <w:szCs w:val="28"/>
        </w:rPr>
      </w:pPr>
      <w:r>
        <w:rPr>
          <w:rFonts w:hint="eastAsia" w:ascii="宋体" w:hAnsi="宋体" w:eastAsia="宋体" w:cs="宋体"/>
          <w:szCs w:val="28"/>
          <w:lang w:eastAsia="zh-CN"/>
        </w:rPr>
        <w:t>排污许可证；</w:t>
      </w:r>
    </w:p>
    <w:p>
      <w:pPr>
        <w:numPr>
          <w:ilvl w:val="0"/>
          <w:numId w:val="7"/>
        </w:numPr>
        <w:ind w:left="0" w:firstLine="560"/>
        <w:rPr>
          <w:rFonts w:hint="eastAsia" w:ascii="宋体" w:hAnsi="宋体" w:eastAsia="宋体" w:cs="宋体"/>
          <w:szCs w:val="28"/>
        </w:rPr>
      </w:pPr>
      <w:r>
        <w:rPr>
          <w:rFonts w:hint="eastAsia" w:ascii="宋体" w:hAnsi="宋体" w:eastAsia="宋体" w:cs="宋体"/>
          <w:szCs w:val="28"/>
          <w:lang w:eastAsia="zh-CN"/>
        </w:rPr>
        <w:t>其他资料。</w:t>
      </w:r>
    </w:p>
    <w:p>
      <w:pPr>
        <w:pStyle w:val="6"/>
        <w:outlineLvl w:val="9"/>
        <w:rPr>
          <w:rFonts w:hint="eastAsia" w:ascii="宋体" w:hAnsi="宋体" w:eastAsia="宋体" w:cs="宋体"/>
          <w:lang w:eastAsia="zh-CN"/>
        </w:rPr>
        <w:sectPr>
          <w:headerReference r:id="rId21" w:type="default"/>
          <w:footerReference r:id="rId23" w:type="default"/>
          <w:headerReference r:id="rId22" w:type="even"/>
          <w:footerReference r:id="rId24" w:type="even"/>
          <w:pgSz w:w="11905" w:h="16838"/>
          <w:pgMar w:top="1417" w:right="1247" w:bottom="1247" w:left="1587" w:header="850" w:footer="850" w:gutter="0"/>
          <w:pgBorders>
            <w:top w:val="none" w:sz="0" w:space="0"/>
            <w:left w:val="none" w:sz="0" w:space="0"/>
            <w:bottom w:val="none" w:sz="0" w:space="0"/>
            <w:right w:val="none" w:sz="0" w:space="0"/>
          </w:pgBorders>
          <w:pgNumType w:start="1"/>
          <w:cols w:space="0" w:num="1"/>
          <w:docGrid w:type="lines" w:linePitch="383" w:charSpace="0"/>
        </w:sectPr>
      </w:pPr>
      <w:bookmarkStart w:id="30" w:name="_bookmark2"/>
      <w:bookmarkEnd w:id="30"/>
    </w:p>
    <w:p>
      <w:pPr>
        <w:pStyle w:val="6"/>
        <w:rPr>
          <w:rFonts w:hint="eastAsia" w:ascii="宋体" w:hAnsi="宋体" w:eastAsia="宋体" w:cs="宋体"/>
          <w:lang w:eastAsia="zh-CN"/>
        </w:rPr>
      </w:pPr>
      <w:bookmarkStart w:id="31" w:name="_Toc29084"/>
      <w:bookmarkStart w:id="32" w:name="_Toc22903"/>
      <w:r>
        <w:rPr>
          <w:rFonts w:hint="eastAsia" w:ascii="宋体" w:hAnsi="宋体" w:eastAsia="宋体" w:cs="宋体"/>
          <w:lang w:eastAsia="zh-CN"/>
        </w:rPr>
        <w:t>1.2 评价目的、指导思想和评价重点</w:t>
      </w:r>
      <w:bookmarkEnd w:id="31"/>
      <w:bookmarkEnd w:id="32"/>
    </w:p>
    <w:p>
      <w:pPr>
        <w:pStyle w:val="7"/>
        <w:rPr>
          <w:rFonts w:hint="eastAsia" w:ascii="宋体" w:hAnsi="宋体" w:eastAsia="宋体" w:cs="宋体"/>
          <w:lang w:eastAsia="zh-CN"/>
        </w:rPr>
      </w:pPr>
      <w:r>
        <w:rPr>
          <w:rFonts w:hint="eastAsia" w:ascii="宋体" w:hAnsi="宋体" w:eastAsia="宋体" w:cs="宋体"/>
          <w:lang w:eastAsia="zh-CN"/>
        </w:rPr>
        <w:t>1.2.1 评价目的</w:t>
      </w:r>
    </w:p>
    <w:p>
      <w:pPr>
        <w:bidi w:val="0"/>
        <w:rPr>
          <w:rFonts w:hint="eastAsia"/>
          <w:lang w:eastAsia="zh-CN"/>
        </w:rPr>
      </w:pPr>
      <w:r>
        <w:rPr>
          <w:rFonts w:hint="eastAsia"/>
          <w:lang w:eastAsia="zh-CN"/>
        </w:rPr>
        <w:t>（1）通过现场调研和环境现状调查，了解评价区环境质量和污染现状，掌握评价区环境保护目标和存在的环境问题；</w:t>
      </w:r>
    </w:p>
    <w:p>
      <w:pPr>
        <w:bidi w:val="0"/>
        <w:rPr>
          <w:rFonts w:hint="eastAsia"/>
          <w:lang w:eastAsia="zh-CN"/>
        </w:rPr>
      </w:pPr>
      <w:r>
        <w:rPr>
          <w:rFonts w:hint="eastAsia"/>
          <w:lang w:eastAsia="zh-CN"/>
        </w:rPr>
        <w:t>（2）通过现有工程分析，确定现有污染物产生、处理及排放情况，找出现有工程存在的主要环境问题，提出整改措施与建议；</w:t>
      </w:r>
    </w:p>
    <w:p>
      <w:pPr>
        <w:bidi w:val="0"/>
        <w:rPr>
          <w:rFonts w:hint="eastAsia"/>
          <w:lang w:eastAsia="zh-CN"/>
        </w:rPr>
      </w:pPr>
      <w:r>
        <w:rPr>
          <w:rFonts w:hint="eastAsia"/>
          <w:lang w:eastAsia="zh-CN"/>
        </w:rPr>
        <w:t>（3）通过在建工程分析，确定所有项目污染物产生、处理及排放情况；</w:t>
      </w:r>
    </w:p>
    <w:p>
      <w:pPr>
        <w:bidi w:val="0"/>
        <w:rPr>
          <w:rFonts w:hint="eastAsia"/>
          <w:lang w:eastAsia="zh-CN"/>
        </w:rPr>
      </w:pPr>
      <w:r>
        <w:rPr>
          <w:rFonts w:hint="eastAsia"/>
          <w:lang w:eastAsia="zh-CN"/>
        </w:rPr>
        <w:t>（4）根据工程特点和评价区域环境质量现状，结合评价区社会、经济、自然、生态环境等方面的状况，预测和评价本项目在施工期、运营期和退役后对各环境要素的影响程度和范围；</w:t>
      </w:r>
    </w:p>
    <w:p>
      <w:pPr>
        <w:bidi w:val="0"/>
        <w:rPr>
          <w:rFonts w:hint="eastAsia"/>
          <w:lang w:eastAsia="zh-CN"/>
        </w:rPr>
      </w:pPr>
      <w:r>
        <w:rPr>
          <w:rFonts w:hint="eastAsia"/>
          <w:lang w:eastAsia="zh-CN"/>
        </w:rPr>
        <w:t>（5）根据环境影响预测结果与本项目环保措施分析论证结论，结合国家产业政策和相关规划，论证本项目建设的环境可行性，防范和控制环境风险；</w:t>
      </w:r>
    </w:p>
    <w:p>
      <w:pPr>
        <w:bidi w:val="0"/>
        <w:rPr>
          <w:rFonts w:hint="eastAsia"/>
          <w:lang w:eastAsia="zh-CN"/>
        </w:rPr>
      </w:pPr>
      <w:r>
        <w:rPr>
          <w:rFonts w:hint="eastAsia"/>
          <w:lang w:eastAsia="zh-CN"/>
        </w:rPr>
        <w:t>（6）论证本项目环保治理措施的可行性、可靠性和经济合理性，完善和优化原有工程和扩建工程采取的环保措施，为本项目建设和工程投产后的环保管理提供依据。</w:t>
      </w:r>
    </w:p>
    <w:p>
      <w:pPr>
        <w:pStyle w:val="7"/>
        <w:rPr>
          <w:rFonts w:hint="eastAsia" w:ascii="宋体" w:hAnsi="宋体" w:eastAsia="宋体" w:cs="宋体"/>
          <w:lang w:eastAsia="zh-CN"/>
        </w:rPr>
      </w:pPr>
      <w:r>
        <w:rPr>
          <w:rFonts w:hint="eastAsia" w:ascii="宋体" w:hAnsi="宋体" w:eastAsia="宋体" w:cs="宋体"/>
          <w:lang w:eastAsia="zh-CN"/>
        </w:rPr>
        <w:t>1.2.2 指导思想</w:t>
      </w:r>
    </w:p>
    <w:p>
      <w:pPr>
        <w:ind w:firstLine="560"/>
        <w:rPr>
          <w:rFonts w:hint="eastAsia" w:ascii="宋体" w:hAnsi="宋体" w:eastAsia="宋体" w:cs="宋体"/>
          <w:lang w:eastAsia="zh-CN"/>
        </w:rPr>
      </w:pPr>
      <w:r>
        <w:rPr>
          <w:rFonts w:hint="eastAsia" w:ascii="宋体" w:hAnsi="宋体" w:eastAsia="宋体" w:cs="宋体"/>
          <w:lang w:eastAsia="zh-CN"/>
        </w:rPr>
        <w:t>（1）贯彻执行国家环保法规，遵循客观公正科学的原则，紧密结合城市规划、环保规划、环境功能区划及主要污染物总量控制要求开展评价工作；</w:t>
      </w:r>
    </w:p>
    <w:p>
      <w:pPr>
        <w:ind w:firstLine="560"/>
        <w:rPr>
          <w:rFonts w:hint="eastAsia" w:ascii="宋体" w:hAnsi="宋体" w:eastAsia="宋体" w:cs="宋体"/>
          <w:lang w:eastAsia="zh-CN"/>
        </w:rPr>
      </w:pPr>
      <w:r>
        <w:rPr>
          <w:rFonts w:hint="eastAsia" w:ascii="宋体" w:hAnsi="宋体" w:eastAsia="宋体" w:cs="宋体"/>
          <w:lang w:eastAsia="zh-CN"/>
        </w:rPr>
        <w:t>（2）贯彻“清洁生产、达标排放、总量控制”的原则，最大限度的减少工程污染物的排污量；</w:t>
      </w:r>
    </w:p>
    <w:p>
      <w:pPr>
        <w:ind w:firstLine="560"/>
        <w:rPr>
          <w:rFonts w:hint="eastAsia" w:ascii="宋体" w:hAnsi="宋体" w:eastAsia="宋体" w:cs="宋体"/>
          <w:lang w:eastAsia="zh-CN"/>
        </w:rPr>
      </w:pPr>
      <w:r>
        <w:rPr>
          <w:rFonts w:hint="eastAsia" w:ascii="宋体" w:hAnsi="宋体" w:eastAsia="宋体" w:cs="宋体"/>
          <w:lang w:eastAsia="zh-CN"/>
        </w:rPr>
        <w:t>（3）突出重点、兼顾一般，突出工程以地下开采影响为主的特点，重点做好地下开采影响防范及治理措施，对项目环保设施的合理性进行详细论证；</w:t>
      </w:r>
    </w:p>
    <w:p>
      <w:pPr>
        <w:ind w:firstLine="560"/>
        <w:rPr>
          <w:rFonts w:hint="eastAsia" w:ascii="宋体" w:hAnsi="宋体" w:eastAsia="宋体" w:cs="宋体"/>
          <w:lang w:eastAsia="zh-CN"/>
        </w:rPr>
      </w:pPr>
      <w:r>
        <w:rPr>
          <w:rFonts w:hint="eastAsia" w:ascii="宋体" w:hAnsi="宋体" w:eastAsia="宋体" w:cs="宋体"/>
          <w:lang w:eastAsia="zh-CN"/>
        </w:rPr>
        <w:t>（4）结合区域排污情况，综合分析项目实施后对当地环境的影响程度；</w:t>
      </w:r>
    </w:p>
    <w:p>
      <w:pPr>
        <w:ind w:firstLine="560"/>
        <w:rPr>
          <w:rFonts w:hint="eastAsia" w:ascii="宋体" w:hAnsi="宋体" w:eastAsia="宋体" w:cs="宋体"/>
          <w:lang w:eastAsia="zh-CN"/>
        </w:rPr>
      </w:pPr>
      <w:r>
        <w:rPr>
          <w:rFonts w:hint="eastAsia" w:ascii="宋体" w:hAnsi="宋体" w:eastAsia="宋体" w:cs="宋体"/>
          <w:lang w:eastAsia="zh-CN"/>
        </w:rPr>
        <w:t>（5）本着环评工作为环保管理和工程设计提供依据的精神，提高环评报告的可操作性。通过分析评价，从发展经济和保护环境的目的出发，针对工程建设实际，提出工程应采用的污染防治措施、环境管理及监控计划等非工程措施，对</w:t>
      </w:r>
      <w:r>
        <w:rPr>
          <w:rFonts w:hint="eastAsia" w:cs="宋体"/>
          <w:szCs w:val="28"/>
          <w:lang w:eastAsia="zh-CN"/>
        </w:rPr>
        <w:t>本项目</w:t>
      </w:r>
      <w:r>
        <w:rPr>
          <w:rFonts w:hint="eastAsia" w:ascii="宋体" w:hAnsi="宋体" w:eastAsia="宋体" w:cs="宋体"/>
          <w:lang w:eastAsia="zh-CN"/>
        </w:rPr>
        <w:t>的环境可行性进行分析并给出明确结论。</w:t>
      </w:r>
    </w:p>
    <w:p>
      <w:pPr>
        <w:pStyle w:val="7"/>
        <w:rPr>
          <w:rFonts w:hint="eastAsia" w:ascii="宋体" w:hAnsi="宋体" w:eastAsia="宋体" w:cs="宋体"/>
          <w:lang w:eastAsia="zh-CN"/>
        </w:rPr>
      </w:pPr>
      <w:r>
        <w:rPr>
          <w:rFonts w:hint="eastAsia" w:ascii="宋体" w:hAnsi="宋体" w:eastAsia="宋体" w:cs="宋体"/>
          <w:lang w:eastAsia="zh-CN"/>
        </w:rPr>
        <w:t>1.2.3 工作原则</w:t>
      </w:r>
    </w:p>
    <w:p>
      <w:pPr>
        <w:ind w:firstLine="560"/>
        <w:rPr>
          <w:rFonts w:hint="eastAsia" w:ascii="宋体" w:hAnsi="宋体" w:eastAsia="宋体" w:cs="宋体"/>
          <w:lang w:eastAsia="zh-CN"/>
        </w:rPr>
      </w:pPr>
      <w:r>
        <w:rPr>
          <w:rFonts w:hint="eastAsia" w:ascii="宋体" w:hAnsi="宋体" w:eastAsia="宋体" w:cs="宋体"/>
          <w:lang w:eastAsia="zh-CN"/>
        </w:rPr>
        <w:t>突出环境影响评价的源头预防作用，坚持保护和改善环境质量。</w:t>
      </w:r>
    </w:p>
    <w:p>
      <w:pPr>
        <w:ind w:firstLine="560"/>
        <w:rPr>
          <w:rFonts w:hint="eastAsia" w:ascii="宋体" w:hAnsi="宋体" w:eastAsia="宋体" w:cs="宋体"/>
          <w:lang w:eastAsia="zh-CN"/>
        </w:rPr>
      </w:pPr>
      <w:r>
        <w:rPr>
          <w:rFonts w:hint="eastAsia" w:ascii="宋体" w:hAnsi="宋体" w:eastAsia="宋体" w:cs="宋体"/>
          <w:lang w:eastAsia="zh-CN"/>
        </w:rPr>
        <w:t>（1）依法评价</w:t>
      </w:r>
    </w:p>
    <w:p>
      <w:pPr>
        <w:ind w:firstLine="560"/>
        <w:rPr>
          <w:rFonts w:hint="eastAsia" w:ascii="宋体" w:hAnsi="宋体" w:eastAsia="宋体" w:cs="宋体"/>
          <w:lang w:eastAsia="zh-CN"/>
        </w:rPr>
      </w:pPr>
      <w:r>
        <w:rPr>
          <w:rFonts w:hint="eastAsia" w:ascii="宋体" w:hAnsi="宋体" w:eastAsia="宋体" w:cs="宋体"/>
          <w:lang w:eastAsia="zh-CN"/>
        </w:rPr>
        <w:t>贯彻执行我国环境保护相关法律法规、标准、政策和规划等，优化项目建设，服务环境管理。</w:t>
      </w:r>
    </w:p>
    <w:p>
      <w:pPr>
        <w:ind w:firstLine="560"/>
        <w:rPr>
          <w:rFonts w:hint="eastAsia" w:ascii="宋体" w:hAnsi="宋体" w:eastAsia="宋体" w:cs="宋体"/>
          <w:lang w:eastAsia="zh-CN"/>
        </w:rPr>
      </w:pPr>
      <w:r>
        <w:rPr>
          <w:rFonts w:hint="eastAsia" w:ascii="宋体" w:hAnsi="宋体" w:eastAsia="宋体" w:cs="宋体"/>
          <w:lang w:eastAsia="zh-CN"/>
        </w:rPr>
        <w:t>（2）科学评价</w:t>
      </w:r>
    </w:p>
    <w:p>
      <w:pPr>
        <w:ind w:firstLine="560"/>
        <w:rPr>
          <w:rFonts w:hint="eastAsia" w:ascii="宋体" w:hAnsi="宋体" w:eastAsia="宋体" w:cs="宋体"/>
          <w:lang w:eastAsia="zh-CN"/>
        </w:rPr>
      </w:pPr>
      <w:r>
        <w:rPr>
          <w:rFonts w:hint="eastAsia" w:ascii="宋体" w:hAnsi="宋体" w:eastAsia="宋体" w:cs="宋体"/>
          <w:lang w:eastAsia="zh-CN"/>
        </w:rPr>
        <w:t>规范环境影响评价方法，科学分析项目建设对环境质量的影响。</w:t>
      </w:r>
    </w:p>
    <w:p>
      <w:pPr>
        <w:ind w:firstLine="560"/>
        <w:rPr>
          <w:rFonts w:hint="eastAsia" w:ascii="宋体" w:hAnsi="宋体" w:eastAsia="宋体" w:cs="宋体"/>
          <w:lang w:eastAsia="zh-CN"/>
        </w:rPr>
      </w:pPr>
      <w:r>
        <w:rPr>
          <w:rFonts w:hint="eastAsia" w:ascii="宋体" w:hAnsi="宋体" w:eastAsia="宋体" w:cs="宋体"/>
          <w:lang w:eastAsia="zh-CN"/>
        </w:rPr>
        <w:t>（3）突出重点</w:t>
      </w:r>
    </w:p>
    <w:p>
      <w:pPr>
        <w:ind w:firstLine="560"/>
        <w:rPr>
          <w:rFonts w:hint="eastAsia" w:ascii="宋体" w:hAnsi="宋体" w:eastAsia="宋体" w:cs="宋体"/>
          <w:lang w:eastAsia="zh-CN"/>
        </w:rPr>
      </w:pPr>
      <w:r>
        <w:rPr>
          <w:rFonts w:hint="eastAsia" w:ascii="宋体" w:hAnsi="宋体" w:eastAsia="宋体" w:cs="宋体"/>
          <w:lang w:eastAsia="zh-CN"/>
        </w:rPr>
        <w:t>根据建设项目的项目内容及其特点，明确与环境要素间的作用效应关系，根据规划环境影响评价结论和审查意见，充分利用符合时效的数据资料及成果，对建设项目主要环境影响予以重点分析和评价。</w:t>
      </w:r>
    </w:p>
    <w:p>
      <w:pPr>
        <w:pStyle w:val="6"/>
        <w:rPr>
          <w:rFonts w:hint="eastAsia" w:ascii="宋体" w:hAnsi="宋体" w:eastAsia="宋体" w:cs="宋体"/>
          <w:lang w:eastAsia="zh-CN"/>
        </w:rPr>
      </w:pPr>
      <w:bookmarkStart w:id="33" w:name="_bookmark3"/>
      <w:bookmarkEnd w:id="33"/>
      <w:bookmarkStart w:id="34" w:name="_Toc20523"/>
      <w:bookmarkStart w:id="35" w:name="_Toc21658"/>
      <w:r>
        <w:rPr>
          <w:rFonts w:hint="eastAsia" w:ascii="宋体" w:hAnsi="宋体" w:eastAsia="宋体" w:cs="宋体"/>
          <w:lang w:eastAsia="zh-CN"/>
        </w:rPr>
        <w:t>1.3 环境影响因素识别及评价因子筛选</w:t>
      </w:r>
      <w:bookmarkEnd w:id="34"/>
      <w:bookmarkEnd w:id="35"/>
    </w:p>
    <w:p>
      <w:pPr>
        <w:pStyle w:val="7"/>
        <w:rPr>
          <w:rFonts w:hint="eastAsia" w:ascii="宋体" w:hAnsi="宋体" w:eastAsia="宋体" w:cs="宋体"/>
          <w:lang w:eastAsia="zh-CN"/>
        </w:rPr>
      </w:pPr>
      <w:r>
        <w:rPr>
          <w:rFonts w:hint="eastAsia" w:ascii="宋体" w:hAnsi="宋体" w:eastAsia="宋体" w:cs="宋体"/>
          <w:lang w:eastAsia="zh-CN"/>
        </w:rPr>
        <w:t>1.3.1 环境影响因素识别</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属于铁矿采矿项目，根据项目特点，本次环评主要考虑施工期、运营期、服务期满后影响因素识别。</w:t>
      </w:r>
    </w:p>
    <w:p>
      <w:pPr>
        <w:pStyle w:val="8"/>
        <w:rPr>
          <w:rFonts w:hint="eastAsia" w:ascii="宋体" w:hAnsi="宋体" w:eastAsia="宋体" w:cs="宋体"/>
          <w:lang w:eastAsia="zh-CN"/>
        </w:rPr>
      </w:pPr>
      <w:r>
        <w:rPr>
          <w:rFonts w:hint="eastAsia" w:ascii="宋体" w:hAnsi="宋体" w:eastAsia="宋体" w:cs="宋体"/>
          <w:lang w:eastAsia="zh-CN"/>
        </w:rPr>
        <w:t>1.3.1.1 施工期环境影响识别</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施工期间对环境的影响在很大程度上取决于项目特点、施工期以及项目、所处的地形、地貌等环境因素。施工期主要</w:t>
      </w:r>
      <w:r>
        <w:rPr>
          <w:rFonts w:hint="eastAsia" w:ascii="宋体" w:hAnsi="宋体" w:eastAsia="宋体" w:cs="宋体"/>
        </w:rPr>
        <w:fldChar w:fldCharType="begin"/>
      </w:r>
      <w:r>
        <w:rPr>
          <w:rFonts w:hint="eastAsia" w:ascii="宋体" w:hAnsi="宋体" w:eastAsia="宋体" w:cs="宋体"/>
        </w:rPr>
        <w:instrText xml:space="preserve"> HYPERLINK \l "_bookmark4" </w:instrText>
      </w:r>
      <w:r>
        <w:rPr>
          <w:rFonts w:hint="eastAsia" w:ascii="宋体" w:hAnsi="宋体" w:eastAsia="宋体" w:cs="宋体"/>
        </w:rPr>
        <w:fldChar w:fldCharType="separate"/>
      </w:r>
      <w:r>
        <w:rPr>
          <w:rFonts w:hint="eastAsia" w:ascii="宋体" w:hAnsi="宋体" w:eastAsia="宋体" w:cs="宋体"/>
          <w:lang w:eastAsia="zh-CN"/>
        </w:rPr>
        <w:t>环境影响因素见表1.3.1-1</w:t>
      </w:r>
      <w:r>
        <w:rPr>
          <w:rFonts w:hint="eastAsia" w:ascii="宋体" w:hAnsi="宋体" w:eastAsia="宋体" w:cs="宋体"/>
          <w:lang w:eastAsia="zh-CN"/>
        </w:rPr>
        <w:fldChar w:fldCharType="end"/>
      </w:r>
      <w:r>
        <w:rPr>
          <w:rFonts w:hint="eastAsia" w:ascii="宋体" w:hAnsi="宋体" w:eastAsia="宋体" w:cs="宋体"/>
          <w:lang w:eastAsia="zh-CN"/>
        </w:rPr>
        <w:t>。</w:t>
      </w:r>
    </w:p>
    <w:p>
      <w:pPr>
        <w:tabs>
          <w:tab w:val="left" w:pos="4004"/>
        </w:tabs>
        <w:spacing w:line="240" w:lineRule="auto"/>
        <w:ind w:firstLine="0" w:firstLineChars="0"/>
        <w:jc w:val="center"/>
        <w:rPr>
          <w:rFonts w:hint="eastAsia" w:ascii="宋体" w:hAnsi="宋体" w:eastAsia="宋体" w:cs="宋体"/>
          <w:b/>
          <w:w w:val="95"/>
          <w:sz w:val="24"/>
          <w:lang w:eastAsia="zh-CN"/>
        </w:rPr>
      </w:pPr>
      <w:bookmarkStart w:id="36" w:name="_bookmark4"/>
      <w:bookmarkEnd w:id="36"/>
      <w:r>
        <w:rPr>
          <w:rFonts w:hint="eastAsia" w:ascii="宋体" w:hAnsi="宋体" w:eastAsia="宋体" w:cs="宋体"/>
          <w:b/>
          <w:sz w:val="24"/>
          <w:lang w:eastAsia="zh-CN"/>
        </w:rPr>
        <w:t xml:space="preserve">表1.3.1-1 </w:t>
      </w:r>
      <w:r>
        <w:rPr>
          <w:rFonts w:hint="eastAsia" w:ascii="宋体" w:hAnsi="宋体" w:eastAsia="宋体" w:cs="宋体"/>
          <w:b/>
          <w:w w:val="95"/>
          <w:sz w:val="24"/>
          <w:lang w:eastAsia="zh-CN"/>
        </w:rPr>
        <w:t>施工期主要环境影响因素一览表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283"/>
        <w:gridCol w:w="4378"/>
        <w:gridCol w:w="29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64" w:type="pct"/>
            <w:tcBorders>
              <w:top w:val="single" w:color="auto" w:sz="12" w:space="0"/>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序号</w:t>
            </w:r>
          </w:p>
        </w:tc>
        <w:tc>
          <w:tcPr>
            <w:tcW w:w="691" w:type="pct"/>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环境要素</w:t>
            </w:r>
          </w:p>
        </w:tc>
        <w:tc>
          <w:tcPr>
            <w:tcW w:w="2358" w:type="pct"/>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 xml:space="preserve">产生影响的主要因素 </w:t>
            </w:r>
          </w:p>
        </w:tc>
        <w:tc>
          <w:tcPr>
            <w:tcW w:w="1586" w:type="pct"/>
            <w:tcBorders>
              <w:top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1</w:t>
            </w:r>
          </w:p>
        </w:tc>
        <w:tc>
          <w:tcPr>
            <w:tcW w:w="69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rPr>
              <w:t>环境空气</w:t>
            </w:r>
          </w:p>
        </w:tc>
        <w:tc>
          <w:tcPr>
            <w:tcW w:w="235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土地平整、挖掘、井筒延深、交通运输等</w:t>
            </w:r>
          </w:p>
        </w:tc>
        <w:tc>
          <w:tcPr>
            <w:tcW w:w="158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扬尘及汽车尾气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2</w:t>
            </w:r>
          </w:p>
        </w:tc>
        <w:tc>
          <w:tcPr>
            <w:tcW w:w="69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水环境</w:t>
            </w:r>
          </w:p>
        </w:tc>
        <w:tc>
          <w:tcPr>
            <w:tcW w:w="235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施工人员生活污水、井下涌水等</w:t>
            </w:r>
          </w:p>
        </w:tc>
        <w:tc>
          <w:tcPr>
            <w:tcW w:w="158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rPr>
              <w:t>COD</w:t>
            </w:r>
            <w:r>
              <w:rPr>
                <w:rFonts w:hint="eastAsia" w:ascii="宋体" w:hAnsi="宋体" w:eastAsia="宋体" w:cs="宋体"/>
                <w:bCs/>
                <w:w w:val="95"/>
                <w:position w:val="-1"/>
                <w:sz w:val="21"/>
                <w:szCs w:val="21"/>
                <w:vertAlign w:val="subscript"/>
                <w:lang w:eastAsia="zh-CN"/>
              </w:rPr>
              <w:t>cr</w:t>
            </w:r>
            <w:r>
              <w:rPr>
                <w:rFonts w:hint="eastAsia" w:ascii="宋体" w:hAnsi="宋体" w:eastAsia="宋体" w:cs="宋体"/>
                <w:bCs/>
                <w:w w:val="95"/>
                <w:sz w:val="21"/>
                <w:szCs w:val="21"/>
              </w:rPr>
              <w:t>、</w:t>
            </w:r>
            <w:r>
              <w:rPr>
                <w:rFonts w:hint="eastAsia" w:ascii="宋体" w:hAnsi="宋体" w:eastAsia="宋体" w:cs="宋体"/>
                <w:bCs/>
                <w:sz w:val="21"/>
                <w:szCs w:val="21"/>
                <w:lang w:eastAsia="zh-CN"/>
              </w:rPr>
              <w:t>氨氮、SS等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3</w:t>
            </w:r>
          </w:p>
        </w:tc>
        <w:tc>
          <w:tcPr>
            <w:tcW w:w="69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声环境</w:t>
            </w:r>
          </w:p>
        </w:tc>
        <w:tc>
          <w:tcPr>
            <w:tcW w:w="235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施工机械作业、机组安装及车辆运输等噪声</w:t>
            </w:r>
          </w:p>
        </w:tc>
        <w:tc>
          <w:tcPr>
            <w:tcW w:w="158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Leq(A)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4</w:t>
            </w:r>
          </w:p>
        </w:tc>
        <w:tc>
          <w:tcPr>
            <w:tcW w:w="69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固体废物</w:t>
            </w:r>
          </w:p>
        </w:tc>
        <w:tc>
          <w:tcPr>
            <w:tcW w:w="235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基建施工、人员生活等</w:t>
            </w:r>
          </w:p>
        </w:tc>
        <w:tc>
          <w:tcPr>
            <w:tcW w:w="158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废石、建筑垃圾、生活垃圾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5</w:t>
            </w:r>
          </w:p>
        </w:tc>
        <w:tc>
          <w:tcPr>
            <w:tcW w:w="69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土壤环境</w:t>
            </w:r>
          </w:p>
        </w:tc>
        <w:tc>
          <w:tcPr>
            <w:tcW w:w="235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施工废水、固废堆存淋滤等</w:t>
            </w:r>
          </w:p>
        </w:tc>
        <w:tc>
          <w:tcPr>
            <w:tcW w:w="158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重金属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6</w:t>
            </w:r>
          </w:p>
        </w:tc>
        <w:tc>
          <w:tcPr>
            <w:tcW w:w="691" w:type="pct"/>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生态环境</w:t>
            </w:r>
          </w:p>
        </w:tc>
        <w:tc>
          <w:tcPr>
            <w:tcW w:w="2358" w:type="pct"/>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土地平整、挖掘及项目占地</w:t>
            </w:r>
          </w:p>
        </w:tc>
        <w:tc>
          <w:tcPr>
            <w:tcW w:w="1586" w:type="pct"/>
            <w:tcBorders>
              <w:bottom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1"/>
              </w:rPr>
              <w:t>水土流失、植被破坏</w:t>
            </w:r>
          </w:p>
        </w:tc>
      </w:tr>
    </w:tbl>
    <w:p>
      <w:pPr>
        <w:pStyle w:val="8"/>
        <w:rPr>
          <w:rFonts w:hint="eastAsia" w:ascii="宋体" w:hAnsi="宋体" w:eastAsia="宋体" w:cs="宋体"/>
        </w:rPr>
      </w:pPr>
      <w:r>
        <w:rPr>
          <w:rFonts w:hint="eastAsia" w:ascii="宋体" w:hAnsi="宋体" w:eastAsia="宋体" w:cs="宋体"/>
          <w:lang w:eastAsia="zh-CN"/>
        </w:rPr>
        <w:t>1.3.1.2 运营期</w:t>
      </w:r>
      <w:r>
        <w:rPr>
          <w:rFonts w:hint="eastAsia" w:ascii="宋体" w:hAnsi="宋体" w:eastAsia="宋体" w:cs="宋体"/>
        </w:rPr>
        <w:t>环境影响识别</w:t>
      </w:r>
    </w:p>
    <w:p>
      <w:pPr>
        <w:ind w:firstLine="560"/>
        <w:rPr>
          <w:rFonts w:hint="eastAsia" w:ascii="宋体" w:hAnsi="宋体" w:eastAsia="宋体" w:cs="宋体"/>
          <w:lang w:eastAsia="zh-CN"/>
        </w:rPr>
      </w:pPr>
      <w:r>
        <w:rPr>
          <w:rFonts w:hint="eastAsia" w:ascii="宋体" w:hAnsi="宋体" w:eastAsia="宋体" w:cs="宋体"/>
          <w:lang w:eastAsia="zh-CN"/>
        </w:rPr>
        <w:t>根据项目工程特性及区域地理环境特征，经分析识别，项目运营期间对区域环境空气、地表水和地下水、声环境、土壤环境和生态环境均存在不同程度的影响，同时具有一定的环境风险。运营期主要环境影响识别</w:t>
      </w:r>
      <w:r>
        <w:rPr>
          <w:rFonts w:hint="eastAsia" w:ascii="宋体" w:hAnsi="宋体" w:eastAsia="宋体" w:cs="宋体"/>
        </w:rPr>
        <w:fldChar w:fldCharType="begin"/>
      </w:r>
      <w:r>
        <w:rPr>
          <w:rFonts w:hint="eastAsia" w:ascii="宋体" w:hAnsi="宋体" w:eastAsia="宋体" w:cs="宋体"/>
        </w:rPr>
        <w:instrText xml:space="preserve"> HYPERLINK \l "_bookmark5" </w:instrText>
      </w:r>
      <w:r>
        <w:rPr>
          <w:rFonts w:hint="eastAsia" w:ascii="宋体" w:hAnsi="宋体" w:eastAsia="宋体" w:cs="宋体"/>
        </w:rPr>
        <w:fldChar w:fldCharType="separate"/>
      </w:r>
      <w:r>
        <w:rPr>
          <w:rFonts w:hint="eastAsia" w:ascii="宋体" w:hAnsi="宋体" w:eastAsia="宋体" w:cs="宋体"/>
          <w:lang w:eastAsia="zh-CN"/>
        </w:rPr>
        <w:t>见表1.3.1-2</w:t>
      </w:r>
      <w:r>
        <w:rPr>
          <w:rFonts w:hint="eastAsia" w:ascii="宋体" w:hAnsi="宋体" w:eastAsia="宋体" w:cs="宋体"/>
          <w:lang w:eastAsia="zh-CN"/>
        </w:rPr>
        <w:fldChar w:fldCharType="end"/>
      </w:r>
      <w:r>
        <w:rPr>
          <w:rFonts w:hint="eastAsia" w:ascii="宋体" w:hAnsi="宋体" w:eastAsia="宋体" w:cs="宋体"/>
          <w:lang w:eastAsia="zh-CN"/>
        </w:rPr>
        <w:t>。</w:t>
      </w:r>
    </w:p>
    <w:p>
      <w:pPr>
        <w:tabs>
          <w:tab w:val="left" w:pos="4004"/>
        </w:tabs>
        <w:spacing w:line="240" w:lineRule="auto"/>
        <w:ind w:firstLine="0" w:firstLineChars="0"/>
        <w:jc w:val="center"/>
        <w:rPr>
          <w:rFonts w:hint="eastAsia" w:ascii="宋体" w:hAnsi="宋体" w:eastAsia="宋体" w:cs="宋体"/>
          <w:b/>
          <w:sz w:val="24"/>
          <w:lang w:eastAsia="zh-CN"/>
        </w:rPr>
      </w:pPr>
      <w:bookmarkStart w:id="37" w:name="_bookmark5"/>
      <w:bookmarkEnd w:id="37"/>
      <w:r>
        <w:rPr>
          <w:rFonts w:hint="eastAsia" w:ascii="宋体" w:hAnsi="宋体" w:eastAsia="宋体" w:cs="宋体"/>
          <w:b/>
          <w:sz w:val="24"/>
          <w:lang w:eastAsia="zh-CN"/>
        </w:rPr>
        <w:t>表1.3.1-2 运营期主要环境影响识别一览表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317"/>
        <w:gridCol w:w="3171"/>
        <w:gridCol w:w="4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64" w:type="pct"/>
            <w:tcBorders>
              <w:top w:val="single" w:color="auto" w:sz="12" w:space="0"/>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序号</w:t>
            </w:r>
          </w:p>
        </w:tc>
        <w:tc>
          <w:tcPr>
            <w:tcW w:w="709" w:type="pct"/>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环境要素</w:t>
            </w:r>
          </w:p>
        </w:tc>
        <w:tc>
          <w:tcPr>
            <w:tcW w:w="1707" w:type="pct"/>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 xml:space="preserve">产生影响的主要因素 </w:t>
            </w:r>
          </w:p>
        </w:tc>
        <w:tc>
          <w:tcPr>
            <w:tcW w:w="2217" w:type="pct"/>
            <w:tcBorders>
              <w:top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主要污染因子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1</w:t>
            </w:r>
          </w:p>
        </w:tc>
        <w:tc>
          <w:tcPr>
            <w:tcW w:w="70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rPr>
              <w:t>环境空气</w:t>
            </w:r>
          </w:p>
        </w:tc>
        <w:tc>
          <w:tcPr>
            <w:tcW w:w="1707" w:type="pct"/>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bCs/>
                <w:sz w:val="21"/>
                <w:szCs w:val="21"/>
                <w:lang w:eastAsia="zh-CN"/>
              </w:rPr>
              <w:t>爆破废气、风井粉尘、皮带运输等</w:t>
            </w:r>
          </w:p>
        </w:tc>
        <w:tc>
          <w:tcPr>
            <w:tcW w:w="2217"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rPr>
              <w:t>TSP、PM</w:t>
            </w:r>
            <w:r>
              <w:rPr>
                <w:rFonts w:hint="eastAsia" w:ascii="宋体" w:hAnsi="宋体" w:eastAsia="宋体" w:cs="宋体"/>
                <w:position w:val="-1"/>
                <w:sz w:val="21"/>
                <w:szCs w:val="21"/>
                <w:vertAlign w:val="subscript"/>
              </w:rPr>
              <w:t>10</w:t>
            </w:r>
            <w:r>
              <w:rPr>
                <w:rFonts w:hint="eastAsia" w:ascii="宋体" w:hAnsi="宋体" w:eastAsia="宋体" w:cs="宋体"/>
                <w:sz w:val="21"/>
                <w:szCs w:val="21"/>
              </w:rPr>
              <w:t>、PM</w:t>
            </w:r>
            <w:r>
              <w:rPr>
                <w:rFonts w:hint="eastAsia" w:ascii="宋体" w:hAnsi="宋体" w:eastAsia="宋体" w:cs="宋体"/>
                <w:position w:val="-1"/>
                <w:sz w:val="21"/>
                <w:szCs w:val="21"/>
                <w:vertAlign w:val="subscript"/>
              </w:rPr>
              <w:t>2.5</w:t>
            </w:r>
            <w:r>
              <w:rPr>
                <w:rFonts w:hint="eastAsia" w:ascii="宋体" w:hAnsi="宋体" w:eastAsia="宋体" w:cs="宋体"/>
                <w:sz w:val="21"/>
                <w:szCs w:val="21"/>
              </w:rPr>
              <w:t>、</w:t>
            </w:r>
            <w:r>
              <w:rPr>
                <w:rFonts w:hint="eastAsia" w:ascii="宋体" w:hAnsi="宋体" w:eastAsia="宋体" w:cs="宋体"/>
                <w:w w:val="95"/>
                <w:sz w:val="21"/>
                <w:szCs w:val="22"/>
              </w:rPr>
              <w:t>CO</w:t>
            </w:r>
            <w:r>
              <w:rPr>
                <w:rFonts w:hint="eastAsia" w:ascii="宋体" w:hAnsi="宋体" w:eastAsia="宋体" w:cs="宋体"/>
                <w:w w:val="95"/>
                <w:sz w:val="21"/>
                <w:szCs w:val="22"/>
                <w:lang w:eastAsia="zh-CN"/>
              </w:rPr>
              <w:t>、</w:t>
            </w:r>
            <w:r>
              <w:rPr>
                <w:rFonts w:hint="eastAsia" w:ascii="宋体" w:hAnsi="宋体" w:eastAsia="宋体" w:cs="宋体"/>
                <w:bCs/>
                <w:sz w:val="21"/>
                <w:szCs w:val="21"/>
                <w:lang w:eastAsia="zh-CN"/>
              </w:rPr>
              <w:t>NO</w:t>
            </w:r>
            <w:r>
              <w:rPr>
                <w:rFonts w:hint="eastAsia" w:ascii="宋体" w:hAnsi="宋体" w:eastAsia="宋体" w:cs="宋体"/>
                <w:bCs/>
                <w:sz w:val="21"/>
                <w:szCs w:val="21"/>
                <w:vertAlign w:val="subscript"/>
                <w:lang w:eastAsia="zh-CN"/>
              </w:rPr>
              <w:t>X</w:t>
            </w:r>
            <w:r>
              <w:rPr>
                <w:rFonts w:hint="eastAsia" w:ascii="宋体" w:hAnsi="宋体" w:eastAsia="宋体" w:cs="宋体"/>
                <w:bCs/>
                <w:sz w:val="21"/>
                <w:szCs w:val="21"/>
                <w:lang w:eastAsia="zh-CN"/>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2</w:t>
            </w:r>
          </w:p>
        </w:tc>
        <w:tc>
          <w:tcPr>
            <w:tcW w:w="70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水环境</w:t>
            </w:r>
          </w:p>
        </w:tc>
        <w:tc>
          <w:tcPr>
            <w:tcW w:w="1707" w:type="pct"/>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矿井涌水</w:t>
            </w:r>
          </w:p>
        </w:tc>
        <w:tc>
          <w:tcPr>
            <w:tcW w:w="2217"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bCs/>
                <w:sz w:val="21"/>
                <w:szCs w:val="21"/>
                <w:lang w:eastAsia="zh-CN"/>
              </w:rPr>
              <w:t>SS、全盐量、氟化物、铜、锰、锌、铅、镉、砷、六价铬、镍、汞、钴等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3</w:t>
            </w:r>
          </w:p>
        </w:tc>
        <w:tc>
          <w:tcPr>
            <w:tcW w:w="70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声环境</w:t>
            </w:r>
          </w:p>
        </w:tc>
        <w:tc>
          <w:tcPr>
            <w:tcW w:w="1707" w:type="pct"/>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风机、爆破等</w:t>
            </w:r>
          </w:p>
        </w:tc>
        <w:tc>
          <w:tcPr>
            <w:tcW w:w="2217"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Leq(A)、振动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4</w:t>
            </w:r>
          </w:p>
        </w:tc>
        <w:tc>
          <w:tcPr>
            <w:tcW w:w="70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固体废物</w:t>
            </w:r>
          </w:p>
        </w:tc>
        <w:tc>
          <w:tcPr>
            <w:tcW w:w="1707" w:type="pct"/>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采矿、涌水池、机械维修、人员生活等</w:t>
            </w:r>
          </w:p>
        </w:tc>
        <w:tc>
          <w:tcPr>
            <w:tcW w:w="2217"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废石、污泥、</w:t>
            </w:r>
            <w:r>
              <w:rPr>
                <w:rFonts w:hint="eastAsia" w:ascii="宋体" w:hAnsi="宋体" w:eastAsia="宋体" w:cs="宋体"/>
                <w:sz w:val="21"/>
                <w:szCs w:val="21"/>
                <w:lang w:eastAsia="zh-CN"/>
              </w:rPr>
              <w:t>废矿物油、废油桶、</w:t>
            </w:r>
            <w:r>
              <w:rPr>
                <w:rFonts w:hint="eastAsia" w:ascii="宋体" w:hAnsi="宋体" w:eastAsia="宋体" w:cs="宋体"/>
                <w:bCs/>
                <w:sz w:val="21"/>
                <w:szCs w:val="21"/>
                <w:lang w:eastAsia="zh-CN"/>
              </w:rPr>
              <w:t>生活垃圾等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5</w:t>
            </w:r>
          </w:p>
        </w:tc>
        <w:tc>
          <w:tcPr>
            <w:tcW w:w="70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土壤环境</w:t>
            </w:r>
          </w:p>
        </w:tc>
        <w:tc>
          <w:tcPr>
            <w:tcW w:w="1707" w:type="pct"/>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风井粉尘沉降、废石堆存、涌水下渗、危废暂存间垂直入渗等</w:t>
            </w:r>
          </w:p>
        </w:tc>
        <w:tc>
          <w:tcPr>
            <w:tcW w:w="2217"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砷、镉、铜、铅、汞、镍等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6</w:t>
            </w:r>
          </w:p>
        </w:tc>
        <w:tc>
          <w:tcPr>
            <w:tcW w:w="70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生态环境</w:t>
            </w:r>
          </w:p>
        </w:tc>
        <w:tc>
          <w:tcPr>
            <w:tcW w:w="1707" w:type="pct"/>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地下水疏干、采空区塌陷、地表位移等</w:t>
            </w:r>
          </w:p>
        </w:tc>
        <w:tc>
          <w:tcPr>
            <w:tcW w:w="2217"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地形地貌、植被、动物、生物多样性、土壤、景观、水土流失量、地表变形等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left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7</w:t>
            </w:r>
          </w:p>
        </w:tc>
        <w:tc>
          <w:tcPr>
            <w:tcW w:w="709" w:type="pct"/>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环境风险</w:t>
            </w:r>
          </w:p>
        </w:tc>
        <w:tc>
          <w:tcPr>
            <w:tcW w:w="1707" w:type="pct"/>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炸药爆炸、地面塌陷、地下水透水等</w:t>
            </w:r>
          </w:p>
        </w:tc>
        <w:tc>
          <w:tcPr>
            <w:tcW w:w="2217" w:type="pct"/>
            <w:tcBorders>
              <w:bottom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环境风险</w:t>
            </w:r>
          </w:p>
        </w:tc>
      </w:tr>
    </w:tbl>
    <w:p>
      <w:pPr>
        <w:pStyle w:val="8"/>
        <w:rPr>
          <w:rFonts w:hint="eastAsia" w:ascii="宋体" w:hAnsi="宋体" w:eastAsia="宋体" w:cs="宋体"/>
        </w:rPr>
      </w:pPr>
      <w:r>
        <w:rPr>
          <w:rFonts w:hint="eastAsia" w:ascii="宋体" w:hAnsi="宋体" w:eastAsia="宋体" w:cs="宋体"/>
          <w:lang w:eastAsia="zh-CN"/>
        </w:rPr>
        <w:t xml:space="preserve">1.3.1.3 </w:t>
      </w:r>
      <w:r>
        <w:rPr>
          <w:rFonts w:hint="eastAsia" w:ascii="宋体" w:hAnsi="宋体" w:eastAsia="宋体" w:cs="宋体"/>
        </w:rPr>
        <w:t>服务期满后</w:t>
      </w:r>
    </w:p>
    <w:p>
      <w:pPr>
        <w:ind w:firstLine="560"/>
        <w:rPr>
          <w:rFonts w:hint="eastAsia" w:ascii="宋体" w:hAnsi="宋体" w:eastAsia="宋体" w:cs="宋体"/>
          <w:lang w:eastAsia="zh-CN"/>
        </w:rPr>
      </w:pPr>
      <w:r>
        <w:rPr>
          <w:rFonts w:hint="eastAsia" w:ascii="宋体" w:hAnsi="宋体" w:eastAsia="宋体" w:cs="宋体"/>
          <w:lang w:eastAsia="zh-CN"/>
        </w:rPr>
        <w:t>服务期满后对工业场地、运输道路等破坏土地进行复垦过程中的主要环境影响，见</w:t>
      </w:r>
      <w:r>
        <w:rPr>
          <w:rFonts w:hint="eastAsia" w:ascii="宋体" w:hAnsi="宋体" w:eastAsia="宋体" w:cs="宋体"/>
        </w:rPr>
        <w:fldChar w:fldCharType="begin"/>
      </w:r>
      <w:r>
        <w:rPr>
          <w:rFonts w:hint="eastAsia" w:ascii="宋体" w:hAnsi="宋体" w:eastAsia="宋体" w:cs="宋体"/>
        </w:rPr>
        <w:instrText xml:space="preserve"> HYPERLINK \l "_bookmark6" </w:instrText>
      </w:r>
      <w:r>
        <w:rPr>
          <w:rFonts w:hint="eastAsia" w:ascii="宋体" w:hAnsi="宋体" w:eastAsia="宋体" w:cs="宋体"/>
        </w:rPr>
        <w:fldChar w:fldCharType="separate"/>
      </w:r>
      <w:r>
        <w:rPr>
          <w:rFonts w:hint="eastAsia" w:ascii="宋体" w:hAnsi="宋体" w:eastAsia="宋体" w:cs="宋体"/>
          <w:lang w:eastAsia="zh-CN"/>
        </w:rPr>
        <w:t>表</w:t>
      </w:r>
      <w:r>
        <w:rPr>
          <w:rFonts w:hint="eastAsia" w:ascii="宋体" w:hAnsi="宋体" w:eastAsia="宋体" w:cs="宋体"/>
          <w:lang w:eastAsia="zh-CN"/>
        </w:rPr>
        <w:fldChar w:fldCharType="end"/>
      </w:r>
      <w:r>
        <w:rPr>
          <w:rFonts w:hint="eastAsia" w:ascii="宋体" w:hAnsi="宋体" w:eastAsia="宋体" w:cs="宋体"/>
        </w:rPr>
        <w:fldChar w:fldCharType="begin"/>
      </w:r>
      <w:r>
        <w:rPr>
          <w:rFonts w:hint="eastAsia" w:ascii="宋体" w:hAnsi="宋体" w:eastAsia="宋体" w:cs="宋体"/>
        </w:rPr>
        <w:instrText xml:space="preserve"> HYPERLINK \l "_bookmark6" </w:instrText>
      </w:r>
      <w:r>
        <w:rPr>
          <w:rFonts w:hint="eastAsia" w:ascii="宋体" w:hAnsi="宋体" w:eastAsia="宋体" w:cs="宋体"/>
        </w:rPr>
        <w:fldChar w:fldCharType="separate"/>
      </w:r>
      <w:r>
        <w:rPr>
          <w:rFonts w:hint="eastAsia" w:ascii="宋体" w:hAnsi="宋体" w:eastAsia="宋体" w:cs="宋体"/>
          <w:lang w:eastAsia="zh-CN"/>
        </w:rPr>
        <w:t>1.3.1-3</w:t>
      </w:r>
      <w:r>
        <w:rPr>
          <w:rFonts w:hint="eastAsia" w:ascii="宋体" w:hAnsi="宋体" w:eastAsia="宋体" w:cs="宋体"/>
          <w:lang w:eastAsia="zh-CN"/>
        </w:rPr>
        <w:fldChar w:fldCharType="end"/>
      </w:r>
      <w:r>
        <w:rPr>
          <w:rFonts w:hint="eastAsia" w:ascii="宋体" w:hAnsi="宋体" w:eastAsia="宋体" w:cs="宋体"/>
          <w:lang w:eastAsia="zh-CN"/>
        </w:rPr>
        <w:t>。</w:t>
      </w:r>
    </w:p>
    <w:p>
      <w:pPr>
        <w:tabs>
          <w:tab w:val="left" w:pos="4004"/>
        </w:tabs>
        <w:spacing w:line="240" w:lineRule="auto"/>
        <w:ind w:firstLine="0" w:firstLineChars="0"/>
        <w:jc w:val="center"/>
        <w:rPr>
          <w:rFonts w:hint="eastAsia" w:ascii="宋体" w:hAnsi="宋体" w:eastAsia="宋体" w:cs="宋体"/>
          <w:b/>
          <w:sz w:val="24"/>
          <w:lang w:eastAsia="zh-CN"/>
        </w:rPr>
      </w:pPr>
      <w:bookmarkStart w:id="38" w:name="_bookmark6"/>
      <w:bookmarkEnd w:id="38"/>
      <w:r>
        <w:rPr>
          <w:rFonts w:hint="eastAsia" w:ascii="宋体" w:hAnsi="宋体" w:eastAsia="宋体" w:cs="宋体"/>
          <w:b/>
          <w:sz w:val="24"/>
          <w:lang w:eastAsia="zh-CN"/>
        </w:rPr>
        <w:t>表1.3.1-3 服务期满后对环境的影响一览表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226"/>
        <w:gridCol w:w="4129"/>
        <w:gridCol w:w="32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序号</w:t>
            </w:r>
          </w:p>
        </w:tc>
        <w:tc>
          <w:tcPr>
            <w:tcW w:w="6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环境要素</w:t>
            </w:r>
          </w:p>
        </w:tc>
        <w:tc>
          <w:tcPr>
            <w:tcW w:w="222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 xml:space="preserve">产生影响的主要因素 </w:t>
            </w:r>
          </w:p>
        </w:tc>
        <w:tc>
          <w:tcPr>
            <w:tcW w:w="175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主要污染因子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1</w:t>
            </w:r>
          </w:p>
        </w:tc>
        <w:tc>
          <w:tcPr>
            <w:tcW w:w="660"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rPr>
              <w:t>环境空气</w:t>
            </w:r>
          </w:p>
        </w:tc>
        <w:tc>
          <w:tcPr>
            <w:tcW w:w="222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sz w:val="21"/>
                <w:szCs w:val="22"/>
              </w:rPr>
              <w:t>土地平整、挖掘</w:t>
            </w:r>
          </w:p>
        </w:tc>
        <w:tc>
          <w:tcPr>
            <w:tcW w:w="175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扬尘等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p>
        </w:tc>
        <w:tc>
          <w:tcPr>
            <w:tcW w:w="660"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p>
        </w:tc>
        <w:tc>
          <w:tcPr>
            <w:tcW w:w="222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sz w:val="21"/>
                <w:szCs w:val="22"/>
              </w:rPr>
              <w:t>施工车辆尾气及扬尘</w:t>
            </w:r>
          </w:p>
        </w:tc>
        <w:tc>
          <w:tcPr>
            <w:tcW w:w="175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w w:val="95"/>
                <w:sz w:val="21"/>
                <w:szCs w:val="21"/>
              </w:rPr>
              <w:t>CO、NO</w:t>
            </w:r>
            <w:r>
              <w:rPr>
                <w:rFonts w:hint="eastAsia" w:ascii="宋体" w:hAnsi="宋体" w:eastAsia="宋体" w:cs="宋体"/>
                <w:w w:val="95"/>
                <w:position w:val="-1"/>
                <w:sz w:val="21"/>
                <w:szCs w:val="21"/>
                <w:vertAlign w:val="subscript"/>
                <w:lang w:eastAsia="zh-CN"/>
              </w:rPr>
              <w:t>2</w:t>
            </w:r>
            <w:r>
              <w:rPr>
                <w:rFonts w:hint="eastAsia" w:ascii="宋体" w:hAnsi="宋体" w:eastAsia="宋体" w:cs="宋体"/>
                <w:w w:val="95"/>
                <w:sz w:val="21"/>
                <w:szCs w:val="21"/>
              </w:rPr>
              <w:t>、</w:t>
            </w:r>
            <w:r>
              <w:rPr>
                <w:rFonts w:hint="eastAsia" w:ascii="宋体" w:hAnsi="宋体" w:eastAsia="宋体" w:cs="宋体"/>
                <w:sz w:val="21"/>
                <w:szCs w:val="21"/>
                <w:lang w:eastAsia="zh-CN"/>
              </w:rPr>
              <w:t>扬尘等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2</w:t>
            </w:r>
          </w:p>
        </w:tc>
        <w:tc>
          <w:tcPr>
            <w:tcW w:w="6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水环境</w:t>
            </w:r>
          </w:p>
        </w:tc>
        <w:tc>
          <w:tcPr>
            <w:tcW w:w="222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2"/>
              </w:rPr>
              <w:t>施工人员生活污水等</w:t>
            </w:r>
          </w:p>
        </w:tc>
        <w:tc>
          <w:tcPr>
            <w:tcW w:w="175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rPr>
              <w:t>COD</w:t>
            </w:r>
            <w:r>
              <w:rPr>
                <w:rFonts w:hint="eastAsia" w:ascii="宋体" w:hAnsi="宋体" w:eastAsia="宋体" w:cs="宋体"/>
                <w:position w:val="-1"/>
                <w:sz w:val="21"/>
                <w:szCs w:val="21"/>
              </w:rPr>
              <w:t>cr</w:t>
            </w:r>
            <w:r>
              <w:rPr>
                <w:rFonts w:hint="eastAsia" w:ascii="宋体" w:hAnsi="宋体" w:eastAsia="宋体" w:cs="宋体"/>
                <w:sz w:val="21"/>
                <w:szCs w:val="21"/>
              </w:rPr>
              <w:t>、BOD</w:t>
            </w:r>
            <w:r>
              <w:rPr>
                <w:rFonts w:hint="eastAsia" w:ascii="宋体" w:hAnsi="宋体" w:eastAsia="宋体" w:cs="宋体"/>
                <w:position w:val="-1"/>
                <w:sz w:val="21"/>
                <w:szCs w:val="21"/>
                <w:vertAlign w:val="subscript"/>
              </w:rPr>
              <w:t>5</w:t>
            </w:r>
            <w:r>
              <w:rPr>
                <w:rFonts w:hint="eastAsia" w:ascii="宋体" w:hAnsi="宋体" w:eastAsia="宋体" w:cs="宋体"/>
                <w:sz w:val="21"/>
                <w:szCs w:val="21"/>
              </w:rPr>
              <w:t>、SS</w:t>
            </w:r>
            <w:r>
              <w:rPr>
                <w:rFonts w:hint="eastAsia" w:ascii="宋体" w:hAnsi="宋体" w:eastAsia="宋体" w:cs="宋体"/>
                <w:sz w:val="21"/>
                <w:szCs w:val="21"/>
                <w:lang w:eastAsia="zh-CN"/>
              </w:rPr>
              <w:t>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3</w:t>
            </w:r>
          </w:p>
        </w:tc>
        <w:tc>
          <w:tcPr>
            <w:tcW w:w="6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声环境</w:t>
            </w:r>
          </w:p>
        </w:tc>
        <w:tc>
          <w:tcPr>
            <w:tcW w:w="222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2"/>
                <w:lang w:eastAsia="zh-CN"/>
              </w:rPr>
              <w:t>施工机械作业、车辆运输</w:t>
            </w:r>
          </w:p>
        </w:tc>
        <w:tc>
          <w:tcPr>
            <w:tcW w:w="175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rPr>
              <w:t>噪声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4</w:t>
            </w:r>
          </w:p>
        </w:tc>
        <w:tc>
          <w:tcPr>
            <w:tcW w:w="6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固体废物</w:t>
            </w:r>
          </w:p>
        </w:tc>
        <w:tc>
          <w:tcPr>
            <w:tcW w:w="222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2"/>
                <w:lang w:eastAsia="zh-CN"/>
              </w:rPr>
              <w:t>工业场地、风井场地等拆除</w:t>
            </w:r>
          </w:p>
        </w:tc>
        <w:tc>
          <w:tcPr>
            <w:tcW w:w="175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1"/>
              </w:rPr>
              <w:t>建筑垃圾、生活垃圾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5</w:t>
            </w:r>
          </w:p>
        </w:tc>
        <w:tc>
          <w:tcPr>
            <w:tcW w:w="6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土壤环境</w:t>
            </w:r>
          </w:p>
        </w:tc>
        <w:tc>
          <w:tcPr>
            <w:tcW w:w="222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2"/>
              </w:rPr>
              <w:t>土地平整、挖掘及工程占地</w:t>
            </w:r>
          </w:p>
        </w:tc>
        <w:tc>
          <w:tcPr>
            <w:tcW w:w="175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1"/>
              </w:rPr>
              <w:t>表土改变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6</w:t>
            </w:r>
          </w:p>
        </w:tc>
        <w:tc>
          <w:tcPr>
            <w:tcW w:w="6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生态环境</w:t>
            </w:r>
          </w:p>
        </w:tc>
        <w:tc>
          <w:tcPr>
            <w:tcW w:w="222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2"/>
              </w:rPr>
              <w:t>土地平整、挖掘及工程占地</w:t>
            </w:r>
          </w:p>
        </w:tc>
        <w:tc>
          <w:tcPr>
            <w:tcW w:w="175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水土流失、土地功能改变</w:t>
            </w:r>
          </w:p>
        </w:tc>
      </w:tr>
    </w:tbl>
    <w:p>
      <w:pPr>
        <w:pStyle w:val="7"/>
        <w:rPr>
          <w:rFonts w:hint="eastAsia" w:ascii="宋体" w:hAnsi="宋体" w:eastAsia="宋体" w:cs="宋体"/>
          <w:lang w:eastAsia="zh-CN"/>
        </w:rPr>
      </w:pPr>
      <w:r>
        <w:rPr>
          <w:rFonts w:hint="eastAsia" w:ascii="宋体" w:hAnsi="宋体" w:eastAsia="宋体" w:cs="宋体"/>
          <w:lang w:eastAsia="zh-CN"/>
        </w:rPr>
        <w:t>1.3.2 环境影响评价因子的识别与确定</w:t>
      </w:r>
    </w:p>
    <w:p>
      <w:pPr>
        <w:ind w:firstLine="560"/>
        <w:rPr>
          <w:rFonts w:hint="eastAsia" w:ascii="宋体" w:hAnsi="宋体" w:eastAsia="宋体" w:cs="宋体"/>
          <w:lang w:eastAsia="zh-CN"/>
        </w:rPr>
      </w:pPr>
      <w:r>
        <w:rPr>
          <w:rFonts w:hint="eastAsia" w:ascii="宋体" w:hAnsi="宋体" w:eastAsia="宋体" w:cs="宋体"/>
          <w:lang w:eastAsia="zh-CN"/>
        </w:rPr>
        <w:t>根据环境影响识别及环境质量现状，确定本次评价的现状、预测因子详见表1.3.2-1。</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表1.3.2-1 环境影响评价因子一览表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52"/>
        <w:gridCol w:w="913"/>
        <w:gridCol w:w="1390"/>
        <w:gridCol w:w="4930"/>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序号</w:t>
            </w:r>
          </w:p>
        </w:tc>
        <w:tc>
          <w:tcPr>
            <w:tcW w:w="4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环境</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要素</w:t>
            </w:r>
          </w:p>
        </w:tc>
        <w:tc>
          <w:tcPr>
            <w:tcW w:w="74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主要</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 xml:space="preserve">污染源 </w:t>
            </w:r>
          </w:p>
        </w:tc>
        <w:tc>
          <w:tcPr>
            <w:tcW w:w="265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现状评价因子</w:t>
            </w:r>
          </w:p>
        </w:tc>
        <w:tc>
          <w:tcPr>
            <w:tcW w:w="91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1"/>
                <w:lang w:eastAsia="zh-CN"/>
              </w:rPr>
            </w:pPr>
            <w:r>
              <w:rPr>
                <w:rFonts w:hint="eastAsia" w:ascii="宋体" w:hAnsi="宋体" w:eastAsia="宋体" w:cs="宋体"/>
                <w:b/>
                <w:w w:val="95"/>
                <w:sz w:val="21"/>
                <w:szCs w:val="21"/>
                <w:lang w:eastAsia="zh-CN"/>
              </w:rPr>
              <w:t>预测因子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1</w:t>
            </w:r>
          </w:p>
        </w:tc>
        <w:tc>
          <w:tcPr>
            <w:tcW w:w="4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rPr>
              <w:t>环境</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rPr>
              <w:t>空气</w:t>
            </w:r>
          </w:p>
        </w:tc>
        <w:tc>
          <w:tcPr>
            <w:tcW w:w="74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sz w:val="21"/>
                <w:szCs w:val="21"/>
                <w:lang w:eastAsia="zh-CN"/>
              </w:rPr>
              <w:t>井下凿岩、爆破、采掘等</w:t>
            </w:r>
          </w:p>
        </w:tc>
        <w:tc>
          <w:tcPr>
            <w:tcW w:w="265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NO</w:t>
            </w:r>
            <w:r>
              <w:rPr>
                <w:rFonts w:hint="eastAsia" w:ascii="宋体" w:hAnsi="宋体" w:eastAsia="宋体" w:cs="宋体"/>
                <w:bCs/>
                <w:w w:val="95"/>
                <w:sz w:val="21"/>
                <w:szCs w:val="21"/>
                <w:vertAlign w:val="subscript"/>
                <w:lang w:eastAsia="zh-CN"/>
              </w:rPr>
              <w:t>2</w:t>
            </w:r>
            <w:r>
              <w:rPr>
                <w:rFonts w:hint="eastAsia" w:ascii="宋体" w:hAnsi="宋体" w:eastAsia="宋体" w:cs="宋体"/>
                <w:bCs/>
                <w:w w:val="95"/>
                <w:sz w:val="21"/>
                <w:szCs w:val="21"/>
                <w:lang w:eastAsia="zh-CN"/>
              </w:rPr>
              <w:t>、SO</w:t>
            </w:r>
            <w:r>
              <w:rPr>
                <w:rFonts w:hint="eastAsia" w:ascii="宋体" w:hAnsi="宋体" w:eastAsia="宋体" w:cs="宋体"/>
                <w:bCs/>
                <w:w w:val="95"/>
                <w:sz w:val="21"/>
                <w:szCs w:val="21"/>
                <w:vertAlign w:val="subscript"/>
                <w:lang w:eastAsia="zh-CN"/>
              </w:rPr>
              <w:t>2</w:t>
            </w:r>
            <w:r>
              <w:rPr>
                <w:rFonts w:hint="eastAsia" w:ascii="宋体" w:hAnsi="宋体" w:eastAsia="宋体" w:cs="宋体"/>
                <w:bCs/>
                <w:w w:val="95"/>
                <w:sz w:val="21"/>
                <w:szCs w:val="21"/>
                <w:lang w:eastAsia="zh-CN"/>
              </w:rPr>
              <w:t>、TSP、PM</w:t>
            </w:r>
            <w:r>
              <w:rPr>
                <w:rFonts w:hint="eastAsia" w:ascii="宋体" w:hAnsi="宋体" w:eastAsia="宋体" w:cs="宋体"/>
                <w:bCs/>
                <w:w w:val="95"/>
                <w:sz w:val="21"/>
                <w:szCs w:val="21"/>
                <w:vertAlign w:val="subscript"/>
                <w:lang w:eastAsia="zh-CN"/>
              </w:rPr>
              <w:t>10</w:t>
            </w:r>
            <w:r>
              <w:rPr>
                <w:rFonts w:hint="eastAsia" w:ascii="宋体" w:hAnsi="宋体" w:eastAsia="宋体" w:cs="宋体"/>
                <w:bCs/>
                <w:w w:val="95"/>
                <w:sz w:val="21"/>
                <w:szCs w:val="21"/>
                <w:lang w:eastAsia="zh-CN"/>
              </w:rPr>
              <w:t>、PM</w:t>
            </w:r>
            <w:r>
              <w:rPr>
                <w:rFonts w:hint="eastAsia" w:ascii="宋体" w:hAnsi="宋体" w:eastAsia="宋体" w:cs="宋体"/>
                <w:bCs/>
                <w:w w:val="95"/>
                <w:sz w:val="21"/>
                <w:szCs w:val="21"/>
                <w:vertAlign w:val="subscript"/>
                <w:lang w:eastAsia="zh-CN"/>
              </w:rPr>
              <w:t>2.5</w:t>
            </w:r>
            <w:r>
              <w:rPr>
                <w:rFonts w:hint="eastAsia" w:ascii="宋体" w:hAnsi="宋体" w:eastAsia="宋体" w:cs="宋体"/>
                <w:bCs/>
                <w:w w:val="95"/>
                <w:sz w:val="21"/>
                <w:szCs w:val="21"/>
                <w:lang w:eastAsia="zh-CN"/>
              </w:rPr>
              <w:t>、CO、O</w:t>
            </w:r>
            <w:r>
              <w:rPr>
                <w:rFonts w:hint="eastAsia" w:ascii="宋体" w:hAnsi="宋体" w:eastAsia="宋体" w:cs="宋体"/>
                <w:bCs/>
                <w:w w:val="95"/>
                <w:sz w:val="21"/>
                <w:szCs w:val="21"/>
                <w:vertAlign w:val="subscript"/>
                <w:lang w:eastAsia="zh-CN"/>
              </w:rPr>
              <w:t>3</w:t>
            </w:r>
          </w:p>
        </w:tc>
        <w:tc>
          <w:tcPr>
            <w:tcW w:w="91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rPr>
              <w:t>TSP</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2</w:t>
            </w:r>
          </w:p>
        </w:tc>
        <w:tc>
          <w:tcPr>
            <w:tcW w:w="4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地表水</w:t>
            </w:r>
          </w:p>
        </w:tc>
        <w:tc>
          <w:tcPr>
            <w:tcW w:w="74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雨水、生活污水、矿井涌水等</w:t>
            </w:r>
          </w:p>
        </w:tc>
        <w:tc>
          <w:tcPr>
            <w:tcW w:w="265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pH值、溶解氧、全盐量、悬浮物、高锰酸盐指数、化学需氧量（COD）、五日生化需氧量（BOD</w:t>
            </w:r>
            <w:r>
              <w:rPr>
                <w:rFonts w:hint="eastAsia" w:ascii="宋体" w:hAnsi="宋体" w:eastAsia="宋体" w:cs="宋体"/>
                <w:sz w:val="21"/>
                <w:szCs w:val="21"/>
                <w:vertAlign w:val="subscript"/>
                <w:lang w:eastAsia="zh-CN"/>
              </w:rPr>
              <w:t>5</w:t>
            </w:r>
            <w:r>
              <w:rPr>
                <w:rFonts w:hint="eastAsia" w:ascii="宋体" w:hAnsi="宋体" w:eastAsia="宋体" w:cs="宋体"/>
                <w:sz w:val="21"/>
                <w:szCs w:val="21"/>
                <w:lang w:eastAsia="zh-CN"/>
              </w:rPr>
              <w:t>）、氨氮（NH</w:t>
            </w:r>
            <w:r>
              <w:rPr>
                <w:rFonts w:hint="eastAsia" w:ascii="宋体" w:hAnsi="宋体" w:eastAsia="宋体" w:cs="宋体"/>
                <w:sz w:val="21"/>
                <w:szCs w:val="21"/>
                <w:vertAlign w:val="subscript"/>
                <w:lang w:eastAsia="zh-CN"/>
              </w:rPr>
              <w:t>3</w:t>
            </w:r>
            <w:r>
              <w:rPr>
                <w:rFonts w:hint="eastAsia" w:ascii="宋体" w:hAnsi="宋体" w:eastAsia="宋体" w:cs="宋体"/>
                <w:sz w:val="21"/>
                <w:szCs w:val="21"/>
                <w:lang w:eastAsia="zh-CN"/>
              </w:rPr>
              <w:t>-N）、总磷（以P计）、铜、锌、氟化物（以F</w:t>
            </w:r>
            <w:r>
              <w:rPr>
                <w:rFonts w:hint="eastAsia" w:ascii="宋体" w:hAnsi="宋体" w:eastAsia="宋体" w:cs="宋体"/>
                <w:sz w:val="21"/>
                <w:szCs w:val="21"/>
                <w:vertAlign w:val="superscript"/>
                <w:lang w:eastAsia="zh-CN"/>
              </w:rPr>
              <w:t>-</w:t>
            </w:r>
            <w:r>
              <w:rPr>
                <w:rFonts w:hint="eastAsia" w:ascii="宋体" w:hAnsi="宋体" w:eastAsia="宋体" w:cs="宋体"/>
                <w:sz w:val="21"/>
                <w:szCs w:val="21"/>
                <w:lang w:eastAsia="zh-CN"/>
              </w:rPr>
              <w:t>计）、硒、砷、汞、镉、铬（六价）、铅、氰化物、挥发酚、石油类、阴离子表面活性剂、硫化物、粪大肠菌群、硫酸盐、氯化物、硝酸盐、铁、锰、铝、钙、镁、钛、银、镍、铬、钴。</w:t>
            </w:r>
          </w:p>
        </w:tc>
        <w:tc>
          <w:tcPr>
            <w:tcW w:w="913"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3</w:t>
            </w:r>
          </w:p>
        </w:tc>
        <w:tc>
          <w:tcPr>
            <w:tcW w:w="4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地下水</w:t>
            </w:r>
          </w:p>
        </w:tc>
        <w:tc>
          <w:tcPr>
            <w:tcW w:w="74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矿井涌水、生产废水、生活污水等</w:t>
            </w:r>
          </w:p>
        </w:tc>
        <w:tc>
          <w:tcPr>
            <w:tcW w:w="265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pH值、溶解性总固体、亚硝酸盐（以N计）、硫酸盐、氯化物、氟化物、硝酸盐（以N计）、耗氧量（COD</w:t>
            </w:r>
            <w:r>
              <w:rPr>
                <w:rFonts w:hint="eastAsia" w:ascii="宋体" w:hAnsi="宋体" w:eastAsia="宋体" w:cs="宋体"/>
                <w:sz w:val="21"/>
                <w:szCs w:val="21"/>
                <w:vertAlign w:val="subscript"/>
                <w:lang w:eastAsia="zh-CN"/>
              </w:rPr>
              <w:t>Mn</w:t>
            </w:r>
            <w:r>
              <w:rPr>
                <w:rFonts w:hint="eastAsia" w:ascii="宋体" w:hAnsi="宋体" w:eastAsia="宋体" w:cs="宋体"/>
                <w:sz w:val="21"/>
                <w:szCs w:val="21"/>
                <w:lang w:eastAsia="zh-CN"/>
              </w:rPr>
              <w:t>法，以O</w:t>
            </w:r>
            <w:r>
              <w:rPr>
                <w:rFonts w:hint="eastAsia" w:ascii="宋体" w:hAnsi="宋体" w:eastAsia="宋体" w:cs="宋体"/>
                <w:sz w:val="21"/>
                <w:szCs w:val="21"/>
                <w:vertAlign w:val="subscript"/>
                <w:lang w:eastAsia="zh-CN"/>
              </w:rPr>
              <w:t>2</w:t>
            </w:r>
            <w:r>
              <w:rPr>
                <w:rFonts w:hint="eastAsia" w:ascii="宋体" w:hAnsi="宋体" w:eastAsia="宋体" w:cs="宋体"/>
                <w:sz w:val="21"/>
                <w:szCs w:val="21"/>
                <w:lang w:eastAsia="zh-CN"/>
              </w:rPr>
              <w:t>计）、氨氮（以N计）、硫化物、铁、锰、铜、锌、汞、砷、铬（六价）、氰化物、挥发酚（以苯酚计）、总硬度、铅、镉、铝、镍、银、钾、钠、钙、镁、铬、总大肠菌群、菌落总数、石油类、碳酸根、碳酸氢根、钛、钴</w:t>
            </w:r>
          </w:p>
        </w:tc>
        <w:tc>
          <w:tcPr>
            <w:tcW w:w="91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4</w:t>
            </w:r>
          </w:p>
        </w:tc>
        <w:tc>
          <w:tcPr>
            <w:tcW w:w="4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bCs/>
                <w:sz w:val="21"/>
                <w:szCs w:val="21"/>
              </w:rPr>
              <w:t>声环境</w:t>
            </w:r>
          </w:p>
        </w:tc>
        <w:tc>
          <w:tcPr>
            <w:tcW w:w="74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rPr>
              <w:t>风机、运输</w:t>
            </w:r>
          </w:p>
        </w:tc>
        <w:tc>
          <w:tcPr>
            <w:tcW w:w="2655"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Leq(A)</w:t>
            </w:r>
          </w:p>
        </w:tc>
        <w:tc>
          <w:tcPr>
            <w:tcW w:w="913" w:type="pct"/>
            <w:tcBorders>
              <w:tl2br w:val="nil"/>
              <w:tr2bl w:val="nil"/>
            </w:tcBorders>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sz w:val="21"/>
                <w:szCs w:val="21"/>
              </w:rPr>
              <w:t>L</w:t>
            </w:r>
            <w:r>
              <w:rPr>
                <w:rFonts w:hint="eastAsia" w:ascii="宋体" w:hAnsi="宋体" w:eastAsia="宋体" w:cs="宋体"/>
                <w:sz w:val="21"/>
                <w:szCs w:val="21"/>
                <w:vertAlign w:val="subscript"/>
              </w:rPr>
              <w:t>eq</w:t>
            </w:r>
            <w:r>
              <w:rPr>
                <w:rFonts w:hint="eastAsia" w:ascii="宋体" w:hAnsi="宋体" w:eastAsia="宋体" w:cs="宋体"/>
                <w:sz w:val="21"/>
                <w:szCs w:val="21"/>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5</w:t>
            </w:r>
          </w:p>
        </w:tc>
        <w:tc>
          <w:tcPr>
            <w:tcW w:w="4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土壤</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sz w:val="21"/>
                <w:szCs w:val="21"/>
                <w:lang w:eastAsia="zh-CN"/>
              </w:rPr>
              <w:t>环境</w:t>
            </w:r>
          </w:p>
        </w:tc>
        <w:tc>
          <w:tcPr>
            <w:tcW w:w="74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风井粉尘、废石淋溶水、生产废水、生活污水等</w:t>
            </w:r>
          </w:p>
        </w:tc>
        <w:tc>
          <w:tcPr>
            <w:tcW w:w="2655" w:type="pct"/>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pH值、全盐量、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铁、铝、钙、镁、锰、锌、钛、银、铬、钴、水溶性氟化物、总氟化物、总氰化物</w:t>
            </w:r>
          </w:p>
        </w:tc>
        <w:tc>
          <w:tcPr>
            <w:tcW w:w="91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砷、镉、铜、铅、汞、镍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6</w:t>
            </w:r>
          </w:p>
        </w:tc>
        <w:tc>
          <w:tcPr>
            <w:tcW w:w="4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生态</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1"/>
              </w:rPr>
              <w:t>环境</w:t>
            </w:r>
          </w:p>
        </w:tc>
        <w:tc>
          <w:tcPr>
            <w:tcW w:w="74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地下水疏干、采空区塌陷、地表位移、占地</w:t>
            </w:r>
          </w:p>
        </w:tc>
        <w:tc>
          <w:tcPr>
            <w:tcW w:w="265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生态系统现状、植被现状、动物资源现状、土地利用现状、水土流失及土壤侵蚀现状、生态敏感目标</w:t>
            </w:r>
          </w:p>
        </w:tc>
        <w:tc>
          <w:tcPr>
            <w:tcW w:w="91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土地利用、地形地貌动植物、生物多样性土壤、景观、地面塌陷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lang w:eastAsia="zh-CN"/>
              </w:rPr>
            </w:pPr>
            <w:r>
              <w:rPr>
                <w:rFonts w:hint="eastAsia" w:ascii="宋体" w:hAnsi="宋体" w:eastAsia="宋体" w:cs="宋体"/>
                <w:bCs/>
                <w:w w:val="95"/>
                <w:sz w:val="21"/>
                <w:szCs w:val="21"/>
                <w:lang w:eastAsia="zh-CN"/>
              </w:rPr>
              <w:t>7</w:t>
            </w:r>
          </w:p>
        </w:tc>
        <w:tc>
          <w:tcPr>
            <w:tcW w:w="49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1"/>
              </w:rPr>
              <w:t>风险</w:t>
            </w:r>
          </w:p>
        </w:tc>
        <w:tc>
          <w:tcPr>
            <w:tcW w:w="74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w w:val="95"/>
                <w:sz w:val="21"/>
                <w:szCs w:val="21"/>
                <w:lang w:eastAsia="zh-CN"/>
              </w:rPr>
            </w:pPr>
            <w:r>
              <w:rPr>
                <w:rFonts w:hint="eastAsia" w:ascii="宋体" w:hAnsi="宋体" w:eastAsia="宋体" w:cs="宋体"/>
                <w:sz w:val="21"/>
                <w:szCs w:val="21"/>
                <w:lang w:eastAsia="zh-CN"/>
              </w:rPr>
              <w:t>炸药爆炸、油类泄漏等</w:t>
            </w:r>
          </w:p>
        </w:tc>
        <w:tc>
          <w:tcPr>
            <w:tcW w:w="265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1"/>
              </w:rPr>
              <w:t>--</w:t>
            </w:r>
          </w:p>
        </w:tc>
        <w:tc>
          <w:tcPr>
            <w:tcW w:w="91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w w:val="95"/>
                <w:sz w:val="21"/>
                <w:szCs w:val="21"/>
              </w:rPr>
            </w:pPr>
            <w:r>
              <w:rPr>
                <w:rFonts w:hint="eastAsia" w:ascii="宋体" w:hAnsi="宋体" w:eastAsia="宋体" w:cs="宋体"/>
                <w:sz w:val="21"/>
                <w:szCs w:val="21"/>
              </w:rPr>
              <w:t>--</w:t>
            </w:r>
          </w:p>
        </w:tc>
      </w:tr>
    </w:tbl>
    <w:p>
      <w:pPr>
        <w:pStyle w:val="6"/>
        <w:rPr>
          <w:rFonts w:hint="eastAsia" w:ascii="宋体" w:hAnsi="宋体" w:eastAsia="宋体" w:cs="宋体"/>
        </w:rPr>
      </w:pPr>
      <w:bookmarkStart w:id="39" w:name="_bookmark7"/>
      <w:bookmarkEnd w:id="39"/>
      <w:bookmarkStart w:id="40" w:name="_Toc7941"/>
      <w:bookmarkStart w:id="41" w:name="_Toc21035"/>
      <w:r>
        <w:rPr>
          <w:rFonts w:hint="eastAsia" w:ascii="宋体" w:hAnsi="宋体" w:eastAsia="宋体" w:cs="宋体"/>
          <w:lang w:eastAsia="zh-CN"/>
        </w:rPr>
        <w:t xml:space="preserve">1.4 </w:t>
      </w:r>
      <w:r>
        <w:rPr>
          <w:rFonts w:hint="eastAsia" w:ascii="宋体" w:hAnsi="宋体" w:eastAsia="宋体" w:cs="宋体"/>
        </w:rPr>
        <w:t>评价标准</w:t>
      </w:r>
      <w:bookmarkEnd w:id="40"/>
      <w:bookmarkEnd w:id="41"/>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位于山东省临沂市沂水县和淄博市沂源县交界处沂蒙山区腹地，根据沂水县和沂源县相关文件及项目所在区域的环境功能要求，确定本次环评中各环境要素执行的环境质量标准和污染物排放标准</w:t>
      </w:r>
      <w:r>
        <w:rPr>
          <w:rFonts w:hint="eastAsia" w:cs="宋体"/>
          <w:lang w:eastAsia="zh-CN"/>
        </w:rPr>
        <w:t>：</w:t>
      </w:r>
    </w:p>
    <w:p>
      <w:pPr>
        <w:pStyle w:val="7"/>
        <w:rPr>
          <w:rFonts w:hint="eastAsia" w:ascii="宋体" w:hAnsi="宋体" w:eastAsia="宋体" w:cs="宋体"/>
          <w:lang w:eastAsia="zh-CN"/>
        </w:rPr>
      </w:pPr>
      <w:r>
        <w:rPr>
          <w:rFonts w:hint="eastAsia" w:ascii="宋体" w:hAnsi="宋体" w:eastAsia="宋体" w:cs="宋体"/>
          <w:lang w:eastAsia="zh-CN"/>
        </w:rPr>
        <w:t>1.4.1 环境质量标准</w:t>
      </w:r>
    </w:p>
    <w:p>
      <w:pPr>
        <w:pStyle w:val="8"/>
        <w:rPr>
          <w:rFonts w:hint="eastAsia" w:ascii="宋体" w:hAnsi="宋体" w:eastAsia="宋体" w:cs="宋体"/>
          <w:lang w:eastAsia="zh-CN"/>
        </w:rPr>
      </w:pPr>
      <w:r>
        <w:rPr>
          <w:rFonts w:hint="eastAsia" w:ascii="宋体" w:hAnsi="宋体" w:eastAsia="宋体" w:cs="宋体"/>
          <w:lang w:eastAsia="zh-CN"/>
        </w:rPr>
        <w:t>1.4.1.1 环境空气</w:t>
      </w:r>
    </w:p>
    <w:p>
      <w:pPr>
        <w:ind w:firstLine="560"/>
        <w:rPr>
          <w:rFonts w:hint="eastAsia" w:ascii="宋体" w:hAnsi="宋体" w:eastAsia="宋体" w:cs="宋体"/>
          <w:lang w:eastAsia="zh-CN"/>
        </w:rPr>
      </w:pPr>
      <w:r>
        <w:rPr>
          <w:rFonts w:hint="eastAsia" w:ascii="宋体" w:hAnsi="宋体" w:eastAsia="宋体" w:cs="宋体"/>
          <w:lang w:eastAsia="zh-CN"/>
        </w:rPr>
        <w:t>环境空气执行《环境空气质量标准》（GB 3095-2012）</w:t>
      </w:r>
      <w:r>
        <w:rPr>
          <w:rFonts w:hint="eastAsia" w:cs="宋体"/>
          <w:lang w:eastAsia="zh-CN"/>
        </w:rPr>
        <w:t>及其修改单</w:t>
      </w:r>
      <w:r>
        <w:rPr>
          <w:rFonts w:hint="eastAsia" w:ascii="宋体" w:hAnsi="宋体" w:eastAsia="宋体" w:cs="宋体"/>
          <w:lang w:eastAsia="zh-CN"/>
        </w:rPr>
        <w:t>二级标准，标准限值见表1.4.1-1。</w:t>
      </w:r>
    </w:p>
    <w:p>
      <w:pPr>
        <w:tabs>
          <w:tab w:val="left" w:pos="4004"/>
        </w:tabs>
        <w:spacing w:line="240" w:lineRule="auto"/>
        <w:ind w:firstLine="0" w:firstLineChars="0"/>
        <w:jc w:val="center"/>
        <w:rPr>
          <w:rFonts w:hint="eastAsia" w:ascii="宋体" w:hAnsi="宋体" w:eastAsia="宋体" w:cs="宋体"/>
          <w:b/>
          <w:sz w:val="24"/>
          <w:vertAlign w:val="superscript"/>
          <w:lang w:eastAsia="zh-CN"/>
        </w:rPr>
      </w:pPr>
      <w:r>
        <w:rPr>
          <w:rFonts w:hint="eastAsia" w:ascii="宋体" w:hAnsi="宋体" w:eastAsia="宋体" w:cs="宋体"/>
          <w:b/>
          <w:sz w:val="24"/>
          <w:lang w:eastAsia="zh-CN"/>
        </w:rPr>
        <w:t>表 1.4.1-1 环境空气执行标准浓度限值一览表</w:t>
      </w:r>
    </w:p>
    <w:tbl>
      <w:tblPr>
        <w:tblStyle w:val="24"/>
        <w:tblW w:w="513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61"/>
        <w:gridCol w:w="2609"/>
        <w:gridCol w:w="2639"/>
        <w:gridCol w:w="264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jc w:val="center"/>
        </w:trPr>
        <w:tc>
          <w:tcPr>
            <w:tcW w:w="78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污染物</w:t>
            </w: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取值时间</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单位</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lang w:eastAsia="zh-CN"/>
              </w:rPr>
              <w:t>浓度限值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TSP</w:t>
            </w: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年平均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PM</w:t>
            </w:r>
            <w:r>
              <w:rPr>
                <w:rFonts w:hint="eastAsia" w:ascii="宋体" w:hAnsi="宋体" w:eastAsia="宋体" w:cs="宋体"/>
                <w:position w:val="-1"/>
                <w:sz w:val="21"/>
                <w:szCs w:val="21"/>
                <w:vertAlign w:val="subscript"/>
              </w:rPr>
              <w:t>10</w:t>
            </w: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年平均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position w:val="2"/>
                <w:sz w:val="21"/>
                <w:szCs w:val="21"/>
              </w:rPr>
              <w:t>PM</w:t>
            </w:r>
            <w:r>
              <w:rPr>
                <w:rFonts w:hint="eastAsia" w:ascii="宋体" w:hAnsi="宋体" w:eastAsia="宋体" w:cs="宋体"/>
                <w:sz w:val="21"/>
                <w:szCs w:val="21"/>
                <w:vertAlign w:val="subscript"/>
              </w:rPr>
              <w:t>2.5</w:t>
            </w: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年平均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position w:val="2"/>
                <w:sz w:val="21"/>
                <w:szCs w:val="21"/>
              </w:rPr>
            </w:pP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SO</w:t>
            </w:r>
            <w:r>
              <w:rPr>
                <w:rFonts w:hint="eastAsia" w:ascii="宋体" w:hAnsi="宋体" w:eastAsia="宋体" w:cs="宋体"/>
                <w:position w:val="-1"/>
                <w:sz w:val="21"/>
                <w:szCs w:val="21"/>
                <w:vertAlign w:val="subscript"/>
              </w:rPr>
              <w:t>2</w:t>
            </w: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年平均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NO</w:t>
            </w:r>
            <w:r>
              <w:rPr>
                <w:rFonts w:hint="eastAsia" w:ascii="宋体" w:hAnsi="宋体" w:eastAsia="宋体" w:cs="宋体"/>
                <w:position w:val="-1"/>
                <w:sz w:val="21"/>
                <w:szCs w:val="21"/>
                <w:vertAlign w:val="subscript"/>
              </w:rPr>
              <w:t>2</w:t>
            </w:r>
          </w:p>
        </w:tc>
        <w:tc>
          <w:tcPr>
            <w:tcW w:w="239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年平均</w:t>
            </w:r>
          </w:p>
        </w:tc>
        <w:tc>
          <w:tcPr>
            <w:tcW w:w="241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39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24小时平均</w:t>
            </w:r>
          </w:p>
        </w:tc>
        <w:tc>
          <w:tcPr>
            <w:tcW w:w="241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4"/>
                <w:lang w:eastAsia="zh-CN"/>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239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1小时平均</w:t>
            </w:r>
          </w:p>
        </w:tc>
        <w:tc>
          <w:tcPr>
            <w:tcW w:w="241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CO</w:t>
            </w: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m</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m</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O</w:t>
            </w:r>
            <w:r>
              <w:rPr>
                <w:rFonts w:hint="eastAsia" w:ascii="宋体" w:hAnsi="宋体" w:eastAsia="宋体" w:cs="宋体"/>
                <w:position w:val="-1"/>
                <w:sz w:val="21"/>
                <w:szCs w:val="21"/>
                <w:vertAlign w:val="subscript"/>
              </w:rPr>
              <w:t>3</w:t>
            </w: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日最大</w:t>
            </w:r>
            <w:r>
              <w:rPr>
                <w:rFonts w:hint="eastAsia" w:ascii="宋体" w:hAnsi="宋体" w:eastAsia="宋体" w:cs="宋体"/>
                <w:sz w:val="21"/>
                <w:szCs w:val="21"/>
                <w:lang w:eastAsia="zh-CN"/>
              </w:rPr>
              <w:t>8</w:t>
            </w:r>
            <w:r>
              <w:rPr>
                <w:rFonts w:hint="eastAsia" w:ascii="宋体" w:hAnsi="宋体" w:eastAsia="宋体" w:cs="宋体"/>
                <w:sz w:val="21"/>
                <w:szCs w:val="21"/>
              </w:rPr>
              <w:t>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78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1小时平均</w:t>
            </w:r>
          </w:p>
        </w:tc>
        <w:tc>
          <w:tcPr>
            <w:tcW w:w="1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4"/>
                <w:lang w:eastAsia="zh-CN"/>
              </w:rPr>
              <w:t>μ</w:t>
            </w:r>
            <w:r>
              <w:rPr>
                <w:rFonts w:hint="eastAsia" w:ascii="宋体" w:hAnsi="宋体" w:eastAsia="宋体" w:cs="宋体"/>
                <w:bCs/>
                <w:sz w:val="24"/>
              </w:rPr>
              <w:t>g/m</w:t>
            </w:r>
            <w:r>
              <w:rPr>
                <w:rFonts w:hint="eastAsia" w:ascii="宋体" w:hAnsi="宋体" w:eastAsia="宋体" w:cs="宋体"/>
                <w:bCs/>
                <w:sz w:val="24"/>
                <w:vertAlign w:val="superscript"/>
              </w:rPr>
              <w:t>3</w:t>
            </w:r>
          </w:p>
        </w:tc>
        <w:tc>
          <w:tcPr>
            <w:tcW w:w="1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200</w:t>
            </w:r>
          </w:p>
        </w:tc>
      </w:tr>
    </w:tbl>
    <w:p>
      <w:pPr>
        <w:pStyle w:val="8"/>
        <w:rPr>
          <w:rFonts w:hint="eastAsia" w:ascii="宋体" w:hAnsi="宋体" w:eastAsia="宋体" w:cs="宋体"/>
        </w:rPr>
      </w:pPr>
      <w:r>
        <w:rPr>
          <w:rFonts w:hint="eastAsia" w:ascii="宋体" w:hAnsi="宋体" w:eastAsia="宋体" w:cs="宋体"/>
          <w:lang w:eastAsia="zh-CN"/>
        </w:rPr>
        <w:t xml:space="preserve">1.4.1.2 </w:t>
      </w:r>
      <w:r>
        <w:rPr>
          <w:rFonts w:hint="eastAsia" w:ascii="宋体" w:hAnsi="宋体" w:eastAsia="宋体" w:cs="宋体"/>
        </w:rPr>
        <w:t>地表水</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地跨临沂市沂水县和淄博市沂源县，</w:t>
      </w:r>
      <w:r>
        <w:rPr>
          <w:rFonts w:hint="eastAsia" w:cs="宋体"/>
          <w:lang w:eastAsia="zh-CN"/>
        </w:rPr>
        <w:t>项目周边沂河、龙王峪河执行</w:t>
      </w:r>
      <w:r>
        <w:rPr>
          <w:rFonts w:hint="eastAsia" w:ascii="宋体" w:hAnsi="宋体" w:eastAsia="宋体" w:cs="宋体"/>
          <w:lang w:eastAsia="zh-CN"/>
        </w:rPr>
        <w:t>《地表水环境质量标准》（GB</w:t>
      </w:r>
      <w:r>
        <w:rPr>
          <w:rFonts w:hint="eastAsia" w:cs="宋体"/>
          <w:lang w:val="en-US" w:eastAsia="zh-CN"/>
        </w:rPr>
        <w:t xml:space="preserve"> </w:t>
      </w:r>
      <w:r>
        <w:rPr>
          <w:rFonts w:hint="eastAsia" w:ascii="宋体" w:hAnsi="宋体" w:eastAsia="宋体" w:cs="宋体"/>
          <w:lang w:eastAsia="zh-CN"/>
        </w:rPr>
        <w:t>3838-2002）Ⅳ类水质标准；部分指标执行《地表水环境质量标准》（GB</w:t>
      </w:r>
      <w:r>
        <w:rPr>
          <w:rFonts w:hint="eastAsia" w:cs="宋体"/>
          <w:lang w:val="en-US" w:eastAsia="zh-CN"/>
        </w:rPr>
        <w:t xml:space="preserve"> </w:t>
      </w:r>
      <w:r>
        <w:rPr>
          <w:rFonts w:hint="eastAsia" w:ascii="宋体" w:hAnsi="宋体" w:eastAsia="宋体" w:cs="宋体"/>
          <w:lang w:eastAsia="zh-CN"/>
        </w:rPr>
        <w:t>3838-2002）表2、表3标准；全盐量、悬浮物执行《农田灌溉水质标准》（GB 5084-2021）标准。地表水监测项目限值具体见表1.4.1-2。</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cs="宋体"/>
          <w:b/>
          <w:sz w:val="24"/>
          <w:lang w:eastAsia="zh-CN"/>
        </w:rPr>
        <w:t>表</w:t>
      </w:r>
      <w:r>
        <w:rPr>
          <w:rFonts w:hint="eastAsia" w:ascii="宋体" w:hAnsi="宋体" w:eastAsia="宋体" w:cs="宋体"/>
          <w:b/>
          <w:sz w:val="24"/>
          <w:lang w:eastAsia="zh-CN"/>
        </w:rPr>
        <w:t>1.4.1-2</w:t>
      </w:r>
      <w:r>
        <w:rPr>
          <w:rFonts w:hint="eastAsia" w:cs="宋体"/>
          <w:b/>
          <w:sz w:val="24"/>
          <w:lang w:val="en-US" w:eastAsia="zh-CN"/>
        </w:rPr>
        <w:t xml:space="preserve"> </w:t>
      </w:r>
      <w:r>
        <w:rPr>
          <w:rFonts w:hint="eastAsia" w:ascii="宋体" w:hAnsi="宋体" w:eastAsia="宋体" w:cs="宋体"/>
          <w:b/>
          <w:sz w:val="24"/>
          <w:lang w:eastAsia="zh-CN"/>
        </w:rPr>
        <w:t>地表水监测项目执行标准限值</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64"/>
        <w:gridCol w:w="2166"/>
        <w:gridCol w:w="1451"/>
        <w:gridCol w:w="2595"/>
        <w:gridCol w:w="17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监测项目</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单位</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b/>
                <w:bCs/>
                <w:sz w:val="21"/>
                <w:szCs w:val="21"/>
                <w:highlight w:val="yellow"/>
                <w:lang w:eastAsia="zh-CN"/>
              </w:rPr>
            </w:pPr>
            <w:r>
              <w:rPr>
                <w:rFonts w:hint="eastAsia" w:ascii="宋体" w:hAnsi="宋体" w:eastAsia="宋体" w:cs="宋体"/>
                <w:b/>
                <w:bCs/>
                <w:sz w:val="21"/>
                <w:szCs w:val="21"/>
                <w:lang w:val="en-US" w:eastAsia="zh-CN" w:bidi="ar-SA"/>
              </w:rPr>
              <w:t>限值</w:t>
            </w:r>
          </w:p>
        </w:tc>
        <w:tc>
          <w:tcPr>
            <w:tcW w:w="91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执行标准及等级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pH值</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无量纲</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6~9</w:t>
            </w:r>
          </w:p>
        </w:tc>
        <w:tc>
          <w:tcPr>
            <w:tcW w:w="918"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GB3838-2002 </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表1  Ⅳ类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溶解氧</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≥3</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氟化物</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≤1.5</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高锰酸盐指数</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≤10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化学需氧量</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≤30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氨氮</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≤1.5</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总磷</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≤0.3</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五日生化需氧量</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≤6</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铜</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≤1.0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10</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锌</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≤2.0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镉</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≤0.005</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铅</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≤0.05</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硒</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≤0.02</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14</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砷</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≤0.1</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汞</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≤0.001</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16</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六价铬</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≤0.05</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17</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氰化物</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≤0.2</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18</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挥发酚</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≤0.01</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石油类</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≤0.05</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阴离子表面活性剂</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≤0.3</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21</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硫化物</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≤0.5</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22</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粪大肠菌群</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个/L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≤20000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23</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硫酸盐</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≤250</w:t>
            </w:r>
          </w:p>
        </w:tc>
        <w:tc>
          <w:tcPr>
            <w:tcW w:w="918"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GB3838-2002 </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表2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24</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氯化物</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≤250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25</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硝酸盐</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≤10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铁</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≤0.3</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27</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锰</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≤0.1</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28</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钛</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≤0.1</w:t>
            </w:r>
          </w:p>
        </w:tc>
        <w:tc>
          <w:tcPr>
            <w:tcW w:w="918"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GB3838-2002</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 表3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29</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钴</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≤1.0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镍</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≤0.02</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31</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全盐量</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≤1000</w:t>
            </w:r>
          </w:p>
        </w:tc>
        <w:tc>
          <w:tcPr>
            <w:tcW w:w="918"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GB 5084-2021 </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旱地作物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3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32</w:t>
            </w:r>
          </w:p>
        </w:tc>
        <w:tc>
          <w:tcPr>
            <w:tcW w:w="11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悬浮物</w:t>
            </w:r>
          </w:p>
        </w:tc>
        <w:tc>
          <w:tcPr>
            <w:tcW w:w="78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mg/L</w:t>
            </w:r>
          </w:p>
        </w:tc>
        <w:tc>
          <w:tcPr>
            <w:tcW w:w="2593" w:type="dxa"/>
            <w:tcBorders>
              <w:tl2br w:val="nil"/>
              <w:tr2bl w:val="nil"/>
            </w:tcBorders>
            <w:noWrap/>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eastAsia" w:ascii="宋体" w:hAnsi="宋体" w:eastAsia="宋体" w:cs="宋体"/>
                <w:sz w:val="21"/>
                <w:szCs w:val="21"/>
                <w:highlight w:val="yellow"/>
                <w:lang w:eastAsia="zh-CN"/>
              </w:rPr>
            </w:pPr>
            <w:r>
              <w:rPr>
                <w:rFonts w:hint="eastAsia" w:ascii="宋体" w:hAnsi="宋体" w:eastAsia="宋体" w:cs="宋体"/>
                <w:sz w:val="21"/>
                <w:szCs w:val="21"/>
                <w:lang w:val="en-US" w:eastAsia="zh-CN" w:bidi="ar-SA"/>
              </w:rPr>
              <w:t>100</w:t>
            </w:r>
          </w:p>
        </w:tc>
        <w:tc>
          <w:tcPr>
            <w:tcW w:w="918"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bl>
    <w:p>
      <w:pPr>
        <w:pStyle w:val="8"/>
        <w:rPr>
          <w:rFonts w:hint="eastAsia" w:ascii="宋体" w:hAnsi="宋体" w:eastAsia="宋体" w:cs="宋体"/>
        </w:rPr>
      </w:pPr>
      <w:r>
        <w:rPr>
          <w:rFonts w:hint="eastAsia" w:ascii="宋体" w:hAnsi="宋体" w:eastAsia="宋体" w:cs="宋体"/>
          <w:lang w:eastAsia="zh-CN"/>
        </w:rPr>
        <w:t xml:space="preserve">1.4.1.3 </w:t>
      </w:r>
      <w:r>
        <w:rPr>
          <w:rFonts w:hint="eastAsia" w:ascii="宋体" w:hAnsi="宋体" w:eastAsia="宋体" w:cs="宋体"/>
        </w:rPr>
        <w:t>地下水</w:t>
      </w:r>
    </w:p>
    <w:p>
      <w:pPr>
        <w:ind w:firstLine="560"/>
        <w:rPr>
          <w:rFonts w:hint="eastAsia" w:ascii="宋体" w:hAnsi="宋体" w:eastAsia="宋体" w:cs="宋体"/>
        </w:rPr>
      </w:pPr>
      <w:r>
        <w:rPr>
          <w:rFonts w:hint="eastAsia" w:ascii="宋体" w:hAnsi="宋体" w:eastAsia="宋体" w:cs="宋体"/>
          <w:lang w:eastAsia="zh-CN"/>
        </w:rPr>
        <w:t>地下水环境执行《地下水质量标准》（GB/T14848-2017）中Ⅲ类标准限值要求；钴、镍、银执行《地下水质量标准》（GB/T14848-2017）中表2标准限值要求。具体见</w:t>
      </w:r>
      <w:r>
        <w:rPr>
          <w:rFonts w:hint="eastAsia" w:ascii="宋体" w:hAnsi="宋体" w:eastAsia="宋体" w:cs="宋体"/>
        </w:rPr>
        <w:t>表1.4.1-3。</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rPr>
        <w:t>表 1.4.1-3</w:t>
      </w:r>
      <w:r>
        <w:rPr>
          <w:rFonts w:hint="eastAsia" w:ascii="宋体" w:hAnsi="宋体" w:eastAsia="宋体" w:cs="宋体"/>
          <w:b/>
          <w:sz w:val="24"/>
          <w:lang w:eastAsia="zh-CN"/>
        </w:rPr>
        <w:t xml:space="preserve"> </w:t>
      </w:r>
      <w:r>
        <w:rPr>
          <w:rFonts w:hint="eastAsia" w:ascii="宋体" w:hAnsi="宋体" w:eastAsia="宋体" w:cs="宋体"/>
          <w:b/>
          <w:sz w:val="24"/>
        </w:rPr>
        <w:t>地下水</w:t>
      </w:r>
      <w:r>
        <w:rPr>
          <w:rFonts w:hint="eastAsia" w:ascii="宋体" w:hAnsi="宋体" w:eastAsia="宋体" w:cs="宋体"/>
          <w:b/>
          <w:sz w:val="24"/>
          <w:lang w:eastAsia="zh-CN"/>
        </w:rPr>
        <w:t>环境执行</w:t>
      </w:r>
      <w:r>
        <w:rPr>
          <w:rFonts w:hint="eastAsia" w:ascii="宋体" w:hAnsi="宋体" w:eastAsia="宋体" w:cs="宋体"/>
          <w:b/>
          <w:sz w:val="24"/>
        </w:rPr>
        <w:t>标准</w:t>
      </w:r>
      <w:r>
        <w:rPr>
          <w:rFonts w:hint="eastAsia" w:ascii="宋体" w:hAnsi="宋体" w:eastAsia="宋体" w:cs="宋体"/>
          <w:b/>
          <w:sz w:val="24"/>
          <w:lang w:eastAsia="zh-CN"/>
        </w:rPr>
        <w:t>限值一览表</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07"/>
        <w:gridCol w:w="2787"/>
        <w:gridCol w:w="1604"/>
        <w:gridCol w:w="1907"/>
        <w:gridCol w:w="187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59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监测项目</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1027"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评价标准限值</w:t>
            </w:r>
          </w:p>
        </w:tc>
        <w:tc>
          <w:tcPr>
            <w:tcW w:w="101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w:t>
            </w:r>
          </w:p>
        </w:tc>
        <w:tc>
          <w:tcPr>
            <w:tcW w:w="86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无量纲</w:t>
            </w:r>
          </w:p>
        </w:tc>
        <w:tc>
          <w:tcPr>
            <w:tcW w:w="1027"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6.5≤pH≤8.5</w:t>
            </w:r>
          </w:p>
        </w:tc>
        <w:tc>
          <w:tcPr>
            <w:tcW w:w="1010"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《地下水环境质量标准》（GB/T 14848-2017）表1 Ⅲ类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溶解性总固体</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亚硝酸盐（以N计）</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硫酸盐</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氯化物</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氟化物</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硝酸盐（以N计）</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耗氧量</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氨氮（以N计）</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硫化物</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铁</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锰</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铜</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锌</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汞</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≤0.001</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铬（六价）</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氰化物</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挥发性酚类（以苯酚计）</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总硬度</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铅</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镉</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≤0.005</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铝</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钠</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总大肠菌群</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MPN/100mL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菌落总数</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CFU/mL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≤1000</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钴</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1010"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《地下水环境质量标准》（GB/T 14848-2017）表 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镍</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96" w:type="pct"/>
            <w:tcBorders>
              <w:tl2br w:val="nil"/>
              <w:tr2bl w:val="nil"/>
            </w:tcBorders>
            <w:shd w:val="clear" w:color="auto" w:fill="auto"/>
            <w:noWrap/>
            <w:vAlign w:val="center"/>
          </w:tcPr>
          <w:p>
            <w:pPr>
              <w:pStyle w:val="16"/>
              <w:keepNext w:val="0"/>
              <w:keepLines w:val="0"/>
              <w:numPr>
                <w:ilvl w:val="0"/>
                <w:numId w:val="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0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银</w:t>
            </w:r>
          </w:p>
        </w:tc>
        <w:tc>
          <w:tcPr>
            <w:tcW w:w="86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2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c>
          <w:tcPr>
            <w:tcW w:w="101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bl>
    <w:p>
      <w:pPr>
        <w:pStyle w:val="8"/>
        <w:rPr>
          <w:rFonts w:hint="eastAsia" w:ascii="宋体" w:hAnsi="宋体" w:eastAsia="宋体" w:cs="宋体"/>
        </w:rPr>
      </w:pPr>
      <w:r>
        <w:rPr>
          <w:rFonts w:hint="eastAsia" w:ascii="宋体" w:hAnsi="宋体" w:eastAsia="宋体" w:cs="宋体"/>
          <w:lang w:eastAsia="zh-CN"/>
        </w:rPr>
        <w:t xml:space="preserve">1.4.1.4 </w:t>
      </w:r>
      <w:r>
        <w:rPr>
          <w:rFonts w:hint="eastAsia" w:ascii="宋体" w:hAnsi="宋体" w:eastAsia="宋体" w:cs="宋体"/>
        </w:rPr>
        <w:t>声环境</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周边敏感点执行《声环境质量标准》(GB 3096-2008)2类标准，即昼间60dB(A)、夜间50dB(A)。</w:t>
      </w:r>
    </w:p>
    <w:p>
      <w:pPr>
        <w:pStyle w:val="8"/>
        <w:rPr>
          <w:rFonts w:hint="eastAsia" w:ascii="宋体" w:hAnsi="宋体" w:eastAsia="宋体" w:cs="宋体"/>
          <w:lang w:eastAsia="zh-CN"/>
        </w:rPr>
      </w:pPr>
      <w:r>
        <w:rPr>
          <w:rFonts w:hint="eastAsia" w:ascii="宋体" w:hAnsi="宋体" w:eastAsia="宋体" w:cs="宋体"/>
          <w:lang w:eastAsia="zh-CN"/>
        </w:rPr>
        <w:t>1.4.1.5 土壤</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占地区域土壤执行《土壤环境质量 建设用地土壤污染风险管控标准（试行）》（GB</w:t>
      </w:r>
      <w:r>
        <w:rPr>
          <w:rFonts w:hint="eastAsia" w:cs="宋体"/>
          <w:lang w:val="en-US" w:eastAsia="zh-CN"/>
        </w:rPr>
        <w:t xml:space="preserve"> </w:t>
      </w:r>
      <w:r>
        <w:rPr>
          <w:rFonts w:hint="eastAsia" w:ascii="宋体" w:hAnsi="宋体" w:eastAsia="宋体" w:cs="宋体"/>
          <w:lang w:eastAsia="zh-CN"/>
        </w:rPr>
        <w:t>36600-2018）中的第二类用地筛选值标准，周边农田区域土壤执行《土壤环境质量 农用地土壤污染风险管控标准（试行）》（GB</w:t>
      </w:r>
      <w:r>
        <w:rPr>
          <w:rFonts w:hint="eastAsia" w:cs="宋体"/>
          <w:lang w:val="en-US" w:eastAsia="zh-CN"/>
        </w:rPr>
        <w:t xml:space="preserve"> </w:t>
      </w:r>
      <w:r>
        <w:rPr>
          <w:rFonts w:hint="eastAsia" w:ascii="宋体" w:hAnsi="宋体" w:eastAsia="宋体" w:cs="宋体"/>
          <w:lang w:eastAsia="zh-CN"/>
        </w:rPr>
        <w:t>15618-2018）表1筛选值标准，标准限值详见表1.4.1-4、表1.4.1-5。</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 1.4.1-4 农用地土壤污染风险筛选值（mg/kg）</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903"/>
        <w:gridCol w:w="2163"/>
        <w:gridCol w:w="1547"/>
        <w:gridCol w:w="1547"/>
        <w:gridCol w:w="1547"/>
        <w:gridCol w:w="157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vMerge w:val="restar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
                <w:sz w:val="21"/>
                <w:szCs w:val="21"/>
                <w:lang w:eastAsia="zh-CN"/>
              </w:rPr>
              <w:t>序号</w:t>
            </w:r>
          </w:p>
        </w:tc>
        <w:tc>
          <w:tcPr>
            <w:tcW w:w="116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
                <w:sz w:val="21"/>
                <w:szCs w:val="21"/>
                <w:lang w:eastAsia="zh-CN"/>
              </w:rPr>
              <w:t>检测指标</w:t>
            </w:r>
          </w:p>
        </w:tc>
        <w:tc>
          <w:tcPr>
            <w:tcW w:w="3346" w:type="pct"/>
            <w:gridSpan w:val="4"/>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风险筛选值（mg/kg）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vMerge w:val="continue"/>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116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8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pH≤5.5</w:t>
            </w:r>
          </w:p>
        </w:tc>
        <w:tc>
          <w:tcPr>
            <w:tcW w:w="8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5.5＜pH≤6.5</w:t>
            </w:r>
          </w:p>
        </w:tc>
        <w:tc>
          <w:tcPr>
            <w:tcW w:w="8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6.5＜pH≤7.5</w:t>
            </w:r>
          </w:p>
        </w:tc>
        <w:tc>
          <w:tcPr>
            <w:tcW w:w="84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pH＞7.5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1</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砷</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40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40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30</w:t>
            </w:r>
          </w:p>
        </w:tc>
        <w:tc>
          <w:tcPr>
            <w:tcW w:w="846"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镉</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0.3</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0.3</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0.3</w:t>
            </w:r>
          </w:p>
        </w:tc>
        <w:tc>
          <w:tcPr>
            <w:tcW w:w="846"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3</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汞</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1.3</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1.8</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2.4</w:t>
            </w:r>
          </w:p>
        </w:tc>
        <w:tc>
          <w:tcPr>
            <w:tcW w:w="846"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5</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铜</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150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150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200</w:t>
            </w:r>
          </w:p>
        </w:tc>
        <w:tc>
          <w:tcPr>
            <w:tcW w:w="846"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6</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铅</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70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90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120</w:t>
            </w:r>
          </w:p>
        </w:tc>
        <w:tc>
          <w:tcPr>
            <w:tcW w:w="846"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7</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镍</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60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70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100</w:t>
            </w:r>
          </w:p>
        </w:tc>
        <w:tc>
          <w:tcPr>
            <w:tcW w:w="846"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8</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铬</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150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150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200</w:t>
            </w:r>
          </w:p>
        </w:tc>
        <w:tc>
          <w:tcPr>
            <w:tcW w:w="846"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87"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9</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锌</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200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200</w:t>
            </w:r>
          </w:p>
        </w:tc>
        <w:tc>
          <w:tcPr>
            <w:tcW w:w="833"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250</w:t>
            </w:r>
          </w:p>
        </w:tc>
        <w:tc>
          <w:tcPr>
            <w:tcW w:w="846" w:type="pct"/>
            <w:tcBorders>
              <w:tl2br w:val="nil"/>
              <w:tr2bl w:val="nil"/>
            </w:tcBorders>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bCs/>
                <w:sz w:val="21"/>
                <w:szCs w:val="21"/>
                <w:lang w:eastAsia="zh-CN"/>
              </w:rPr>
              <w:t>300</w:t>
            </w:r>
          </w:p>
        </w:tc>
      </w:tr>
    </w:tbl>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 1.4.1-5 建设用地土壤污染风险筛选值-第二类用地（mg/kg）</w:t>
      </w:r>
    </w:p>
    <w:tbl>
      <w:tblPr>
        <w:tblStyle w:val="2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19"/>
        <w:gridCol w:w="1777"/>
        <w:gridCol w:w="1187"/>
        <w:gridCol w:w="888"/>
        <w:gridCol w:w="639"/>
        <w:gridCol w:w="1859"/>
        <w:gridCol w:w="1209"/>
        <w:gridCol w:w="9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序号</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污染物项目</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CAS 编号</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筛选值</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序号</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污染物项目</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CAS 编号</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筛选值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56" w:type="pct"/>
            <w:gridSpan w:val="4"/>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重金属和无机物</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23</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三氯乙烯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sz w:val="21"/>
                <w:szCs w:val="22"/>
              </w:rPr>
              <w:t>79-01-6</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7440-38-2</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60</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24</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1,2,3-三氯丙烷</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96-18-4</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镉</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7440-43-9</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65</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25</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氯乙烯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sz w:val="21"/>
                <w:szCs w:val="22"/>
              </w:rPr>
              <w:t>75-01-4</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铬（六价）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18540-29-9</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5.7</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26</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71-43-2</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铜</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7440-50-8</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18000</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27</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氯苯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108-90-7</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铅</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7439-92-1</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800</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28</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1,2-二氯苯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95-50-1</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汞</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7439-97-6</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38</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29</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1,4-二氯苯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106-46-7</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镍</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7440-02-0</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900</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30</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乙苯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100-41-4</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456" w:type="pct"/>
            <w:gridSpan w:val="4"/>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b/>
                <w:bCs/>
                <w:color w:val="000000"/>
                <w:sz w:val="21"/>
                <w:szCs w:val="21"/>
                <w:lang w:eastAsia="zh-CN" w:bidi="ar"/>
              </w:rPr>
              <w:t>挥发性有机物</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31</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苯乙烯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100-42-5</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8</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四氯化碳</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56-23-5</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2.8</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32</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甲苯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108-88-3</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1200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氯仿</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67-66-3</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0.9</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33</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间二甲苯+对二甲苯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108-88-3，106-42-3</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氯甲烷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74-87-3</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37</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34</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邻二甲苯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95-47-6</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1,1-二氯乙烷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75-34-3</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w:t>
            </w:r>
          </w:p>
        </w:tc>
        <w:tc>
          <w:tcPr>
            <w:tcW w:w="2543" w:type="pct"/>
            <w:gridSpan w:val="4"/>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半挥发性有机物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1,2-二氯乙烷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107-06-2</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35</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硝基苯</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98-95-3</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13</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1,1-二氯乙烯</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75-35-4</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66</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36</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苯胺</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62-53-3</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14</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顺1,2-二氯乙烯</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156-59-2</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596</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37</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2-氯酚</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95-57-8</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2256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反 1,2-二氯乙烯</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156-60-5</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54</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38</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苯并[a]蒽</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56-55-3</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16</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二氯甲烷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sz w:val="21"/>
                <w:szCs w:val="22"/>
              </w:rPr>
              <w:t>75-09-2</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616</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39</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苯并[a]芘</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50-32-8</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17</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1,2-二氯丙烷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78-87-5</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40</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苯并[b]荧蒽</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205-99-2</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18</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1,1,1,2-四氯乙烷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630-20-6</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41</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苯并[k]荧蒽</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207-08-9</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19</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1,1,2,2-四氯乙烷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79-34-5</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6.8</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42</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䓛</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218-01-9</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1293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20</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四氯乙烯</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127-18-4</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53</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43</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二苯并[a,h]蒽</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53-70-3</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21</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1,1,1-三氯乙烷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71-55-6</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840</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44</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茚并[1,2,3-cd]芘</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193-39-5</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40"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22</w:t>
            </w:r>
          </w:p>
        </w:tc>
        <w:tc>
          <w:tcPr>
            <w:tcW w:w="976"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1,1,2-三氯乙烷</w:t>
            </w:r>
          </w:p>
        </w:tc>
        <w:tc>
          <w:tcPr>
            <w:tcW w:w="652"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79-00-5</w:t>
            </w:r>
          </w:p>
        </w:tc>
        <w:tc>
          <w:tcPr>
            <w:tcW w:w="48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2.8</w:t>
            </w:r>
          </w:p>
        </w:tc>
        <w:tc>
          <w:tcPr>
            <w:tcW w:w="35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45</w:t>
            </w:r>
          </w:p>
        </w:tc>
        <w:tc>
          <w:tcPr>
            <w:tcW w:w="1021"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萘</w:t>
            </w:r>
          </w:p>
        </w:tc>
        <w:tc>
          <w:tcPr>
            <w:tcW w:w="664"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91-20-3</w:t>
            </w:r>
          </w:p>
        </w:tc>
        <w:tc>
          <w:tcPr>
            <w:tcW w:w="507" w:type="pct"/>
            <w:tcBorders>
              <w:tl2br w:val="nil"/>
              <w:tr2bl w:val="nil"/>
            </w:tcBorders>
            <w:tcMar>
              <w:top w:w="15" w:type="dxa"/>
              <w:left w:w="15" w:type="dxa"/>
              <w:right w:w="15" w:type="dxa"/>
            </w:tcMar>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70</w:t>
            </w:r>
          </w:p>
        </w:tc>
      </w:tr>
    </w:tbl>
    <w:p>
      <w:pPr>
        <w:pStyle w:val="7"/>
        <w:rPr>
          <w:rFonts w:hint="eastAsia" w:ascii="宋体" w:hAnsi="宋体" w:eastAsia="宋体" w:cs="宋体"/>
        </w:rPr>
      </w:pPr>
      <w:r>
        <w:rPr>
          <w:rFonts w:hint="eastAsia" w:ascii="宋体" w:hAnsi="宋体" w:eastAsia="宋体" w:cs="宋体"/>
          <w:lang w:eastAsia="zh-CN"/>
        </w:rPr>
        <w:t xml:space="preserve">1.4.2 </w:t>
      </w:r>
      <w:r>
        <w:rPr>
          <w:rFonts w:hint="eastAsia" w:ascii="宋体" w:hAnsi="宋体" w:eastAsia="宋体" w:cs="宋体"/>
        </w:rPr>
        <w:t>污染物排放标准</w:t>
      </w:r>
    </w:p>
    <w:p>
      <w:pPr>
        <w:pStyle w:val="8"/>
        <w:rPr>
          <w:rFonts w:hint="eastAsia" w:ascii="宋体" w:hAnsi="宋体" w:eastAsia="宋体" w:cs="宋体"/>
        </w:rPr>
      </w:pPr>
      <w:r>
        <w:rPr>
          <w:rFonts w:hint="eastAsia" w:ascii="宋体" w:hAnsi="宋体" w:eastAsia="宋体" w:cs="宋体"/>
          <w:lang w:eastAsia="zh-CN"/>
        </w:rPr>
        <w:t xml:space="preserve">1.4.2.1 </w:t>
      </w:r>
      <w:r>
        <w:rPr>
          <w:rFonts w:hint="eastAsia" w:ascii="宋体" w:hAnsi="宋体" w:eastAsia="宋体" w:cs="宋体"/>
        </w:rPr>
        <w:t>废气</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生产过程中排放的主要大气污染物是颗粒物，包括风井、运输、装卸等无组织粉尘。无组织粉尘执行《铁矿采选工业污染物排放标准》（GB 28661-2012）表7中的无组织排放浓度限值，标准限值见表1.4.2-1。</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 1.4.2-1 大气污染物浓度排放限值 单位：mg/m</w:t>
      </w:r>
      <w:r>
        <w:rPr>
          <w:rFonts w:hint="eastAsia" w:ascii="宋体" w:hAnsi="宋体" w:eastAsia="宋体" w:cs="宋体"/>
          <w:b/>
          <w:sz w:val="24"/>
          <w:vertAlign w:val="superscript"/>
          <w:lang w:eastAsia="zh-CN"/>
        </w:rPr>
        <w:t>3</w:t>
      </w:r>
    </w:p>
    <w:tbl>
      <w:tblPr>
        <w:tblStyle w:val="24"/>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041"/>
        <w:gridCol w:w="979"/>
        <w:gridCol w:w="1797"/>
        <w:gridCol w:w="2729"/>
        <w:gridCol w:w="1691"/>
        <w:gridCol w:w="860"/>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72" w:type="pct"/>
            <w:tcBorders>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污染项目</w:t>
            </w:r>
          </w:p>
        </w:tc>
        <w:tc>
          <w:tcPr>
            <w:tcW w:w="538" w:type="pct"/>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排放方式</w:t>
            </w:r>
          </w:p>
        </w:tc>
        <w:tc>
          <w:tcPr>
            <w:tcW w:w="987" w:type="pct"/>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排放源</w:t>
            </w:r>
          </w:p>
        </w:tc>
        <w:tc>
          <w:tcPr>
            <w:tcW w:w="1499" w:type="pct"/>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执行标准</w:t>
            </w:r>
          </w:p>
        </w:tc>
        <w:tc>
          <w:tcPr>
            <w:tcW w:w="929" w:type="pct"/>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标准等级或分类</w:t>
            </w:r>
          </w:p>
        </w:tc>
        <w:tc>
          <w:tcPr>
            <w:tcW w:w="472" w:type="pct"/>
            <w:tcBorders>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标准值</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572" w:type="pct"/>
            <w:tcBorders>
              <w:top w:val="single" w:color="000000" w:sz="4" w:space="0"/>
              <w:left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538"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无组织</w:t>
            </w:r>
          </w:p>
        </w:tc>
        <w:tc>
          <w:tcPr>
            <w:tcW w:w="987"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中央回风井</w:t>
            </w:r>
            <w:r>
              <w:rPr>
                <w:rFonts w:hint="eastAsia" w:ascii="宋体" w:hAnsi="宋体" w:eastAsia="宋体" w:cs="宋体"/>
                <w:sz w:val="21"/>
                <w:szCs w:val="21"/>
              </w:rPr>
              <w:t>、道路</w:t>
            </w:r>
          </w:p>
        </w:tc>
        <w:tc>
          <w:tcPr>
            <w:tcW w:w="1499"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《铁矿采选工业污染物排放标准》（GB28661-2012）</w:t>
            </w:r>
          </w:p>
        </w:tc>
        <w:tc>
          <w:tcPr>
            <w:tcW w:w="929"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表7中无组织排放监控浓度限值</w:t>
            </w:r>
          </w:p>
        </w:tc>
        <w:tc>
          <w:tcPr>
            <w:tcW w:w="472" w:type="pct"/>
            <w:tcBorders>
              <w:top w:val="single" w:color="000000" w:sz="4" w:space="0"/>
              <w:left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r>
    </w:tbl>
    <w:p>
      <w:pPr>
        <w:pStyle w:val="8"/>
        <w:rPr>
          <w:rFonts w:hint="eastAsia" w:ascii="宋体" w:hAnsi="宋体" w:eastAsia="宋体" w:cs="宋体"/>
        </w:rPr>
      </w:pPr>
      <w:r>
        <w:rPr>
          <w:rFonts w:hint="eastAsia" w:ascii="宋体" w:hAnsi="宋体" w:eastAsia="宋体" w:cs="宋体"/>
          <w:lang w:eastAsia="zh-CN"/>
        </w:rPr>
        <w:t xml:space="preserve">1.4.2.2 </w:t>
      </w:r>
      <w:r>
        <w:rPr>
          <w:rFonts w:hint="eastAsia" w:ascii="宋体" w:hAnsi="宋体" w:eastAsia="宋体" w:cs="宋体"/>
        </w:rPr>
        <w:t>废水</w:t>
      </w:r>
    </w:p>
    <w:p>
      <w:pPr>
        <w:ind w:firstLine="560"/>
        <w:rPr>
          <w:rFonts w:hint="eastAsia" w:cs="宋体"/>
          <w:lang w:eastAsia="zh-CN"/>
        </w:rPr>
      </w:pPr>
      <w:r>
        <w:rPr>
          <w:rFonts w:hint="eastAsia" w:cs="宋体"/>
          <w:lang w:eastAsia="zh-CN"/>
        </w:rPr>
        <w:t>本项目工业废水主要为生活污水和地下涌水。</w:t>
      </w:r>
    </w:p>
    <w:p>
      <w:pPr>
        <w:pStyle w:val="2"/>
        <w:rPr>
          <w:rFonts w:hint="eastAsia" w:cs="宋体"/>
          <w:lang w:eastAsia="zh-CN"/>
        </w:rPr>
      </w:pPr>
      <w:r>
        <w:rPr>
          <w:rFonts w:hint="eastAsia" w:cs="宋体"/>
          <w:lang w:eastAsia="zh-CN"/>
        </w:rPr>
        <w:t>其中矿井涌水经排水系统排至王峪矿段南风井处的涌水池中，全部回用，不外排。</w:t>
      </w:r>
    </w:p>
    <w:p>
      <w:pPr>
        <w:ind w:firstLine="560"/>
        <w:rPr>
          <w:rFonts w:hint="eastAsia" w:ascii="宋体" w:hAnsi="宋体" w:eastAsia="宋体" w:cs="宋体"/>
          <w:b/>
          <w:sz w:val="24"/>
          <w:lang w:eastAsia="zh-CN"/>
        </w:rPr>
      </w:pPr>
      <w:r>
        <w:rPr>
          <w:rFonts w:hint="eastAsia" w:cs="宋体"/>
          <w:lang w:eastAsia="zh-CN"/>
        </w:rPr>
        <w:t>本项目</w:t>
      </w:r>
      <w:r>
        <w:rPr>
          <w:rFonts w:hint="eastAsia" w:ascii="宋体" w:hAnsi="宋体" w:eastAsia="宋体" w:cs="宋体"/>
          <w:lang w:eastAsia="zh-CN"/>
        </w:rPr>
        <w:t>员工依托企业现有，不再新增</w:t>
      </w:r>
      <w:r>
        <w:rPr>
          <w:rFonts w:hint="eastAsia" w:cs="宋体"/>
          <w:lang w:eastAsia="zh-CN"/>
        </w:rPr>
        <w:t>，无新增生活用水。厂区原有</w:t>
      </w:r>
      <w:r>
        <w:rPr>
          <w:rFonts w:hint="eastAsia" w:ascii="宋体" w:hAnsi="宋体" w:eastAsia="宋体" w:cs="宋体"/>
          <w:lang w:eastAsia="zh-CN"/>
        </w:rPr>
        <w:t>生活污水依托污水处理工艺处理，处理后水质满足《城镇污水处理厂污染物排放标准》（GB 18918-2002）一级A标准、《城市污水再生利用 城市杂用水水质》(GB/T</w:t>
      </w:r>
      <w:r>
        <w:rPr>
          <w:rFonts w:hint="eastAsia" w:cs="宋体"/>
          <w:lang w:val="en-US" w:eastAsia="zh-CN"/>
        </w:rPr>
        <w:t xml:space="preserve"> </w:t>
      </w:r>
      <w:r>
        <w:rPr>
          <w:rFonts w:hint="eastAsia" w:ascii="宋体" w:hAnsi="宋体" w:eastAsia="宋体" w:cs="宋体"/>
          <w:lang w:eastAsia="zh-CN"/>
        </w:rPr>
        <w:t>18920-2020)中“城市绿化、道路清扫、消防、建筑施工”标准的水质要求后，全部回用于企业绿化和道路洒水，不外排。具体见表1.4.2-2。</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表1.4.2-2 回用水水质执行标准限值</w:t>
      </w:r>
    </w:p>
    <w:tbl>
      <w:tblPr>
        <w:tblStyle w:val="2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6"/>
        <w:gridCol w:w="2411"/>
        <w:gridCol w:w="1432"/>
        <w:gridCol w:w="1882"/>
        <w:gridCol w:w="1609"/>
        <w:gridCol w:w="132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739" w:hRule="atLeast"/>
          <w:tblHeader/>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监测指标</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GB/T</w:t>
            </w:r>
            <w:r>
              <w:rPr>
                <w:rFonts w:hint="eastAsia" w:ascii="宋体" w:hAnsi="宋体" w:cs="宋体"/>
                <w:b/>
                <w:bCs/>
                <w:sz w:val="21"/>
                <w:szCs w:val="21"/>
                <w:lang w:val="en-US" w:eastAsia="zh-CN"/>
              </w:rPr>
              <w:t xml:space="preserve"> </w:t>
            </w:r>
            <w:r>
              <w:rPr>
                <w:rFonts w:hint="eastAsia" w:ascii="宋体" w:hAnsi="宋体" w:eastAsia="宋体" w:cs="宋体"/>
                <w:b/>
                <w:bCs/>
                <w:sz w:val="21"/>
                <w:szCs w:val="21"/>
              </w:rPr>
              <w:t>18920-2020</w:t>
            </w:r>
          </w:p>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限值</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GB 18918-2002一级A</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lang w:eastAsia="zh-CN"/>
              </w:rPr>
              <w:t>执行限值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无量纲</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6.0~9.0</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6.0~9.0</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6.0~9.0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悬浮物</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五日生化需氧量（BOD</w:t>
            </w:r>
            <w:r>
              <w:rPr>
                <w:rFonts w:hint="eastAsia" w:ascii="宋体" w:hAnsi="宋体" w:eastAsia="宋体" w:cs="宋体"/>
                <w:sz w:val="21"/>
                <w:szCs w:val="21"/>
                <w:vertAlign w:val="subscript"/>
              </w:rPr>
              <w:t>5</w:t>
            </w:r>
            <w:r>
              <w:rPr>
                <w:rFonts w:hint="eastAsia" w:ascii="宋体" w:hAnsi="宋体" w:eastAsia="宋体" w:cs="宋体"/>
                <w:sz w:val="21"/>
                <w:szCs w:val="21"/>
              </w:rPr>
              <w:t>）</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氨氮</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b/>
                <w:bCs/>
                <w:sz w:val="21"/>
                <w:szCs w:val="21"/>
              </w:rPr>
              <w:t>5</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阴离子表面活性剂</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化学需氧量（COD）</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50</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动植物油</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37"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129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总磷</w:t>
            </w:r>
          </w:p>
        </w:tc>
        <w:tc>
          <w:tcPr>
            <w:tcW w:w="77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mg/L</w:t>
            </w:r>
          </w:p>
        </w:tc>
        <w:tc>
          <w:tcPr>
            <w:tcW w:w="101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86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1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r>
    </w:tbl>
    <w:p>
      <w:pPr>
        <w:pStyle w:val="8"/>
        <w:rPr>
          <w:rFonts w:hint="eastAsia" w:ascii="宋体" w:hAnsi="宋体" w:eastAsia="宋体" w:cs="宋体"/>
        </w:rPr>
      </w:pPr>
      <w:r>
        <w:rPr>
          <w:rFonts w:hint="eastAsia" w:ascii="宋体" w:hAnsi="宋体" w:eastAsia="宋体" w:cs="宋体"/>
          <w:lang w:eastAsia="zh-CN"/>
        </w:rPr>
        <w:t xml:space="preserve">1.4.2.3 </w:t>
      </w:r>
      <w:r>
        <w:rPr>
          <w:rFonts w:hint="eastAsia" w:ascii="宋体" w:hAnsi="宋体" w:eastAsia="宋体" w:cs="宋体"/>
        </w:rPr>
        <w:t>噪声</w:t>
      </w:r>
    </w:p>
    <w:p>
      <w:pPr>
        <w:ind w:firstLine="560"/>
        <w:rPr>
          <w:rFonts w:hint="eastAsia" w:ascii="宋体" w:hAnsi="宋体" w:eastAsia="宋体" w:cs="宋体"/>
        </w:rPr>
      </w:pPr>
      <w:r>
        <w:rPr>
          <w:rFonts w:hint="eastAsia" w:ascii="宋体" w:hAnsi="宋体" w:eastAsia="宋体" w:cs="宋体"/>
          <w:lang w:eastAsia="zh-CN"/>
        </w:rPr>
        <w:t>施工期场界噪声执行《建筑施工场界环境噪声排放标准》（GB 12523-2011）；运营期厂界噪声执行《工业企业厂界环境噪声排放标准》（GB</w:t>
      </w:r>
      <w:r>
        <w:rPr>
          <w:rFonts w:hint="eastAsia" w:cs="宋体"/>
          <w:lang w:val="en-US" w:eastAsia="zh-CN"/>
        </w:rPr>
        <w:t xml:space="preserve"> </w:t>
      </w:r>
      <w:r>
        <w:rPr>
          <w:rFonts w:hint="eastAsia" w:ascii="宋体" w:hAnsi="宋体" w:eastAsia="宋体" w:cs="宋体"/>
          <w:lang w:eastAsia="zh-CN"/>
        </w:rPr>
        <w:t>12348-2008）中2类标准。</w:t>
      </w:r>
      <w:r>
        <w:rPr>
          <w:rFonts w:hint="eastAsia" w:ascii="宋体" w:hAnsi="宋体" w:eastAsia="宋体" w:cs="宋体"/>
        </w:rPr>
        <w:t>标准限值见表 1.4.2-</w:t>
      </w:r>
      <w:r>
        <w:rPr>
          <w:rFonts w:hint="eastAsia" w:ascii="宋体" w:hAnsi="宋体" w:eastAsia="宋体" w:cs="宋体"/>
          <w:lang w:eastAsia="zh-CN"/>
        </w:rPr>
        <w:t>3</w:t>
      </w:r>
      <w:r>
        <w:rPr>
          <w:rFonts w:hint="eastAsia" w:ascii="宋体" w:hAnsi="宋体" w:eastAsia="宋体" w:cs="宋体"/>
        </w:rPr>
        <w:t>。</w:t>
      </w:r>
    </w:p>
    <w:p>
      <w:pPr>
        <w:tabs>
          <w:tab w:val="left" w:pos="4004"/>
        </w:tabs>
        <w:spacing w:line="240" w:lineRule="auto"/>
        <w:ind w:firstLine="0" w:firstLineChars="0"/>
        <w:jc w:val="center"/>
        <w:rPr>
          <w:rFonts w:hint="eastAsia" w:ascii="宋体" w:hAnsi="宋体" w:eastAsia="宋体" w:cs="宋体"/>
          <w:b/>
          <w:sz w:val="24"/>
        </w:rPr>
      </w:pPr>
      <w:r>
        <w:rPr>
          <w:rFonts w:hint="eastAsia" w:ascii="宋体" w:hAnsi="宋体" w:eastAsia="宋体" w:cs="宋体"/>
          <w:b/>
          <w:sz w:val="24"/>
        </w:rPr>
        <w:t>表 1.4.2-</w:t>
      </w:r>
      <w:r>
        <w:rPr>
          <w:rFonts w:hint="eastAsia" w:ascii="宋体" w:hAnsi="宋体" w:eastAsia="宋体" w:cs="宋体"/>
          <w:b/>
          <w:sz w:val="24"/>
          <w:lang w:eastAsia="zh-CN"/>
        </w:rPr>
        <w:t xml:space="preserve">3 </w:t>
      </w:r>
      <w:r>
        <w:rPr>
          <w:rFonts w:hint="eastAsia" w:ascii="宋体" w:hAnsi="宋体" w:eastAsia="宋体" w:cs="宋体"/>
          <w:b/>
          <w:sz w:val="24"/>
        </w:rPr>
        <w:t>噪声排放限值汇总表</w:t>
      </w:r>
    </w:p>
    <w:tbl>
      <w:tblPr>
        <w:tblStyle w:val="24"/>
        <w:tblW w:w="501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92"/>
        <w:gridCol w:w="2254"/>
        <w:gridCol w:w="900"/>
        <w:gridCol w:w="3127"/>
        <w:gridCol w:w="16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项目</w:t>
            </w:r>
          </w:p>
        </w:tc>
        <w:tc>
          <w:tcPr>
            <w:tcW w:w="3439" w:type="pct"/>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限值</w:t>
            </w:r>
          </w:p>
        </w:tc>
        <w:tc>
          <w:tcPr>
            <w:tcW w:w="90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限值来源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施工期</w:t>
            </w:r>
          </w:p>
        </w:tc>
        <w:tc>
          <w:tcPr>
            <w:tcW w:w="3439" w:type="pct"/>
            <w:gridSpan w:val="3"/>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昼间70dB(A)、夜间55dB(A)</w:t>
            </w:r>
          </w:p>
        </w:tc>
        <w:tc>
          <w:tcPr>
            <w:tcW w:w="90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GB</w:t>
            </w:r>
            <w:r>
              <w:rPr>
                <w:rFonts w:hint="eastAsia" w:ascii="宋体" w:hAnsi="宋体" w:eastAsia="宋体" w:cs="宋体"/>
                <w:sz w:val="21"/>
                <w:szCs w:val="21"/>
                <w:lang w:eastAsia="zh-CN"/>
              </w:rPr>
              <w:t xml:space="preserve"> </w:t>
            </w:r>
            <w:r>
              <w:rPr>
                <w:rFonts w:hint="eastAsia" w:ascii="宋体" w:hAnsi="宋体" w:eastAsia="宋体" w:cs="宋体"/>
                <w:sz w:val="21"/>
                <w:szCs w:val="21"/>
              </w:rPr>
              <w:t>12523-2011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3"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运营期</w:t>
            </w:r>
          </w:p>
        </w:tc>
        <w:tc>
          <w:tcPr>
            <w:tcW w:w="12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eastAsia="zh-CN"/>
              </w:rPr>
              <w:t>其它厂界</w:t>
            </w:r>
          </w:p>
        </w:tc>
        <w:tc>
          <w:tcPr>
            <w:tcW w:w="49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cs="宋体"/>
                <w:sz w:val="21"/>
                <w:szCs w:val="21"/>
                <w:lang w:val="en-US" w:eastAsia="zh-CN"/>
              </w:rPr>
            </w:pPr>
            <w:r>
              <w:rPr>
                <w:rFonts w:hint="eastAsia" w:cs="宋体"/>
                <w:sz w:val="21"/>
                <w:szCs w:val="21"/>
                <w:lang w:val="en-US" w:eastAsia="zh-CN"/>
              </w:rPr>
              <w:t>2类</w:t>
            </w:r>
          </w:p>
        </w:tc>
        <w:tc>
          <w:tcPr>
            <w:tcW w:w="171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昼间60dB(A)、夜间50dB(A)</w:t>
            </w:r>
          </w:p>
        </w:tc>
        <w:tc>
          <w:tcPr>
            <w:tcW w:w="906"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GB</w:t>
            </w:r>
            <w:r>
              <w:rPr>
                <w:rFonts w:hint="eastAsia" w:ascii="宋体" w:hAnsi="宋体" w:eastAsia="宋体" w:cs="宋体"/>
                <w:sz w:val="21"/>
                <w:szCs w:val="21"/>
                <w:lang w:eastAsia="zh-CN"/>
              </w:rPr>
              <w:t xml:space="preserve"> </w:t>
            </w:r>
            <w:r>
              <w:rPr>
                <w:rFonts w:hint="eastAsia" w:ascii="宋体" w:hAnsi="宋体" w:eastAsia="宋体" w:cs="宋体"/>
                <w:sz w:val="21"/>
                <w:szCs w:val="21"/>
              </w:rPr>
              <w:t>12348-2008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53"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2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西厂界</w:t>
            </w:r>
            <w:r>
              <w:rPr>
                <w:rFonts w:hint="eastAsia" w:cs="宋体"/>
                <w:sz w:val="21"/>
                <w:szCs w:val="21"/>
                <w:lang w:eastAsia="zh-CN"/>
              </w:rPr>
              <w:t>（紧靠S234省道）</w:t>
            </w:r>
          </w:p>
        </w:tc>
        <w:tc>
          <w:tcPr>
            <w:tcW w:w="49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val="en-US" w:eastAsia="zh-CN"/>
              </w:rPr>
            </w:pPr>
            <w:r>
              <w:rPr>
                <w:rFonts w:hint="eastAsia" w:cs="宋体"/>
                <w:sz w:val="21"/>
                <w:szCs w:val="21"/>
                <w:lang w:val="en-US" w:eastAsia="zh-CN"/>
              </w:rPr>
              <w:t>4类</w:t>
            </w:r>
          </w:p>
        </w:tc>
        <w:tc>
          <w:tcPr>
            <w:tcW w:w="171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昼间70dB(A)、夜间55dB(A)</w:t>
            </w:r>
          </w:p>
        </w:tc>
        <w:tc>
          <w:tcPr>
            <w:tcW w:w="906"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bl>
    <w:p>
      <w:pPr>
        <w:pStyle w:val="8"/>
        <w:rPr>
          <w:rFonts w:hint="eastAsia" w:ascii="宋体" w:hAnsi="宋体" w:eastAsia="宋体" w:cs="宋体"/>
        </w:rPr>
      </w:pPr>
      <w:r>
        <w:rPr>
          <w:rFonts w:hint="eastAsia" w:ascii="宋体" w:hAnsi="宋体" w:eastAsia="宋体" w:cs="宋体"/>
          <w:lang w:eastAsia="zh-CN"/>
        </w:rPr>
        <w:t xml:space="preserve">1.4.2.4 </w:t>
      </w:r>
      <w:r>
        <w:rPr>
          <w:rFonts w:hint="eastAsia" w:ascii="宋体" w:hAnsi="宋体" w:eastAsia="宋体" w:cs="宋体"/>
        </w:rPr>
        <w:t>固体废物</w:t>
      </w:r>
    </w:p>
    <w:p>
      <w:pPr>
        <w:ind w:firstLine="560"/>
        <w:rPr>
          <w:rFonts w:hint="eastAsia" w:ascii="宋体" w:hAnsi="宋体" w:eastAsia="宋体" w:cs="宋体"/>
          <w:lang w:eastAsia="zh-CN"/>
        </w:rPr>
      </w:pPr>
      <w:r>
        <w:rPr>
          <w:rFonts w:hint="eastAsia" w:ascii="宋体" w:hAnsi="宋体" w:eastAsia="宋体" w:cs="宋体"/>
          <w:lang w:eastAsia="zh-CN"/>
        </w:rPr>
        <w:t>一般工业固体废物执行《一般工业固体废物贮存和填埋污染控制标准》（GB</w:t>
      </w:r>
      <w:r>
        <w:rPr>
          <w:rFonts w:hint="eastAsia" w:cs="宋体"/>
          <w:lang w:val="en-US" w:eastAsia="zh-CN"/>
        </w:rPr>
        <w:t xml:space="preserve"> </w:t>
      </w:r>
      <w:r>
        <w:rPr>
          <w:rFonts w:hint="eastAsia" w:ascii="宋体" w:hAnsi="宋体" w:eastAsia="宋体" w:cs="宋体"/>
          <w:lang w:eastAsia="zh-CN"/>
        </w:rPr>
        <w:t>18599-2020）。</w:t>
      </w:r>
    </w:p>
    <w:p>
      <w:pPr>
        <w:ind w:firstLine="560"/>
        <w:rPr>
          <w:rFonts w:hint="eastAsia" w:ascii="宋体" w:hAnsi="宋体" w:eastAsia="宋体" w:cs="宋体"/>
          <w:lang w:eastAsia="zh-CN"/>
        </w:rPr>
      </w:pPr>
      <w:r>
        <w:rPr>
          <w:rFonts w:hint="eastAsia" w:ascii="宋体" w:hAnsi="宋体" w:eastAsia="宋体" w:cs="宋体"/>
          <w:lang w:eastAsia="zh-CN"/>
        </w:rPr>
        <w:t>危险废物执行《危险废物贮存污染控制标准》国家标准第1号修改单（GB 18597-2001/XG1-2013）相关规定。</w:t>
      </w:r>
    </w:p>
    <w:p>
      <w:pPr>
        <w:pStyle w:val="6"/>
        <w:rPr>
          <w:rFonts w:hint="eastAsia" w:ascii="宋体" w:hAnsi="宋体" w:eastAsia="宋体" w:cs="宋体"/>
          <w:lang w:eastAsia="zh-CN"/>
        </w:rPr>
      </w:pPr>
      <w:bookmarkStart w:id="42" w:name="_bookmark8"/>
      <w:bookmarkEnd w:id="42"/>
      <w:bookmarkStart w:id="43" w:name="_Toc6918"/>
      <w:bookmarkStart w:id="44" w:name="_Toc11013"/>
      <w:r>
        <w:rPr>
          <w:rFonts w:hint="eastAsia" w:ascii="宋体" w:hAnsi="宋体" w:eastAsia="宋体" w:cs="宋体"/>
          <w:lang w:eastAsia="zh-CN"/>
        </w:rPr>
        <w:t>1.5 评价等级与评价范围</w:t>
      </w:r>
      <w:bookmarkEnd w:id="43"/>
      <w:bookmarkEnd w:id="44"/>
    </w:p>
    <w:p>
      <w:pPr>
        <w:pStyle w:val="7"/>
        <w:rPr>
          <w:rFonts w:hint="eastAsia" w:ascii="宋体" w:hAnsi="宋体" w:eastAsia="宋体" w:cs="宋体"/>
          <w:lang w:eastAsia="zh-CN"/>
        </w:rPr>
      </w:pPr>
      <w:r>
        <w:rPr>
          <w:rFonts w:hint="eastAsia" w:ascii="宋体" w:hAnsi="宋体" w:eastAsia="宋体" w:cs="宋体"/>
          <w:lang w:eastAsia="zh-CN"/>
        </w:rPr>
        <w:t>1.5.1 环境空气</w:t>
      </w:r>
    </w:p>
    <w:p>
      <w:pPr>
        <w:pStyle w:val="8"/>
        <w:rPr>
          <w:rFonts w:hint="eastAsia" w:ascii="宋体" w:hAnsi="宋体" w:eastAsia="宋体" w:cs="宋体"/>
          <w:lang w:eastAsia="zh-CN"/>
        </w:rPr>
      </w:pPr>
      <w:r>
        <w:rPr>
          <w:rFonts w:hint="eastAsia" w:ascii="宋体" w:hAnsi="宋体" w:eastAsia="宋体" w:cs="宋体"/>
          <w:lang w:eastAsia="zh-CN"/>
        </w:rPr>
        <w:t>1.5.1.1 评价等级</w:t>
      </w:r>
    </w:p>
    <w:p>
      <w:pPr>
        <w:bidi w:val="0"/>
        <w:rPr>
          <w:rFonts w:hint="eastAsia"/>
          <w:lang w:eastAsia="zh-CN"/>
        </w:rPr>
      </w:pPr>
      <w:r>
        <w:rPr>
          <w:rFonts w:hint="eastAsia"/>
          <w:lang w:eastAsia="zh-CN"/>
        </w:rPr>
        <w:t>本项目产生的主要大气污染物为粉尘，主要来源为风井粉尘、运输扬尘、装卸粉尘，由于运输扬尘、装卸粉尘属于间歇性排放，不稳定排放源。根据《环境影响评价技术导则大气环境》（HJ 2.2-2018），计算出各粉尘产生源的最大地面浓度占标率Pi以及地面浓度达标准限值10%时所对应的最远距离D10%。</w:t>
      </w:r>
    </w:p>
    <w:p>
      <w:pPr>
        <w:ind w:firstLine="560"/>
        <w:rPr>
          <w:rFonts w:hint="eastAsia" w:ascii="宋体" w:hAnsi="宋体" w:eastAsia="宋体" w:cs="宋体"/>
        </w:rPr>
      </w:pPr>
      <w:r>
        <w:rPr>
          <w:rFonts w:hint="eastAsia" w:ascii="宋体" w:hAnsi="宋体" w:eastAsia="宋体" w:cs="宋体"/>
        </w:rPr>
        <w:t>其中</w:t>
      </w:r>
    </w:p>
    <w:p>
      <w:pPr>
        <w:ind w:firstLine="560"/>
        <w:jc w:val="center"/>
        <w:rPr>
          <w:rFonts w:hint="eastAsia" w:ascii="宋体" w:hAnsi="宋体" w:eastAsia="宋体" w:cs="宋体"/>
        </w:rPr>
      </w:pPr>
      <w:r>
        <w:rPr>
          <w:rFonts w:hint="eastAsia" w:ascii="宋体" w:hAnsi="宋体" w:eastAsia="宋体" w:cs="宋体"/>
        </w:rPr>
        <w:t>P</w:t>
      </w:r>
      <w:r>
        <w:rPr>
          <w:rFonts w:hint="eastAsia" w:ascii="宋体" w:hAnsi="宋体" w:eastAsia="宋体" w:cs="宋体"/>
          <w:vertAlign w:val="subscript"/>
        </w:rPr>
        <w:t>i</w:t>
      </w:r>
      <w:r>
        <w:rPr>
          <w:rFonts w:hint="eastAsia" w:ascii="宋体" w:hAnsi="宋体" w:eastAsia="宋体" w:cs="宋体"/>
        </w:rPr>
        <w:t>=(C</w:t>
      </w:r>
      <w:r>
        <w:rPr>
          <w:rFonts w:hint="eastAsia" w:ascii="宋体" w:hAnsi="宋体" w:eastAsia="宋体" w:cs="宋体"/>
          <w:vertAlign w:val="subscript"/>
        </w:rPr>
        <w:t>i</w:t>
      </w:r>
      <w:r>
        <w:rPr>
          <w:rFonts w:hint="eastAsia" w:ascii="宋体" w:hAnsi="宋体" w:eastAsia="宋体" w:cs="宋体"/>
        </w:rPr>
        <w:t>/C</w:t>
      </w:r>
      <w:r>
        <w:rPr>
          <w:rFonts w:hint="eastAsia" w:ascii="宋体" w:hAnsi="宋体" w:eastAsia="宋体" w:cs="宋体"/>
          <w:vertAlign w:val="subscript"/>
        </w:rPr>
        <w:t>oi</w:t>
      </w:r>
      <w:r>
        <w:rPr>
          <w:rFonts w:hint="eastAsia" w:ascii="宋体" w:hAnsi="宋体" w:eastAsia="宋体" w:cs="宋体"/>
        </w:rPr>
        <w:t>)×100%</w:t>
      </w:r>
    </w:p>
    <w:p>
      <w:pPr>
        <w:ind w:firstLine="560"/>
        <w:rPr>
          <w:rFonts w:hint="eastAsia" w:ascii="宋体" w:hAnsi="宋体" w:eastAsia="宋体" w:cs="宋体"/>
          <w:lang w:eastAsia="zh-CN"/>
        </w:rPr>
      </w:pPr>
      <w:r>
        <w:rPr>
          <w:rFonts w:hint="eastAsia" w:ascii="宋体" w:hAnsi="宋体" w:eastAsia="宋体" w:cs="宋体"/>
          <w:lang w:eastAsia="zh-CN"/>
        </w:rPr>
        <w:t>式中：</w:t>
      </w:r>
    </w:p>
    <w:p>
      <w:pPr>
        <w:ind w:firstLine="560"/>
        <w:rPr>
          <w:rFonts w:hint="eastAsia" w:ascii="宋体" w:hAnsi="宋体" w:eastAsia="宋体" w:cs="宋体"/>
          <w:lang w:eastAsia="zh-CN"/>
        </w:rPr>
      </w:pPr>
      <w:r>
        <w:rPr>
          <w:rFonts w:hint="eastAsia" w:ascii="宋体" w:hAnsi="宋体" w:eastAsia="宋体" w:cs="宋体"/>
          <w:lang w:eastAsia="zh-CN"/>
        </w:rPr>
        <w:t>P</w:t>
      </w:r>
      <w:r>
        <w:rPr>
          <w:rFonts w:hint="eastAsia" w:ascii="宋体" w:hAnsi="宋体" w:eastAsia="宋体" w:cs="宋体"/>
          <w:vertAlign w:val="subscript"/>
          <w:lang w:eastAsia="zh-CN"/>
        </w:rPr>
        <w:t>i</w:t>
      </w:r>
      <w:r>
        <w:rPr>
          <w:rFonts w:hint="eastAsia" w:ascii="宋体" w:hAnsi="宋体" w:eastAsia="宋体" w:cs="宋体"/>
          <w:lang w:eastAsia="zh-CN"/>
        </w:rPr>
        <w:t>——第i个污染物的最大地面浓度占标率，%；</w:t>
      </w:r>
    </w:p>
    <w:p>
      <w:pPr>
        <w:ind w:firstLine="560"/>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vertAlign w:val="subscript"/>
          <w:lang w:eastAsia="zh-CN"/>
        </w:rPr>
        <w:t>i</w:t>
      </w:r>
      <w:r>
        <w:rPr>
          <w:rFonts w:hint="eastAsia" w:ascii="宋体" w:hAnsi="宋体" w:eastAsia="宋体" w:cs="宋体"/>
          <w:lang w:eastAsia="zh-CN"/>
        </w:rPr>
        <w:t>——采用估算模型计算出第i个污染物的最大1h地面空气质量浓度，μg/m</w:t>
      </w:r>
      <w:r>
        <w:rPr>
          <w:rFonts w:hint="eastAsia" w:ascii="宋体" w:hAnsi="宋体" w:eastAsia="宋体" w:cs="宋体"/>
          <w:vertAlign w:val="superscript"/>
          <w:lang w:eastAsia="zh-CN"/>
        </w:rPr>
        <w:t>3</w:t>
      </w:r>
      <w:r>
        <w:rPr>
          <w:rFonts w:hint="eastAsia" w:ascii="宋体" w:hAnsi="宋体" w:eastAsia="宋体" w:cs="宋体"/>
          <w:lang w:eastAsia="zh-CN"/>
        </w:rPr>
        <w:t>；</w:t>
      </w:r>
    </w:p>
    <w:p>
      <w:pPr>
        <w:ind w:firstLine="560"/>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vertAlign w:val="subscript"/>
          <w:lang w:eastAsia="zh-CN"/>
        </w:rPr>
        <w:t>0i</w:t>
      </w:r>
      <w:r>
        <w:rPr>
          <w:rFonts w:hint="eastAsia" w:ascii="宋体" w:hAnsi="宋体" w:eastAsia="宋体" w:cs="宋体"/>
          <w:lang w:eastAsia="zh-CN"/>
        </w:rPr>
        <w:t>——第i个污染物的环境空气质量浓度标准，mg/m</w:t>
      </w:r>
      <w:r>
        <w:rPr>
          <w:rFonts w:hint="eastAsia" w:ascii="宋体" w:hAnsi="宋体" w:eastAsia="宋体" w:cs="宋体"/>
          <w:vertAlign w:val="superscript"/>
          <w:lang w:eastAsia="zh-CN"/>
        </w:rPr>
        <w:t>3</w:t>
      </w:r>
      <w:r>
        <w:rPr>
          <w:rFonts w:hint="eastAsia" w:ascii="宋体" w:hAnsi="宋体" w:eastAsia="宋体" w:cs="宋体"/>
          <w:lang w:eastAsia="zh-CN"/>
        </w:rPr>
        <w:t>。</w:t>
      </w:r>
    </w:p>
    <w:p>
      <w:pPr>
        <w:ind w:firstLine="560"/>
        <w:rPr>
          <w:rFonts w:hint="eastAsia" w:ascii="宋体" w:hAnsi="宋体" w:eastAsia="宋体" w:cs="宋体"/>
          <w:lang w:eastAsia="zh-CN"/>
        </w:rPr>
      </w:pPr>
      <w:r>
        <w:rPr>
          <w:rFonts w:hint="eastAsia" w:ascii="宋体" w:hAnsi="宋体" w:eastAsia="宋体" w:cs="宋体"/>
          <w:lang w:eastAsia="zh-CN"/>
        </w:rPr>
        <w:t>在GB 30</w:t>
      </w:r>
      <w:r>
        <w:rPr>
          <w:rFonts w:hint="eastAsia" w:ascii="宋体" w:hAnsi="宋体" w:eastAsia="宋体" w:cs="宋体"/>
          <w:highlight w:val="none"/>
          <w:lang w:eastAsia="zh-CN"/>
        </w:rPr>
        <w:t>95-2012中，TSP并没有1h平均质量浓度限值，评价取其日平均质量浓度的三倍值。采用估算模式AERSCREEN计算各污染</w:t>
      </w:r>
      <w:r>
        <w:rPr>
          <w:rFonts w:hint="eastAsia" w:ascii="宋体" w:hAnsi="宋体" w:eastAsia="宋体" w:cs="宋体"/>
          <w:lang w:eastAsia="zh-CN"/>
        </w:rPr>
        <w:t>物在考虑地形、全气象组合情况条件下的最大影响程度和最远影响范围，</w:t>
      </w:r>
      <w:r>
        <w:rPr>
          <w:rFonts w:hint="eastAsia" w:cs="宋体"/>
          <w:lang w:eastAsia="zh-CN"/>
        </w:rPr>
        <w:t>计算</w:t>
      </w:r>
      <w:r>
        <w:rPr>
          <w:rFonts w:hint="eastAsia" w:ascii="宋体" w:hAnsi="宋体" w:eastAsia="宋体" w:cs="宋体"/>
          <w:lang w:eastAsia="zh-CN"/>
        </w:rPr>
        <w:t>地下开采无组织粉尘排放最大落地浓度占标率为8.57%</w:t>
      </w:r>
      <w:r>
        <w:rPr>
          <w:rFonts w:hint="eastAsia" w:cs="宋体"/>
          <w:lang w:eastAsia="zh-CN"/>
        </w:rPr>
        <w:t>。</w:t>
      </w:r>
    </w:p>
    <w:p>
      <w:pPr>
        <w:ind w:firstLine="560"/>
        <w:rPr>
          <w:rFonts w:hint="eastAsia" w:ascii="宋体" w:hAnsi="宋体" w:eastAsia="宋体" w:cs="宋体"/>
          <w:lang w:eastAsia="zh-CN"/>
        </w:rPr>
      </w:pPr>
      <w:r>
        <w:rPr>
          <w:rFonts w:hint="eastAsia" w:ascii="宋体" w:hAnsi="宋体" w:eastAsia="宋体" w:cs="宋体"/>
          <w:lang w:eastAsia="zh-CN"/>
        </w:rPr>
        <w:t>大气影响评价等级的确定标准如表 1.5.1-2 所示。</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 1.5.1-2 大气评价工作等级划分标准</w:t>
      </w:r>
    </w:p>
    <w:tbl>
      <w:tblPr>
        <w:tblStyle w:val="24"/>
        <w:tblW w:w="4999"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3455"/>
        <w:gridCol w:w="5644"/>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blHeader/>
        </w:trPr>
        <w:tc>
          <w:tcPr>
            <w:tcW w:w="1898" w:type="pct"/>
            <w:tcBorders>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2"/>
              </w:rPr>
            </w:pPr>
            <w:r>
              <w:rPr>
                <w:rFonts w:hint="eastAsia" w:ascii="宋体" w:hAnsi="宋体" w:eastAsia="宋体" w:cs="宋体"/>
                <w:b/>
                <w:bCs/>
                <w:sz w:val="21"/>
                <w:szCs w:val="22"/>
              </w:rPr>
              <w:t>评价工作等级</w:t>
            </w:r>
          </w:p>
        </w:tc>
        <w:tc>
          <w:tcPr>
            <w:tcW w:w="3101" w:type="pct"/>
            <w:tcBorders>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2"/>
              </w:rPr>
            </w:pPr>
            <w:r>
              <w:rPr>
                <w:rFonts w:hint="eastAsia" w:ascii="宋体" w:hAnsi="宋体" w:eastAsia="宋体" w:cs="宋体"/>
                <w:b/>
                <w:bCs/>
                <w:sz w:val="21"/>
                <w:szCs w:val="22"/>
              </w:rPr>
              <w:t>评价工作分级判据</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898" w:type="pct"/>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c>
          <w:tcPr>
            <w:tcW w:w="3101" w:type="pct"/>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P</w:t>
            </w:r>
            <w:r>
              <w:rPr>
                <w:rFonts w:hint="eastAsia" w:ascii="宋体" w:hAnsi="宋体" w:eastAsia="宋体" w:cs="宋体"/>
                <w:position w:val="-1"/>
                <w:sz w:val="14"/>
                <w:szCs w:val="22"/>
              </w:rPr>
              <w:t>max</w:t>
            </w:r>
            <w:r>
              <w:rPr>
                <w:rFonts w:hint="eastAsia" w:ascii="宋体" w:hAnsi="宋体" w:eastAsia="宋体" w:cs="宋体"/>
                <w:sz w:val="21"/>
                <w:szCs w:val="22"/>
              </w:rPr>
              <w:t>≥10%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898" w:type="pct"/>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二级</w:t>
            </w:r>
          </w:p>
        </w:tc>
        <w:tc>
          <w:tcPr>
            <w:tcW w:w="3101" w:type="pct"/>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1%≤P</w:t>
            </w:r>
            <w:r>
              <w:rPr>
                <w:rFonts w:hint="eastAsia" w:ascii="宋体" w:hAnsi="宋体" w:eastAsia="宋体" w:cs="宋体"/>
                <w:position w:val="-1"/>
                <w:sz w:val="14"/>
                <w:szCs w:val="22"/>
              </w:rPr>
              <w:t>max</w:t>
            </w:r>
            <w:r>
              <w:rPr>
                <w:rFonts w:hint="eastAsia" w:ascii="宋体" w:hAnsi="宋体" w:eastAsia="宋体" w:cs="宋体"/>
                <w:sz w:val="21"/>
                <w:szCs w:val="22"/>
              </w:rPr>
              <w:t>＜</w:t>
            </w:r>
            <w:r>
              <w:rPr>
                <w:rFonts w:hint="eastAsia" w:ascii="宋体" w:hAnsi="宋体" w:eastAsia="宋体" w:cs="宋体"/>
                <w:sz w:val="21"/>
                <w:szCs w:val="22"/>
                <w:lang w:eastAsia="zh-CN"/>
              </w:rPr>
              <w:t>1</w:t>
            </w:r>
            <w:r>
              <w:rPr>
                <w:rFonts w:hint="eastAsia" w:ascii="宋体" w:hAnsi="宋体" w:eastAsia="宋体" w:cs="宋体"/>
                <w:sz w:val="21"/>
                <w:szCs w:val="22"/>
              </w:rPr>
              <w:t>0%</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898" w:type="pct"/>
            <w:tcBorders>
              <w:top w:val="single" w:color="000000" w:sz="4" w:space="0"/>
              <w:left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三级</w:t>
            </w:r>
          </w:p>
        </w:tc>
        <w:tc>
          <w:tcPr>
            <w:tcW w:w="3101" w:type="pct"/>
            <w:tcBorders>
              <w:top w:val="single" w:color="000000" w:sz="4" w:space="0"/>
              <w:left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P</w:t>
            </w:r>
            <w:r>
              <w:rPr>
                <w:rFonts w:hint="eastAsia" w:ascii="宋体" w:hAnsi="宋体" w:eastAsia="宋体" w:cs="宋体"/>
                <w:position w:val="-1"/>
                <w:sz w:val="14"/>
                <w:szCs w:val="22"/>
              </w:rPr>
              <w:t>max</w:t>
            </w:r>
            <w:r>
              <w:rPr>
                <w:rFonts w:hint="eastAsia" w:ascii="宋体" w:hAnsi="宋体" w:eastAsia="宋体" w:cs="宋体"/>
                <w:sz w:val="21"/>
                <w:szCs w:val="22"/>
              </w:rPr>
              <w:t>&lt;1%</w:t>
            </w:r>
          </w:p>
        </w:tc>
      </w:tr>
    </w:tbl>
    <w:p>
      <w:pPr>
        <w:ind w:firstLine="560"/>
        <w:rPr>
          <w:rFonts w:hint="eastAsia" w:ascii="宋体" w:hAnsi="宋体" w:eastAsia="宋体" w:cs="宋体"/>
          <w:lang w:eastAsia="zh-CN"/>
        </w:rPr>
      </w:pPr>
      <w:r>
        <w:rPr>
          <w:rFonts w:hint="eastAsia" w:ascii="宋体" w:hAnsi="宋体" w:eastAsia="宋体" w:cs="宋体"/>
          <w:lang w:eastAsia="zh-CN"/>
        </w:rPr>
        <w:t>根据表1.5-1、表1.5-2可知，本次环境空气影响评价等级为</w:t>
      </w:r>
      <w:r>
        <w:rPr>
          <w:rFonts w:hint="eastAsia" w:ascii="宋体" w:hAnsi="宋体" w:eastAsia="宋体" w:cs="宋体"/>
          <w:b/>
          <w:bCs/>
          <w:lang w:eastAsia="zh-CN"/>
        </w:rPr>
        <w:t>二级</w:t>
      </w:r>
      <w:r>
        <w:rPr>
          <w:rFonts w:hint="eastAsia" w:ascii="宋体" w:hAnsi="宋体" w:eastAsia="宋体" w:cs="宋体"/>
          <w:lang w:eastAsia="zh-CN"/>
        </w:rPr>
        <w:t>。</w:t>
      </w:r>
    </w:p>
    <w:p>
      <w:pPr>
        <w:pStyle w:val="8"/>
        <w:rPr>
          <w:rFonts w:hint="eastAsia" w:ascii="宋体" w:hAnsi="宋体" w:eastAsia="宋体" w:cs="宋体"/>
          <w:lang w:eastAsia="zh-CN"/>
        </w:rPr>
      </w:pPr>
      <w:r>
        <w:rPr>
          <w:rFonts w:hint="eastAsia" w:ascii="宋体" w:hAnsi="宋体" w:eastAsia="宋体" w:cs="宋体"/>
          <w:lang w:eastAsia="zh-CN"/>
        </w:rPr>
        <w:t>1.5.1.2 评价范围</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大气环境》（HJ2.2-2018）的相关规定，按照评价范围边长取5km的原则规定，因此确定本次的评价范围为：以</w:t>
      </w:r>
      <w:r>
        <w:rPr>
          <w:rFonts w:hint="eastAsia" w:cs="宋体"/>
          <w:lang w:eastAsia="zh-CN"/>
        </w:rPr>
        <w:t>本项目</w:t>
      </w:r>
      <w:r>
        <w:rPr>
          <w:rFonts w:hint="eastAsia" w:ascii="宋体" w:hAnsi="宋体" w:eastAsia="宋体" w:cs="宋体"/>
          <w:lang w:eastAsia="zh-CN"/>
        </w:rPr>
        <w:t>各风井场地为中心区域，边长5.0km的矩形组成的区域。</w:t>
      </w:r>
    </w:p>
    <w:p>
      <w:pPr>
        <w:pStyle w:val="7"/>
        <w:rPr>
          <w:rFonts w:hint="eastAsia" w:ascii="宋体" w:hAnsi="宋体" w:eastAsia="宋体" w:cs="宋体"/>
          <w:lang w:eastAsia="zh-CN"/>
        </w:rPr>
      </w:pPr>
      <w:r>
        <w:rPr>
          <w:rFonts w:hint="eastAsia" w:ascii="宋体" w:hAnsi="宋体" w:eastAsia="宋体" w:cs="宋体"/>
          <w:lang w:eastAsia="zh-CN"/>
        </w:rPr>
        <w:t>1.5.2 地表水</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不新增生活污水。</w:t>
      </w:r>
    </w:p>
    <w:p>
      <w:pPr>
        <w:ind w:firstLine="560"/>
        <w:rPr>
          <w:rFonts w:hint="eastAsia" w:ascii="宋体" w:hAnsi="宋体" w:eastAsia="宋体" w:cs="宋体"/>
          <w:lang w:eastAsia="zh-CN"/>
        </w:rPr>
      </w:pPr>
      <w:r>
        <w:rPr>
          <w:rFonts w:hint="eastAsia" w:ascii="宋体" w:hAnsi="宋体" w:eastAsia="宋体" w:cs="宋体"/>
          <w:lang w:eastAsia="zh-CN"/>
        </w:rPr>
        <w:t>矿井涌水经排水系统排至王峪矿段南风井处的涌水池中，全部回用，不外排。根据《环境影响评价技术导则地表水环境》（HJ 2.3-2018）要求，</w:t>
      </w:r>
      <w:r>
        <w:rPr>
          <w:rFonts w:hint="eastAsia" w:cs="宋体"/>
          <w:lang w:eastAsia="zh-CN"/>
        </w:rPr>
        <w:t>本项目</w:t>
      </w:r>
      <w:r>
        <w:rPr>
          <w:rFonts w:hint="eastAsia" w:ascii="宋体" w:hAnsi="宋体" w:eastAsia="宋体" w:cs="宋体"/>
          <w:lang w:eastAsia="zh-CN"/>
        </w:rPr>
        <w:t>地表水环境影响评价工作等级为三级B，重点论证废水处理措施的有效性及可靠性，不需设置评价范围。</w:t>
      </w:r>
    </w:p>
    <w:p>
      <w:pPr>
        <w:pStyle w:val="7"/>
        <w:rPr>
          <w:rFonts w:hint="eastAsia" w:ascii="宋体" w:hAnsi="宋体" w:eastAsia="宋体" w:cs="宋体"/>
          <w:lang w:eastAsia="zh-CN"/>
        </w:rPr>
      </w:pPr>
      <w:r>
        <w:rPr>
          <w:rFonts w:hint="eastAsia" w:ascii="宋体" w:hAnsi="宋体" w:eastAsia="宋体" w:cs="宋体"/>
          <w:lang w:eastAsia="zh-CN"/>
        </w:rPr>
        <w:t>1.5.3 地下水</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为井下开采，地表工业场地、选矿厂、尾矿库、充填站全部依托现有，依据《环境影响评价技术导则 地下水环境》（HJ 610-2016）“附录A 地下水环境影响评价行业分类表”，</w:t>
      </w:r>
      <w:r>
        <w:rPr>
          <w:rFonts w:hint="eastAsia" w:cs="宋体"/>
          <w:lang w:eastAsia="zh-CN"/>
        </w:rPr>
        <w:t>本项目</w:t>
      </w:r>
      <w:r>
        <w:rPr>
          <w:rFonts w:hint="eastAsia" w:ascii="宋体" w:hAnsi="宋体" w:eastAsia="宋体" w:cs="宋体"/>
          <w:lang w:eastAsia="zh-CN"/>
        </w:rPr>
        <w:t>对应地下水环境影响评价类别为Ⅳ类，Ⅳ类建设项目不开展地下水环境影响评价。因此，本次评价不开展地下水环境影响评价，仅对地下水进行影响分析，不需设置评价范围。</w:t>
      </w:r>
    </w:p>
    <w:p>
      <w:pPr>
        <w:pStyle w:val="7"/>
        <w:rPr>
          <w:rFonts w:hint="eastAsia" w:ascii="宋体" w:hAnsi="宋体" w:eastAsia="宋体" w:cs="宋体"/>
          <w:lang w:eastAsia="zh-CN"/>
        </w:rPr>
      </w:pPr>
      <w:r>
        <w:rPr>
          <w:rFonts w:hint="eastAsia" w:ascii="宋体" w:hAnsi="宋体" w:eastAsia="宋体" w:cs="宋体"/>
          <w:lang w:eastAsia="zh-CN"/>
        </w:rPr>
        <w:t>1.5.4 声环境</w:t>
      </w:r>
    </w:p>
    <w:p>
      <w:pPr>
        <w:pStyle w:val="8"/>
        <w:rPr>
          <w:rFonts w:hint="eastAsia" w:ascii="宋体" w:hAnsi="宋体" w:eastAsia="宋体" w:cs="宋体"/>
          <w:lang w:eastAsia="zh-CN"/>
        </w:rPr>
      </w:pPr>
      <w:r>
        <w:rPr>
          <w:rFonts w:hint="eastAsia" w:ascii="宋体" w:hAnsi="宋体" w:eastAsia="宋体" w:cs="宋体"/>
          <w:lang w:eastAsia="zh-CN"/>
        </w:rPr>
        <w:t>1.5.4.1 评价等级</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所在区域属2类声环境功能区，根据《环境影响评价技术导则声环境》（HJ 2.4-2009），项目声环境评价等级为</w:t>
      </w:r>
      <w:r>
        <w:rPr>
          <w:rFonts w:hint="eastAsia" w:ascii="宋体" w:hAnsi="宋体" w:eastAsia="宋体" w:cs="宋体"/>
          <w:b/>
          <w:bCs/>
          <w:lang w:eastAsia="zh-CN"/>
        </w:rPr>
        <w:t>二级</w:t>
      </w:r>
      <w:r>
        <w:rPr>
          <w:rFonts w:hint="eastAsia" w:ascii="宋体" w:hAnsi="宋体" w:eastAsia="宋体" w:cs="宋体"/>
          <w:lang w:eastAsia="zh-CN"/>
        </w:rPr>
        <w:t>。评价工作等级划分见表1.5.4-1。</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表1.5.4-1 噪声评价工作等级划分表</w:t>
      </w:r>
    </w:p>
    <w:tbl>
      <w:tblPr>
        <w:tblStyle w:val="24"/>
        <w:tblW w:w="4998"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2002"/>
        <w:gridCol w:w="2854"/>
        <w:gridCol w:w="2845"/>
        <w:gridCol w:w="139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100" w:type="pct"/>
            <w:tcBorders>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2"/>
              </w:rPr>
            </w:pPr>
            <w:r>
              <w:rPr>
                <w:rFonts w:hint="eastAsia" w:ascii="宋体" w:hAnsi="宋体" w:eastAsia="宋体" w:cs="宋体"/>
                <w:b/>
                <w:bCs/>
                <w:sz w:val="21"/>
                <w:szCs w:val="22"/>
              </w:rPr>
              <w:t>项目所处声功能区</w:t>
            </w:r>
          </w:p>
        </w:tc>
        <w:tc>
          <w:tcPr>
            <w:tcW w:w="1568" w:type="pct"/>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2"/>
                <w:lang w:eastAsia="zh-CN"/>
              </w:rPr>
            </w:pPr>
            <w:r>
              <w:rPr>
                <w:rFonts w:hint="eastAsia" w:ascii="宋体" w:hAnsi="宋体" w:eastAsia="宋体" w:cs="宋体"/>
                <w:b/>
                <w:bCs/>
                <w:sz w:val="21"/>
                <w:szCs w:val="22"/>
                <w:lang w:eastAsia="zh-CN"/>
              </w:rPr>
              <w:t>项目引起噪声增加程度</w:t>
            </w:r>
          </w:p>
        </w:tc>
        <w:tc>
          <w:tcPr>
            <w:tcW w:w="1563" w:type="pct"/>
            <w:tcBorders>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2"/>
                <w:lang w:eastAsia="zh-CN"/>
              </w:rPr>
            </w:pPr>
            <w:r>
              <w:rPr>
                <w:rFonts w:hint="eastAsia" w:ascii="宋体" w:hAnsi="宋体" w:eastAsia="宋体" w:cs="宋体"/>
                <w:b/>
                <w:bCs/>
                <w:sz w:val="21"/>
                <w:szCs w:val="22"/>
                <w:lang w:eastAsia="zh-CN"/>
              </w:rPr>
              <w:t>项目影响周边居民人数</w:t>
            </w:r>
          </w:p>
        </w:tc>
        <w:tc>
          <w:tcPr>
            <w:tcW w:w="767" w:type="pct"/>
            <w:tcBorders>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2"/>
              </w:rPr>
            </w:pPr>
            <w:r>
              <w:rPr>
                <w:rFonts w:hint="eastAsia" w:ascii="宋体" w:hAnsi="宋体" w:eastAsia="宋体" w:cs="宋体"/>
                <w:b/>
                <w:bCs/>
                <w:sz w:val="21"/>
                <w:szCs w:val="22"/>
              </w:rPr>
              <w:t>评价等级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100" w:type="pct"/>
            <w:tcBorders>
              <w:top w:val="single" w:color="000000" w:sz="4" w:space="0"/>
              <w:left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2类</w:t>
            </w:r>
          </w:p>
        </w:tc>
        <w:tc>
          <w:tcPr>
            <w:tcW w:w="1568"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3~5dB(A)</w:t>
            </w:r>
          </w:p>
        </w:tc>
        <w:tc>
          <w:tcPr>
            <w:tcW w:w="1563"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较多</w:t>
            </w:r>
          </w:p>
        </w:tc>
        <w:tc>
          <w:tcPr>
            <w:tcW w:w="767" w:type="pct"/>
            <w:tcBorders>
              <w:top w:val="single" w:color="000000" w:sz="4" w:space="0"/>
              <w:left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二级</w:t>
            </w:r>
          </w:p>
        </w:tc>
      </w:tr>
    </w:tbl>
    <w:p>
      <w:pPr>
        <w:pStyle w:val="8"/>
        <w:rPr>
          <w:rFonts w:hint="eastAsia" w:ascii="宋体" w:hAnsi="宋体" w:eastAsia="宋体" w:cs="宋体"/>
        </w:rPr>
      </w:pPr>
      <w:r>
        <w:rPr>
          <w:rFonts w:hint="eastAsia" w:ascii="宋体" w:hAnsi="宋体" w:eastAsia="宋体" w:cs="宋体"/>
          <w:lang w:eastAsia="zh-CN"/>
        </w:rPr>
        <w:t xml:space="preserve">1.5.4.2 </w:t>
      </w:r>
      <w:r>
        <w:rPr>
          <w:rFonts w:hint="eastAsia" w:ascii="宋体" w:hAnsi="宋体" w:eastAsia="宋体" w:cs="宋体"/>
        </w:rPr>
        <w:t>评价范围</w:t>
      </w:r>
    </w:p>
    <w:p>
      <w:pPr>
        <w:ind w:firstLine="560"/>
        <w:rPr>
          <w:rFonts w:hint="eastAsia" w:ascii="宋体" w:hAnsi="宋体" w:eastAsia="宋体" w:cs="宋体"/>
          <w:lang w:eastAsia="zh-CN"/>
        </w:rPr>
      </w:pPr>
      <w:r>
        <w:rPr>
          <w:rFonts w:hint="eastAsia" w:ascii="宋体" w:hAnsi="宋体" w:eastAsia="宋体" w:cs="宋体"/>
          <w:lang w:eastAsia="zh-CN"/>
        </w:rPr>
        <w:t>考虑到其他工业场地设备无变化。本次环评声环境评价范围为工业场地边界外200m范围内。</w:t>
      </w:r>
    </w:p>
    <w:p>
      <w:pPr>
        <w:pStyle w:val="7"/>
        <w:rPr>
          <w:rFonts w:hint="eastAsia" w:ascii="宋体" w:hAnsi="宋体" w:eastAsia="宋体" w:cs="宋体"/>
          <w:lang w:eastAsia="zh-CN"/>
        </w:rPr>
      </w:pPr>
      <w:r>
        <w:rPr>
          <w:rFonts w:hint="eastAsia" w:ascii="宋体" w:hAnsi="宋体" w:eastAsia="宋体" w:cs="宋体"/>
          <w:lang w:eastAsia="zh-CN"/>
        </w:rPr>
        <w:t>1.5.5 土壤环境</w:t>
      </w:r>
    </w:p>
    <w:p>
      <w:pPr>
        <w:pStyle w:val="8"/>
        <w:rPr>
          <w:rFonts w:hint="eastAsia" w:ascii="宋体" w:hAnsi="宋体" w:eastAsia="宋体" w:cs="宋体"/>
          <w:lang w:eastAsia="zh-CN"/>
        </w:rPr>
      </w:pPr>
      <w:r>
        <w:rPr>
          <w:rFonts w:hint="eastAsia" w:ascii="宋体" w:hAnsi="宋体" w:eastAsia="宋体" w:cs="宋体"/>
          <w:lang w:eastAsia="zh-CN"/>
        </w:rPr>
        <w:t>1.5.5.1 评价等级</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土壤环境影响类型为污染影响型；项目类别属“采矿业—金属矿、石油、页岩油开采”，为Ⅰ类项目；项目占地1.99hm</w:t>
      </w:r>
      <w:r>
        <w:rPr>
          <w:rFonts w:hint="eastAsia" w:ascii="宋体" w:hAnsi="宋体" w:eastAsia="宋体" w:cs="宋体"/>
          <w:vertAlign w:val="superscript"/>
          <w:lang w:eastAsia="zh-CN"/>
        </w:rPr>
        <w:t>2</w:t>
      </w:r>
      <w:r>
        <w:rPr>
          <w:rFonts w:hint="eastAsia" w:ascii="宋体" w:hAnsi="宋体" w:eastAsia="宋体" w:cs="宋体"/>
          <w:lang w:eastAsia="zh-CN"/>
        </w:rPr>
        <w:t>，属小型；项目周边有耕地和园地，敏感程度为敏感。根据《环境影响评价技术导则  土壤环境（试行）》（HJ964-2018），</w:t>
      </w:r>
      <w:r>
        <w:rPr>
          <w:rFonts w:hint="eastAsia" w:cs="宋体"/>
          <w:lang w:eastAsia="zh-CN"/>
        </w:rPr>
        <w:t>本项目</w:t>
      </w:r>
      <w:r>
        <w:rPr>
          <w:rFonts w:hint="eastAsia" w:ascii="宋体" w:hAnsi="宋体" w:eastAsia="宋体" w:cs="宋体"/>
          <w:lang w:eastAsia="zh-CN"/>
        </w:rPr>
        <w:t>土壤环境评价工作等级确定为一级。</w:t>
      </w:r>
    </w:p>
    <w:p>
      <w:pPr>
        <w:pStyle w:val="8"/>
        <w:rPr>
          <w:rFonts w:hint="eastAsia" w:ascii="宋体" w:hAnsi="宋体" w:eastAsia="宋体" w:cs="宋体"/>
          <w:lang w:eastAsia="zh-CN"/>
        </w:rPr>
      </w:pPr>
      <w:r>
        <w:rPr>
          <w:rFonts w:hint="eastAsia" w:ascii="宋体" w:hAnsi="宋体" w:eastAsia="宋体" w:cs="宋体"/>
          <w:lang w:eastAsia="zh-CN"/>
        </w:rPr>
        <w:t>1.5.5.2 评价范围</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土壤环境（试行）》（HJ 964-2018），建设项目土壤环境影响现状调查范围具体见表6.5.2-3。</w:t>
      </w:r>
    </w:p>
    <w:p>
      <w:pPr>
        <w:autoSpaceDE/>
        <w:autoSpaceDN/>
        <w:spacing w:line="24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表1.5.5-1 现状调查范围</w:t>
      </w:r>
    </w:p>
    <w:tbl>
      <w:tblPr>
        <w:tblStyle w:val="6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8"/>
        <w:gridCol w:w="1354"/>
        <w:gridCol w:w="2056"/>
        <w:gridCol w:w="39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39" w:type="pct"/>
            <w:vMerge w:val="restart"/>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评价工作等级</w:t>
            </w:r>
          </w:p>
        </w:tc>
        <w:tc>
          <w:tcPr>
            <w:tcW w:w="744" w:type="pct"/>
            <w:vMerge w:val="restart"/>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影响类型</w:t>
            </w:r>
          </w:p>
        </w:tc>
        <w:tc>
          <w:tcPr>
            <w:tcW w:w="3315" w:type="pct"/>
            <w:gridSpan w:val="2"/>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调查范围</w:t>
            </w:r>
            <w:r>
              <w:rPr>
                <w:rFonts w:hint="eastAsia" w:ascii="宋体" w:hAnsi="宋体" w:eastAsia="宋体" w:cs="宋体"/>
                <w:b/>
                <w:bCs/>
                <w:sz w:val="21"/>
                <w:szCs w:val="21"/>
                <w:vertAlign w:val="superscript"/>
                <w:lang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39" w:type="pct"/>
            <w:vMerge w:val="continue"/>
            <w:vAlign w:val="center"/>
          </w:tcPr>
          <w:p>
            <w:pPr>
              <w:spacing w:line="240" w:lineRule="auto"/>
              <w:ind w:firstLine="0" w:firstLineChars="0"/>
              <w:jc w:val="center"/>
              <w:rPr>
                <w:rFonts w:hint="eastAsia" w:ascii="宋体" w:hAnsi="宋体" w:eastAsia="宋体" w:cs="宋体"/>
                <w:b/>
                <w:bCs/>
                <w:sz w:val="21"/>
                <w:szCs w:val="21"/>
                <w:lang w:eastAsia="zh-CN"/>
              </w:rPr>
            </w:pPr>
          </w:p>
        </w:tc>
        <w:tc>
          <w:tcPr>
            <w:tcW w:w="744" w:type="pct"/>
            <w:vMerge w:val="continue"/>
            <w:vAlign w:val="center"/>
          </w:tcPr>
          <w:p>
            <w:pPr>
              <w:spacing w:line="240" w:lineRule="auto"/>
              <w:ind w:firstLine="0" w:firstLineChars="0"/>
              <w:jc w:val="center"/>
              <w:rPr>
                <w:rFonts w:hint="eastAsia" w:ascii="宋体" w:hAnsi="宋体" w:eastAsia="宋体" w:cs="宋体"/>
                <w:b/>
                <w:bCs/>
                <w:sz w:val="21"/>
                <w:szCs w:val="21"/>
                <w:lang w:eastAsia="zh-CN"/>
              </w:rPr>
            </w:pPr>
          </w:p>
        </w:tc>
        <w:tc>
          <w:tcPr>
            <w:tcW w:w="1130" w:type="pct"/>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占地</w:t>
            </w:r>
            <w:r>
              <w:rPr>
                <w:rFonts w:hint="eastAsia" w:ascii="宋体" w:hAnsi="宋体" w:eastAsia="宋体" w:cs="宋体"/>
                <w:b/>
                <w:bCs/>
                <w:sz w:val="21"/>
                <w:szCs w:val="21"/>
                <w:vertAlign w:val="superscript"/>
                <w:lang w:eastAsia="zh-CN"/>
              </w:rPr>
              <w:t>b</w:t>
            </w:r>
            <w:r>
              <w:rPr>
                <w:rFonts w:hint="eastAsia" w:ascii="宋体" w:hAnsi="宋体" w:eastAsia="宋体" w:cs="宋体"/>
                <w:b/>
                <w:bCs/>
                <w:sz w:val="21"/>
                <w:szCs w:val="21"/>
                <w:lang w:eastAsia="zh-CN"/>
              </w:rPr>
              <w:t>范围内</w:t>
            </w:r>
          </w:p>
        </w:tc>
        <w:tc>
          <w:tcPr>
            <w:tcW w:w="2185" w:type="pct"/>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占地范围外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restar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b/>
                <w:bCs/>
                <w:kern w:val="2"/>
                <w:sz w:val="21"/>
                <w:szCs w:val="21"/>
                <w:lang w:eastAsia="zh-CN"/>
              </w:rPr>
              <w:t>一级</w:t>
            </w: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生态影响型</w:t>
            </w:r>
          </w:p>
        </w:tc>
        <w:tc>
          <w:tcPr>
            <w:tcW w:w="1130" w:type="pct"/>
            <w:vMerge w:val="restar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b/>
                <w:bCs/>
                <w:kern w:val="2"/>
                <w:sz w:val="21"/>
                <w:szCs w:val="21"/>
                <w:lang w:eastAsia="zh-CN"/>
              </w:rPr>
              <w:t>全部</w:t>
            </w: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5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b/>
                <w:bCs/>
                <w:kern w:val="2"/>
                <w:sz w:val="21"/>
                <w:szCs w:val="21"/>
                <w:lang w:eastAsia="zh-CN"/>
              </w:rPr>
              <w:t>污染影响型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b/>
                <w:bCs/>
                <w:kern w:val="2"/>
                <w:sz w:val="21"/>
                <w:szCs w:val="21"/>
                <w:lang w:eastAsia="zh-CN"/>
              </w:rPr>
              <w:t>1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restar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二级</w:t>
            </w: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生态影响型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2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污染影响型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0.2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restar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三级</w:t>
            </w: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生态影响型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1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污染影响型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0.05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4"/>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a 涉及大气沉降途径影响的，可根据主导风向下风向的最大落地浓度点适当调整。</w:t>
            </w:r>
          </w:p>
          <w:p>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b 矿山类项目指开采区与各场地的占地；改、扩建类的指现有工程与</w:t>
            </w:r>
            <w:r>
              <w:rPr>
                <w:rFonts w:hint="eastAsia" w:cs="宋体"/>
                <w:sz w:val="21"/>
                <w:szCs w:val="21"/>
                <w:lang w:eastAsia="zh-CN"/>
              </w:rPr>
              <w:t>本项目</w:t>
            </w:r>
            <w:r>
              <w:rPr>
                <w:rFonts w:hint="eastAsia" w:ascii="宋体" w:hAnsi="宋体" w:eastAsia="宋体" w:cs="宋体"/>
                <w:sz w:val="21"/>
                <w:szCs w:val="21"/>
                <w:lang w:eastAsia="zh-CN"/>
              </w:rPr>
              <w:t>的占地。</w:t>
            </w:r>
          </w:p>
        </w:tc>
      </w:tr>
    </w:tbl>
    <w:p>
      <w:pPr>
        <w:ind w:firstLine="560"/>
        <w:rPr>
          <w:rFonts w:hint="eastAsia" w:ascii="宋体" w:hAnsi="宋体" w:eastAsia="宋体" w:cs="宋体"/>
          <w:lang w:eastAsia="zh-CN"/>
        </w:rPr>
      </w:pPr>
      <w:r>
        <w:rPr>
          <w:rFonts w:hint="eastAsia" w:ascii="宋体" w:hAnsi="宋体" w:eastAsia="宋体" w:cs="宋体"/>
          <w:lang w:eastAsia="zh-CN"/>
        </w:rPr>
        <w:t>由上表可以得出，</w:t>
      </w:r>
      <w:r>
        <w:rPr>
          <w:rFonts w:hint="eastAsia" w:cs="宋体"/>
          <w:lang w:eastAsia="zh-CN"/>
        </w:rPr>
        <w:t>本项目</w:t>
      </w:r>
      <w:r>
        <w:rPr>
          <w:rFonts w:hint="eastAsia" w:ascii="宋体" w:hAnsi="宋体" w:eastAsia="宋体" w:cs="宋体"/>
          <w:lang w:eastAsia="zh-CN"/>
        </w:rPr>
        <w:t>现状调查范围为占地范围内和占地范围外1km。</w:t>
      </w:r>
    </w:p>
    <w:p>
      <w:pPr>
        <w:pStyle w:val="7"/>
        <w:rPr>
          <w:rFonts w:hint="eastAsia" w:ascii="宋体" w:hAnsi="宋体" w:eastAsia="宋体" w:cs="宋体"/>
          <w:lang w:eastAsia="zh-CN"/>
        </w:rPr>
      </w:pPr>
      <w:r>
        <w:rPr>
          <w:rFonts w:hint="eastAsia" w:ascii="宋体" w:hAnsi="宋体" w:eastAsia="宋体" w:cs="宋体"/>
          <w:lang w:eastAsia="zh-CN"/>
        </w:rPr>
        <w:t>1.5.6 生态环境</w:t>
      </w:r>
    </w:p>
    <w:p>
      <w:pPr>
        <w:pStyle w:val="8"/>
        <w:rPr>
          <w:rFonts w:hint="eastAsia" w:ascii="宋体" w:hAnsi="宋体" w:eastAsia="宋体" w:cs="宋体"/>
          <w:lang w:eastAsia="zh-CN"/>
        </w:rPr>
      </w:pPr>
      <w:r>
        <w:rPr>
          <w:rFonts w:hint="eastAsia" w:ascii="宋体" w:hAnsi="宋体" w:eastAsia="宋体" w:cs="宋体"/>
          <w:lang w:eastAsia="zh-CN"/>
        </w:rPr>
        <w:t>1.5.6.1 评价等级</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为井下开采项目，地面工程占地1.99hm</w:t>
      </w:r>
      <w:r>
        <w:rPr>
          <w:rFonts w:hint="eastAsia" w:ascii="宋体" w:hAnsi="宋体" w:eastAsia="宋体" w:cs="宋体"/>
          <w:vertAlign w:val="superscript"/>
          <w:lang w:eastAsia="zh-CN"/>
        </w:rPr>
        <w:t>2</w:t>
      </w:r>
      <w:r>
        <w:rPr>
          <w:rFonts w:hint="eastAsia" w:ascii="宋体" w:hAnsi="宋体" w:eastAsia="宋体" w:cs="宋体"/>
          <w:lang w:eastAsia="zh-CN"/>
        </w:rPr>
        <w:t>，在原有矿区占地基础上建设，不新增占地，总面积小于2km</w:t>
      </w:r>
      <w:r>
        <w:rPr>
          <w:rFonts w:hint="eastAsia" w:ascii="宋体" w:hAnsi="宋体" w:eastAsia="宋体" w:cs="宋体"/>
          <w:vertAlign w:val="superscript"/>
          <w:lang w:eastAsia="zh-CN"/>
        </w:rPr>
        <w:t>2</w:t>
      </w:r>
      <w:r>
        <w:rPr>
          <w:rFonts w:hint="eastAsia" w:ascii="宋体" w:hAnsi="宋体" w:eastAsia="宋体" w:cs="宋体"/>
          <w:lang w:eastAsia="zh-CN"/>
        </w:rPr>
        <w:t>。另外，</w:t>
      </w:r>
      <w:r>
        <w:rPr>
          <w:rFonts w:hint="eastAsia" w:cs="宋体"/>
          <w:lang w:eastAsia="zh-CN"/>
        </w:rPr>
        <w:t>本项目</w:t>
      </w:r>
      <w:r>
        <w:rPr>
          <w:rFonts w:hint="eastAsia" w:ascii="宋体" w:hAnsi="宋体" w:eastAsia="宋体" w:cs="宋体"/>
          <w:lang w:eastAsia="zh-CN"/>
        </w:rPr>
        <w:t>生态影响范围内有山东沂水湿地公园，属于重要湿地，</w:t>
      </w:r>
      <w:r>
        <w:rPr>
          <w:rFonts w:hint="eastAsia" w:cs="宋体"/>
          <w:lang w:eastAsia="zh-CN"/>
        </w:rPr>
        <w:t>本项目</w:t>
      </w:r>
      <w:r>
        <w:rPr>
          <w:rFonts w:hint="eastAsia" w:ascii="宋体" w:hAnsi="宋体" w:eastAsia="宋体" w:cs="宋体"/>
          <w:lang w:eastAsia="zh-CN"/>
        </w:rPr>
        <w:t>生态敏感区为重要生态敏感区。</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生态影响》（HJ19-2011）中规定，生态环境影响评价等级划分判据见表1.5.6-1，确定评价等级为三级。</w:t>
      </w:r>
    </w:p>
    <w:p>
      <w:pPr>
        <w:tabs>
          <w:tab w:val="left" w:pos="4004"/>
        </w:tabs>
        <w:spacing w:line="24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表1.5.6-1 生态影响评价工作等级划分表</w:t>
      </w:r>
    </w:p>
    <w:tbl>
      <w:tblPr>
        <w:tblStyle w:val="24"/>
        <w:tblW w:w="507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926"/>
        <w:gridCol w:w="2199"/>
        <w:gridCol w:w="2952"/>
        <w:gridCol w:w="215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vMerge w:val="restart"/>
            <w:tcBorders>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2"/>
              </w:rPr>
            </w:pPr>
            <w:r>
              <w:rPr>
                <w:rFonts w:hint="eastAsia" w:ascii="宋体" w:hAnsi="宋体" w:eastAsia="宋体" w:cs="宋体"/>
                <w:b/>
                <w:w w:val="95"/>
                <w:sz w:val="21"/>
                <w:szCs w:val="22"/>
              </w:rPr>
              <w:t>影响区域</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w w:val="95"/>
                <w:sz w:val="21"/>
                <w:szCs w:val="22"/>
              </w:rPr>
              <w:t>生态敏感性</w:t>
            </w:r>
          </w:p>
        </w:tc>
        <w:tc>
          <w:tcPr>
            <w:tcW w:w="3955" w:type="pct"/>
            <w:gridSpan w:val="3"/>
            <w:tcBorders>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lang w:eastAsia="zh-CN"/>
              </w:rPr>
            </w:pPr>
            <w:r>
              <w:rPr>
                <w:rFonts w:hint="eastAsia" w:ascii="宋体" w:hAnsi="宋体" w:eastAsia="宋体" w:cs="宋体"/>
                <w:b/>
                <w:bCs/>
                <w:sz w:val="21"/>
                <w:szCs w:val="21"/>
                <w:lang w:eastAsia="zh-CN"/>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2"/>
                <w:szCs w:val="22"/>
                <w:lang w:eastAsia="zh-CN"/>
              </w:rPr>
            </w:pPr>
          </w:p>
        </w:tc>
        <w:tc>
          <w:tcPr>
            <w:tcW w:w="119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面积≥20km</w:t>
            </w:r>
            <w:r>
              <w:rPr>
                <w:rFonts w:hint="eastAsia" w:ascii="宋体" w:hAnsi="宋体" w:eastAsia="宋体" w:cs="宋体"/>
                <w:b/>
                <w:position w:val="6"/>
                <w:sz w:val="14"/>
                <w:szCs w:val="22"/>
              </w:rPr>
              <w:t>2</w:t>
            </w:r>
            <w:r>
              <w:rPr>
                <w:rFonts w:hint="eastAsia" w:ascii="宋体" w:hAnsi="宋体" w:eastAsia="宋体" w:cs="宋体"/>
                <w:b/>
                <w:sz w:val="21"/>
                <w:szCs w:val="22"/>
              </w:rPr>
              <w:t>或</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长度≥100km</w:t>
            </w:r>
          </w:p>
        </w:tc>
        <w:tc>
          <w:tcPr>
            <w:tcW w:w="15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面积2km</w:t>
            </w:r>
            <w:r>
              <w:rPr>
                <w:rFonts w:hint="eastAsia" w:ascii="宋体" w:hAnsi="宋体" w:eastAsia="宋体" w:cs="宋体"/>
                <w:b/>
                <w:position w:val="6"/>
                <w:sz w:val="14"/>
                <w:szCs w:val="22"/>
              </w:rPr>
              <w:t>2</w:t>
            </w:r>
            <w:r>
              <w:rPr>
                <w:rFonts w:hint="eastAsia" w:ascii="宋体" w:hAnsi="宋体" w:eastAsia="宋体" w:cs="宋体"/>
                <w:b/>
                <w:sz w:val="21"/>
                <w:szCs w:val="22"/>
              </w:rPr>
              <w:t>-20km</w:t>
            </w:r>
            <w:r>
              <w:rPr>
                <w:rFonts w:hint="eastAsia" w:ascii="宋体" w:hAnsi="宋体" w:eastAsia="宋体" w:cs="宋体"/>
                <w:b/>
                <w:position w:val="6"/>
                <w:sz w:val="14"/>
                <w:szCs w:val="22"/>
              </w:rPr>
              <w:t>2</w:t>
            </w:r>
            <w:r>
              <w:rPr>
                <w:rFonts w:hint="eastAsia" w:ascii="宋体" w:hAnsi="宋体" w:eastAsia="宋体" w:cs="宋体"/>
                <w:b/>
                <w:sz w:val="21"/>
                <w:szCs w:val="22"/>
              </w:rPr>
              <w:t>或</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长度50km-100km</w:t>
            </w:r>
          </w:p>
        </w:tc>
        <w:tc>
          <w:tcPr>
            <w:tcW w:w="1165" w:type="pct"/>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面积≤2km</w:t>
            </w:r>
            <w:r>
              <w:rPr>
                <w:rFonts w:hint="eastAsia" w:ascii="宋体" w:hAnsi="宋体" w:eastAsia="宋体" w:cs="宋体"/>
                <w:b/>
                <w:position w:val="6"/>
                <w:sz w:val="14"/>
                <w:szCs w:val="22"/>
              </w:rPr>
              <w:t>2</w:t>
            </w:r>
            <w:r>
              <w:rPr>
                <w:rFonts w:hint="eastAsia" w:ascii="宋体" w:hAnsi="宋体" w:eastAsia="宋体" w:cs="宋体"/>
                <w:b/>
                <w:sz w:val="21"/>
                <w:szCs w:val="22"/>
              </w:rPr>
              <w:t>或</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长度≤50km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特殊生态敏感区</w:t>
            </w:r>
          </w:p>
        </w:tc>
        <w:tc>
          <w:tcPr>
            <w:tcW w:w="119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c>
          <w:tcPr>
            <w:tcW w:w="15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c>
          <w:tcPr>
            <w:tcW w:w="1165" w:type="pct"/>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重要生态敏感区</w:t>
            </w:r>
          </w:p>
        </w:tc>
        <w:tc>
          <w:tcPr>
            <w:tcW w:w="119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c>
          <w:tcPr>
            <w:tcW w:w="15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二级</w:t>
            </w:r>
          </w:p>
        </w:tc>
        <w:tc>
          <w:tcPr>
            <w:tcW w:w="1165" w:type="pct"/>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b/>
                <w:bCs/>
                <w:sz w:val="21"/>
                <w:szCs w:val="22"/>
              </w:rPr>
              <w:t>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tcBorders>
              <w:top w:val="single" w:color="000000" w:sz="4" w:space="0"/>
              <w:left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一般生态敏感区</w:t>
            </w:r>
          </w:p>
        </w:tc>
        <w:tc>
          <w:tcPr>
            <w:tcW w:w="1191"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二级</w:t>
            </w:r>
          </w:p>
        </w:tc>
        <w:tc>
          <w:tcPr>
            <w:tcW w:w="1599"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三级</w:t>
            </w:r>
          </w:p>
        </w:tc>
        <w:tc>
          <w:tcPr>
            <w:tcW w:w="1165" w:type="pct"/>
            <w:tcBorders>
              <w:top w:val="single" w:color="000000" w:sz="4" w:space="0"/>
              <w:left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三级</w:t>
            </w:r>
          </w:p>
        </w:tc>
      </w:tr>
    </w:tbl>
    <w:p>
      <w:pPr>
        <w:pStyle w:val="8"/>
        <w:rPr>
          <w:rFonts w:hint="eastAsia" w:ascii="宋体" w:hAnsi="宋体" w:eastAsia="宋体" w:cs="宋体"/>
          <w:lang w:eastAsia="zh-CN"/>
        </w:rPr>
      </w:pPr>
      <w:r>
        <w:rPr>
          <w:rFonts w:hint="eastAsia" w:ascii="宋体" w:hAnsi="宋体" w:eastAsia="宋体" w:cs="宋体"/>
          <w:lang w:eastAsia="zh-CN"/>
        </w:rPr>
        <w:t>1.5.6.2 评价范围</w:t>
      </w:r>
    </w:p>
    <w:p>
      <w:pPr>
        <w:ind w:firstLine="560"/>
        <w:rPr>
          <w:rFonts w:hint="eastAsia" w:ascii="宋体" w:hAnsi="宋体" w:eastAsia="宋体" w:cs="宋体"/>
          <w:lang w:eastAsia="zh-CN"/>
        </w:rPr>
      </w:pPr>
      <w:r>
        <w:rPr>
          <w:rFonts w:hint="eastAsia" w:ascii="宋体" w:hAnsi="宋体" w:eastAsia="宋体" w:cs="宋体"/>
          <w:lang w:eastAsia="zh-CN"/>
        </w:rPr>
        <w:t>依据《环境影响评价技术导则 生态影响》(HJ 19-2011)，以评价项目影响区域所涉及的完整气候单元、水文单元、生态单元、地理单元综合确定项目的生态影响评价范围。</w:t>
      </w:r>
    </w:p>
    <w:p>
      <w:pPr>
        <w:ind w:firstLine="560"/>
        <w:rPr>
          <w:rFonts w:hint="eastAsia" w:ascii="宋体" w:hAnsi="宋体" w:eastAsia="宋体" w:cs="宋体"/>
          <w:lang w:eastAsia="zh-CN"/>
        </w:rPr>
      </w:pPr>
      <w:r>
        <w:rPr>
          <w:rFonts w:hint="eastAsia" w:ascii="宋体" w:hAnsi="宋体" w:eastAsia="宋体" w:cs="宋体"/>
          <w:lang w:eastAsia="zh-CN"/>
        </w:rPr>
        <w:t>考虑到矿山开采可能对区域生态环境造成影响，拟将以矿区边界和岩石可能移动边界外扩500m作为生态影响评价的范围。</w:t>
      </w:r>
    </w:p>
    <w:p>
      <w:pPr>
        <w:ind w:firstLine="0" w:firstLineChars="0"/>
        <w:outlineLvl w:val="2"/>
        <w:rPr>
          <w:rFonts w:hint="eastAsia" w:ascii="宋体" w:hAnsi="宋体" w:eastAsia="宋体" w:cs="宋体"/>
          <w:b/>
          <w:bCs/>
          <w:szCs w:val="28"/>
          <w:lang w:eastAsia="zh-CN"/>
        </w:rPr>
      </w:pPr>
      <w:r>
        <w:rPr>
          <w:rFonts w:hint="eastAsia" w:ascii="宋体" w:hAnsi="宋体" w:eastAsia="宋体" w:cs="宋体"/>
          <w:b/>
          <w:bCs/>
          <w:szCs w:val="28"/>
          <w:lang w:eastAsia="zh-CN"/>
        </w:rPr>
        <w:t>1.5.7 环境风险</w:t>
      </w:r>
    </w:p>
    <w:p>
      <w:pPr>
        <w:ind w:firstLine="560"/>
        <w:rPr>
          <w:rFonts w:hint="eastAsia" w:ascii="宋体" w:hAnsi="宋体" w:eastAsia="宋体" w:cs="宋体"/>
          <w:sz w:val="24"/>
          <w:highlight w:val="red"/>
          <w:lang w:eastAsia="zh-CN"/>
        </w:rPr>
      </w:pPr>
      <w:r>
        <w:rPr>
          <w:rFonts w:hint="eastAsia" w:ascii="宋体" w:hAnsi="宋体" w:eastAsia="宋体" w:cs="宋体"/>
          <w:lang w:eastAsia="zh-CN"/>
        </w:rPr>
        <w:t>根据《建设项目环境风险评价技术导则》（HJ 169-2018）附录B，</w:t>
      </w:r>
      <w:r>
        <w:rPr>
          <w:rFonts w:hint="eastAsia" w:cs="宋体"/>
          <w:lang w:eastAsia="zh-CN"/>
        </w:rPr>
        <w:t>本项目</w:t>
      </w:r>
      <w:r>
        <w:rPr>
          <w:rFonts w:hint="eastAsia" w:ascii="宋体" w:hAnsi="宋体" w:eastAsia="宋体" w:cs="宋体"/>
          <w:lang w:eastAsia="zh-CN"/>
        </w:rPr>
        <w:t>涉及的风险物质主要为炸药、油类物质。</w:t>
      </w:r>
      <w:r>
        <w:rPr>
          <w:rFonts w:hint="eastAsia" w:cs="宋体"/>
          <w:lang w:eastAsia="zh-CN"/>
        </w:rPr>
        <w:t>本项目</w:t>
      </w:r>
      <w:r>
        <w:rPr>
          <w:rFonts w:hint="eastAsia" w:ascii="宋体" w:hAnsi="宋体" w:eastAsia="宋体" w:cs="宋体"/>
          <w:lang w:eastAsia="zh-CN"/>
        </w:rPr>
        <w:t>的环境风险潜势为I，风险评价等级为简单分析。</w:t>
      </w:r>
    </w:p>
    <w:p>
      <w:pPr>
        <w:pStyle w:val="6"/>
        <w:rPr>
          <w:rFonts w:hint="eastAsia" w:ascii="宋体" w:hAnsi="宋体" w:eastAsia="宋体" w:cs="宋体"/>
          <w:lang w:eastAsia="zh-CN"/>
        </w:rPr>
      </w:pPr>
      <w:bookmarkStart w:id="45" w:name="_bookmark9"/>
      <w:bookmarkEnd w:id="45"/>
      <w:bookmarkStart w:id="46" w:name="_Toc7230"/>
      <w:bookmarkStart w:id="47" w:name="_Toc10505"/>
      <w:r>
        <w:rPr>
          <w:rFonts w:hint="eastAsia" w:ascii="宋体" w:hAnsi="宋体" w:eastAsia="宋体" w:cs="宋体"/>
          <w:lang w:eastAsia="zh-CN"/>
        </w:rPr>
        <w:t>1.6 评价范围小结及重点保护目标</w:t>
      </w:r>
      <w:bookmarkEnd w:id="46"/>
      <w:bookmarkEnd w:id="47"/>
    </w:p>
    <w:p>
      <w:pPr>
        <w:pStyle w:val="7"/>
        <w:rPr>
          <w:rFonts w:hint="eastAsia" w:ascii="宋体" w:hAnsi="宋体" w:eastAsia="宋体" w:cs="宋体"/>
          <w:lang w:eastAsia="zh-CN"/>
        </w:rPr>
      </w:pPr>
      <w:r>
        <w:rPr>
          <w:rFonts w:hint="eastAsia" w:ascii="宋体" w:hAnsi="宋体" w:eastAsia="宋体" w:cs="宋体"/>
          <w:lang w:eastAsia="zh-CN"/>
        </w:rPr>
        <w:t>1.6.1 评价范围</w:t>
      </w:r>
    </w:p>
    <w:p>
      <w:pPr>
        <w:ind w:firstLine="560"/>
        <w:rPr>
          <w:rFonts w:hint="eastAsia" w:ascii="宋体" w:hAnsi="宋体" w:eastAsia="宋体" w:cs="宋体"/>
          <w:lang w:eastAsia="zh-CN"/>
        </w:rPr>
      </w:pPr>
      <w:r>
        <w:rPr>
          <w:rFonts w:hint="eastAsia" w:ascii="宋体" w:hAnsi="宋体" w:eastAsia="宋体" w:cs="宋体"/>
          <w:lang w:eastAsia="zh-CN"/>
        </w:rPr>
        <w:t>根据当地气象、水文、地质条件和</w:t>
      </w:r>
      <w:r>
        <w:rPr>
          <w:rFonts w:hint="eastAsia" w:cs="宋体"/>
          <w:lang w:eastAsia="zh-CN"/>
        </w:rPr>
        <w:t>本项目</w:t>
      </w:r>
      <w:r>
        <w:rPr>
          <w:rFonts w:hint="eastAsia" w:ascii="宋体" w:hAnsi="宋体" w:eastAsia="宋体" w:cs="宋体"/>
          <w:lang w:eastAsia="zh-CN"/>
        </w:rPr>
        <w:t>“三废”排放情况及厂址周围企事业单位、居民区分布特点，本次评价范围见表1.6.1-1及图1.6.1-1。</w:t>
      </w:r>
    </w:p>
    <w:p>
      <w:pPr>
        <w:tabs>
          <w:tab w:val="left" w:pos="1231"/>
        </w:tabs>
        <w:spacing w:line="240" w:lineRule="auto"/>
        <w:ind w:firstLine="0" w:firstLineChars="0"/>
        <w:jc w:val="center"/>
        <w:rPr>
          <w:rFonts w:hint="eastAsia" w:ascii="宋体" w:hAnsi="宋体" w:eastAsia="宋体" w:cs="宋体"/>
          <w:b/>
          <w:sz w:val="24"/>
        </w:rPr>
      </w:pPr>
      <w:r>
        <w:rPr>
          <w:rFonts w:hint="eastAsia" w:ascii="宋体" w:hAnsi="宋体" w:eastAsia="宋体" w:cs="宋体"/>
          <w:b/>
          <w:sz w:val="24"/>
        </w:rPr>
        <w:t>表1.6.1-1</w:t>
      </w:r>
      <w:r>
        <w:rPr>
          <w:rFonts w:hint="eastAsia" w:ascii="宋体" w:hAnsi="宋体" w:eastAsia="宋体" w:cs="宋体"/>
          <w:b/>
          <w:sz w:val="24"/>
          <w:lang w:eastAsia="zh-CN"/>
        </w:rPr>
        <w:t xml:space="preserve"> </w:t>
      </w:r>
      <w:r>
        <w:rPr>
          <w:rFonts w:hint="eastAsia" w:ascii="宋体" w:hAnsi="宋体" w:eastAsia="宋体" w:cs="宋体"/>
          <w:b/>
          <w:sz w:val="24"/>
        </w:rPr>
        <w:t>评价范围</w:t>
      </w:r>
    </w:p>
    <w:tbl>
      <w:tblPr>
        <w:tblStyle w:val="24"/>
        <w:tblW w:w="5116" w:type="pct"/>
        <w:tblInd w:w="3"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408"/>
        <w:gridCol w:w="790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75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环境专题</w:t>
            </w:r>
          </w:p>
        </w:tc>
        <w:tc>
          <w:tcPr>
            <w:tcW w:w="424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评价范围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环境空气</w:t>
            </w:r>
          </w:p>
        </w:tc>
        <w:tc>
          <w:tcPr>
            <w:tcW w:w="424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以</w:t>
            </w:r>
            <w:r>
              <w:rPr>
                <w:rFonts w:hint="eastAsia" w:cs="宋体"/>
                <w:sz w:val="21"/>
                <w:szCs w:val="21"/>
                <w:lang w:eastAsia="zh-CN"/>
              </w:rPr>
              <w:t>本项目</w:t>
            </w:r>
            <w:r>
              <w:rPr>
                <w:rFonts w:hint="eastAsia" w:ascii="宋体" w:hAnsi="宋体" w:eastAsia="宋体" w:cs="宋体"/>
                <w:sz w:val="21"/>
                <w:szCs w:val="21"/>
                <w:lang w:eastAsia="zh-CN"/>
              </w:rPr>
              <w:t>各风井场地为中心区域，边长5.0km的矩形组成的区域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地表水</w:t>
            </w:r>
          </w:p>
        </w:tc>
        <w:tc>
          <w:tcPr>
            <w:tcW w:w="424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地下水</w:t>
            </w:r>
          </w:p>
        </w:tc>
        <w:tc>
          <w:tcPr>
            <w:tcW w:w="424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噪声</w:t>
            </w:r>
          </w:p>
        </w:tc>
        <w:tc>
          <w:tcPr>
            <w:tcW w:w="424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工业场地边界外200m范围内</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土壤环境</w:t>
            </w:r>
          </w:p>
        </w:tc>
        <w:tc>
          <w:tcPr>
            <w:tcW w:w="424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各工业场地占地范围内和占地范围外1km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生态环境</w:t>
            </w:r>
          </w:p>
        </w:tc>
        <w:tc>
          <w:tcPr>
            <w:tcW w:w="424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以矿区边界和岩石可能移动边界外扩500m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75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环境风险</w:t>
            </w:r>
          </w:p>
        </w:tc>
        <w:tc>
          <w:tcPr>
            <w:tcW w:w="424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备注：“/”代表无评价范围。</w:t>
            </w:r>
          </w:p>
        </w:tc>
      </w:tr>
    </w:tbl>
    <w:p>
      <w:pPr>
        <w:pStyle w:val="7"/>
        <w:rPr>
          <w:rFonts w:hint="eastAsia" w:ascii="宋体" w:hAnsi="宋体" w:eastAsia="宋体" w:cs="宋体"/>
          <w:lang w:eastAsia="zh-CN"/>
        </w:rPr>
      </w:pPr>
      <w:r>
        <w:rPr>
          <w:rFonts w:hint="eastAsia" w:ascii="宋体" w:hAnsi="宋体" w:eastAsia="宋体" w:cs="宋体"/>
          <w:lang w:eastAsia="zh-CN"/>
        </w:rPr>
        <w:t>1.6.2 环境保护目标</w:t>
      </w:r>
    </w:p>
    <w:p>
      <w:pPr>
        <w:ind w:firstLine="560"/>
        <w:rPr>
          <w:rFonts w:hint="eastAsia" w:ascii="宋体" w:hAnsi="宋体" w:eastAsia="宋体" w:cs="宋体"/>
          <w:lang w:eastAsia="zh-CN"/>
        </w:rPr>
      </w:pPr>
      <w:r>
        <w:rPr>
          <w:rFonts w:hint="eastAsia" w:ascii="宋体" w:hAnsi="宋体" w:eastAsia="宋体" w:cs="宋体"/>
          <w:lang w:eastAsia="zh-CN"/>
        </w:rPr>
        <w:t>经过现场踏勘和调查，矿区范围内及周边无自然保护区、风景名胜区和文物古迹保护单位等敏感保护目标，</w:t>
      </w:r>
      <w:r>
        <w:rPr>
          <w:rFonts w:hint="eastAsia" w:cs="宋体"/>
          <w:lang w:eastAsia="zh-CN"/>
        </w:rPr>
        <w:t>本项目</w:t>
      </w:r>
      <w:r>
        <w:rPr>
          <w:rFonts w:hint="eastAsia" w:ascii="宋体" w:hAnsi="宋体" w:eastAsia="宋体" w:cs="宋体"/>
          <w:lang w:eastAsia="zh-CN"/>
        </w:rPr>
        <w:t>环境保护目标见表1.6.2-1。环境保护敏感目标分布情况及评价范围见图1.6</w:t>
      </w:r>
      <w:r>
        <w:rPr>
          <w:rFonts w:hint="eastAsia" w:cs="宋体"/>
          <w:lang w:val="en-US" w:eastAsia="zh-CN"/>
        </w:rPr>
        <w:t>.1</w:t>
      </w:r>
      <w:r>
        <w:rPr>
          <w:rFonts w:hint="eastAsia" w:ascii="宋体" w:hAnsi="宋体" w:eastAsia="宋体" w:cs="宋体"/>
          <w:lang w:eastAsia="zh-CN"/>
        </w:rPr>
        <w:t>-1。</w:t>
      </w:r>
    </w:p>
    <w:p>
      <w:pPr>
        <w:adjustRightInd w:val="0"/>
        <w:spacing w:line="240" w:lineRule="auto"/>
        <w:ind w:firstLine="0" w:firstLineChars="0"/>
        <w:jc w:val="center"/>
        <w:rPr>
          <w:rFonts w:hint="eastAsia" w:ascii="宋体" w:hAnsi="宋体" w:eastAsia="宋体" w:cs="宋体"/>
          <w:b/>
          <w:sz w:val="24"/>
          <w:szCs w:val="22"/>
          <w:lang w:eastAsia="zh-CN"/>
        </w:rPr>
      </w:pPr>
      <w:r>
        <w:rPr>
          <w:rFonts w:hint="eastAsia" w:ascii="宋体" w:hAnsi="宋体" w:eastAsia="宋体" w:cs="宋体"/>
          <w:b/>
          <w:sz w:val="24"/>
          <w:szCs w:val="22"/>
          <w:lang w:eastAsia="zh-CN"/>
        </w:rPr>
        <w:t>表1.6.2-1  评价范围内主要环境保护目标一览表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53"/>
        <w:gridCol w:w="2419"/>
        <w:gridCol w:w="1534"/>
        <w:gridCol w:w="1196"/>
        <w:gridCol w:w="776"/>
        <w:gridCol w:w="908"/>
        <w:gridCol w:w="13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67"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napToGrid w:val="0"/>
                <w:sz w:val="20"/>
                <w:szCs w:val="20"/>
                <w:lang w:eastAsia="zh-CN"/>
              </w:rPr>
            </w:pPr>
            <w:r>
              <w:rPr>
                <w:rFonts w:hint="eastAsia" w:ascii="宋体" w:hAnsi="宋体" w:eastAsia="宋体" w:cs="宋体"/>
                <w:b/>
                <w:bCs/>
                <w:snapToGrid w:val="0"/>
                <w:sz w:val="20"/>
                <w:szCs w:val="20"/>
                <w:lang w:eastAsia="zh-CN"/>
              </w:rPr>
              <w:t>环境因子</w:t>
            </w: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napToGrid w:val="0"/>
                <w:sz w:val="20"/>
                <w:szCs w:val="20"/>
                <w:lang w:eastAsia="zh-CN"/>
              </w:rPr>
            </w:pPr>
            <w:r>
              <w:rPr>
                <w:rFonts w:hint="eastAsia" w:ascii="宋体" w:hAnsi="宋体" w:eastAsia="宋体" w:cs="宋体"/>
                <w:b/>
                <w:bCs/>
                <w:snapToGrid w:val="0"/>
                <w:sz w:val="20"/>
                <w:szCs w:val="20"/>
                <w:lang w:eastAsia="zh-CN"/>
              </w:rPr>
              <w:t>保护对象</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napToGrid w:val="0"/>
                <w:sz w:val="20"/>
                <w:szCs w:val="20"/>
                <w:lang w:eastAsia="zh-CN"/>
              </w:rPr>
            </w:pPr>
            <w:r>
              <w:rPr>
                <w:rFonts w:hint="eastAsia" w:ascii="宋体" w:hAnsi="宋体" w:eastAsia="宋体" w:cs="宋体"/>
                <w:b/>
                <w:bCs/>
                <w:snapToGrid w:val="0"/>
                <w:sz w:val="20"/>
                <w:szCs w:val="20"/>
                <w:lang w:eastAsia="zh-CN"/>
              </w:rPr>
              <w:t>距离</w:t>
            </w:r>
            <w:r>
              <w:rPr>
                <w:rFonts w:hint="eastAsia" w:cs="宋体"/>
                <w:b/>
                <w:bCs/>
                <w:snapToGrid w:val="0"/>
                <w:sz w:val="20"/>
                <w:szCs w:val="20"/>
                <w:lang w:eastAsia="zh-CN"/>
              </w:rPr>
              <w:t>本项目</w:t>
            </w:r>
            <w:r>
              <w:rPr>
                <w:rFonts w:hint="eastAsia" w:ascii="宋体" w:hAnsi="宋体" w:eastAsia="宋体" w:cs="宋体"/>
                <w:b/>
                <w:bCs/>
                <w:snapToGrid w:val="0"/>
                <w:sz w:val="20"/>
                <w:szCs w:val="20"/>
                <w:lang w:eastAsia="zh-CN"/>
              </w:rPr>
              <w:t>最近的场地</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napToGrid w:val="0"/>
                <w:sz w:val="20"/>
                <w:szCs w:val="20"/>
                <w:lang w:eastAsia="zh-CN"/>
              </w:rPr>
            </w:pPr>
            <w:r>
              <w:rPr>
                <w:rFonts w:hint="eastAsia" w:ascii="宋体" w:hAnsi="宋体" w:eastAsia="宋体" w:cs="宋体"/>
                <w:b/>
                <w:bCs/>
                <w:snapToGrid w:val="0"/>
                <w:sz w:val="20"/>
                <w:szCs w:val="20"/>
                <w:lang w:eastAsia="zh-CN"/>
              </w:rPr>
              <w:t>相对</w:t>
            </w:r>
            <w:r>
              <w:rPr>
                <w:rFonts w:hint="eastAsia" w:cs="宋体"/>
                <w:b/>
                <w:bCs/>
                <w:snapToGrid w:val="0"/>
                <w:sz w:val="20"/>
                <w:szCs w:val="20"/>
                <w:lang w:eastAsia="zh-CN"/>
              </w:rPr>
              <w:t>本项目</w:t>
            </w:r>
            <w:r>
              <w:rPr>
                <w:rFonts w:hint="eastAsia" w:ascii="宋体" w:hAnsi="宋体" w:eastAsia="宋体" w:cs="宋体"/>
                <w:b/>
                <w:bCs/>
                <w:snapToGrid w:val="0"/>
                <w:sz w:val="20"/>
                <w:szCs w:val="20"/>
                <w:lang w:eastAsia="zh-CN"/>
              </w:rPr>
              <w:t>方位</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napToGrid w:val="0"/>
                <w:sz w:val="20"/>
                <w:szCs w:val="20"/>
                <w:lang w:eastAsia="zh-CN"/>
              </w:rPr>
            </w:pPr>
            <w:r>
              <w:rPr>
                <w:rFonts w:hint="eastAsia" w:ascii="宋体" w:hAnsi="宋体" w:eastAsia="宋体" w:cs="宋体"/>
                <w:b/>
                <w:bCs/>
                <w:snapToGrid w:val="0"/>
                <w:sz w:val="20"/>
                <w:szCs w:val="20"/>
                <w:lang w:eastAsia="zh-CN"/>
              </w:rPr>
              <w:t>距离（m）</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napToGrid w:val="0"/>
                <w:sz w:val="20"/>
                <w:szCs w:val="20"/>
                <w:lang w:eastAsia="zh-CN"/>
              </w:rPr>
            </w:pPr>
            <w:r>
              <w:rPr>
                <w:rFonts w:hint="eastAsia" w:ascii="宋体" w:hAnsi="宋体" w:eastAsia="宋体" w:cs="宋体"/>
                <w:b/>
                <w:bCs/>
                <w:snapToGrid w:val="0"/>
                <w:sz w:val="20"/>
                <w:szCs w:val="20"/>
                <w:lang w:eastAsia="zh-CN"/>
              </w:rPr>
              <w:t>人口（人）</w:t>
            </w:r>
          </w:p>
        </w:tc>
        <w:tc>
          <w:tcPr>
            <w:tcW w:w="751"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napToGrid w:val="0"/>
                <w:sz w:val="20"/>
                <w:szCs w:val="20"/>
                <w:lang w:eastAsia="zh-CN"/>
              </w:rPr>
            </w:pPr>
            <w:r>
              <w:rPr>
                <w:rFonts w:hint="eastAsia" w:ascii="宋体" w:hAnsi="宋体" w:eastAsia="宋体" w:cs="宋体"/>
                <w:b/>
                <w:bCs/>
                <w:snapToGrid w:val="0"/>
                <w:sz w:val="20"/>
                <w:szCs w:val="20"/>
                <w:lang w:eastAsia="zh-CN"/>
              </w:rPr>
              <w:t>保护级别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环</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境</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空</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气</w:t>
            </w: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耿家王峪</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E</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760</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960</w:t>
            </w:r>
          </w:p>
        </w:tc>
        <w:tc>
          <w:tcPr>
            <w:tcW w:w="751"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GB</w:t>
            </w:r>
            <w:r>
              <w:rPr>
                <w:rFonts w:hint="eastAsia" w:cs="宋体"/>
                <w:snapToGrid w:val="0"/>
                <w:sz w:val="20"/>
                <w:szCs w:val="20"/>
                <w:lang w:val="en-US" w:eastAsia="zh-CN"/>
              </w:rPr>
              <w:t xml:space="preserve"> </w:t>
            </w:r>
            <w:r>
              <w:rPr>
                <w:rFonts w:hint="eastAsia" w:ascii="宋体" w:hAnsi="宋体" w:eastAsia="宋体" w:cs="宋体"/>
                <w:snapToGrid w:val="0"/>
                <w:sz w:val="20"/>
                <w:szCs w:val="20"/>
                <w:lang w:eastAsia="zh-CN"/>
              </w:rPr>
              <w:t>3095-2012</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崔家王峪</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SE</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250</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574</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新民官庄</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S</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1586</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1605</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后文</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S</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2707</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764</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店子</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S</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2936</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1470</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石龙口</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NEE</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2000</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246</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东王村</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NE</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2385</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285</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后峪</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NE</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2225</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287</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河西村</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SW</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2447</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1367</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龙王峪、贾家、青山万</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中央回风井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NE</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1569</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2872</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张耿村</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中央回风井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SW</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1047</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2460</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耿家林</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中央回风井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N</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87</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726</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奎沟</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中央回风井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W</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1821</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842</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石马山</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NW</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605</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855</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韩旺三村</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NW</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2035</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1549</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山丛村</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W</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1715</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1021</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水</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环</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vertAlign w:val="superscript"/>
                <w:lang w:eastAsia="zh-CN"/>
              </w:rPr>
            </w:pPr>
            <w:r>
              <w:rPr>
                <w:rFonts w:hint="eastAsia" w:ascii="宋体" w:hAnsi="宋体" w:eastAsia="宋体" w:cs="宋体"/>
                <w:snapToGrid w:val="0"/>
                <w:sz w:val="20"/>
                <w:szCs w:val="20"/>
                <w:lang w:eastAsia="zh-CN"/>
              </w:rPr>
              <w:t>境</w:t>
            </w: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沂河</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中央回风井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SW</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543</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w:t>
            </w:r>
          </w:p>
        </w:tc>
        <w:tc>
          <w:tcPr>
            <w:tcW w:w="751" w:type="pct"/>
            <w:vMerge w:val="restar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GB</w:t>
            </w:r>
            <w:r>
              <w:rPr>
                <w:rFonts w:hint="eastAsia" w:cs="宋体"/>
                <w:snapToGrid w:val="0"/>
                <w:sz w:val="20"/>
                <w:szCs w:val="20"/>
                <w:lang w:val="en-US" w:eastAsia="zh-CN"/>
              </w:rPr>
              <w:t xml:space="preserve"> </w:t>
            </w:r>
            <w:r>
              <w:rPr>
                <w:rFonts w:hint="eastAsia" w:ascii="宋体" w:hAnsi="宋体" w:eastAsia="宋体" w:cs="宋体"/>
                <w:snapToGrid w:val="0"/>
                <w:sz w:val="20"/>
                <w:szCs w:val="20"/>
                <w:lang w:eastAsia="zh-CN"/>
              </w:rPr>
              <w:t>3838-2002</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Ⅳ类标准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龙王峪河</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N</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66</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w:t>
            </w:r>
          </w:p>
        </w:tc>
        <w:tc>
          <w:tcPr>
            <w:tcW w:w="751"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67" w:type="pct"/>
            <w:vMerge w:val="continue"/>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p>
        </w:tc>
        <w:tc>
          <w:tcPr>
            <w:tcW w:w="1303"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跋山水库</w:t>
            </w:r>
          </w:p>
        </w:tc>
        <w:tc>
          <w:tcPr>
            <w:tcW w:w="826"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南风井</w:t>
            </w:r>
          </w:p>
        </w:tc>
        <w:tc>
          <w:tcPr>
            <w:tcW w:w="644"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SE</w:t>
            </w:r>
          </w:p>
        </w:tc>
        <w:tc>
          <w:tcPr>
            <w:tcW w:w="418"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7444</w:t>
            </w:r>
          </w:p>
        </w:tc>
        <w:tc>
          <w:tcPr>
            <w:tcW w:w="489"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napToGrid w:val="0"/>
                <w:sz w:val="20"/>
                <w:szCs w:val="20"/>
                <w:lang w:eastAsia="zh-CN"/>
              </w:rPr>
            </w:pPr>
            <w:r>
              <w:rPr>
                <w:rFonts w:hint="eastAsia" w:ascii="宋体" w:hAnsi="宋体" w:eastAsia="宋体" w:cs="宋体"/>
                <w:snapToGrid w:val="0"/>
                <w:sz w:val="20"/>
                <w:szCs w:val="20"/>
                <w:lang w:eastAsia="zh-CN"/>
              </w:rPr>
              <w:t>--</w:t>
            </w:r>
          </w:p>
        </w:tc>
        <w:tc>
          <w:tcPr>
            <w:tcW w:w="751" w:type="pct"/>
            <w:tcBorders>
              <w:tl2br w:val="nil"/>
              <w:tr2bl w:val="nil"/>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default" w:ascii="宋体" w:hAnsi="宋体" w:eastAsia="宋体" w:cs="宋体"/>
                <w:snapToGrid w:val="0"/>
                <w:sz w:val="20"/>
                <w:szCs w:val="20"/>
                <w:lang w:val="en-US" w:eastAsia="zh-CN"/>
              </w:rPr>
            </w:pPr>
            <w:r>
              <w:rPr>
                <w:rFonts w:hint="eastAsia" w:cs="宋体"/>
                <w:snapToGrid w:val="0"/>
                <w:sz w:val="20"/>
                <w:szCs w:val="20"/>
                <w:lang w:val="en-US" w:eastAsia="zh-CN"/>
              </w:rPr>
              <w:t>--</w:t>
            </w:r>
          </w:p>
        </w:tc>
      </w:tr>
    </w:tbl>
    <w:p>
      <w:pPr>
        <w:pStyle w:val="6"/>
        <w:rPr>
          <w:rFonts w:hint="eastAsia" w:ascii="宋体" w:hAnsi="宋体" w:eastAsia="宋体" w:cs="宋体"/>
          <w:lang w:eastAsia="zh-CN"/>
        </w:rPr>
      </w:pPr>
      <w:bookmarkStart w:id="48" w:name="_Toc26084"/>
      <w:bookmarkStart w:id="49" w:name="_Toc25582"/>
      <w:r>
        <w:rPr>
          <w:rFonts w:hint="eastAsia" w:ascii="宋体" w:hAnsi="宋体" w:eastAsia="宋体" w:cs="宋体"/>
          <w:lang w:eastAsia="zh-CN"/>
        </w:rPr>
        <w:t>1.7 评价时段、对象、重点</w:t>
      </w:r>
      <w:bookmarkEnd w:id="48"/>
      <w:bookmarkEnd w:id="49"/>
    </w:p>
    <w:p>
      <w:pPr>
        <w:pStyle w:val="7"/>
        <w:rPr>
          <w:rFonts w:hint="eastAsia" w:ascii="宋体" w:hAnsi="宋体" w:eastAsia="宋体" w:cs="宋体"/>
          <w:lang w:eastAsia="zh-CN"/>
        </w:rPr>
      </w:pPr>
      <w:r>
        <w:rPr>
          <w:rFonts w:hint="eastAsia" w:ascii="宋体" w:hAnsi="宋体" w:eastAsia="宋体" w:cs="宋体"/>
          <w:lang w:eastAsia="zh-CN"/>
        </w:rPr>
        <w:t>1.7.1 评价时段及对象</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为铁矿采矿地下项目，新建井下巷道工程、井上风井、皮带运输井等，根据项目特点主要考虑施工期、运营期、服务期满后影响。</w:t>
      </w:r>
    </w:p>
    <w:p>
      <w:pPr>
        <w:ind w:firstLine="560"/>
        <w:rPr>
          <w:rFonts w:hint="eastAsia" w:ascii="宋体" w:hAnsi="宋体" w:eastAsia="宋体" w:cs="宋体"/>
          <w:lang w:eastAsia="zh-CN"/>
        </w:rPr>
      </w:pPr>
      <w:r>
        <w:rPr>
          <w:rFonts w:hint="eastAsia" w:ascii="宋体" w:hAnsi="宋体" w:eastAsia="宋体" w:cs="宋体"/>
          <w:lang w:eastAsia="zh-CN"/>
        </w:rPr>
        <w:t>本次评价对象为</w:t>
      </w:r>
      <w:r>
        <w:rPr>
          <w:rFonts w:hint="eastAsia" w:cs="宋体"/>
          <w:lang w:eastAsia="zh-CN"/>
        </w:rPr>
        <w:t>本项目</w:t>
      </w:r>
      <w:r>
        <w:rPr>
          <w:rFonts w:hint="eastAsia" w:ascii="宋体" w:hAnsi="宋体" w:eastAsia="宋体" w:cs="宋体"/>
          <w:lang w:eastAsia="zh-CN"/>
        </w:rPr>
        <w:t>所涉及的环境污染、生态破坏及环境风险。</w:t>
      </w:r>
    </w:p>
    <w:p>
      <w:pPr>
        <w:pStyle w:val="7"/>
        <w:rPr>
          <w:rFonts w:hint="eastAsia" w:ascii="宋体" w:hAnsi="宋体" w:eastAsia="宋体" w:cs="宋体"/>
          <w:lang w:eastAsia="zh-CN"/>
        </w:rPr>
      </w:pPr>
      <w:r>
        <w:rPr>
          <w:rFonts w:hint="eastAsia" w:ascii="宋体" w:hAnsi="宋体" w:eastAsia="宋体" w:cs="宋体"/>
          <w:lang w:eastAsia="zh-CN"/>
        </w:rPr>
        <w:t>1.7.2 评价重点</w:t>
      </w:r>
    </w:p>
    <w:p>
      <w:pPr>
        <w:ind w:firstLine="560"/>
        <w:rPr>
          <w:rFonts w:hint="eastAsia" w:ascii="宋体" w:hAnsi="宋体" w:eastAsia="宋体" w:cs="宋体"/>
          <w:lang w:eastAsia="zh-CN"/>
        </w:rPr>
      </w:pPr>
      <w:r>
        <w:rPr>
          <w:rFonts w:hint="eastAsia" w:ascii="宋体" w:hAnsi="宋体" w:eastAsia="宋体" w:cs="宋体"/>
          <w:lang w:eastAsia="zh-CN"/>
        </w:rPr>
        <w:t>根据</w:t>
      </w:r>
      <w:r>
        <w:rPr>
          <w:rFonts w:hint="eastAsia" w:cs="宋体"/>
          <w:lang w:eastAsia="zh-CN"/>
        </w:rPr>
        <w:t>本项目</w:t>
      </w:r>
      <w:r>
        <w:rPr>
          <w:rFonts w:hint="eastAsia" w:ascii="宋体" w:hAnsi="宋体" w:eastAsia="宋体" w:cs="宋体"/>
          <w:lang w:eastAsia="zh-CN"/>
        </w:rPr>
        <w:t>特点，结合区域环境质量现状，在正确识别有关环境影响因子和污染物排放的基础上，确定本次评价在工程分析的基础上以环境空气影响评价、地表水环境影响评价、地下水环境影响评价、声环境影响评价、土壤环境影响评价、生态环境影响评价、风险环境影响评价、地质环境影响评价、环境保护措施及其技术经济论证作为评价重点。</w:t>
      </w:r>
    </w:p>
    <w:p>
      <w:pPr>
        <w:pStyle w:val="16"/>
        <w:ind w:firstLine="560"/>
        <w:rPr>
          <w:rFonts w:hint="eastAsia" w:ascii="宋体" w:hAnsi="宋体" w:eastAsia="宋体" w:cs="宋体"/>
        </w:rPr>
      </w:pPr>
    </w:p>
    <w:p>
      <w:pPr>
        <w:ind w:firstLine="560"/>
        <w:rPr>
          <w:rFonts w:hint="eastAsia" w:ascii="宋体" w:hAnsi="宋体" w:eastAsia="宋体" w:cs="宋体"/>
          <w:lang w:eastAsia="zh-CN"/>
        </w:rPr>
        <w:sectPr>
          <w:footerReference r:id="rId25" w:type="default"/>
          <w:footerReference r:id="rId26" w:type="even"/>
          <w:pgSz w:w="11905" w:h="16838"/>
          <w:pgMar w:top="1417" w:right="1247" w:bottom="1247" w:left="1587" w:header="850" w:footer="850" w:gutter="0"/>
          <w:pgBorders>
            <w:top w:val="none" w:sz="0" w:space="0"/>
            <w:left w:val="none" w:sz="0" w:space="0"/>
            <w:bottom w:val="none" w:sz="0" w:space="0"/>
            <w:right w:val="none" w:sz="0" w:space="0"/>
          </w:pgBorders>
          <w:cols w:space="0" w:num="1"/>
          <w:docGrid w:type="lines" w:linePitch="383" w:charSpace="0"/>
        </w:sectPr>
      </w:pPr>
    </w:p>
    <w:p>
      <w:pPr>
        <w:pStyle w:val="5"/>
        <w:spacing w:before="191" w:after="191"/>
        <w:rPr>
          <w:rFonts w:hint="eastAsia" w:ascii="宋体" w:hAnsi="宋体" w:eastAsia="宋体" w:cs="宋体"/>
          <w:lang w:eastAsia="zh-CN"/>
        </w:rPr>
      </w:pPr>
      <w:bookmarkStart w:id="50" w:name="_Toc29643"/>
      <w:bookmarkStart w:id="51" w:name="_Toc20166"/>
      <w:r>
        <w:rPr>
          <w:rFonts w:hint="eastAsia" w:ascii="宋体" w:hAnsi="宋体" w:eastAsia="宋体" w:cs="宋体"/>
          <w:lang w:eastAsia="zh-CN"/>
        </w:rPr>
        <w:t>第二章 现有工程分析</w:t>
      </w:r>
      <w:bookmarkEnd w:id="50"/>
      <w:bookmarkEnd w:id="51"/>
    </w:p>
    <w:p>
      <w:pPr>
        <w:pStyle w:val="6"/>
        <w:rPr>
          <w:rFonts w:hint="eastAsia" w:ascii="宋体" w:hAnsi="宋体" w:eastAsia="宋体" w:cs="宋体"/>
          <w:lang w:eastAsia="zh-CN"/>
        </w:rPr>
      </w:pPr>
      <w:bookmarkStart w:id="52" w:name="_bookmark14"/>
      <w:bookmarkEnd w:id="52"/>
      <w:bookmarkStart w:id="53" w:name="_Toc292"/>
      <w:bookmarkStart w:id="54" w:name="_Toc7352"/>
      <w:r>
        <w:rPr>
          <w:rFonts w:hint="eastAsia" w:ascii="宋体" w:hAnsi="宋体" w:eastAsia="宋体" w:cs="宋体"/>
          <w:lang w:eastAsia="zh-CN"/>
        </w:rPr>
        <w:t>2.1 现有项目情况</w:t>
      </w:r>
      <w:bookmarkEnd w:id="53"/>
      <w:bookmarkEnd w:id="54"/>
    </w:p>
    <w:p>
      <w:pPr>
        <w:pStyle w:val="7"/>
        <w:rPr>
          <w:rFonts w:hint="eastAsia" w:ascii="宋体" w:hAnsi="宋体" w:eastAsia="宋体" w:cs="宋体"/>
          <w:lang w:eastAsia="zh-CN"/>
        </w:rPr>
      </w:pPr>
      <w:r>
        <w:rPr>
          <w:rFonts w:hint="eastAsia" w:ascii="宋体" w:hAnsi="宋体" w:eastAsia="宋体" w:cs="宋体"/>
          <w:lang w:eastAsia="zh-CN"/>
        </w:rPr>
        <w:t>2.1.1 项目概况</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2.1.1.1 公司简介</w:t>
      </w:r>
    </w:p>
    <w:p>
      <w:pPr>
        <w:ind w:firstLine="560"/>
        <w:rPr>
          <w:rFonts w:hint="eastAsia" w:ascii="宋体" w:hAnsi="宋体" w:eastAsia="宋体" w:cs="宋体"/>
          <w:lang w:eastAsia="zh-CN"/>
        </w:rPr>
      </w:pPr>
      <w:r>
        <w:rPr>
          <w:rFonts w:hint="eastAsia" w:ascii="宋体" w:hAnsi="宋体" w:eastAsia="宋体" w:cs="宋体"/>
          <w:lang w:eastAsia="zh-CN"/>
        </w:rPr>
        <w:t>莱钢集团鲁南矿业有限公司（以下简称“鲁南矿业”）原名山东省韩旺铁矿，是一座以黑色冶金矿采、选、球团为一体的中型矿山联合企业。1973年12月开始筹建，1980年投产，原隶属于山东省冶金工业总公司，1992年4月划归莱芜钢铁总厂，2000年6月成立莱芜钢铁集团鲁南矿业有限公司。公司于2003年11月30日通过了环境管理体系认证。</w:t>
      </w:r>
    </w:p>
    <w:p>
      <w:pPr>
        <w:ind w:firstLine="560"/>
        <w:rPr>
          <w:rFonts w:hint="eastAsia" w:ascii="宋体" w:hAnsi="宋体" w:eastAsia="宋体" w:cs="宋体"/>
          <w:lang w:eastAsia="zh-CN"/>
        </w:rPr>
      </w:pPr>
      <w:r>
        <w:rPr>
          <w:rFonts w:hint="eastAsia" w:ascii="宋体" w:hAnsi="宋体" w:eastAsia="宋体" w:cs="宋体"/>
          <w:lang w:eastAsia="zh-CN"/>
        </w:rPr>
        <w:t>企业现有采矿工程、选矿厂、球团厂等，均执行了环保“三同时”手续，其中：采矿工程为100万t/a地下采矿；选矿厂生产规模为130万t/a（配套建设尾矿库，1#尾矿库已闭库，目前在用2#尾矿库）；球团厂生产规模为年产60万吨溶剂型球团矿；制冷供热系统为中区、西区、办公楼和东区各1处的空气热源泵；另外，公司建有一座处理能力为150m</w:t>
      </w:r>
      <w:r>
        <w:rPr>
          <w:rFonts w:hint="eastAsia" w:ascii="宋体" w:hAnsi="宋体" w:eastAsia="宋体" w:cs="宋体"/>
          <w:vertAlign w:val="superscript"/>
          <w:lang w:eastAsia="zh-CN"/>
        </w:rPr>
        <w:t>3</w:t>
      </w:r>
      <w:r>
        <w:rPr>
          <w:rFonts w:hint="eastAsia" w:ascii="宋体" w:hAnsi="宋体" w:eastAsia="宋体" w:cs="宋体"/>
          <w:lang w:eastAsia="zh-CN"/>
        </w:rPr>
        <w:t>/d 的生活污水处理站。</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2.1.1.2 地理位置</w:t>
      </w:r>
    </w:p>
    <w:p>
      <w:pPr>
        <w:ind w:firstLine="560"/>
        <w:rPr>
          <w:rFonts w:hint="eastAsia" w:ascii="宋体" w:hAnsi="宋体" w:eastAsia="宋体" w:cs="宋体"/>
          <w:lang w:eastAsia="zh-CN"/>
        </w:rPr>
      </w:pPr>
      <w:r>
        <w:rPr>
          <w:rFonts w:hint="eastAsia" w:ascii="宋体" w:hAnsi="宋体" w:eastAsia="宋体" w:cs="宋体"/>
          <w:lang w:eastAsia="zh-CN"/>
        </w:rPr>
        <w:t>鲁南矿业地处沂蒙山腹地，地理坐标为：东经118º26′03″～118º27′46″，北纬 35º56′32″～35º58′14″，行政区划位于临沂市沂水县和淄博市沂源县交界处。区内交通以公路为主，S322省道纵贯矿区。北西至沂源县城50km，东南至沂水县城45km，西至莱钢集团驻地75km，交通便利。</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2.1.1.3 现有工程总平面布置</w:t>
      </w:r>
    </w:p>
    <w:p>
      <w:pPr>
        <w:ind w:firstLine="560"/>
        <w:rPr>
          <w:rFonts w:hint="eastAsia" w:ascii="宋体" w:hAnsi="宋体" w:eastAsia="宋体" w:cs="宋体"/>
          <w:lang w:eastAsia="zh-CN"/>
        </w:rPr>
      </w:pPr>
      <w:r>
        <w:rPr>
          <w:rFonts w:hint="eastAsia" w:ascii="宋体" w:hAnsi="宋体" w:eastAsia="宋体" w:cs="宋体"/>
          <w:lang w:eastAsia="zh-CN"/>
        </w:rPr>
        <w:t>鲁南矿业总体布局呈现西北向东南的不规则形，西北方向从西北向东南依次布设上河矿段、主副井场地、王峪矿段；王峪矿段的东北侧为排土场、1-2#尾矿库；王峪矿段的东南侧从北向南依次为球团厂、机修厂、生活办公区，其中选矿厂位于球团及机修厂的东侧，危废暂存间位于球团厂北侧。鲁南矿业现有工程总布局见图2.1.1-1。</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2.1.1.4 环保工作</w:t>
      </w:r>
    </w:p>
    <w:p>
      <w:pPr>
        <w:pStyle w:val="23"/>
        <w:ind w:firstLine="560" w:firstLineChars="200"/>
        <w:rPr>
          <w:rFonts w:hint="eastAsia" w:ascii="宋体" w:hAnsi="宋体" w:eastAsia="宋体" w:cs="宋体"/>
          <w:sz w:val="28"/>
          <w:szCs w:val="22"/>
        </w:rPr>
      </w:pPr>
      <w:r>
        <w:rPr>
          <w:rFonts w:hint="eastAsia" w:ascii="宋体" w:hAnsi="宋体" w:eastAsia="宋体" w:cs="宋体"/>
          <w:sz w:val="28"/>
          <w:szCs w:val="22"/>
        </w:rPr>
        <w:t>现有工程涉及的主要环保工作，详见表2.1.1-1。</w:t>
      </w:r>
    </w:p>
    <w:p>
      <w:pPr>
        <w:pStyle w:val="23"/>
        <w:spacing w:line="240" w:lineRule="auto"/>
        <w:ind w:firstLine="0" w:firstLineChars="0"/>
        <w:jc w:val="center"/>
        <w:rPr>
          <w:rFonts w:hint="eastAsia" w:ascii="宋体" w:hAnsi="宋体" w:eastAsia="宋体" w:cs="宋体"/>
          <w:b/>
          <w:bCs/>
        </w:rPr>
      </w:pPr>
      <w:r>
        <w:rPr>
          <w:rFonts w:hint="eastAsia" w:ascii="宋体" w:hAnsi="宋体" w:eastAsia="宋体" w:cs="宋体"/>
          <w:b/>
          <w:bCs/>
        </w:rPr>
        <w:t>表2.1.1-1 现有工程涉及的主要环保工作一览表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379"/>
        <w:gridCol w:w="710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7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类型</w:t>
            </w:r>
          </w:p>
        </w:tc>
        <w:tc>
          <w:tcPr>
            <w:tcW w:w="3829"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具体情况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7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土地复垦</w:t>
            </w:r>
          </w:p>
        </w:tc>
        <w:tc>
          <w:tcPr>
            <w:tcW w:w="3829"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鲁南矿业于2020年委托淄博杲坤地质勘察工程有限公司编制完成《莱钢集团鲁南矿业有限公司王峪矿区铁矿矿山地质环境保护与土地复垦方案》，通过评审。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7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应急预案</w:t>
            </w:r>
          </w:p>
        </w:tc>
        <w:tc>
          <w:tcPr>
            <w:tcW w:w="3829"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公司制定了《突发环境事件应急预案》和《尾矿库突发环境事件应急预案》，并于2020年6月23日在临沂市生态环境局沂水县分局分别进行了备案，备案编号：371323-2020-036-L（综合）和371323-2020-037-L（尾矿库），备案表见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7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水土保持</w:t>
            </w:r>
          </w:p>
        </w:tc>
        <w:tc>
          <w:tcPr>
            <w:tcW w:w="3829"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公司委托有资质第三方对企业内水土保持情况进行日常监测，并出具监测报告。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绿色矿山</w:t>
            </w:r>
          </w:p>
        </w:tc>
        <w:tc>
          <w:tcPr>
            <w:tcW w:w="3829"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鲁南矿业于2019年委托山东联创矿业设计有限公司编制完成《莱钢集团鲁南矿业有限公司王峪矿区绿色矿山建设实施方案》。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7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环境监测</w:t>
            </w:r>
          </w:p>
        </w:tc>
        <w:tc>
          <w:tcPr>
            <w:tcW w:w="3829"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鲁南矿业委托有资质的单位对本公司进行日常环境监测，并出具环境检测报告。委托合同见附件。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7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排污许可证</w:t>
            </w:r>
          </w:p>
        </w:tc>
        <w:tc>
          <w:tcPr>
            <w:tcW w:w="3829"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证件编号为913713237060785048001P，有效期至2025年10月30日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743"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露天坑边坡治理及防治水方案设计</w:t>
            </w:r>
          </w:p>
        </w:tc>
        <w:tc>
          <w:tcPr>
            <w:tcW w:w="3829" w:type="pct"/>
            <w:tcBorders>
              <w:tl2br w:val="nil"/>
              <w:tr2bl w:val="nil"/>
            </w:tcBorders>
            <w:vAlign w:val="center"/>
          </w:tcPr>
          <w:p>
            <w:pPr>
              <w:pStyle w:val="23"/>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山东乾舜矿冶科技股份有限公司于2019年7月编制了《莱芜钢铁集团鲁南矿业有限公司王峪矿区王峪矿段露天坑边坡治理及防治水方案设计》，设计已评审通过。</w:t>
            </w:r>
          </w:p>
        </w:tc>
      </w:tr>
    </w:tbl>
    <w:p>
      <w:pPr>
        <w:pStyle w:val="7"/>
        <w:rPr>
          <w:rFonts w:hint="eastAsia" w:ascii="宋体" w:hAnsi="宋体" w:eastAsia="宋体" w:cs="宋体"/>
          <w:lang w:eastAsia="zh-CN"/>
        </w:rPr>
      </w:pPr>
      <w:r>
        <w:rPr>
          <w:rFonts w:hint="eastAsia" w:ascii="宋体" w:hAnsi="宋体" w:eastAsia="宋体" w:cs="宋体"/>
          <w:lang w:eastAsia="zh-CN"/>
        </w:rPr>
        <w:t>2.1.2 “三同时”执行情况</w:t>
      </w:r>
    </w:p>
    <w:p>
      <w:pPr>
        <w:ind w:firstLine="560"/>
        <w:rPr>
          <w:rFonts w:hint="eastAsia" w:ascii="宋体" w:hAnsi="宋体" w:eastAsia="宋体" w:cs="宋体"/>
          <w:lang w:eastAsia="zh-CN"/>
        </w:rPr>
      </w:pPr>
      <w:r>
        <w:rPr>
          <w:rFonts w:hint="eastAsia" w:ascii="宋体" w:hAnsi="宋体" w:eastAsia="宋体" w:cs="宋体"/>
          <w:lang w:eastAsia="zh-CN"/>
        </w:rPr>
        <w:t>鲁南矿业现有工程“三同时”执行手续详见表2.1.2-1。</w:t>
      </w:r>
    </w:p>
    <w:p>
      <w:pPr>
        <w:ind w:firstLine="560"/>
        <w:rPr>
          <w:rFonts w:hint="eastAsia" w:ascii="宋体" w:hAnsi="宋体" w:eastAsia="宋体" w:cs="宋体"/>
          <w:lang w:eastAsia="zh-CN"/>
        </w:rPr>
        <w:sectPr>
          <w:footerReference r:id="rId27" w:type="default"/>
          <w:footerReference r:id="rId28" w:type="even"/>
          <w:pgSz w:w="11905" w:h="16838"/>
          <w:pgMar w:top="1417" w:right="1247" w:bottom="1247" w:left="1587" w:header="850" w:footer="850" w:gutter="0"/>
          <w:pgBorders>
            <w:top w:val="none" w:sz="0" w:space="0"/>
            <w:left w:val="none" w:sz="0" w:space="0"/>
            <w:bottom w:val="none" w:sz="0" w:space="0"/>
            <w:right w:val="none" w:sz="0" w:space="0"/>
          </w:pgBorders>
          <w:cols w:space="0" w:num="1"/>
          <w:docGrid w:type="lines" w:linePitch="383" w:charSpace="0"/>
        </w:sectPr>
      </w:pPr>
    </w:p>
    <w:p>
      <w:pPr>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表2.1.2-1 环评及“三同时”执行情况一览表</w:t>
      </w:r>
    </w:p>
    <w:tbl>
      <w:tblPr>
        <w:tblStyle w:val="25"/>
        <w:tblW w:w="4971" w:type="pct"/>
        <w:tblInd w:w="7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0"/>
        <w:gridCol w:w="444"/>
        <w:gridCol w:w="1787"/>
        <w:gridCol w:w="662"/>
        <w:gridCol w:w="2117"/>
        <w:gridCol w:w="1243"/>
        <w:gridCol w:w="1522"/>
        <w:gridCol w:w="1478"/>
        <w:gridCol w:w="1990"/>
        <w:gridCol w:w="26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779"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项目名称</w:t>
            </w:r>
          </w:p>
        </w:tc>
        <w:tc>
          <w:tcPr>
            <w:tcW w:w="971"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设计生产规模</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建成</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投产时间</w:t>
            </w:r>
          </w:p>
        </w:tc>
        <w:tc>
          <w:tcPr>
            <w:tcW w:w="53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环评文件</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审批部门</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建设项目</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审批文号</w:t>
            </w:r>
          </w:p>
        </w:tc>
        <w:tc>
          <w:tcPr>
            <w:tcW w:w="69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验收审批文号</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5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采矿</w:t>
            </w:r>
          </w:p>
        </w:tc>
        <w:tc>
          <w:tcPr>
            <w:tcW w:w="62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露天开采工程</w:t>
            </w:r>
          </w:p>
        </w:tc>
        <w:tc>
          <w:tcPr>
            <w:tcW w:w="3149" w:type="pct"/>
            <w:gridSpan w:val="6"/>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1980年建成投产，无环评手续，但已通过山东省“一控双达标”工业污染企业达标排放验收。</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现已停采，目前处于生态修复中。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5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624"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露天转地下开采工程</w:t>
            </w:r>
          </w:p>
        </w:tc>
        <w:tc>
          <w:tcPr>
            <w:tcW w:w="231"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分期建设</w:t>
            </w:r>
          </w:p>
        </w:tc>
        <w:tc>
          <w:tcPr>
            <w:tcW w:w="73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一期开采能力50万t/a；</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2011年11月</w:t>
            </w:r>
          </w:p>
        </w:tc>
        <w:tc>
          <w:tcPr>
            <w:tcW w:w="53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原山东省环境保护局</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鲁环审[2004]117</w:t>
            </w:r>
          </w:p>
        </w:tc>
        <w:tc>
          <w:tcPr>
            <w:tcW w:w="69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一期验收批复：鲁环验[2012]201号</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一期：上河段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5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624"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231"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73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二期开采能力50万t/a。</w:t>
            </w:r>
          </w:p>
        </w:tc>
        <w:tc>
          <w:tcPr>
            <w:tcW w:w="3088" w:type="pct"/>
            <w:gridSpan w:val="5"/>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，基建中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5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62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露天转地采配套技改项目</w:t>
            </w:r>
          </w:p>
        </w:tc>
        <w:tc>
          <w:tcPr>
            <w:tcW w:w="971"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一套破碎干选系统，10万t/a；副井井口配套建一台热风炉</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2012年1月</w:t>
            </w:r>
          </w:p>
        </w:tc>
        <w:tc>
          <w:tcPr>
            <w:tcW w:w="53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原沂水县环境保护局</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沂环表审[2012]023号</w:t>
            </w:r>
          </w:p>
        </w:tc>
        <w:tc>
          <w:tcPr>
            <w:tcW w:w="69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沂环验[2012]024号</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破碎干选系统和热风炉，停运并已拆除。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cs="宋体"/>
                <w:sz w:val="21"/>
                <w:szCs w:val="21"/>
                <w:lang w:val="en-US" w:eastAsia="zh-CN"/>
              </w:rPr>
              <w:t>5</w:t>
            </w:r>
          </w:p>
        </w:tc>
        <w:tc>
          <w:tcPr>
            <w:tcW w:w="15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62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韩旺铁矿尾矿综合利用项目</w:t>
            </w:r>
          </w:p>
        </w:tc>
        <w:tc>
          <w:tcPr>
            <w:tcW w:w="971"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新建一座王峪矿段充填站（处理能力</w:t>
            </w:r>
            <w:r>
              <w:rPr>
                <w:rFonts w:hint="eastAsia" w:cs="宋体"/>
                <w:sz w:val="21"/>
                <w:szCs w:val="21"/>
                <w:lang w:val="en-US" w:eastAsia="zh-CN"/>
              </w:rPr>
              <w:t>110m</w:t>
            </w:r>
            <w:r>
              <w:rPr>
                <w:rFonts w:hint="eastAsia" w:cs="宋体"/>
                <w:sz w:val="21"/>
                <w:szCs w:val="21"/>
                <w:vertAlign w:val="superscript"/>
                <w:lang w:val="en-US" w:eastAsia="zh-CN"/>
              </w:rPr>
              <w:t>3</w:t>
            </w:r>
            <w:r>
              <w:rPr>
                <w:rFonts w:hint="eastAsia" w:cs="宋体"/>
                <w:sz w:val="21"/>
                <w:szCs w:val="21"/>
                <w:lang w:val="en-US" w:eastAsia="zh-CN"/>
              </w:rPr>
              <w:t>/h</w:t>
            </w:r>
            <w:r>
              <w:rPr>
                <w:rFonts w:hint="eastAsia" w:cs="宋体"/>
                <w:sz w:val="21"/>
                <w:szCs w:val="21"/>
                <w:lang w:eastAsia="zh-CN"/>
              </w:rPr>
              <w:t>），位于尾矿库；改造上河矿段充填系统，位于主副井场地。</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default" w:ascii="宋体" w:hAnsi="宋体" w:eastAsia="宋体" w:cs="宋体"/>
                <w:sz w:val="21"/>
                <w:szCs w:val="21"/>
                <w:lang w:val="en-US" w:eastAsia="zh-CN"/>
              </w:rPr>
            </w:pPr>
            <w:r>
              <w:rPr>
                <w:rFonts w:hint="eastAsia" w:cs="宋体"/>
                <w:sz w:val="21"/>
                <w:szCs w:val="21"/>
                <w:lang w:val="en-US" w:eastAsia="zh-CN"/>
              </w:rPr>
              <w:t>2020年12月</w:t>
            </w:r>
          </w:p>
        </w:tc>
        <w:tc>
          <w:tcPr>
            <w:tcW w:w="531" w:type="pct"/>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695" w:type="pct"/>
            <w:tcBorders>
              <w:tl2br w:val="nil"/>
              <w:tr2bl w:val="nil"/>
            </w:tcBorders>
            <w:vAlign w:val="center"/>
          </w:tcPr>
          <w:p>
            <w:pPr>
              <w:keepNext w:val="0"/>
              <w:keepLines w:val="0"/>
              <w:suppressLineNumbers w:val="0"/>
              <w:spacing w:before="0" w:beforeAutospacing="0" w:after="0" w:afterAutospacing="0" w:line="240" w:lineRule="auto"/>
              <w:ind w:left="0" w:right="0" w:firstLine="420" w:firstLineChars="20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补做环评手续中。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6</w:t>
            </w:r>
          </w:p>
        </w:tc>
        <w:tc>
          <w:tcPr>
            <w:tcW w:w="15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选矿和尾矿库</w:t>
            </w:r>
          </w:p>
        </w:tc>
        <w:tc>
          <w:tcPr>
            <w:tcW w:w="62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选矿厂建设系列工程</w:t>
            </w:r>
          </w:p>
        </w:tc>
        <w:tc>
          <w:tcPr>
            <w:tcW w:w="3149" w:type="pct"/>
            <w:gridSpan w:val="6"/>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包括选矿厂及配套的尾矿库。1980年建成投产，之后陆续扩建技改，均</w:t>
            </w:r>
            <w:r>
              <w:rPr>
                <w:rFonts w:hint="eastAsia" w:cs="宋体"/>
                <w:sz w:val="21"/>
                <w:szCs w:val="21"/>
                <w:lang w:eastAsia="zh-CN"/>
              </w:rPr>
              <w:t>无</w:t>
            </w:r>
            <w:r>
              <w:rPr>
                <w:rFonts w:hint="eastAsia" w:ascii="宋体" w:hAnsi="宋体" w:eastAsia="宋体" w:cs="宋体"/>
                <w:sz w:val="21"/>
                <w:szCs w:val="21"/>
                <w:lang w:eastAsia="zh-CN"/>
              </w:rPr>
              <w:t>环评手续，但已通过山东省“一控双达标”工业污染企业达标排放验收。</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目前1#尾矿库处于回采中。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7</w:t>
            </w:r>
          </w:p>
        </w:tc>
        <w:tc>
          <w:tcPr>
            <w:tcW w:w="15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62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选矿厂破碎系统改造项目</w:t>
            </w:r>
          </w:p>
        </w:tc>
        <w:tc>
          <w:tcPr>
            <w:tcW w:w="971"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130万t/a选矿厂破碎系统</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2006年6月</w:t>
            </w:r>
          </w:p>
        </w:tc>
        <w:tc>
          <w:tcPr>
            <w:tcW w:w="53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原沂水县环境保护局</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沂环审[2005]27号</w:t>
            </w:r>
          </w:p>
        </w:tc>
        <w:tc>
          <w:tcPr>
            <w:tcW w:w="69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沂环验[2012]025号</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8</w:t>
            </w:r>
          </w:p>
        </w:tc>
        <w:tc>
          <w:tcPr>
            <w:tcW w:w="15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62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选矿工艺技术改造及尾矿利用综合项目</w:t>
            </w:r>
          </w:p>
        </w:tc>
        <w:tc>
          <w:tcPr>
            <w:tcW w:w="971"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选矿工艺技术改造和2#尾矿库建设。</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2017年5月</w:t>
            </w:r>
          </w:p>
        </w:tc>
        <w:tc>
          <w:tcPr>
            <w:tcW w:w="53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原山东省环境保护厅</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鲁环审[2017]24号</w:t>
            </w:r>
          </w:p>
        </w:tc>
        <w:tc>
          <w:tcPr>
            <w:tcW w:w="69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已于2021年7月31日取得</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竣工环境保护验收意见。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cs="宋体"/>
                <w:sz w:val="21"/>
                <w:szCs w:val="21"/>
                <w:lang w:val="en-US" w:eastAsia="zh-CN"/>
              </w:rPr>
              <w:t>9</w:t>
            </w:r>
          </w:p>
        </w:tc>
        <w:tc>
          <w:tcPr>
            <w:tcW w:w="15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球团</w:t>
            </w:r>
          </w:p>
        </w:tc>
        <w:tc>
          <w:tcPr>
            <w:tcW w:w="62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60万t/a链篦机-回转窑球团工程</w:t>
            </w:r>
          </w:p>
        </w:tc>
        <w:tc>
          <w:tcPr>
            <w:tcW w:w="971"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年产60万t溶剂型球团矿</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2006年5月</w:t>
            </w:r>
          </w:p>
        </w:tc>
        <w:tc>
          <w:tcPr>
            <w:tcW w:w="53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原临沂市环保局</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临环发[2006]104号</w:t>
            </w:r>
          </w:p>
        </w:tc>
        <w:tc>
          <w:tcPr>
            <w:tcW w:w="69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临环验[2007]98号</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2020-2021年进行超低排放改造，并委托山东天人环境技术有限公司编制《莱芜钢铁集团鲁南矿业有限公司超低排放评估监测报告》（2021年1月），取得评审意见。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cs="宋体"/>
                <w:sz w:val="21"/>
                <w:szCs w:val="21"/>
                <w:lang w:val="en-US" w:eastAsia="zh-CN"/>
              </w:rPr>
              <w:t>10</w:t>
            </w:r>
          </w:p>
        </w:tc>
        <w:tc>
          <w:tcPr>
            <w:tcW w:w="779"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生活区锅炉改造项目</w:t>
            </w:r>
          </w:p>
        </w:tc>
        <w:tc>
          <w:tcPr>
            <w:tcW w:w="971" w:type="pct"/>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2台10t/h热水锅炉（一开一备）</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2009年2月</w:t>
            </w:r>
          </w:p>
        </w:tc>
        <w:tc>
          <w:tcPr>
            <w:tcW w:w="53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沂水县环境保护局</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沂环审[2005]13号</w:t>
            </w:r>
          </w:p>
        </w:tc>
        <w:tc>
          <w:tcPr>
            <w:tcW w:w="69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沂环验[2009]021号</w:t>
            </w:r>
          </w:p>
        </w:tc>
        <w:tc>
          <w:tcPr>
            <w:tcW w:w="9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生活区锅炉，2019年停产并拆除，现更改为空气源热泵供暖。</w:t>
            </w:r>
          </w:p>
        </w:tc>
      </w:tr>
    </w:tbl>
    <w:p>
      <w:pPr>
        <w:ind w:firstLine="560"/>
        <w:rPr>
          <w:rFonts w:hint="eastAsia" w:ascii="宋体" w:hAnsi="宋体" w:eastAsia="宋体" w:cs="宋体"/>
          <w:lang w:eastAsia="zh-CN"/>
        </w:rPr>
        <w:sectPr>
          <w:footerReference r:id="rId29" w:type="default"/>
          <w:footerReference r:id="rId30" w:type="even"/>
          <w:pgSz w:w="16838" w:h="11905" w:orient="landscape"/>
          <w:pgMar w:top="1587" w:right="1417" w:bottom="1247" w:left="1247" w:header="850" w:footer="850" w:gutter="0"/>
          <w:pgBorders>
            <w:top w:val="none" w:sz="0" w:space="0"/>
            <w:left w:val="none" w:sz="0" w:space="0"/>
            <w:bottom w:val="none" w:sz="0" w:space="0"/>
            <w:right w:val="none" w:sz="0" w:space="0"/>
          </w:pgBorders>
          <w:cols w:space="0" w:num="1"/>
          <w:docGrid w:type="lines" w:linePitch="383" w:charSpace="0"/>
        </w:sectPr>
      </w:pPr>
    </w:p>
    <w:p>
      <w:pPr>
        <w:pStyle w:val="7"/>
        <w:rPr>
          <w:rFonts w:hint="eastAsia" w:ascii="宋体" w:hAnsi="宋体" w:eastAsia="宋体" w:cs="宋体"/>
          <w:lang w:eastAsia="zh-CN"/>
        </w:rPr>
      </w:pPr>
      <w:r>
        <w:rPr>
          <w:rFonts w:hint="eastAsia" w:ascii="宋体" w:hAnsi="宋体" w:eastAsia="宋体" w:cs="宋体"/>
          <w:lang w:eastAsia="zh-CN"/>
        </w:rPr>
        <w:t>2.1.3 矿区历史演变及拐点坐标</w:t>
      </w:r>
    </w:p>
    <w:p>
      <w:pPr>
        <w:ind w:firstLine="560"/>
        <w:rPr>
          <w:rFonts w:hint="eastAsia" w:ascii="宋体" w:hAnsi="宋体" w:eastAsia="宋体" w:cs="宋体"/>
          <w:lang w:eastAsia="zh-CN"/>
        </w:rPr>
      </w:pPr>
      <w:r>
        <w:rPr>
          <w:rFonts w:hint="eastAsia" w:ascii="宋体" w:hAnsi="宋体" w:eastAsia="宋体" w:cs="宋体"/>
          <w:lang w:eastAsia="zh-CN"/>
        </w:rPr>
        <w:t>矿山建矿之初建有上河和王峪两矿区，具有独立的采矿许可证，以露天方式分别开采，开采标高分别为+100m和+157m以上。</w:t>
      </w:r>
    </w:p>
    <w:p>
      <w:pPr>
        <w:ind w:firstLine="560"/>
        <w:rPr>
          <w:rFonts w:hint="eastAsia" w:ascii="宋体" w:hAnsi="宋体" w:eastAsia="宋体" w:cs="宋体"/>
          <w:lang w:eastAsia="zh-CN"/>
        </w:rPr>
      </w:pPr>
      <w:r>
        <w:rPr>
          <w:rFonts w:hint="eastAsia" w:ascii="宋体" w:hAnsi="宋体" w:eastAsia="宋体" w:cs="宋体"/>
          <w:lang w:eastAsia="zh-CN"/>
        </w:rPr>
        <w:t>2003年11月，山东省国土资源厅批准了其矿山扩界和变更开采方式，并重新核发了王峪矿区采矿许可证，采矿范围面积1.159km</w:t>
      </w:r>
      <w:r>
        <w:rPr>
          <w:rFonts w:hint="eastAsia" w:ascii="宋体" w:hAnsi="宋体" w:eastAsia="宋体" w:cs="宋体"/>
          <w:vertAlign w:val="superscript"/>
          <w:lang w:eastAsia="zh-CN"/>
        </w:rPr>
        <w:t>2</w:t>
      </w:r>
      <w:r>
        <w:rPr>
          <w:rFonts w:hint="eastAsia" w:ascii="宋体" w:hAnsi="宋体" w:eastAsia="宋体" w:cs="宋体"/>
          <w:lang w:eastAsia="zh-CN"/>
        </w:rPr>
        <w:t>，开采标高+157m至-50m，开采方式为露天/地下开采。自此，矿山开始了露天转地下建设工作。</w:t>
      </w:r>
    </w:p>
    <w:p>
      <w:pPr>
        <w:ind w:firstLine="560"/>
        <w:rPr>
          <w:rFonts w:hint="eastAsia" w:ascii="宋体" w:hAnsi="宋体" w:eastAsia="宋体" w:cs="宋体"/>
          <w:lang w:eastAsia="zh-CN"/>
        </w:rPr>
      </w:pPr>
      <w:r>
        <w:rPr>
          <w:rFonts w:hint="eastAsia" w:ascii="宋体" w:hAnsi="宋体" w:eastAsia="宋体" w:cs="宋体"/>
          <w:lang w:eastAsia="zh-CN"/>
        </w:rPr>
        <w:t>2004年8月，王峪矿区采矿许可证发生变更，将上河部分矿段+100m至-50m标高范围合并到王峪矿区。王峪矿区采矿许可证变更后，采矿权名为山东省沂源县韩旺铁矿王峪矿区，采矿权人为莱钢集团鲁南矿业有限公司，发证机关山东省国土资源厅，采矿许可证证号为3700000520228，矿区平面范围由13个拐点圈定，面积1.159km</w:t>
      </w:r>
      <w:r>
        <w:rPr>
          <w:rFonts w:hint="eastAsia" w:ascii="宋体" w:hAnsi="宋体" w:eastAsia="宋体" w:cs="宋体"/>
          <w:vertAlign w:val="superscript"/>
          <w:lang w:eastAsia="zh-CN"/>
        </w:rPr>
        <w:t>2</w:t>
      </w:r>
      <w:r>
        <w:rPr>
          <w:rFonts w:hint="eastAsia" w:ascii="宋体" w:hAnsi="宋体" w:eastAsia="宋体" w:cs="宋体"/>
          <w:lang w:eastAsia="zh-CN"/>
        </w:rPr>
        <w:t>，开采标高+157m至-50m，开采方式为露天/地下开采。</w:t>
      </w:r>
    </w:p>
    <w:p>
      <w:pPr>
        <w:ind w:firstLine="560"/>
        <w:rPr>
          <w:rFonts w:hint="eastAsia" w:ascii="宋体" w:hAnsi="宋体" w:eastAsia="宋体" w:cs="宋体"/>
          <w:lang w:eastAsia="zh-CN"/>
        </w:rPr>
      </w:pPr>
      <w:r>
        <w:rPr>
          <w:rFonts w:hint="eastAsia" w:ascii="宋体" w:hAnsi="宋体" w:eastAsia="宋体" w:cs="宋体"/>
          <w:lang w:eastAsia="zh-CN"/>
        </w:rPr>
        <w:t>2004年颁发的王峪矿区采矿许可证，历经2010年、2015年延续至今。现持有采矿权证证号为：C3700002010062120066818，采矿权人为莱钢集团鲁南矿业有限公司，矿区平面范围由13个拐点圈定（见表2.1.3-1），采矿面积1.159km</w:t>
      </w:r>
      <w:r>
        <w:rPr>
          <w:rFonts w:hint="eastAsia" w:ascii="宋体" w:hAnsi="宋体" w:eastAsia="宋体" w:cs="宋体"/>
          <w:vertAlign w:val="superscript"/>
          <w:lang w:eastAsia="zh-CN"/>
        </w:rPr>
        <w:t>2</w:t>
      </w:r>
      <w:r>
        <w:rPr>
          <w:rFonts w:hint="eastAsia" w:ascii="宋体" w:hAnsi="宋体" w:eastAsia="宋体" w:cs="宋体"/>
          <w:lang w:eastAsia="zh-CN"/>
        </w:rPr>
        <w:t>，开采标高+157m至-50m；开采方式：露天/地下联合开采；生产规模：100万吨/年；有效期自2015年6月3日至2025年6月3日。</w:t>
      </w:r>
    </w:p>
    <w:p>
      <w:pPr>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表2.1.3-1 矿区范围拐点坐标一览表（1980西安坐标系）</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569"/>
        <w:gridCol w:w="3283"/>
        <w:gridCol w:w="343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blHeader/>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点号</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X坐标</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Y坐标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3983193.79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39629310.87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3983268.79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39629479.87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3982314.83</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39630543.90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3982109.79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39630891.38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3981605.79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39631445.89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3980912.80</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39632059.90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3980755.79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39631932.90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3981355.79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39631170.89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3981765.79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39630838.88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3981934.79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39630703.88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3982166.03</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39630184.99</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3982440.79</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39629743.87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17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3982906.78</w:t>
            </w:r>
          </w:p>
        </w:tc>
        <w:tc>
          <w:tcPr>
            <w:tcW w:w="18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39629346.87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开采深度</w:t>
            </w:r>
          </w:p>
        </w:tc>
        <w:tc>
          <w:tcPr>
            <w:tcW w:w="3616"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157</w:t>
            </w:r>
            <w:r>
              <w:rPr>
                <w:rFonts w:hint="eastAsia" w:ascii="宋体" w:hAnsi="宋体" w:eastAsia="宋体" w:cs="宋体"/>
                <w:sz w:val="21"/>
                <w:szCs w:val="21"/>
              </w:rPr>
              <w:t>m</w:t>
            </w:r>
            <w:r>
              <w:rPr>
                <w:rFonts w:hint="eastAsia" w:ascii="宋体" w:hAnsi="宋体" w:eastAsia="宋体" w:cs="宋体"/>
                <w:sz w:val="21"/>
                <w:szCs w:val="21"/>
                <w:lang w:eastAsia="zh-CN"/>
              </w:rPr>
              <w:t>~</w:t>
            </w:r>
            <w:r>
              <w:rPr>
                <w:rFonts w:hint="eastAsia" w:ascii="宋体" w:hAnsi="宋体" w:eastAsia="宋体" w:cs="宋体"/>
                <w:sz w:val="21"/>
                <w:szCs w:val="21"/>
              </w:rPr>
              <w:t>-</w:t>
            </w:r>
            <w:r>
              <w:rPr>
                <w:rFonts w:hint="eastAsia" w:ascii="宋体" w:hAnsi="宋体" w:eastAsia="宋体" w:cs="宋体"/>
                <w:sz w:val="21"/>
                <w:szCs w:val="21"/>
                <w:lang w:eastAsia="zh-CN"/>
              </w:rPr>
              <w:t>50</w:t>
            </w:r>
            <w:r>
              <w:rPr>
                <w:rFonts w:hint="eastAsia" w:ascii="宋体" w:hAnsi="宋体" w:eastAsia="宋体" w:cs="宋体"/>
                <w:sz w:val="21"/>
                <w:szCs w:val="21"/>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矿区面积</w:t>
            </w:r>
          </w:p>
        </w:tc>
        <w:tc>
          <w:tcPr>
            <w:tcW w:w="3616"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1.159平方公里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开采方式</w:t>
            </w:r>
          </w:p>
        </w:tc>
        <w:tc>
          <w:tcPr>
            <w:tcW w:w="3616"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露天/地下开采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exact"/>
        </w:trPr>
        <w:tc>
          <w:tcPr>
            <w:tcW w:w="138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开采规模</w:t>
            </w:r>
          </w:p>
        </w:tc>
        <w:tc>
          <w:tcPr>
            <w:tcW w:w="3616" w:type="pct"/>
            <w:gridSpan w:val="2"/>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100万t/a</w:t>
            </w:r>
          </w:p>
        </w:tc>
      </w:tr>
    </w:tbl>
    <w:p>
      <w:pPr>
        <w:pStyle w:val="7"/>
        <w:rPr>
          <w:rFonts w:hint="eastAsia" w:ascii="宋体" w:hAnsi="宋体" w:eastAsia="宋体" w:cs="宋体"/>
          <w:lang w:eastAsia="zh-CN"/>
        </w:rPr>
      </w:pPr>
      <w:r>
        <w:rPr>
          <w:rFonts w:hint="eastAsia" w:ascii="宋体" w:hAnsi="宋体" w:eastAsia="宋体" w:cs="宋体"/>
          <w:lang w:eastAsia="zh-CN"/>
        </w:rPr>
        <w:t>2.1.4 评价思路</w:t>
      </w:r>
    </w:p>
    <w:p>
      <w:pPr>
        <w:ind w:firstLine="560"/>
        <w:rPr>
          <w:rFonts w:hint="eastAsia" w:ascii="宋体" w:hAnsi="宋体" w:eastAsia="宋体" w:cs="宋体"/>
          <w:lang w:eastAsia="zh-CN"/>
        </w:rPr>
      </w:pPr>
      <w:r>
        <w:rPr>
          <w:rFonts w:hint="eastAsia" w:ascii="宋体" w:hAnsi="宋体" w:eastAsia="宋体" w:cs="宋体"/>
          <w:lang w:eastAsia="zh-CN"/>
        </w:rPr>
        <w:t>鲁南矿业现有采矿厂、选矿厂、球团厂及生活工作区等。</w:t>
      </w:r>
      <w:r>
        <w:rPr>
          <w:rFonts w:hint="eastAsia" w:cs="宋体"/>
          <w:lang w:eastAsia="zh-CN"/>
        </w:rPr>
        <w:t>现有工程分析</w:t>
      </w:r>
      <w:r>
        <w:rPr>
          <w:rFonts w:hint="eastAsia" w:ascii="宋体" w:hAnsi="宋体" w:eastAsia="宋体" w:cs="宋体"/>
          <w:lang w:eastAsia="zh-CN"/>
        </w:rPr>
        <w:t>主要梳理现有工程项目组成、污染物排放及达标情况、存在的环境保护问题及</w:t>
      </w:r>
      <w:r>
        <w:rPr>
          <w:rFonts w:hint="eastAsia" w:cs="宋体"/>
          <w:lang w:eastAsia="zh-CN"/>
        </w:rPr>
        <w:t>拟采取的整改方案等内容。</w:t>
      </w:r>
    </w:p>
    <w:p>
      <w:pPr>
        <w:ind w:firstLine="560"/>
        <w:rPr>
          <w:rFonts w:hint="eastAsia" w:ascii="宋体" w:hAnsi="宋体" w:eastAsia="宋体" w:cs="宋体"/>
          <w:lang w:eastAsia="zh-CN"/>
        </w:rPr>
      </w:pPr>
      <w:r>
        <w:rPr>
          <w:rFonts w:hint="eastAsia" w:ascii="宋体" w:hAnsi="宋体" w:eastAsia="宋体" w:cs="宋体"/>
          <w:lang w:eastAsia="zh-CN"/>
        </w:rPr>
        <w:t>由于企业生活办公区燃煤锅炉已拆除；主副井场地的热风炉和破碎系统已全部拆除；</w:t>
      </w:r>
      <w:r>
        <w:rPr>
          <w:rFonts w:hint="eastAsia" w:cs="宋体"/>
          <w:lang w:eastAsia="zh-CN"/>
        </w:rPr>
        <w:t>露天采矿工程已停采，目前处于生态修复中；</w:t>
      </w:r>
      <w:r>
        <w:rPr>
          <w:rFonts w:hint="eastAsia" w:ascii="宋体" w:hAnsi="宋体" w:eastAsia="宋体" w:cs="宋体"/>
          <w:lang w:eastAsia="zh-CN"/>
        </w:rPr>
        <w:t>本次环评不再分析。</w:t>
      </w:r>
    </w:p>
    <w:p>
      <w:pPr>
        <w:ind w:firstLine="560"/>
        <w:rPr>
          <w:rFonts w:hint="eastAsia" w:ascii="宋体" w:hAnsi="宋体" w:eastAsia="宋体" w:cs="宋体"/>
          <w:lang w:eastAsia="zh-CN"/>
        </w:rPr>
      </w:pPr>
      <w:r>
        <w:rPr>
          <w:rFonts w:hint="eastAsia" w:ascii="宋体" w:hAnsi="宋体" w:eastAsia="宋体" w:cs="宋体"/>
          <w:lang w:eastAsia="zh-CN"/>
        </w:rPr>
        <w:t>由于</w:t>
      </w:r>
      <w:r>
        <w:rPr>
          <w:rFonts w:hint="eastAsia" w:cs="宋体"/>
          <w:lang w:eastAsia="zh-CN"/>
        </w:rPr>
        <w:t>本项目</w:t>
      </w:r>
      <w:r>
        <w:rPr>
          <w:rFonts w:hint="eastAsia" w:ascii="宋体" w:hAnsi="宋体" w:eastAsia="宋体" w:cs="宋体"/>
          <w:lang w:eastAsia="zh-CN"/>
        </w:rPr>
        <w:t>依托现有选矿厂、球团厂、尾矿库、充填站、主井和副井等，因此，</w:t>
      </w:r>
      <w:r>
        <w:rPr>
          <w:rFonts w:hint="eastAsia" w:cs="宋体"/>
          <w:lang w:eastAsia="zh-CN"/>
        </w:rPr>
        <w:t>本项目重点分析</w:t>
      </w:r>
      <w:r>
        <w:rPr>
          <w:rFonts w:hint="eastAsia" w:ascii="宋体" w:hAnsi="宋体" w:eastAsia="宋体" w:cs="宋体"/>
          <w:lang w:eastAsia="zh-CN"/>
        </w:rPr>
        <w:t>评价王峪矿段采矿工程。</w:t>
      </w:r>
    </w:p>
    <w:p>
      <w:pPr>
        <w:pStyle w:val="6"/>
        <w:rPr>
          <w:rFonts w:hint="eastAsia" w:ascii="宋体" w:hAnsi="宋体" w:eastAsia="宋体" w:cs="宋体"/>
          <w:lang w:eastAsia="zh-CN"/>
        </w:rPr>
      </w:pPr>
      <w:bookmarkStart w:id="55" w:name="_Toc26274"/>
      <w:bookmarkStart w:id="56" w:name="_Toc19170"/>
      <w:r>
        <w:rPr>
          <w:rFonts w:hint="eastAsia" w:ascii="宋体" w:hAnsi="宋体" w:eastAsia="宋体" w:cs="宋体"/>
          <w:lang w:eastAsia="zh-CN"/>
        </w:rPr>
        <w:t>2.2 现有采矿工程</w:t>
      </w:r>
      <w:bookmarkEnd w:id="55"/>
      <w:bookmarkEnd w:id="56"/>
    </w:p>
    <w:p>
      <w:pPr>
        <w:pStyle w:val="7"/>
        <w:rPr>
          <w:rFonts w:hint="eastAsia" w:ascii="宋体" w:hAnsi="宋体" w:eastAsia="宋体" w:cs="宋体"/>
          <w:lang w:eastAsia="zh-CN"/>
        </w:rPr>
      </w:pPr>
      <w:r>
        <w:rPr>
          <w:rFonts w:hint="eastAsia" w:ascii="宋体" w:hAnsi="宋体" w:eastAsia="宋体" w:cs="宋体"/>
          <w:lang w:eastAsia="zh-CN"/>
        </w:rPr>
        <w:t>2.2.1 项目概况</w:t>
      </w:r>
    </w:p>
    <w:p>
      <w:pPr>
        <w:bidi w:val="0"/>
        <w:rPr>
          <w:rFonts w:hint="eastAsia"/>
          <w:lang w:eastAsia="zh-CN"/>
        </w:rPr>
      </w:pPr>
      <w:r>
        <w:rPr>
          <w:rFonts w:hint="eastAsia"/>
          <w:lang w:eastAsia="zh-CN"/>
        </w:rPr>
        <w:t>鲁南矿业采矿工程先后经历了露天开采工程、露天转地下开采工程（一期，上河矿段）、露天转地采配套技改项目及充填系统。项目环评手续及批复情况见表2.1.2-1。</w:t>
      </w:r>
    </w:p>
    <w:p>
      <w:pPr>
        <w:bidi w:val="0"/>
        <w:rPr>
          <w:rFonts w:hint="eastAsia"/>
          <w:lang w:eastAsia="zh-CN"/>
        </w:rPr>
      </w:pPr>
      <w:r>
        <w:rPr>
          <w:rFonts w:hint="eastAsia"/>
          <w:lang w:eastAsia="zh-CN"/>
        </w:rPr>
        <w:t>露天开采工程已停采，目前处于生态修复中，本次环评不再分析。</w:t>
      </w:r>
    </w:p>
    <w:p>
      <w:pPr>
        <w:bidi w:val="0"/>
        <w:rPr>
          <w:rFonts w:hint="eastAsia"/>
          <w:lang w:eastAsia="zh-CN"/>
        </w:rPr>
      </w:pPr>
      <w:r>
        <w:rPr>
          <w:rFonts w:hint="eastAsia"/>
          <w:lang w:eastAsia="zh-CN"/>
        </w:rPr>
        <w:t>露天转地采配套技改项目为地下开采配套建设一套破碎干选系统，年分选低品位矿石10万吨，原副井井口配套建设有一台型号为LRL7.5的热风炉（只在冬季运行60天左右，每天运行约6小时），后因燃煤烟气不满足《山东省工业炉窑大气污染物排放标准》（DB37/2375-2013）标准而于2016年完成拆除。本次环评不再分析。</w:t>
      </w:r>
    </w:p>
    <w:p>
      <w:pPr>
        <w:bidi w:val="0"/>
        <w:rPr>
          <w:rFonts w:hint="eastAsia"/>
          <w:lang w:val="en-US" w:eastAsia="zh-CN"/>
        </w:rPr>
      </w:pPr>
      <w:r>
        <w:rPr>
          <w:rFonts w:hint="eastAsia"/>
          <w:lang w:eastAsia="zh-CN"/>
        </w:rPr>
        <w:t>露天转地下开采工程（一期，上河矿段，简称“上河矿段”）</w:t>
      </w:r>
      <w:r>
        <w:rPr>
          <w:rFonts w:hint="eastAsia"/>
          <w:lang w:val="en-US" w:eastAsia="zh-CN"/>
        </w:rPr>
        <w:t>，2006年2月开工建设，2011年10月竣工。上河矿段主要建设：主井、副井、充填系统、35kv变电所、进风井、中央回风井、井下生产系统等。生产系统有主井提升系统、井下排水系统、井下通风系统、供配电系统、运输系统、地面生产系统及充填、通讯、采暖、供热等辅助系统。2008年基本完成开拓工程，2009年进行采准切割，2010~2011年10月在试运行的基础上又对全系统整改完善，使之逐步具备50万吨/年生产能力。</w:t>
      </w:r>
    </w:p>
    <w:p>
      <w:pPr>
        <w:bidi w:val="0"/>
        <w:rPr>
          <w:rFonts w:hint="default"/>
          <w:lang w:val="en-US" w:eastAsia="zh-CN"/>
        </w:rPr>
      </w:pPr>
      <w:r>
        <w:rPr>
          <w:rFonts w:hint="eastAsia"/>
          <w:lang w:val="en-US" w:eastAsia="zh-CN"/>
        </w:rPr>
        <w:t>充填系统包括</w:t>
      </w:r>
      <w:r>
        <w:rPr>
          <w:rFonts w:hint="eastAsia"/>
          <w:highlight w:val="none"/>
          <w:lang w:val="en-US" w:eastAsia="zh-CN"/>
        </w:rPr>
        <w:t>位于主副井场地的上河充填系统和位于尾矿库的王峪充填系统。</w:t>
      </w:r>
      <w:r>
        <w:rPr>
          <w:rFonts w:hint="eastAsia"/>
          <w:lang w:val="en-US" w:eastAsia="zh-CN"/>
        </w:rPr>
        <w:t>上河充填系统是露天转地下开采工程的辅助工程，于2020年进行改造，增设6套设备；王峪矿段充填系统于2019建设，新建1条铁精矿再选生产线、一处建筑用砂生产区。</w:t>
      </w:r>
    </w:p>
    <w:p>
      <w:pPr>
        <w:bidi w:val="0"/>
        <w:rPr>
          <w:rFonts w:hint="eastAsia"/>
          <w:lang w:eastAsia="zh-CN"/>
        </w:rPr>
      </w:pPr>
      <w:r>
        <w:rPr>
          <w:rFonts w:hint="eastAsia"/>
          <w:lang w:eastAsia="zh-CN"/>
        </w:rPr>
        <w:t>矿山开采采用连续工作制，每年工作330天，每天三班，每班工作8小时，项目劳动定员343人；充填站年工作330天，每天3班，每班5小时。</w:t>
      </w:r>
    </w:p>
    <w:p>
      <w:pPr>
        <w:pStyle w:val="7"/>
        <w:rPr>
          <w:rFonts w:hint="eastAsia" w:ascii="宋体" w:hAnsi="宋体" w:eastAsia="宋体" w:cs="宋体"/>
          <w:lang w:eastAsia="zh-CN"/>
        </w:rPr>
      </w:pPr>
      <w:r>
        <w:rPr>
          <w:rFonts w:hint="eastAsia" w:ascii="宋体" w:hAnsi="宋体" w:eastAsia="宋体" w:cs="宋体"/>
          <w:lang w:eastAsia="zh-CN"/>
        </w:rPr>
        <w:t>2.2.2 项目组成</w:t>
      </w:r>
    </w:p>
    <w:p>
      <w:pPr>
        <w:ind w:firstLine="560"/>
        <w:rPr>
          <w:rFonts w:hint="eastAsia" w:ascii="宋体" w:hAnsi="宋体" w:eastAsia="宋体" w:cs="宋体"/>
          <w:lang w:eastAsia="zh-CN"/>
        </w:rPr>
      </w:pPr>
      <w:r>
        <w:rPr>
          <w:rFonts w:hint="eastAsia" w:ascii="宋体" w:hAnsi="宋体" w:eastAsia="宋体" w:cs="宋体"/>
          <w:lang w:eastAsia="zh-CN"/>
        </w:rPr>
        <w:t>采矿工程组成见表2.2.2-1。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表2.2.2-1 采矿工程组成一览表</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3"/>
        <w:gridCol w:w="320"/>
        <w:gridCol w:w="253"/>
        <w:gridCol w:w="573"/>
        <w:gridCol w:w="73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工程</w:t>
            </w: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工程（车间）名称</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项目组成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主体工程</w:t>
            </w:r>
          </w:p>
        </w:tc>
        <w:tc>
          <w:tcPr>
            <w:tcW w:w="175"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项目概况</w:t>
            </w:r>
          </w:p>
        </w:tc>
        <w:tc>
          <w:tcPr>
            <w:tcW w:w="454"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规模</w:t>
            </w:r>
          </w:p>
        </w:tc>
        <w:tc>
          <w:tcPr>
            <w:tcW w:w="4032" w:type="pct"/>
            <w:tcBorders>
              <w:tl2br w:val="nil"/>
              <w:tr2bl w:val="nil"/>
            </w:tcBorders>
            <w:tcMar>
              <w:top w:w="15" w:type="dxa"/>
              <w:left w:w="15" w:type="dxa"/>
              <w:right w:w="15" w:type="dxa"/>
            </w:tcMar>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t>原矿50万t/a</w:t>
            </w:r>
            <w:r>
              <w:rPr>
                <w:rFonts w:hint="eastAsia" w:cs="宋体"/>
                <w:bCs/>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175"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454"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ins w:id="0" w:author="Administrator" w:date="2021-09-26T11:20:00Z"/>
                <w:rFonts w:hint="eastAsia" w:ascii="宋体" w:hAnsi="宋体" w:eastAsia="宋体" w:cs="宋体"/>
                <w:bCs/>
                <w:sz w:val="21"/>
                <w:szCs w:val="21"/>
                <w:lang w:eastAsia="zh-CN"/>
              </w:rPr>
            </w:pPr>
            <w:r>
              <w:rPr>
                <w:rFonts w:hint="eastAsia" w:ascii="宋体" w:hAnsi="宋体" w:eastAsia="宋体" w:cs="宋体"/>
                <w:bCs/>
                <w:sz w:val="21"/>
                <w:szCs w:val="21"/>
                <w:lang w:eastAsia="zh-CN"/>
              </w:rPr>
              <w:t>开采</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范围</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t>上河矿段：45～57线、-50m～+100m标高之间。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t>王峪矿段：63～75线、-50m~+157m标高之间。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175"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454"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ins w:id="1" w:author="Administrator" w:date="2021-09-26T11:20:00Z"/>
                <w:rFonts w:hint="eastAsia" w:ascii="宋体" w:hAnsi="宋体" w:eastAsia="宋体" w:cs="宋体"/>
                <w:bCs/>
                <w:sz w:val="21"/>
                <w:szCs w:val="21"/>
                <w:lang w:eastAsia="zh-CN"/>
              </w:rPr>
            </w:pPr>
            <w:r>
              <w:rPr>
                <w:rFonts w:hint="eastAsia" w:ascii="宋体" w:hAnsi="宋体" w:eastAsia="宋体" w:cs="宋体"/>
                <w:bCs/>
                <w:sz w:val="21"/>
                <w:szCs w:val="21"/>
                <w:lang w:eastAsia="zh-CN"/>
              </w:rPr>
              <w:t>开采</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方法</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t>矿井开采方式为地下开采，采用的主要采矿方法主要有四种，分别为上向水平分层充填采矿法、浅孔留矿法（嗣后充填）、分段空场（嗣后充填）采矿法、阶段空场（嗣后充填）采矿法。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175"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454"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ins w:id="2" w:author="Administrator" w:date="2021-09-26T11:20:00Z"/>
                <w:rFonts w:hint="eastAsia" w:ascii="宋体" w:hAnsi="宋体" w:eastAsia="宋体" w:cs="宋体"/>
                <w:bCs/>
                <w:sz w:val="21"/>
                <w:szCs w:val="21"/>
                <w:lang w:eastAsia="zh-CN"/>
              </w:rPr>
            </w:pPr>
            <w:r>
              <w:rPr>
                <w:rFonts w:hint="eastAsia" w:ascii="宋体" w:hAnsi="宋体" w:eastAsia="宋体" w:cs="宋体"/>
                <w:bCs/>
                <w:sz w:val="21"/>
                <w:szCs w:val="21"/>
                <w:lang w:eastAsia="zh-CN"/>
              </w:rPr>
              <w:t>开拓</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r>
              <w:rPr>
                <w:rFonts w:hint="eastAsia" w:ascii="宋体" w:hAnsi="宋体" w:eastAsia="宋体" w:cs="宋体"/>
                <w:bCs/>
                <w:sz w:val="21"/>
                <w:szCs w:val="21"/>
                <w:lang w:eastAsia="zh-CN"/>
              </w:rPr>
              <w:t>方式</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t>上河矿段建设内容主要包括上河主井、上河副井、上河中央风井、上河北风井、上河辅助斜坡道。</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t>上河辅助斜坡道：主要担负人员上下（乘车）、材料运输、设备倒运等任务；</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t>负责进风任务的主要有：王峪南、北风井、副井、上河北风井；</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bCs/>
                <w:sz w:val="21"/>
                <w:szCs w:val="21"/>
                <w:lang w:eastAsia="zh-CN"/>
              </w:rPr>
            </w:pPr>
            <w:r>
              <w:rPr>
                <w:rFonts w:hint="eastAsia" w:ascii="宋体" w:hAnsi="宋体" w:eastAsia="宋体" w:cs="宋体"/>
                <w:bCs/>
                <w:sz w:val="21"/>
                <w:szCs w:val="21"/>
                <w:lang w:eastAsia="zh-CN"/>
              </w:rPr>
              <w:t>负责回风任务：王峪中央回风井、上河中央回风井。</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bCs/>
                <w:sz w:val="21"/>
                <w:szCs w:val="21"/>
                <w:lang w:eastAsia="zh-CN"/>
              </w:rPr>
              <w:t>公用及辅助工程</w:t>
            </w:r>
          </w:p>
        </w:tc>
        <w:tc>
          <w:tcPr>
            <w:tcW w:w="175"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充填系统</w:t>
            </w:r>
          </w:p>
        </w:tc>
        <w:tc>
          <w:tcPr>
            <w:tcW w:w="454"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上河矿段充填系统</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占地面积900m</w:t>
            </w:r>
            <w:r>
              <w:rPr>
                <w:rFonts w:hint="eastAsia" w:ascii="宋体" w:hAnsi="宋体" w:eastAsia="宋体" w:cs="宋体"/>
                <w:sz w:val="21"/>
                <w:szCs w:val="21"/>
                <w:vertAlign w:val="superscript"/>
                <w:lang w:eastAsia="zh-CN" w:bidi="ar"/>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lang w:eastAsia="zh-CN"/>
              </w:rPr>
            </w:pPr>
          </w:p>
        </w:tc>
        <w:tc>
          <w:tcPr>
            <w:tcW w:w="175"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454"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王峪矿段充填系统</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cs="宋体"/>
                <w:sz w:val="21"/>
                <w:szCs w:val="21"/>
                <w:lang w:eastAsia="zh-CN" w:bidi="ar"/>
              </w:rPr>
              <w:t>新建一条铁精矿再选生产线，占地</w:t>
            </w:r>
            <w:r>
              <w:rPr>
                <w:rFonts w:hint="eastAsia" w:cs="宋体"/>
                <w:sz w:val="21"/>
                <w:szCs w:val="21"/>
                <w:lang w:val="en-US" w:eastAsia="zh-CN" w:bidi="ar"/>
              </w:rPr>
              <w:t>1200平方米；新建</w:t>
            </w:r>
            <w:r>
              <w:rPr>
                <w:rFonts w:hint="eastAsia" w:cs="宋体"/>
                <w:sz w:val="21"/>
                <w:szCs w:val="21"/>
                <w:lang w:eastAsia="zh-CN" w:bidi="ar"/>
              </w:rPr>
              <w:t>一条建筑用砂生产线，占地</w:t>
            </w:r>
            <w:r>
              <w:rPr>
                <w:rFonts w:hint="eastAsia" w:cs="宋体"/>
                <w:sz w:val="21"/>
                <w:szCs w:val="21"/>
                <w:lang w:val="en-US" w:eastAsia="zh-CN" w:bidi="ar"/>
              </w:rPr>
              <w:t>2000平方米；新建一处建筑用砂存放区，占地面积3000平方米。新建王峪矿段充填系统， 占地面积 900 平方米，新建王峪矿段充填系统，占地面积900平方米新建充填搅拌站、尾矿砂仓、胶固粉仓等建构筑物。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通风系统</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多级站通风系统，上河北翼进风井和副井进风，上河回风井出风。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压气系统</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5台空气压缩机，4用1备，满足井下高压风供给.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供电</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上河矿段矿区井口附近新建35kV地面变电站一座。主工业场地布置 6KV 高配室一座，-50m 和±0m 中段采区硐室内变电所、</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空压机。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给水</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生活用水由鲁南矿业供水系统供给，水源为王峪采场蓄水；饮用水为桶装矿泉水，用汽车运至工业场地。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排水</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矿井涌水：在-50m水平副井车场附近设排水泵房、水仓，另设排水管道。地上设沉淀池，矿井涌水排到地面沉淀池经沉淀后全部回用于选矿厂。</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生活污水：经化粪池处理后排入公司污水管网，进入企业生活污水处理站，处理达标后回用于企业绿化和道路洒水，不外排。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t>储运工程</w:t>
            </w: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t>运输</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井下运输采用电机车窄轨铁路运输。坑内运输主要有原矿运输、掘进废石运输和充填料运输。原矿采用14t和10t电机车牵引2m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曲轨侧卸式矿车和4m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底侧卸式矿车运输；废石和充填料采用10t电机车牵引1.1m3翻转式矿车运输。矿石经皮带运输系统运至选矿厂。</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矿山目前在上河矿段-50m水平建有井下爆破器材分库一个，爆破器材分库炸药存放量为4.5t。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t>储存</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工业场地不设矿石堆场，出井矿石运至选矿厂。</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工业场地不设废石堆场，出井废石排到公司现有排土场和尾矿坝。</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环保工程</w:t>
            </w: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矿井涌水</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在-50m水平副井车场附近设排水泵房、水仓，另设排水管道。地上设沉淀池，矿井涌水排到地面沉淀池经沉淀后全部回用于选矿厂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废水</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生活污水：经化粪池处理后排入公司污水管网，进入企业生活污水处理站，处理达标后回用于企业绿化和道路洒水，不外排。</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地下涌水：地下涌水外排至涌水池，全部回用于选矿厂；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315" w:type="pct"/>
            <w:gridSpan w:val="2"/>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废气</w:t>
            </w:r>
          </w:p>
        </w:tc>
        <w:tc>
          <w:tcPr>
            <w:tcW w:w="315"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cs="宋体"/>
                <w:sz w:val="21"/>
                <w:szCs w:val="21"/>
                <w:lang w:eastAsia="zh-CN" w:bidi="ar"/>
              </w:rPr>
              <w:t>采矿</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lang w:eastAsia="zh-CN"/>
              </w:rPr>
            </w:pPr>
            <w:r>
              <w:rPr>
                <w:rFonts w:hint="eastAsia" w:ascii="宋体" w:hAnsi="宋体" w:eastAsia="宋体" w:cs="宋体"/>
                <w:sz w:val="21"/>
                <w:szCs w:val="21"/>
                <w:lang w:eastAsia="zh-CN" w:bidi="ar"/>
              </w:rPr>
              <w:t>井下采掘、矿石临时堆存、废石堆存及</w:t>
            </w:r>
            <w:r>
              <w:rPr>
                <w:rFonts w:hint="eastAsia" w:cs="宋体"/>
                <w:sz w:val="21"/>
                <w:szCs w:val="21"/>
                <w:lang w:eastAsia="zh-CN" w:bidi="ar"/>
              </w:rPr>
              <w:t>矿石提升</w:t>
            </w:r>
            <w:r>
              <w:rPr>
                <w:rFonts w:hint="eastAsia" w:ascii="宋体" w:hAnsi="宋体" w:eastAsia="宋体" w:cs="宋体"/>
                <w:sz w:val="21"/>
                <w:szCs w:val="21"/>
                <w:lang w:eastAsia="zh-CN" w:bidi="ar"/>
              </w:rPr>
              <w:t>过程中产生的无组织粉尘等，采取湿式凿岩、洒水降尘、机械通风等措施。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315" w:type="pct"/>
            <w:gridSpan w:val="2"/>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315"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cs="宋体"/>
                <w:sz w:val="21"/>
                <w:szCs w:val="21"/>
                <w:lang w:eastAsia="zh-CN" w:bidi="ar"/>
              </w:rPr>
              <w:t>充填</w:t>
            </w:r>
          </w:p>
        </w:tc>
        <w:tc>
          <w:tcPr>
            <w:tcW w:w="4032" w:type="pct"/>
            <w:tcBorders>
              <w:tl2br w:val="nil"/>
              <w:tr2bl w:val="nil"/>
            </w:tcBorders>
            <w:tcMar>
              <w:top w:w="15" w:type="dxa"/>
              <w:left w:w="15" w:type="dxa"/>
              <w:right w:w="15" w:type="dxa"/>
            </w:tcMar>
            <w:vAlign w:val="center"/>
          </w:tcPr>
          <w:p>
            <w:pPr>
              <w:pStyle w:val="2"/>
              <w:keepNext w:val="0"/>
              <w:keepLines w:val="0"/>
              <w:suppressLineNumbers w:val="0"/>
              <w:spacing w:before="0" w:beforeAutospacing="0" w:afterAutospacing="0" w:line="240" w:lineRule="auto"/>
              <w:ind w:left="0" w:leftChars="0" w:right="0" w:firstLine="0" w:firstLineChars="0"/>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粉尘运输系统进行封闭处理，并采用喷雾和机械除尘措施降尘；充填站设置布袋除尘器，粉尘经20m高排气筒排放。</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固废</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cs="宋体"/>
                <w:sz w:val="21"/>
                <w:szCs w:val="21"/>
                <w:lang w:eastAsia="zh-CN" w:bidi="ar"/>
              </w:rPr>
              <w:t>基建废石存至排土场；营运期</w:t>
            </w:r>
            <w:r>
              <w:rPr>
                <w:rFonts w:hint="eastAsia" w:ascii="宋体" w:hAnsi="宋体" w:eastAsia="宋体" w:cs="宋体"/>
                <w:sz w:val="21"/>
                <w:szCs w:val="21"/>
                <w:lang w:eastAsia="zh-CN" w:bidi="ar"/>
              </w:rPr>
              <w:t>井下废石不出坑，全部回填采空区；生活垃圾由环卫部门统一收集处理。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30"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cs="宋体"/>
                <w:sz w:val="21"/>
                <w:szCs w:val="21"/>
                <w:lang w:eastAsia="zh-CN" w:bidi="ar"/>
              </w:rPr>
              <w:t>危废</w:t>
            </w:r>
          </w:p>
        </w:tc>
        <w:tc>
          <w:tcPr>
            <w:tcW w:w="403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cs="宋体"/>
                <w:sz w:val="21"/>
                <w:szCs w:val="21"/>
                <w:lang w:eastAsia="zh-CN" w:bidi="ar"/>
              </w:rPr>
              <w:t>危废主要为废润滑油、废油桶，收集后暂存于危废间，委托有资质单位处置。</w:t>
            </w:r>
          </w:p>
        </w:tc>
      </w:tr>
    </w:tbl>
    <w:p>
      <w:pPr>
        <w:pStyle w:val="7"/>
        <w:rPr>
          <w:rFonts w:hint="eastAsia" w:ascii="宋体" w:hAnsi="宋体" w:eastAsia="宋体" w:cs="宋体"/>
          <w:lang w:eastAsia="zh-CN"/>
        </w:rPr>
      </w:pPr>
      <w:r>
        <w:rPr>
          <w:rFonts w:hint="eastAsia" w:ascii="宋体" w:hAnsi="宋体" w:eastAsia="宋体" w:cs="宋体"/>
          <w:lang w:eastAsia="zh-CN"/>
        </w:rPr>
        <w:t>2.2.3 主要设备及原辅材料</w:t>
      </w:r>
    </w:p>
    <w:p>
      <w:pPr>
        <w:ind w:firstLine="560"/>
        <w:rPr>
          <w:rFonts w:hint="eastAsia" w:ascii="宋体" w:hAnsi="宋体" w:eastAsia="宋体" w:cs="宋体"/>
          <w:lang w:eastAsia="zh-CN"/>
        </w:rPr>
      </w:pPr>
      <w:r>
        <w:rPr>
          <w:rFonts w:hint="eastAsia" w:ascii="宋体" w:hAnsi="宋体" w:eastAsia="宋体" w:cs="宋体"/>
          <w:lang w:eastAsia="zh-CN"/>
        </w:rPr>
        <w:t>现有采矿工程和充填工程主要设备见表2.2.3-1，主要原辅材料见表2.2.3-2。</w:t>
      </w:r>
    </w:p>
    <w:p>
      <w:pPr>
        <w:pStyle w:val="16"/>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表2.2.3-1 现有</w:t>
      </w:r>
      <w:r>
        <w:rPr>
          <w:rFonts w:hint="eastAsia" w:ascii="宋体" w:hAnsi="宋体" w:cs="宋体"/>
          <w:b/>
          <w:bCs/>
          <w:sz w:val="24"/>
          <w:lang w:eastAsia="zh-CN"/>
        </w:rPr>
        <w:t>采矿工程和充填工程</w:t>
      </w:r>
      <w:r>
        <w:rPr>
          <w:rFonts w:hint="eastAsia" w:ascii="宋体" w:hAnsi="宋体" w:eastAsia="宋体" w:cs="宋体"/>
          <w:b/>
          <w:bCs/>
          <w:sz w:val="24"/>
        </w:rPr>
        <w:t>主要设备一览表</w:t>
      </w:r>
    </w:p>
    <w:tbl>
      <w:tblPr>
        <w:tblStyle w:val="24"/>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909"/>
        <w:gridCol w:w="2310"/>
        <w:gridCol w:w="2198"/>
        <w:gridCol w:w="1521"/>
        <w:gridCol w:w="215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序号</w:t>
            </w:r>
          </w:p>
        </w:tc>
        <w:tc>
          <w:tcPr>
            <w:tcW w:w="127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设备规格及名称</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规格型号</w:t>
            </w:r>
          </w:p>
        </w:tc>
        <w:tc>
          <w:tcPr>
            <w:tcW w:w="836"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数量（台）</w:t>
            </w:r>
          </w:p>
        </w:tc>
        <w:tc>
          <w:tcPr>
            <w:tcW w:w="1185"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5"/>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cs="宋体"/>
                <w:kern w:val="2"/>
                <w:sz w:val="21"/>
                <w:szCs w:val="21"/>
                <w:lang w:eastAsia="zh-CN"/>
              </w:rPr>
              <w:t>一、采矿工程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浅孔凿岩机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YT28型</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潜孔钻机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KQG-100</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3台</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潜孔钻机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410D</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1台</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rPr>
              <w:t>移动破碎锤</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GT50</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3台</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电动铲运机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2m³</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柴油铲运机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2m³</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电机车</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14t</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5辆</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1辆备用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电机车</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10t</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5辆</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1辆备用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局扇</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JK55—2No4.5</w:t>
            </w:r>
          </w:p>
        </w:tc>
        <w:tc>
          <w:tcPr>
            <w:tcW w:w="836"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25台</w:t>
            </w:r>
          </w:p>
        </w:tc>
        <w:tc>
          <w:tcPr>
            <w:tcW w:w="1185"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6备用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10</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局扇</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JK55—2No4</w:t>
            </w:r>
          </w:p>
        </w:tc>
        <w:tc>
          <w:tcPr>
            <w:tcW w:w="836"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8台</w:t>
            </w:r>
          </w:p>
        </w:tc>
        <w:tc>
          <w:tcPr>
            <w:tcW w:w="1185"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11</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离心泵</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MD155-30×9</w:t>
            </w:r>
          </w:p>
        </w:tc>
        <w:tc>
          <w:tcPr>
            <w:tcW w:w="836"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5台</w:t>
            </w:r>
          </w:p>
        </w:tc>
        <w:tc>
          <w:tcPr>
            <w:tcW w:w="1185"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 xml:space="preserve"> 振动放矿机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PZC2.3/1.2—3</w:t>
            </w:r>
          </w:p>
        </w:tc>
        <w:tc>
          <w:tcPr>
            <w:tcW w:w="836"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11台</w:t>
            </w:r>
          </w:p>
        </w:tc>
        <w:tc>
          <w:tcPr>
            <w:tcW w:w="1185"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2台备用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13</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螺杆空气压缩机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SA132A-10G-C</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2台</w:t>
            </w:r>
          </w:p>
        </w:tc>
        <w:tc>
          <w:tcPr>
            <w:tcW w:w="1185"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14</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矿车</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2m³</w:t>
            </w:r>
          </w:p>
        </w:tc>
        <w:tc>
          <w:tcPr>
            <w:tcW w:w="836"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90辆</w:t>
            </w:r>
          </w:p>
        </w:tc>
        <w:tc>
          <w:tcPr>
            <w:tcW w:w="1185"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10辆备用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矿车</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1.1m³</w:t>
            </w:r>
          </w:p>
        </w:tc>
        <w:tc>
          <w:tcPr>
            <w:tcW w:w="836"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75辆</w:t>
            </w:r>
          </w:p>
        </w:tc>
        <w:tc>
          <w:tcPr>
            <w:tcW w:w="1185" w:type="pct"/>
            <w:tcBorders>
              <w:tl2br w:val="nil"/>
              <w:tr2bl w:val="nil"/>
            </w:tcBorders>
            <w:tcMar>
              <w:top w:w="15" w:type="dxa"/>
              <w:left w:w="15" w:type="dxa"/>
              <w:right w:w="15"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27辆备用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16</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平板车</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YPC5(7)</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10辆</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2辆备用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17</w:t>
            </w:r>
          </w:p>
        </w:tc>
        <w:tc>
          <w:tcPr>
            <w:tcW w:w="1270"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变压器</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SCB10-800</w:t>
            </w:r>
          </w:p>
        </w:tc>
        <w:tc>
          <w:tcPr>
            <w:tcW w:w="836"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7台</w:t>
            </w:r>
          </w:p>
        </w:tc>
        <w:tc>
          <w:tcPr>
            <w:tcW w:w="1185" w:type="pct"/>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0" w:type="pct"/>
            <w:gridSpan w:val="5"/>
            <w:tcBorders>
              <w:tl2br w:val="nil"/>
              <w:tr2bl w:val="nil"/>
            </w:tcBorders>
            <w:tcMar>
              <w:top w:w="15" w:type="dxa"/>
              <w:left w:w="15" w:type="dxa"/>
              <w:right w:w="15" w:type="dxa"/>
            </w:tcMar>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cs="宋体"/>
                <w:sz w:val="21"/>
                <w:szCs w:val="21"/>
                <w:lang w:eastAsia="zh-CN" w:bidi="ar"/>
              </w:rPr>
              <w:t>二、充填工程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旋流器</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185" w:type="pct"/>
            <w:vMerge w:val="restar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建筑用砂生 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2</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渣浆泵</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2</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3</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叠层筛</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4</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4</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堆式取料机</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185" w:type="pct"/>
            <w:vMerge w:val="restar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铁精矿再选生产线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5</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盘式磁选机</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3</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6</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渣浆泵</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4</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7</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球磨机</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i w:val="0"/>
                <w:iCs w:val="0"/>
                <w:color w:val="000000"/>
                <w:kern w:val="0"/>
                <w:sz w:val="21"/>
                <w:szCs w:val="21"/>
                <w:u w:val="none"/>
                <w:lang w:val="en-US" w:eastAsia="zh-CN" w:bidi="ar"/>
              </w:rPr>
              <w:t>MQY2745</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8</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磁选机</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i w:val="0"/>
                <w:iCs w:val="0"/>
                <w:color w:val="000000"/>
                <w:kern w:val="0"/>
                <w:sz w:val="21"/>
                <w:szCs w:val="21"/>
                <w:u w:val="none"/>
                <w:lang w:val="en-US" w:eastAsia="zh-CN" w:bidi="ar"/>
              </w:rPr>
              <w:t>1230</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9</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浮选机</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i w:val="0"/>
                <w:iCs w:val="0"/>
                <w:color w:val="000000"/>
                <w:kern w:val="0"/>
                <w:sz w:val="21"/>
                <w:szCs w:val="21"/>
                <w:u w:val="none"/>
                <w:lang w:val="en-US" w:eastAsia="zh-CN" w:bidi="ar"/>
              </w:rPr>
              <w:t>BF-4.0</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16</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10</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过滤机</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11</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深锥浓密机系统</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i w:val="0"/>
                <w:iCs w:val="0"/>
                <w:color w:val="000000"/>
                <w:kern w:val="0"/>
                <w:sz w:val="21"/>
                <w:szCs w:val="21"/>
                <w:u w:val="none"/>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185" w:type="pct"/>
            <w:vMerge w:val="restar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上河矿段充填生产线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12</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调浓用水供给计量系统</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i w:val="0"/>
                <w:iCs w:val="0"/>
                <w:color w:val="000000"/>
                <w:kern w:val="0"/>
                <w:sz w:val="21"/>
                <w:szCs w:val="21"/>
                <w:u w:val="none"/>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185" w:type="pct"/>
            <w:vMerge w:val="continue"/>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13</w:t>
            </w:r>
          </w:p>
        </w:tc>
        <w:tc>
          <w:tcPr>
            <w:tcW w:w="1270"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用水供给计量系统</w:t>
            </w:r>
          </w:p>
        </w:tc>
        <w:tc>
          <w:tcPr>
            <w:tcW w:w="1208" w:type="pct"/>
            <w:tcBorders>
              <w:tl2br w:val="nil"/>
              <w:tr2bl w:val="nil"/>
            </w:tcBorders>
            <w:tcMar>
              <w:top w:w="15" w:type="dxa"/>
              <w:left w:w="15" w:type="dxa"/>
              <w:right w:w="15" w:type="dxa"/>
            </w:tcMar>
            <w:vAlign w:val="center"/>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i w:val="0"/>
                <w:iCs w:val="0"/>
                <w:color w:val="000000"/>
                <w:kern w:val="0"/>
                <w:sz w:val="21"/>
                <w:szCs w:val="21"/>
                <w:u w:val="none"/>
                <w:lang w:val="en-US" w:eastAsia="zh-CN" w:bidi="ar"/>
              </w:rPr>
              <w:t>/</w:t>
            </w:r>
          </w:p>
        </w:tc>
        <w:tc>
          <w:tcPr>
            <w:tcW w:w="836"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default" w:ascii="Times New Roman" w:hAnsi="Times New Roman" w:eastAsia="宋体" w:cs="Times New Roman"/>
                <w:i w:val="0"/>
                <w:iCs w:val="0"/>
                <w:color w:val="231F20"/>
                <w:kern w:val="0"/>
                <w:sz w:val="21"/>
                <w:szCs w:val="21"/>
                <w:u w:val="none"/>
                <w:lang w:val="en-US" w:eastAsia="zh-CN" w:bidi="ar"/>
              </w:rPr>
              <w:t>1</w:t>
            </w:r>
          </w:p>
        </w:tc>
        <w:tc>
          <w:tcPr>
            <w:tcW w:w="1185" w:type="pct"/>
            <w:tcBorders>
              <w:tl2br w:val="nil"/>
              <w:tr2bl w:val="nil"/>
            </w:tcBorders>
            <w:tcMar>
              <w:top w:w="15" w:type="dxa"/>
              <w:left w:w="15" w:type="dxa"/>
              <w:right w:w="15" w:type="dxa"/>
            </w:tcMar>
            <w:vAlign w:val="top"/>
          </w:tcPr>
          <w:p>
            <w:pPr>
              <w:keepNext w:val="0"/>
              <w:keepLines w:val="0"/>
              <w:pageBreakBefore w:val="0"/>
              <w:widowControl/>
              <w:suppressLineNumbers w:val="0"/>
              <w:kinsoku/>
              <w:wordWrap/>
              <w:overflowPunct/>
              <w:topLinePunct w:val="0"/>
              <w:bidi w:val="0"/>
              <w:adjustRightInd/>
              <w:snapToGrid/>
              <w:spacing w:before="0" w:beforeAutospacing="0" w:after="0" w:afterAutospacing="0" w:line="240" w:lineRule="auto"/>
              <w:ind w:left="0" w:leftChars="0" w:right="0" w:rightChars="0" w:firstLine="0" w:firstLineChars="0"/>
              <w:jc w:val="center"/>
              <w:textAlignment w:val="top"/>
              <w:rPr>
                <w:rFonts w:hint="eastAsia" w:ascii="宋体" w:hAnsi="宋体" w:eastAsia="宋体" w:cs="宋体"/>
                <w:sz w:val="21"/>
                <w:szCs w:val="21"/>
                <w:lang w:eastAsia="zh-CN" w:bidi="ar"/>
              </w:rPr>
            </w:pPr>
            <w:r>
              <w:rPr>
                <w:rFonts w:hint="eastAsia" w:ascii="宋体" w:hAnsi="宋体" w:eastAsia="宋体" w:cs="宋体"/>
                <w:i w:val="0"/>
                <w:iCs w:val="0"/>
                <w:color w:val="231F20"/>
                <w:kern w:val="0"/>
                <w:sz w:val="21"/>
                <w:szCs w:val="21"/>
                <w:u w:val="none"/>
                <w:lang w:val="en-US" w:eastAsia="zh-CN" w:bidi="ar"/>
              </w:rPr>
              <w:t>王峪矿段充填生产线</w:t>
            </w:r>
          </w:p>
        </w:tc>
      </w:tr>
    </w:tbl>
    <w:p>
      <w:pPr>
        <w:pStyle w:val="16"/>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表2.2.3-2 现有采矿工程</w:t>
      </w:r>
      <w:r>
        <w:rPr>
          <w:rFonts w:hint="eastAsia" w:ascii="宋体" w:hAnsi="宋体" w:cs="宋体"/>
          <w:b/>
          <w:bCs/>
          <w:sz w:val="24"/>
          <w:lang w:eastAsia="zh-CN"/>
        </w:rPr>
        <w:t>和充填工程</w:t>
      </w:r>
      <w:r>
        <w:rPr>
          <w:rFonts w:hint="eastAsia" w:ascii="宋体" w:hAnsi="宋体" w:eastAsia="宋体" w:cs="宋体"/>
          <w:b/>
          <w:bCs/>
          <w:sz w:val="24"/>
        </w:rPr>
        <w:t>原辅材料一览表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300"/>
        <w:gridCol w:w="1168"/>
        <w:gridCol w:w="1759"/>
        <w:gridCol w:w="2723"/>
        <w:gridCol w:w="15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序号</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名称</w:t>
            </w:r>
          </w:p>
        </w:tc>
        <w:tc>
          <w:tcPr>
            <w:tcW w:w="62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单位</w:t>
            </w:r>
          </w:p>
        </w:tc>
        <w:tc>
          <w:tcPr>
            <w:tcW w:w="94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2020年耗量</w:t>
            </w:r>
          </w:p>
        </w:tc>
        <w:tc>
          <w:tcPr>
            <w:tcW w:w="146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储运方式</w:t>
            </w: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炸药</w:t>
            </w:r>
          </w:p>
        </w:tc>
        <w:tc>
          <w:tcPr>
            <w:tcW w:w="62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w:t>
            </w:r>
          </w:p>
        </w:tc>
        <w:tc>
          <w:tcPr>
            <w:tcW w:w="94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739614</w:t>
            </w:r>
          </w:p>
        </w:tc>
        <w:tc>
          <w:tcPr>
            <w:tcW w:w="1466" w:type="pct"/>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专车运输，并存放于上河矿段-50m水平的井下爆破器材分库</w:t>
            </w: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雷管发</w:t>
            </w:r>
          </w:p>
        </w:tc>
        <w:tc>
          <w:tcPr>
            <w:tcW w:w="62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w:t>
            </w:r>
          </w:p>
        </w:tc>
        <w:tc>
          <w:tcPr>
            <w:tcW w:w="94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322074</w:t>
            </w:r>
          </w:p>
        </w:tc>
        <w:tc>
          <w:tcPr>
            <w:tcW w:w="1466"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3</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导火索</w:t>
            </w:r>
          </w:p>
        </w:tc>
        <w:tc>
          <w:tcPr>
            <w:tcW w:w="62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w:t>
            </w:r>
          </w:p>
        </w:tc>
        <w:tc>
          <w:tcPr>
            <w:tcW w:w="94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189100</w:t>
            </w:r>
          </w:p>
        </w:tc>
        <w:tc>
          <w:tcPr>
            <w:tcW w:w="1466"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0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柴油</w:t>
            </w:r>
          </w:p>
        </w:tc>
        <w:tc>
          <w:tcPr>
            <w:tcW w:w="62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w:t>
            </w:r>
          </w:p>
        </w:tc>
        <w:tc>
          <w:tcPr>
            <w:tcW w:w="94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106505</w:t>
            </w:r>
          </w:p>
        </w:tc>
        <w:tc>
          <w:tcPr>
            <w:tcW w:w="146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柴油仓库</w:t>
            </w: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bl>
    <w:p>
      <w:pPr>
        <w:pStyle w:val="7"/>
        <w:rPr>
          <w:rFonts w:hint="eastAsia" w:ascii="宋体" w:hAnsi="宋体" w:eastAsia="宋体" w:cs="宋体"/>
          <w:lang w:eastAsia="zh-CN"/>
        </w:rPr>
      </w:pPr>
      <w:r>
        <w:rPr>
          <w:rFonts w:hint="eastAsia" w:ascii="宋体" w:hAnsi="宋体" w:eastAsia="宋体" w:cs="宋体"/>
          <w:lang w:eastAsia="zh-CN"/>
        </w:rPr>
        <w:t>2.2.4 平面布置</w:t>
      </w:r>
    </w:p>
    <w:p>
      <w:pPr>
        <w:ind w:firstLine="560"/>
        <w:rPr>
          <w:rFonts w:hint="eastAsia" w:ascii="宋体" w:hAnsi="宋体" w:eastAsia="宋体" w:cs="宋体"/>
          <w:lang w:eastAsia="zh-CN"/>
        </w:rPr>
      </w:pPr>
      <w:r>
        <w:rPr>
          <w:rFonts w:hint="eastAsia" w:ascii="宋体" w:hAnsi="宋体" w:eastAsia="宋体" w:cs="宋体"/>
          <w:lang w:eastAsia="zh-CN"/>
        </w:rPr>
        <w:t>上河矿段地表工业场地从西北向东南依次为上河北风井、上河中央回风井、辅助斜坡道及主副井场地。其中主副井场地中，有一东南门，厂区东北墙从西南向东北依次布设主井、副井；变电站位于主井的西南侧，</w:t>
      </w:r>
      <w:r>
        <w:rPr>
          <w:rFonts w:hint="eastAsia" w:cs="宋体"/>
          <w:lang w:eastAsia="zh-CN"/>
        </w:rPr>
        <w:t>上河矿段</w:t>
      </w:r>
      <w:r>
        <w:rPr>
          <w:rFonts w:hint="eastAsia" w:ascii="宋体" w:hAnsi="宋体" w:eastAsia="宋体" w:cs="宋体"/>
          <w:lang w:eastAsia="zh-CN"/>
        </w:rPr>
        <w:t>充填站位于厂区西南侧，办公区位于厂区南侧。</w:t>
      </w:r>
      <w:r>
        <w:rPr>
          <w:rFonts w:hint="eastAsia" w:cs="宋体"/>
          <w:lang w:eastAsia="zh-CN"/>
        </w:rPr>
        <w:t>王峪矿段充填系统位于尾矿库。</w:t>
      </w:r>
      <w:r>
        <w:rPr>
          <w:rFonts w:hint="eastAsia" w:ascii="宋体" w:hAnsi="宋体" w:eastAsia="宋体" w:cs="宋体"/>
          <w:lang w:eastAsia="zh-CN"/>
        </w:rPr>
        <w:t>具体平面布置见附图一。</w:t>
      </w:r>
    </w:p>
    <w:p>
      <w:pPr>
        <w:pStyle w:val="7"/>
        <w:rPr>
          <w:rFonts w:hint="eastAsia" w:ascii="宋体" w:hAnsi="宋体" w:eastAsia="宋体" w:cs="宋体"/>
          <w:lang w:eastAsia="zh-CN"/>
        </w:rPr>
      </w:pPr>
      <w:r>
        <w:rPr>
          <w:rFonts w:hint="eastAsia" w:ascii="宋体" w:hAnsi="宋体" w:eastAsia="宋体" w:cs="宋体"/>
          <w:lang w:eastAsia="zh-CN"/>
        </w:rPr>
        <w:t>2.2.5 工艺流程及产排污</w:t>
      </w:r>
    </w:p>
    <w:p>
      <w:pPr>
        <w:pStyle w:val="8"/>
        <w:widowControl/>
        <w:rPr>
          <w:rFonts w:hint="default" w:ascii="宋体" w:hAnsi="宋体" w:eastAsia="宋体" w:cs="宋体"/>
          <w:b/>
          <w:bCs/>
          <w:sz w:val="24"/>
          <w:szCs w:val="24"/>
          <w:lang w:val="en-US" w:eastAsia="zh-CN" w:bidi="ar-SA"/>
        </w:rPr>
      </w:pPr>
      <w:r>
        <w:rPr>
          <w:rFonts w:hint="eastAsia" w:ascii="宋体" w:hAnsi="宋体" w:eastAsia="宋体" w:cs="宋体"/>
          <w:b/>
          <w:bCs/>
          <w:sz w:val="24"/>
          <w:szCs w:val="28"/>
          <w:lang w:val="en-US" w:eastAsia="zh-CN" w:bidi="ar-SA"/>
        </w:rPr>
        <w:t>2.2.5.1 采矿工程</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矿床开采第一道工序为穿孔，穿孔机械为风动设备，由空气压缩机供风，T-100、T-150型潜孔钻穿孔，成孔后进行爆破作业，将矿石/岩石分别爆破后，由铲运机进行铲装作业，将矿石装车，采用电机车运输方式，皮带输送至选矿厂；废石不出坑，直接充填采空区。</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7" w:type="dxa"/>
            <w:tcBorders>
              <w:tl2br w:val="nil"/>
              <w:tr2bl w:val="nil"/>
            </w:tcBorders>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rPr>
              <w:drawing>
                <wp:anchor distT="0" distB="0" distL="114300" distR="114300" simplePos="0" relativeHeight="251684864" behindDoc="0" locked="0" layoutInCell="1" allowOverlap="1">
                  <wp:simplePos x="0" y="0"/>
                  <wp:positionH relativeFrom="column">
                    <wp:posOffset>-50165</wp:posOffset>
                  </wp:positionH>
                  <wp:positionV relativeFrom="paragraph">
                    <wp:posOffset>0</wp:posOffset>
                  </wp:positionV>
                  <wp:extent cx="5867400" cy="2108200"/>
                  <wp:effectExtent l="0" t="0" r="0" b="6350"/>
                  <wp:wrapTopAndBottom/>
                  <wp:docPr id="41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图片 30"/>
                          <pic:cNvPicPr>
                            <a:picLocks noChangeAspect="1"/>
                          </pic:cNvPicPr>
                        </pic:nvPicPr>
                        <pic:blipFill>
                          <a:blip r:embed="rId85"/>
                          <a:stretch>
                            <a:fillRect/>
                          </a:stretch>
                        </pic:blipFill>
                        <pic:spPr>
                          <a:xfrm>
                            <a:off x="0" y="0"/>
                            <a:ext cx="5867400" cy="2108200"/>
                          </a:xfrm>
                          <a:prstGeom prst="rect">
                            <a:avLst/>
                          </a:prstGeom>
                          <a:noFill/>
                          <a:ln>
                            <a:noFill/>
                          </a:ln>
                        </pic:spPr>
                      </pic:pic>
                    </a:graphicData>
                  </a:graphic>
                </wp:anchor>
              </w:drawing>
            </w:r>
            <w:r>
              <w:rPr>
                <w:rFonts w:hint="eastAsia" w:ascii="宋体" w:hAnsi="宋体" w:eastAsia="宋体" w:cs="宋体"/>
                <w:b/>
                <w:bCs/>
                <w:sz w:val="21"/>
                <w:szCs w:val="21"/>
                <w:lang w:eastAsia="zh-CN"/>
              </w:rPr>
              <mc:AlternateContent>
                <mc:Choice Requires="wps">
                  <w:drawing>
                    <wp:anchor distT="0" distB="0" distL="114300" distR="114300" simplePos="0" relativeHeight="251686912" behindDoc="0" locked="0" layoutInCell="1" allowOverlap="1">
                      <wp:simplePos x="0" y="0"/>
                      <wp:positionH relativeFrom="column">
                        <wp:posOffset>4832985</wp:posOffset>
                      </wp:positionH>
                      <wp:positionV relativeFrom="paragraph">
                        <wp:posOffset>6392545</wp:posOffset>
                      </wp:positionV>
                      <wp:extent cx="340360" cy="368935"/>
                      <wp:effectExtent l="0" t="0" r="0" b="0"/>
                      <wp:wrapNone/>
                      <wp:docPr id="411" name="文本框 411"/>
                      <wp:cNvGraphicFramePr/>
                      <a:graphic xmlns:a="http://schemas.openxmlformats.org/drawingml/2006/main">
                        <a:graphicData uri="http://schemas.microsoft.com/office/word/2010/wordprocessingShape">
                          <wps:wsp>
                            <wps:cNvSpPr txBox="1"/>
                            <wps:spPr>
                              <a:xfrm>
                                <a:off x="0" y="0"/>
                                <a:ext cx="340360" cy="368935"/>
                              </a:xfrm>
                              <a:prstGeom prst="rect">
                                <a:avLst/>
                              </a:prstGeom>
                              <a:noFill/>
                              <a:ln>
                                <a:noFill/>
                              </a:ln>
                            </wps:spPr>
                            <wps:txbx>
                              <w:txbxContent>
                                <w:p>
                                  <w:pPr>
                                    <w:ind w:firstLine="560"/>
                                    <w:rPr>
                                      <w:lang w:eastAsia="zh-CN"/>
                                    </w:rPr>
                                  </w:pPr>
                                  <w:r>
                                    <w:rPr>
                                      <w:rFonts w:hint="eastAsia"/>
                                      <w:lang w:eastAsia="zh-CN"/>
                                    </w:rPr>
                                    <w:t>G</w:t>
                                  </w:r>
                                  <w:r>
                                    <w:rPr>
                                      <w:rFonts w:hint="eastAsia"/>
                                      <w:vertAlign w:val="subscript"/>
                                      <w:lang w:eastAsia="zh-CN"/>
                                    </w:rPr>
                                    <w:t>2</w:t>
                                  </w:r>
                                </w:p>
                                <w:p>
                                  <w:pPr>
                                    <w:ind w:firstLine="560"/>
                                    <w:rPr>
                                      <w:lang w:eastAsia="zh-CN"/>
                                    </w:rPr>
                                  </w:pPr>
                                </w:p>
                              </w:txbxContent>
                            </wps:txbx>
                            <wps:bodyPr upright="1"/>
                          </wps:wsp>
                        </a:graphicData>
                      </a:graphic>
                    </wp:anchor>
                  </w:drawing>
                </mc:Choice>
                <mc:Fallback>
                  <w:pict>
                    <v:shape id="_x0000_s1026" o:spid="_x0000_s1026" o:spt="202" type="#_x0000_t202" style="position:absolute;left:0pt;margin-left:380.55pt;margin-top:503.35pt;height:29.05pt;width:26.8pt;z-index:251686912;mso-width-relative:page;mso-height-relative:page;" filled="f" stroked="f" coordsize="21600,21600" o:gfxdata="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wQq5FtcA&#10;AAANAQAADwAAAAAAAAABACAAAAAiAAAAZHJzL2Rvd25yZXYueG1sUEsBAhQAFAAAAAgAh07iQEOd&#10;bVuuAQAAUQMAAA4AAAAAAAAAAQAgAAAAJgEAAGRycy9lMm9Eb2MueG1sUEsFBgAAAAAGAAYAWQEA&#10;AEYFAAAAAA==&#10;">
                      <v:fill on="f" focussize="0,0"/>
                      <v:stroke on="f"/>
                      <v:imagedata o:title=""/>
                      <o:lock v:ext="edit" aspectratio="f"/>
                      <v:textbox>
                        <w:txbxContent>
                          <w:p>
                            <w:pPr>
                              <w:ind w:firstLine="560"/>
                              <w:rPr>
                                <w:lang w:eastAsia="zh-CN"/>
                              </w:rPr>
                            </w:pPr>
                            <w:r>
                              <w:rPr>
                                <w:rFonts w:hint="eastAsia"/>
                                <w:lang w:eastAsia="zh-CN"/>
                              </w:rPr>
                              <w:t>G</w:t>
                            </w:r>
                            <w:r>
                              <w:rPr>
                                <w:rFonts w:hint="eastAsia"/>
                                <w:vertAlign w:val="subscript"/>
                                <w:lang w:eastAsia="zh-CN"/>
                              </w:rPr>
                              <w:t>2</w:t>
                            </w:r>
                          </w:p>
                          <w:p>
                            <w:pPr>
                              <w:ind w:firstLine="560"/>
                              <w:rPr>
                                <w:lang w:eastAsia="zh-CN"/>
                              </w:rPr>
                            </w:pPr>
                          </w:p>
                        </w:txbxContent>
                      </v:textbox>
                    </v:shape>
                  </w:pict>
                </mc:Fallback>
              </mc:AlternateContent>
            </w:r>
            <w:r>
              <w:rPr>
                <w:rFonts w:hint="eastAsia" w:ascii="宋体" w:hAnsi="宋体" w:eastAsia="宋体" w:cs="宋体"/>
                <w:b/>
                <w:bCs/>
                <w:sz w:val="21"/>
                <w:szCs w:val="21"/>
                <w:lang w:eastAsia="zh-CN"/>
              </w:rPr>
              <mc:AlternateContent>
                <mc:Choice Requires="wps">
                  <w:drawing>
                    <wp:anchor distT="0" distB="0" distL="114300" distR="114300" simplePos="0" relativeHeight="251685888" behindDoc="0" locked="0" layoutInCell="1" allowOverlap="1">
                      <wp:simplePos x="0" y="0"/>
                      <wp:positionH relativeFrom="column">
                        <wp:posOffset>4680585</wp:posOffset>
                      </wp:positionH>
                      <wp:positionV relativeFrom="paragraph">
                        <wp:posOffset>6240145</wp:posOffset>
                      </wp:positionV>
                      <wp:extent cx="340360" cy="368935"/>
                      <wp:effectExtent l="0" t="0" r="0" b="0"/>
                      <wp:wrapNone/>
                      <wp:docPr id="412" name="文本框 412"/>
                      <wp:cNvGraphicFramePr/>
                      <a:graphic xmlns:a="http://schemas.openxmlformats.org/drawingml/2006/main">
                        <a:graphicData uri="http://schemas.microsoft.com/office/word/2010/wordprocessingShape">
                          <wps:wsp>
                            <wps:cNvSpPr txBox="1"/>
                            <wps:spPr>
                              <a:xfrm>
                                <a:off x="0" y="0"/>
                                <a:ext cx="340360" cy="368935"/>
                              </a:xfrm>
                              <a:prstGeom prst="rect">
                                <a:avLst/>
                              </a:prstGeom>
                              <a:noFill/>
                              <a:ln>
                                <a:noFill/>
                              </a:ln>
                            </wps:spPr>
                            <wps:txbx>
                              <w:txbxContent>
                                <w:p>
                                  <w:pPr>
                                    <w:ind w:firstLine="560"/>
                                    <w:rPr>
                                      <w:lang w:eastAsia="zh-CN"/>
                                    </w:rPr>
                                  </w:pPr>
                                  <w:r>
                                    <w:rPr>
                                      <w:rFonts w:hint="eastAsia"/>
                                      <w:lang w:eastAsia="zh-CN"/>
                                    </w:rPr>
                                    <w:t>G</w:t>
                                  </w:r>
                                  <w:r>
                                    <w:rPr>
                                      <w:rFonts w:hint="eastAsia"/>
                                      <w:vertAlign w:val="subscript"/>
                                      <w:lang w:eastAsia="zh-CN"/>
                                    </w:rPr>
                                    <w:t>2</w:t>
                                  </w:r>
                                </w:p>
                                <w:p>
                                  <w:pPr>
                                    <w:ind w:firstLine="560"/>
                                    <w:rPr>
                                      <w:lang w:eastAsia="zh-CN"/>
                                    </w:rPr>
                                  </w:pPr>
                                </w:p>
                              </w:txbxContent>
                            </wps:txbx>
                            <wps:bodyPr upright="1"/>
                          </wps:wsp>
                        </a:graphicData>
                      </a:graphic>
                    </wp:anchor>
                  </w:drawing>
                </mc:Choice>
                <mc:Fallback>
                  <w:pict>
                    <v:shape id="_x0000_s1026" o:spid="_x0000_s1026" o:spt="202" type="#_x0000_t202" style="position:absolute;left:0pt;margin-left:368.55pt;margin-top:491.35pt;height:29.05pt;width:26.8pt;z-index:251685888;mso-width-relative:page;mso-height-relative:page;" filled="f" stroked="f" coordsize="21600,21600" o:gfxdata="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Ab2J/Y&#10;AAAADAEAAA8AAAAAAAAAAQAgAAAAIgAAAGRycy9kb3ducmV2LnhtbFBLAQIUABQAAAAIAIdO4kBn&#10;kJ94rgEAAFEDAAAOAAAAAAAAAAEAIAAAACcBAABkcnMvZTJvRG9jLnhtbFBLBQYAAAAABgAGAFkB&#10;AABHBQAAAAA=&#10;">
                      <v:fill on="f" focussize="0,0"/>
                      <v:stroke on="f"/>
                      <v:imagedata o:title=""/>
                      <o:lock v:ext="edit" aspectratio="f"/>
                      <v:textbox>
                        <w:txbxContent>
                          <w:p>
                            <w:pPr>
                              <w:ind w:firstLine="560"/>
                              <w:rPr>
                                <w:lang w:eastAsia="zh-CN"/>
                              </w:rPr>
                            </w:pPr>
                            <w:r>
                              <w:rPr>
                                <w:rFonts w:hint="eastAsia"/>
                                <w:lang w:eastAsia="zh-CN"/>
                              </w:rPr>
                              <w:t>G</w:t>
                            </w:r>
                            <w:r>
                              <w:rPr>
                                <w:rFonts w:hint="eastAsia"/>
                                <w:vertAlign w:val="subscript"/>
                                <w:lang w:eastAsia="zh-CN"/>
                              </w:rPr>
                              <w:t>2</w:t>
                            </w:r>
                          </w:p>
                          <w:p>
                            <w:pPr>
                              <w:ind w:firstLine="560"/>
                              <w:rPr>
                                <w:lang w:eastAsia="zh-CN"/>
                              </w:rPr>
                            </w:pPr>
                          </w:p>
                        </w:txbxContent>
                      </v:textbox>
                    </v:shape>
                  </w:pict>
                </mc:Fallback>
              </mc:AlternateContent>
            </w:r>
            <w:r>
              <w:rPr>
                <w:rFonts w:hint="eastAsia" w:ascii="宋体" w:hAnsi="宋体" w:eastAsia="宋体" w:cs="宋体"/>
                <w:b/>
                <w:bCs/>
                <w:sz w:val="21"/>
                <w:szCs w:val="21"/>
                <w:lang w:eastAsia="zh-CN" w:bidi="ar"/>
              </w:rPr>
              <w:t>备注：G代表产生的废气；整个过程产生噪声；挖矿产生地下涌水。</w:t>
            </w:r>
          </w:p>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Cs w:val="28"/>
                <w:lang w:eastAsia="zh-CN" w:bidi="ar"/>
              </w:rPr>
            </w:pPr>
            <w:r>
              <w:rPr>
                <w:rFonts w:hint="eastAsia" w:ascii="宋体" w:hAnsi="宋体" w:eastAsia="宋体" w:cs="宋体"/>
                <w:b/>
                <w:bCs/>
                <w:sz w:val="24"/>
                <w:lang w:eastAsia="zh-CN" w:bidi="ar"/>
              </w:rPr>
              <w:t>图2.2.5-1 采矿工程工艺流程及产排污节点图</w:t>
            </w:r>
          </w:p>
        </w:tc>
      </w:tr>
    </w:tbl>
    <w:p>
      <w:pPr>
        <w:pStyle w:val="8"/>
        <w:rPr>
          <w:rFonts w:hint="eastAsia" w:ascii="宋体" w:hAnsi="宋体" w:eastAsia="宋体" w:cs="宋体"/>
          <w:lang w:eastAsia="zh-CN"/>
        </w:rPr>
      </w:pPr>
      <w:r>
        <w:rPr>
          <w:rFonts w:hint="eastAsia" w:eastAsia="宋体" w:cs="宋体"/>
          <w:lang w:val="en-US" w:eastAsia="zh-CN"/>
        </w:rPr>
        <w:t xml:space="preserve">2.2.5.2 </w:t>
      </w:r>
      <w:r>
        <w:rPr>
          <w:rFonts w:hint="eastAsia" w:ascii="宋体" w:hAnsi="宋体" w:eastAsia="宋体" w:cs="宋体"/>
          <w:lang w:eastAsia="zh-CN"/>
        </w:rPr>
        <w:t>充填站</w:t>
      </w:r>
    </w:p>
    <w:p>
      <w:pPr>
        <w:ind w:firstLine="560"/>
        <w:rPr>
          <w:rFonts w:hint="eastAsia" w:ascii="宋体" w:hAnsi="宋体" w:eastAsia="宋体" w:cs="宋体"/>
          <w:lang w:eastAsia="zh-CN"/>
        </w:rPr>
      </w:pPr>
      <w:r>
        <w:rPr>
          <w:rFonts w:hint="eastAsia" w:ascii="宋体" w:hAnsi="宋体" w:eastAsia="宋体" w:cs="宋体"/>
          <w:lang w:eastAsia="zh-CN"/>
        </w:rPr>
        <w:t>鲁南矿业现有充填系统为：一处铁精矿再选生产区，占地面积1200m</w:t>
      </w:r>
      <w:r>
        <w:rPr>
          <w:rFonts w:hint="eastAsia" w:ascii="宋体" w:hAnsi="宋体" w:eastAsia="宋体" w:cs="宋体"/>
          <w:vertAlign w:val="superscript"/>
          <w:lang w:eastAsia="zh-CN"/>
        </w:rPr>
        <w:t>2</w:t>
      </w:r>
      <w:r>
        <w:rPr>
          <w:rFonts w:hint="eastAsia" w:ascii="宋体" w:hAnsi="宋体" w:eastAsia="宋体" w:cs="宋体"/>
          <w:lang w:eastAsia="zh-CN"/>
        </w:rPr>
        <w:t>；一处建筑用砂生产区，占地面积2000m</w:t>
      </w:r>
      <w:r>
        <w:rPr>
          <w:rFonts w:hint="eastAsia" w:ascii="宋体" w:hAnsi="宋体" w:eastAsia="宋体" w:cs="宋体"/>
          <w:vertAlign w:val="superscript"/>
          <w:lang w:eastAsia="zh-CN"/>
        </w:rPr>
        <w:t>2</w:t>
      </w:r>
      <w:r>
        <w:rPr>
          <w:rFonts w:hint="eastAsia" w:ascii="宋体" w:hAnsi="宋体" w:eastAsia="宋体" w:cs="宋体"/>
          <w:lang w:eastAsia="zh-CN"/>
        </w:rPr>
        <w:t>；一处建筑制砂生产区，占地面积3000m</w:t>
      </w:r>
      <w:r>
        <w:rPr>
          <w:rFonts w:hint="eastAsia" w:ascii="宋体" w:hAnsi="宋体" w:eastAsia="宋体" w:cs="宋体"/>
          <w:vertAlign w:val="superscript"/>
          <w:lang w:eastAsia="zh-CN"/>
        </w:rPr>
        <w:t>2</w:t>
      </w:r>
      <w:r>
        <w:rPr>
          <w:rFonts w:hint="eastAsia" w:ascii="宋体" w:hAnsi="宋体" w:eastAsia="宋体" w:cs="宋体"/>
          <w:lang w:eastAsia="zh-CN"/>
        </w:rPr>
        <w:t>；上河矿段充填系统，占地面积900m</w:t>
      </w:r>
      <w:r>
        <w:rPr>
          <w:rFonts w:hint="eastAsia" w:ascii="宋体" w:hAnsi="宋体" w:eastAsia="宋体" w:cs="宋体"/>
          <w:vertAlign w:val="superscript"/>
          <w:lang w:eastAsia="zh-CN"/>
        </w:rPr>
        <w:t>2</w:t>
      </w:r>
      <w:r>
        <w:rPr>
          <w:rFonts w:hint="eastAsia" w:ascii="宋体" w:hAnsi="宋体" w:eastAsia="宋体" w:cs="宋体"/>
          <w:lang w:eastAsia="zh-CN"/>
        </w:rPr>
        <w:t>；王峪矿段充填系统，占地面积900m</w:t>
      </w:r>
      <w:r>
        <w:rPr>
          <w:rFonts w:hint="eastAsia" w:ascii="宋体" w:hAnsi="宋体" w:eastAsia="宋体" w:cs="宋体"/>
          <w:vertAlign w:val="superscript"/>
          <w:lang w:eastAsia="zh-CN"/>
        </w:rPr>
        <w:t>2</w:t>
      </w:r>
      <w:r>
        <w:rPr>
          <w:rFonts w:hint="eastAsia" w:ascii="宋体" w:hAnsi="宋体" w:eastAsia="宋体" w:cs="宋体"/>
          <w:lang w:eastAsia="zh-CN"/>
        </w:rPr>
        <w:t>。</w:t>
      </w:r>
    </w:p>
    <w:p>
      <w:pPr>
        <w:pStyle w:val="14"/>
        <w:ind w:left="480" w:leftChars="200" w:firstLine="0" w:firstLineChars="0"/>
        <w:rPr>
          <w:rFonts w:hint="eastAsia" w:ascii="宋体" w:hAnsi="宋体" w:eastAsia="宋体" w:cs="宋体"/>
          <w:b/>
          <w:bCs/>
          <w:lang w:eastAsia="zh-CN"/>
        </w:rPr>
      </w:pPr>
      <w:r>
        <w:rPr>
          <w:rFonts w:hint="eastAsia" w:ascii="宋体" w:hAnsi="宋体" w:eastAsia="宋体" w:cs="宋体"/>
          <w:b/>
          <w:bCs/>
          <w:lang w:eastAsia="zh-CN"/>
        </w:rPr>
        <w:t>（1）铁精矿再选工艺流程</w:t>
      </w:r>
    </w:p>
    <w:p>
      <w:pPr>
        <w:pStyle w:val="14"/>
        <w:ind w:firstLine="560"/>
        <w:rPr>
          <w:rFonts w:hint="eastAsia" w:ascii="宋体" w:hAnsi="宋体" w:eastAsia="宋体" w:cs="宋体"/>
          <w:lang w:eastAsia="zh-CN"/>
        </w:rPr>
      </w:pPr>
      <w:r>
        <w:rPr>
          <w:rFonts w:hint="eastAsia" w:ascii="宋体" w:hAnsi="宋体" w:eastAsia="宋体" w:cs="宋体"/>
          <w:lang w:eastAsia="zh-CN"/>
        </w:rPr>
        <w:t>尾矿坝尾矿用堆式取料机取料，用皮带运输机输送，给入盘式磁选机，盘磁机的精矿打回选矿厂进入球磨机再磨矿，用旋流器分级后溢流到磁选机，沉砂返回球磨再磨。磁选机精矿选出合格磁精矿，尾矿进入胶结充填系统。铁矿再选工艺流程见图</w:t>
      </w:r>
      <w:r>
        <w:rPr>
          <w:rFonts w:hint="eastAsia" w:cs="宋体"/>
          <w:lang w:val="en-US" w:eastAsia="zh-CN"/>
        </w:rPr>
        <w:t>2.2.5-2</w:t>
      </w:r>
      <w:r>
        <w:rPr>
          <w:rFonts w:hint="eastAsia" w:ascii="宋体" w:hAnsi="宋体" w:eastAsia="宋体" w:cs="宋体"/>
          <w:lang w:eastAsia="zh-CN"/>
        </w:rPr>
        <w:t>。</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7" w:type="dxa"/>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drawing>
                <wp:anchor distT="0" distB="0" distL="114300" distR="114300" simplePos="0" relativeHeight="251758592" behindDoc="0" locked="0" layoutInCell="1" allowOverlap="1">
                  <wp:simplePos x="0" y="0"/>
                  <wp:positionH relativeFrom="column">
                    <wp:posOffset>1375410</wp:posOffset>
                  </wp:positionH>
                  <wp:positionV relativeFrom="paragraph">
                    <wp:posOffset>15875</wp:posOffset>
                  </wp:positionV>
                  <wp:extent cx="3315970" cy="3419475"/>
                  <wp:effectExtent l="0" t="0" r="17780" b="9525"/>
                  <wp:wrapTopAndBottom/>
                  <wp:docPr id="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3"/>
                          <pic:cNvPicPr>
                            <a:picLocks noChangeAspect="1"/>
                          </pic:cNvPicPr>
                        </pic:nvPicPr>
                        <pic:blipFill>
                          <a:blip r:embed="rId86"/>
                          <a:stretch>
                            <a:fillRect/>
                          </a:stretch>
                        </pic:blipFill>
                        <pic:spPr>
                          <a:xfrm>
                            <a:off x="0" y="0"/>
                            <a:ext cx="3315970" cy="3419475"/>
                          </a:xfrm>
                          <a:prstGeom prst="rect">
                            <a:avLst/>
                          </a:prstGeom>
                          <a:noFill/>
                          <a:ln>
                            <a:noFill/>
                          </a:ln>
                        </pic:spPr>
                      </pic:pic>
                    </a:graphicData>
                  </a:graphic>
                </wp:anchor>
              </w:drawing>
            </w:r>
            <w:r>
              <w:rPr>
                <w:rFonts w:hint="eastAsia" w:ascii="宋体" w:hAnsi="宋体" w:eastAsia="宋体" w:cs="宋体"/>
                <w:b/>
                <w:bCs/>
                <w:sz w:val="24"/>
                <w:lang w:eastAsia="zh-CN"/>
              </w:rPr>
              <w:t>图</w:t>
            </w:r>
            <w:r>
              <w:rPr>
                <w:rFonts w:hint="eastAsia" w:cs="宋体"/>
                <w:b/>
                <w:bCs/>
                <w:sz w:val="24"/>
                <w:lang w:val="en-US" w:eastAsia="zh-CN"/>
              </w:rPr>
              <w:t>2.2.5-2</w:t>
            </w:r>
            <w:r>
              <w:rPr>
                <w:rFonts w:hint="eastAsia" w:ascii="宋体" w:hAnsi="宋体" w:eastAsia="宋体" w:cs="宋体"/>
                <w:b/>
                <w:bCs/>
                <w:sz w:val="24"/>
                <w:lang w:eastAsia="zh-CN"/>
              </w:rPr>
              <w:t xml:space="preserve"> 铁精矿再选工艺流程图</w:t>
            </w:r>
          </w:p>
        </w:tc>
      </w:tr>
    </w:tbl>
    <w:p>
      <w:pPr>
        <w:ind w:firstLine="562"/>
        <w:rPr>
          <w:rFonts w:hint="eastAsia" w:ascii="宋体" w:hAnsi="宋体" w:eastAsia="宋体" w:cs="宋体"/>
          <w:b/>
          <w:bCs/>
          <w:lang w:eastAsia="zh-CN"/>
        </w:rPr>
      </w:pPr>
      <w:r>
        <w:rPr>
          <w:rFonts w:hint="eastAsia" w:ascii="宋体" w:hAnsi="宋体" w:eastAsia="宋体" w:cs="宋体"/>
          <w:b/>
          <w:bCs/>
          <w:lang w:eastAsia="zh-CN"/>
        </w:rPr>
        <w:t>（2）建筑制砂工艺流程</w:t>
      </w:r>
    </w:p>
    <w:p>
      <w:pPr>
        <w:keepNext w:val="0"/>
        <w:keepLines w:val="0"/>
        <w:pageBreakBefore w:val="0"/>
        <w:widowControl w:val="0"/>
        <w:kinsoku/>
        <w:wordWrap/>
        <w:overflowPunct/>
        <w:topLinePunct w:val="0"/>
        <w:autoSpaceDE w:val="0"/>
        <w:autoSpaceDN w:val="0"/>
        <w:bidi w:val="0"/>
        <w:adjustRightInd/>
        <w:snapToGrid/>
        <w:textAlignment w:val="auto"/>
        <w:rPr>
          <w:rFonts w:hint="eastAsia"/>
          <w:lang w:eastAsia="zh-CN"/>
        </w:rPr>
      </w:pPr>
      <w:r>
        <w:rPr>
          <w:rFonts w:hint="eastAsia"/>
          <w:lang w:eastAsia="zh-CN"/>
        </w:rPr>
        <w:t>建筑制砂工艺流程见图</w:t>
      </w:r>
      <w:r>
        <w:rPr>
          <w:rFonts w:hint="eastAsia"/>
          <w:lang w:val="en-US" w:eastAsia="zh-CN"/>
        </w:rPr>
        <w:t>2.2.5-3</w:t>
      </w:r>
      <w:r>
        <w:rPr>
          <w:rFonts w:hint="eastAsia"/>
          <w:lang w:eastAsia="zh-CN"/>
        </w:rPr>
        <w:t>。</w:t>
      </w:r>
    </w:p>
    <w:p>
      <w:pPr>
        <w:keepNext w:val="0"/>
        <w:keepLines w:val="0"/>
        <w:pageBreakBefore w:val="0"/>
        <w:widowControl w:val="0"/>
        <w:kinsoku/>
        <w:wordWrap/>
        <w:overflowPunct/>
        <w:topLinePunct w:val="0"/>
        <w:autoSpaceDE w:val="0"/>
        <w:autoSpaceDN w:val="0"/>
        <w:bidi w:val="0"/>
        <w:adjustRightInd/>
        <w:snapToGrid/>
        <w:textAlignment w:val="auto"/>
        <w:rPr>
          <w:rFonts w:hint="eastAsia"/>
          <w:lang w:eastAsia="zh-CN"/>
        </w:rPr>
      </w:pPr>
      <w:r>
        <w:rPr>
          <w:rFonts w:hint="eastAsia"/>
          <w:lang w:eastAsia="zh-CN"/>
        </w:rPr>
        <w:t>使用堆式取料机取料，用移动式皮带运输机输送，进入造浆池进行造浆后给入水力旋流器。沉沙产品给入叠层筛（筛孔 0.3mm），筛上产品成为建筑用砂产品，剩余次尾砂通过管道运输至充填站进行采空区的充填。</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7" w:type="dxa"/>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lang w:eastAsia="zh-CN"/>
              </w:rPr>
            </w:pPr>
            <w:r>
              <w:rPr>
                <w:rFonts w:hint="eastAsia" w:ascii="宋体" w:hAnsi="宋体" w:eastAsia="宋体" w:cs="宋体"/>
                <w:lang w:eastAsia="zh-CN"/>
              </w:rPr>
              <w:drawing>
                <wp:anchor distT="0" distB="0" distL="114300" distR="114300" simplePos="0" relativeHeight="251755520" behindDoc="0" locked="0" layoutInCell="1" allowOverlap="1">
                  <wp:simplePos x="0" y="0"/>
                  <wp:positionH relativeFrom="column">
                    <wp:posOffset>1546225</wp:posOffset>
                  </wp:positionH>
                  <wp:positionV relativeFrom="paragraph">
                    <wp:posOffset>20320</wp:posOffset>
                  </wp:positionV>
                  <wp:extent cx="2724150" cy="3018155"/>
                  <wp:effectExtent l="0" t="0" r="0" b="10795"/>
                  <wp:wrapTopAndBottom/>
                  <wp:docPr id="2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
                          <pic:cNvPicPr>
                            <a:picLocks noChangeAspect="1"/>
                          </pic:cNvPicPr>
                        </pic:nvPicPr>
                        <pic:blipFill>
                          <a:blip r:embed="rId87"/>
                          <a:stretch>
                            <a:fillRect/>
                          </a:stretch>
                        </pic:blipFill>
                        <pic:spPr>
                          <a:xfrm>
                            <a:off x="0" y="0"/>
                            <a:ext cx="2724150" cy="3018155"/>
                          </a:xfrm>
                          <a:prstGeom prst="rect">
                            <a:avLst/>
                          </a:prstGeom>
                          <a:noFill/>
                          <a:ln>
                            <a:noFill/>
                          </a:ln>
                        </pic:spPr>
                      </pic:pic>
                    </a:graphicData>
                  </a:graphic>
                </wp:anchor>
              </w:drawing>
            </w:r>
            <w:r>
              <w:rPr>
                <w:rFonts w:hint="eastAsia" w:ascii="宋体" w:hAnsi="宋体" w:eastAsia="宋体" w:cs="宋体"/>
                <w:b/>
                <w:bCs/>
                <w:sz w:val="24"/>
                <w:lang w:eastAsia="zh-CN"/>
              </w:rPr>
              <w:t>图</w:t>
            </w:r>
            <w:r>
              <w:rPr>
                <w:rFonts w:hint="eastAsia" w:cs="宋体"/>
                <w:b/>
                <w:bCs/>
                <w:sz w:val="24"/>
                <w:lang w:val="en-US" w:eastAsia="zh-CN"/>
              </w:rPr>
              <w:t>2.2.5-3</w:t>
            </w:r>
            <w:r>
              <w:rPr>
                <w:rFonts w:hint="eastAsia" w:ascii="宋体" w:hAnsi="宋体" w:eastAsia="宋体" w:cs="宋体"/>
                <w:b/>
                <w:bCs/>
                <w:sz w:val="24"/>
                <w:lang w:eastAsia="zh-CN"/>
              </w:rPr>
              <w:t xml:space="preserve"> 建筑制砂工艺流程图</w:t>
            </w:r>
          </w:p>
        </w:tc>
      </w:tr>
    </w:tbl>
    <w:p>
      <w:pPr>
        <w:pStyle w:val="14"/>
        <w:numPr>
          <w:ilvl w:val="0"/>
          <w:numId w:val="9"/>
        </w:numPr>
        <w:ind w:left="-163" w:leftChars="0" w:firstLineChars="0"/>
        <w:rPr>
          <w:rFonts w:hint="eastAsia" w:ascii="宋体" w:hAnsi="宋体" w:eastAsia="宋体" w:cs="宋体"/>
          <w:b/>
          <w:bCs/>
          <w:lang w:eastAsia="zh-CN"/>
        </w:rPr>
      </w:pPr>
      <w:r>
        <w:rPr>
          <w:rFonts w:hint="eastAsia" w:ascii="宋体" w:hAnsi="宋体" w:eastAsia="宋体" w:cs="宋体"/>
          <w:b/>
          <w:bCs/>
          <w:lang w:eastAsia="zh-CN"/>
        </w:rPr>
        <w:t>上河矿段充填系统工艺流程</w:t>
      </w:r>
    </w:p>
    <w:p>
      <w:pPr>
        <w:pStyle w:val="14"/>
        <w:ind w:firstLine="560"/>
        <w:rPr>
          <w:rFonts w:hint="eastAsia" w:ascii="宋体" w:hAnsi="宋体" w:eastAsia="宋体" w:cs="宋体"/>
          <w:lang w:eastAsia="zh-CN"/>
        </w:rPr>
      </w:pPr>
      <w:r>
        <w:rPr>
          <w:rFonts w:hint="eastAsia" w:ascii="宋体" w:hAnsi="宋体" w:eastAsia="宋体" w:cs="宋体"/>
          <w:lang w:eastAsia="zh-CN"/>
        </w:rPr>
        <w:t>上河矿段胶结充填工艺流程图见图</w:t>
      </w:r>
      <w:r>
        <w:rPr>
          <w:rFonts w:hint="eastAsia" w:cs="宋体"/>
          <w:lang w:val="en-US" w:eastAsia="zh-CN"/>
        </w:rPr>
        <w:t>2.2.5-4</w:t>
      </w:r>
      <w:r>
        <w:rPr>
          <w:rFonts w:hint="eastAsia" w:ascii="宋体" w:hAnsi="宋体" w:eastAsia="宋体" w:cs="宋体"/>
          <w:lang w:eastAsia="zh-CN"/>
        </w:rPr>
        <w:t>。</w:t>
      </w:r>
    </w:p>
    <w:p>
      <w:pPr>
        <w:pStyle w:val="14"/>
        <w:ind w:firstLine="560"/>
        <w:rPr>
          <w:rFonts w:hint="eastAsia" w:ascii="宋体" w:hAnsi="宋体" w:eastAsia="宋体" w:cs="宋体"/>
          <w:lang w:eastAsia="zh-CN"/>
        </w:rPr>
      </w:pPr>
      <w:r>
        <w:rPr>
          <w:rFonts w:hint="eastAsia" w:ascii="宋体" w:hAnsi="宋体" w:eastAsia="宋体" w:cs="宋体"/>
          <w:lang w:eastAsia="zh-CN"/>
        </w:rPr>
        <w:t>选矿厂尾砂浆及铁精矿再选生产线输送过来的次尾砂浆进入浓密机进行浓密，制备质量浓度75%以上的料浆，在添加胶固粉充分搅拌后，通过充填柱塞泵经充填管道输送至井下充填区域。</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7" w:type="dxa"/>
            <w:tcBorders>
              <w:tl2br w:val="nil"/>
              <w:tr2bl w:val="nil"/>
            </w:tcBorders>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drawing>
                <wp:anchor distT="0" distB="0" distL="114300" distR="114300" simplePos="0" relativeHeight="251757568" behindDoc="0" locked="0" layoutInCell="1" allowOverlap="1">
                  <wp:simplePos x="0" y="0"/>
                  <wp:positionH relativeFrom="column">
                    <wp:posOffset>-29210</wp:posOffset>
                  </wp:positionH>
                  <wp:positionV relativeFrom="paragraph">
                    <wp:posOffset>34290</wp:posOffset>
                  </wp:positionV>
                  <wp:extent cx="5910580" cy="5298440"/>
                  <wp:effectExtent l="0" t="0" r="13970" b="16510"/>
                  <wp:wrapTopAndBottom/>
                  <wp:docPr id="2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4"/>
                          <pic:cNvPicPr>
                            <a:picLocks noChangeAspect="1"/>
                          </pic:cNvPicPr>
                        </pic:nvPicPr>
                        <pic:blipFill>
                          <a:blip r:embed="rId88"/>
                          <a:stretch>
                            <a:fillRect/>
                          </a:stretch>
                        </pic:blipFill>
                        <pic:spPr>
                          <a:xfrm>
                            <a:off x="0" y="0"/>
                            <a:ext cx="5910580" cy="5298440"/>
                          </a:xfrm>
                          <a:prstGeom prst="rect">
                            <a:avLst/>
                          </a:prstGeom>
                          <a:noFill/>
                          <a:ln>
                            <a:noFill/>
                          </a:ln>
                        </pic:spPr>
                      </pic:pic>
                    </a:graphicData>
                  </a:graphic>
                </wp:anchor>
              </w:drawing>
            </w:r>
            <w:r>
              <w:rPr>
                <w:rFonts w:hint="eastAsia" w:ascii="宋体" w:hAnsi="宋体" w:eastAsia="宋体" w:cs="宋体"/>
                <w:b/>
                <w:bCs/>
                <w:sz w:val="24"/>
                <w:lang w:eastAsia="zh-CN"/>
              </w:rPr>
              <w:t>图</w:t>
            </w:r>
            <w:r>
              <w:rPr>
                <w:rFonts w:hint="eastAsia" w:cs="宋体"/>
                <w:b/>
                <w:bCs/>
                <w:sz w:val="24"/>
                <w:lang w:val="en-US" w:eastAsia="zh-CN"/>
              </w:rPr>
              <w:t>2.2.5-4</w:t>
            </w:r>
            <w:r>
              <w:rPr>
                <w:rFonts w:hint="eastAsia" w:ascii="宋体" w:hAnsi="宋体" w:eastAsia="宋体" w:cs="宋体"/>
                <w:b/>
                <w:bCs/>
                <w:sz w:val="24"/>
                <w:lang w:eastAsia="zh-CN"/>
              </w:rPr>
              <w:t xml:space="preserve"> 上河矿段胶结充填工艺流程图</w:t>
            </w:r>
          </w:p>
        </w:tc>
      </w:tr>
    </w:tbl>
    <w:p>
      <w:pPr>
        <w:pStyle w:val="14"/>
        <w:numPr>
          <w:ilvl w:val="0"/>
          <w:numId w:val="0"/>
        </w:numPr>
        <w:ind w:firstLine="482" w:firstLineChars="200"/>
        <w:rPr>
          <w:rFonts w:hint="eastAsia" w:ascii="宋体" w:hAnsi="宋体" w:eastAsia="宋体" w:cs="宋体"/>
          <w:b/>
          <w:bCs/>
          <w:lang w:eastAsia="zh-CN"/>
        </w:rPr>
      </w:pPr>
      <w:r>
        <w:rPr>
          <w:rFonts w:hint="eastAsia" w:cs="宋体"/>
          <w:b/>
          <w:bCs/>
          <w:lang w:eastAsia="zh-CN"/>
        </w:rPr>
        <w:t>（</w:t>
      </w:r>
      <w:r>
        <w:rPr>
          <w:rFonts w:hint="eastAsia" w:cs="宋体"/>
          <w:b/>
          <w:bCs/>
          <w:lang w:val="en-US" w:eastAsia="zh-CN"/>
        </w:rPr>
        <w:t>3</w:t>
      </w:r>
      <w:r>
        <w:rPr>
          <w:rFonts w:hint="eastAsia" w:cs="宋体"/>
          <w:b/>
          <w:bCs/>
          <w:lang w:eastAsia="zh-CN"/>
        </w:rPr>
        <w:t>）</w:t>
      </w:r>
      <w:r>
        <w:rPr>
          <w:rFonts w:hint="eastAsia" w:ascii="宋体" w:hAnsi="宋体" w:eastAsia="宋体" w:cs="宋体"/>
          <w:b/>
          <w:bCs/>
          <w:lang w:eastAsia="zh-CN"/>
        </w:rPr>
        <w:t>王峪矿段充填工艺流程</w:t>
      </w:r>
    </w:p>
    <w:p>
      <w:pPr>
        <w:pStyle w:val="14"/>
        <w:ind w:firstLine="560"/>
        <w:rPr>
          <w:rFonts w:hint="eastAsia" w:ascii="宋体" w:hAnsi="宋体" w:eastAsia="宋体" w:cs="宋体"/>
          <w:lang w:eastAsia="zh-CN"/>
        </w:rPr>
      </w:pPr>
      <w:r>
        <w:rPr>
          <w:rFonts w:hint="eastAsia" w:ascii="宋体" w:hAnsi="宋体" w:eastAsia="宋体" w:cs="宋体"/>
          <w:lang w:eastAsia="zh-CN"/>
        </w:rPr>
        <w:t>通过履带式斗轮取料机、皮带组构成的取料系统从尾矿坝内取尾砂，进入尾砂仓进行缓存放料，与胶凝材料仓添加的胶固粉进入搅拌系统加水搅拌后，通过充填柱塞泵输送至王峪矿段采空区进行充填作业。</w:t>
      </w:r>
    </w:p>
    <w:p>
      <w:pPr>
        <w:pStyle w:val="7"/>
        <w:rPr>
          <w:rFonts w:hint="eastAsia" w:ascii="宋体" w:hAnsi="宋体" w:eastAsia="宋体" w:cs="宋体"/>
          <w:lang w:eastAsia="zh-CN"/>
        </w:rPr>
      </w:pPr>
      <w:r>
        <w:rPr>
          <w:rFonts w:hint="eastAsia" w:ascii="宋体" w:hAnsi="宋体" w:eastAsia="宋体" w:cs="宋体"/>
          <w:lang w:eastAsia="zh-CN"/>
        </w:rPr>
        <w:t>2.2.6 污染物的产生及排放情况</w:t>
      </w:r>
    </w:p>
    <w:p>
      <w:pPr>
        <w:bidi w:val="0"/>
        <w:rPr>
          <w:rFonts w:hint="eastAsia"/>
          <w:lang w:eastAsia="zh-CN"/>
        </w:rPr>
      </w:pPr>
      <w:r>
        <w:rPr>
          <w:rFonts w:hint="eastAsia"/>
          <w:lang w:eastAsia="zh-CN"/>
        </w:rPr>
        <w:t>上河矿段于2011年底投入生产，生产规模50万t/a，除去矿石提升及运输途径发生更改外，其余工业场地各污染源没有发生变化。因此，可采用验收监测数据说明各污染源排放达标情况。</w:t>
      </w:r>
    </w:p>
    <w:p>
      <w:pPr>
        <w:bidi w:val="0"/>
        <w:rPr>
          <w:rFonts w:hint="eastAsia"/>
          <w:lang w:eastAsia="zh-CN"/>
        </w:rPr>
      </w:pPr>
      <w:r>
        <w:rPr>
          <w:rFonts w:hint="eastAsia"/>
          <w:lang w:eastAsia="zh-CN"/>
        </w:rPr>
        <w:t>上河矿段污染物产排情况中描述及数据来源于《莱钢集团鲁南矿业有限公司露天转地下开采工程环境影响报告书》（2004年）、《莱芜钢铁集团鲁南矿业有限公司露天转地采配套技改项目环境影响报告表》（2012年）及这两个工程的验收监测报告介绍现有采矿工程的污染物产生排放情况、《莱芜钢铁集团鲁南矿业有限公司YTHJ字第（20190821）号废气检测项目》。</w:t>
      </w:r>
    </w:p>
    <w:p>
      <w:pPr>
        <w:bidi w:val="0"/>
        <w:rPr>
          <w:rFonts w:hint="eastAsia"/>
          <w:lang w:eastAsia="zh-CN"/>
        </w:rPr>
      </w:pPr>
      <w:r>
        <w:rPr>
          <w:rFonts w:hint="eastAsia"/>
          <w:lang w:eastAsia="zh-CN"/>
        </w:rPr>
        <w:t>充填系统废气产排情况来源于</w:t>
      </w:r>
      <w:r>
        <w:rPr>
          <w:rFonts w:hint="eastAsia"/>
          <w:lang w:val="en-US" w:eastAsia="zh-CN"/>
        </w:rPr>
        <w:t>充填站环评报告。</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2.2.6.1 废气</w:t>
      </w:r>
    </w:p>
    <w:p>
      <w:pPr>
        <w:pStyle w:val="16"/>
        <w:ind w:firstLine="560"/>
        <w:rPr>
          <w:rFonts w:hint="eastAsia" w:ascii="宋体" w:hAnsi="宋体" w:eastAsia="宋体" w:cs="宋体"/>
          <w:b/>
          <w:bCs/>
          <w:lang w:val="en-US" w:eastAsia="zh-CN"/>
        </w:rPr>
      </w:pPr>
      <w:r>
        <w:rPr>
          <w:rFonts w:hint="eastAsia" w:ascii="宋体" w:hAnsi="宋体" w:cs="宋体"/>
          <w:b/>
          <w:bCs/>
          <w:lang w:val="en-US" w:eastAsia="zh-CN"/>
        </w:rPr>
        <w:t>1、有组织废气</w:t>
      </w:r>
    </w:p>
    <w:p>
      <w:pPr>
        <w:bidi w:val="0"/>
        <w:rPr>
          <w:rFonts w:hint="eastAsia"/>
          <w:lang w:val="en-US" w:eastAsia="zh-CN"/>
        </w:rPr>
      </w:pPr>
      <w:r>
        <w:rPr>
          <w:rFonts w:hint="eastAsia"/>
          <w:lang w:eastAsia="zh-CN"/>
        </w:rPr>
        <w:t>采矿及充填系统有组织废气主要在</w:t>
      </w:r>
      <w:r>
        <w:rPr>
          <w:rFonts w:hint="eastAsia"/>
          <w:lang w:val="en-US" w:eastAsia="zh-CN"/>
        </w:rPr>
        <w:t>在充填料混合过程中产生。产生的废气经布袋除尘器处理后，通过25m高排气筒排放。根据充填站环评报告可知，充填站有组织废气如下：</w:t>
      </w:r>
    </w:p>
    <w:p>
      <w:pPr>
        <w:pStyle w:val="16"/>
        <w:spacing w:line="240" w:lineRule="auto"/>
        <w:ind w:left="0" w:leftChars="0" w:right="0" w:rightChars="0" w:firstLine="0" w:firstLineChars="0"/>
        <w:jc w:val="center"/>
        <w:rPr>
          <w:rFonts w:hint="eastAsia" w:ascii="宋体" w:hAnsi="宋体" w:cs="宋体"/>
          <w:b/>
          <w:bCs/>
          <w:lang w:val="en-US" w:eastAsia="zh-CN"/>
        </w:rPr>
      </w:pPr>
      <w:r>
        <w:rPr>
          <w:rFonts w:hint="eastAsia" w:ascii="宋体" w:hAnsi="宋体" w:cs="宋体"/>
          <w:b/>
          <w:bCs/>
          <w:lang w:val="en-US" w:eastAsia="zh-CN"/>
        </w:rPr>
        <w:t>表2.2.6-1 充填站有组织粉尘产排一览表</w:t>
      </w:r>
    </w:p>
    <w:tbl>
      <w:tblPr>
        <w:tblStyle w:val="24"/>
        <w:tblW w:w="4996"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96"/>
        <w:gridCol w:w="795"/>
        <w:gridCol w:w="840"/>
        <w:gridCol w:w="855"/>
        <w:gridCol w:w="795"/>
        <w:gridCol w:w="870"/>
        <w:gridCol w:w="840"/>
        <w:gridCol w:w="840"/>
        <w:gridCol w:w="855"/>
        <w:gridCol w:w="690"/>
        <w:gridCol w:w="90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7" w:hRule="atLeast"/>
        </w:trPr>
        <w:tc>
          <w:tcPr>
            <w:tcW w:w="536" w:type="pct"/>
            <w:vMerge w:val="restart"/>
            <w:tcBorders>
              <w:top w:val="single" w:color="231F20" w:sz="12" w:space="0"/>
              <w:left w:val="single" w:color="231F20" w:sz="12" w:space="0"/>
              <w:bottom w:val="single" w:color="231F20" w:sz="4" w:space="0"/>
              <w:right w:val="single" w:color="231F2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top"/>
              <w:rPr>
                <w:rFonts w:hint="default" w:ascii="宋体" w:hAnsi="宋体" w:cs="宋体"/>
                <w:b/>
                <w:bCs/>
                <w:sz w:val="21"/>
                <w:szCs w:val="21"/>
                <w:lang w:val="en-US" w:eastAsia="zh-CN"/>
              </w:rPr>
            </w:pPr>
            <w:r>
              <w:rPr>
                <w:rFonts w:hint="eastAsia" w:ascii="宋体" w:hAnsi="宋体" w:eastAsia="宋体" w:cs="宋体"/>
                <w:b/>
                <w:bCs/>
                <w:i w:val="0"/>
                <w:iCs w:val="0"/>
                <w:color w:val="231F20"/>
                <w:kern w:val="0"/>
                <w:sz w:val="21"/>
                <w:szCs w:val="21"/>
                <w:u w:val="none"/>
                <w:lang w:val="en-US" w:eastAsia="zh-CN" w:bidi="ar"/>
              </w:rPr>
              <w:t>排放源</w:t>
            </w:r>
          </w:p>
        </w:tc>
        <w:tc>
          <w:tcPr>
            <w:tcW w:w="428" w:type="pct"/>
            <w:vMerge w:val="restart"/>
            <w:tcBorders>
              <w:top w:val="single" w:color="231F20" w:sz="12"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21"/>
                <w:szCs w:val="21"/>
                <w:lang w:val="en-US" w:eastAsia="zh-CN"/>
              </w:rPr>
            </w:pPr>
            <w:r>
              <w:rPr>
                <w:rFonts w:hint="default" w:ascii="宋体" w:hAnsi="宋体" w:cs="宋体"/>
                <w:b/>
                <w:bCs/>
                <w:sz w:val="18"/>
                <w:szCs w:val="18"/>
                <w:lang w:val="en-US" w:eastAsia="zh-CN"/>
              </w:rPr>
              <w:t>废气量(万m</w:t>
            </w:r>
            <w:r>
              <w:rPr>
                <w:rFonts w:hint="default" w:ascii="宋体" w:hAnsi="宋体" w:cs="宋体"/>
                <w:b/>
                <w:bCs/>
                <w:sz w:val="18"/>
                <w:szCs w:val="18"/>
                <w:vertAlign w:val="superscript"/>
                <w:lang w:val="en-US" w:eastAsia="zh-CN"/>
              </w:rPr>
              <w:t>3</w:t>
            </w:r>
            <w:r>
              <w:rPr>
                <w:rFonts w:hint="default" w:ascii="宋体" w:hAnsi="宋体" w:cs="宋体"/>
                <w:b/>
                <w:bCs/>
                <w:sz w:val="18"/>
                <w:szCs w:val="18"/>
                <w:lang w:val="en-US" w:eastAsia="zh-CN"/>
              </w:rPr>
              <w:t>/h)</w:t>
            </w:r>
          </w:p>
        </w:tc>
        <w:tc>
          <w:tcPr>
            <w:tcW w:w="1341" w:type="pct"/>
            <w:gridSpan w:val="3"/>
            <w:tcBorders>
              <w:top w:val="single" w:color="231F20" w:sz="12"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21"/>
                <w:szCs w:val="21"/>
                <w:lang w:val="en-US" w:eastAsia="zh-CN"/>
              </w:rPr>
            </w:pPr>
            <w:r>
              <w:rPr>
                <w:rFonts w:hint="default" w:ascii="宋体" w:hAnsi="宋体" w:cs="宋体"/>
                <w:b/>
                <w:bCs/>
                <w:sz w:val="21"/>
                <w:szCs w:val="21"/>
                <w:lang w:val="en-US" w:eastAsia="zh-CN"/>
              </w:rPr>
              <w:t>产生情况</w:t>
            </w:r>
          </w:p>
        </w:tc>
        <w:tc>
          <w:tcPr>
            <w:tcW w:w="1373" w:type="pct"/>
            <w:gridSpan w:val="3"/>
            <w:tcBorders>
              <w:top w:val="single" w:color="231F20" w:sz="12"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21"/>
                <w:szCs w:val="21"/>
                <w:lang w:val="en-US" w:eastAsia="zh-CN"/>
              </w:rPr>
            </w:pPr>
            <w:r>
              <w:rPr>
                <w:rFonts w:hint="default" w:ascii="宋体" w:hAnsi="宋体" w:cs="宋体"/>
                <w:b/>
                <w:bCs/>
                <w:sz w:val="21"/>
                <w:szCs w:val="21"/>
                <w:lang w:val="en-US" w:eastAsia="zh-CN"/>
              </w:rPr>
              <w:t>排放情况</w:t>
            </w:r>
          </w:p>
        </w:tc>
        <w:tc>
          <w:tcPr>
            <w:tcW w:w="832" w:type="pct"/>
            <w:gridSpan w:val="2"/>
            <w:tcBorders>
              <w:top w:val="single" w:color="231F20" w:sz="12"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21"/>
                <w:szCs w:val="21"/>
                <w:lang w:val="en-US" w:eastAsia="zh-CN"/>
              </w:rPr>
            </w:pPr>
            <w:r>
              <w:rPr>
                <w:rFonts w:hint="default" w:ascii="宋体" w:hAnsi="宋体" w:cs="宋体"/>
                <w:b/>
                <w:bCs/>
                <w:sz w:val="21"/>
                <w:szCs w:val="21"/>
                <w:lang w:val="en-US" w:eastAsia="zh-CN"/>
              </w:rPr>
              <w:t>排放标准</w:t>
            </w:r>
          </w:p>
        </w:tc>
        <w:tc>
          <w:tcPr>
            <w:tcW w:w="487" w:type="pct"/>
            <w:vMerge w:val="restart"/>
            <w:tcBorders>
              <w:top w:val="single" w:color="231F20" w:sz="12" w:space="0"/>
              <w:left w:val="single" w:color="231F20" w:sz="4" w:space="0"/>
              <w:bottom w:val="single" w:color="231F20" w:sz="4" w:space="0"/>
              <w:right w:val="single" w:color="231F20" w:sz="12"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21"/>
                <w:szCs w:val="21"/>
                <w:lang w:val="en-US" w:eastAsia="zh-CN"/>
              </w:rPr>
            </w:pPr>
            <w:r>
              <w:rPr>
                <w:rFonts w:hint="default" w:ascii="宋体" w:hAnsi="宋体" w:cs="宋体"/>
                <w:b/>
                <w:bCs/>
                <w:sz w:val="18"/>
                <w:szCs w:val="18"/>
                <w:lang w:val="en-US" w:eastAsia="zh-CN"/>
              </w:rPr>
              <w:t>排气筒 高度/内 径(m)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36" w:type="pct"/>
            <w:vMerge w:val="continue"/>
            <w:tcBorders>
              <w:top w:val="single" w:color="231F20" w:sz="4" w:space="0"/>
              <w:left w:val="single" w:color="231F20" w:sz="12"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p>
        </w:tc>
        <w:tc>
          <w:tcPr>
            <w:tcW w:w="428" w:type="pct"/>
            <w:vMerge w:val="continue"/>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18"/>
                <w:szCs w:val="18"/>
                <w:lang w:val="en-US" w:eastAsia="zh-CN"/>
              </w:rPr>
            </w:pPr>
            <w:r>
              <w:rPr>
                <w:rFonts w:hint="default" w:ascii="宋体" w:hAnsi="宋体" w:cs="宋体"/>
                <w:b/>
                <w:bCs/>
                <w:sz w:val="18"/>
                <w:szCs w:val="18"/>
                <w:lang w:val="en-US" w:eastAsia="zh-CN"/>
              </w:rPr>
              <w:t>浓度(mg/m</w:t>
            </w:r>
            <w:r>
              <w:rPr>
                <w:rFonts w:hint="default" w:ascii="宋体" w:hAnsi="宋体" w:cs="宋体"/>
                <w:b/>
                <w:bCs/>
                <w:sz w:val="18"/>
                <w:szCs w:val="18"/>
                <w:vertAlign w:val="superscript"/>
                <w:lang w:val="en-US" w:eastAsia="zh-CN"/>
              </w:rPr>
              <w:t>3</w:t>
            </w:r>
            <w:r>
              <w:rPr>
                <w:rFonts w:hint="default" w:ascii="宋体" w:hAnsi="宋体" w:cs="宋体"/>
                <w:b/>
                <w:bCs/>
                <w:sz w:val="18"/>
                <w:szCs w:val="18"/>
                <w:lang w:val="en-US" w:eastAsia="zh-CN"/>
              </w:rPr>
              <w:t>)</w:t>
            </w:r>
          </w:p>
        </w:tc>
        <w:tc>
          <w:tcPr>
            <w:tcW w:w="460"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18"/>
                <w:szCs w:val="18"/>
                <w:lang w:val="en-US" w:eastAsia="zh-CN"/>
              </w:rPr>
            </w:pPr>
            <w:r>
              <w:rPr>
                <w:rFonts w:hint="default" w:ascii="宋体" w:hAnsi="宋体" w:cs="宋体"/>
                <w:b/>
                <w:bCs/>
                <w:sz w:val="18"/>
                <w:szCs w:val="18"/>
                <w:lang w:val="en-US" w:eastAsia="zh-CN"/>
              </w:rPr>
              <w:t>速率(kg/h)</w:t>
            </w:r>
          </w:p>
        </w:tc>
        <w:tc>
          <w:tcPr>
            <w:tcW w:w="428"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18"/>
                <w:szCs w:val="18"/>
                <w:lang w:val="en-US" w:eastAsia="zh-CN"/>
              </w:rPr>
            </w:pPr>
            <w:r>
              <w:rPr>
                <w:rFonts w:hint="default" w:ascii="宋体" w:hAnsi="宋体" w:cs="宋体"/>
                <w:b/>
                <w:bCs/>
                <w:sz w:val="18"/>
                <w:szCs w:val="18"/>
                <w:lang w:val="en-US" w:eastAsia="zh-CN"/>
              </w:rPr>
              <w:t>排放量（t/a）</w:t>
            </w:r>
          </w:p>
        </w:tc>
        <w:tc>
          <w:tcPr>
            <w:tcW w:w="468"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18"/>
                <w:szCs w:val="18"/>
                <w:lang w:val="en-US" w:eastAsia="zh-CN"/>
              </w:rPr>
            </w:pPr>
            <w:r>
              <w:rPr>
                <w:rFonts w:hint="default" w:ascii="宋体" w:hAnsi="宋体" w:cs="宋体"/>
                <w:b/>
                <w:bCs/>
                <w:sz w:val="18"/>
                <w:szCs w:val="18"/>
                <w:lang w:val="en-US" w:eastAsia="zh-CN"/>
              </w:rPr>
              <w:t>浓度(mg/m</w:t>
            </w:r>
            <w:r>
              <w:rPr>
                <w:rFonts w:hint="default" w:ascii="宋体" w:hAnsi="宋体" w:cs="宋体"/>
                <w:b/>
                <w:bCs/>
                <w:sz w:val="18"/>
                <w:szCs w:val="18"/>
                <w:vertAlign w:val="superscript"/>
                <w:lang w:val="en-US" w:eastAsia="zh-CN"/>
              </w:rPr>
              <w:t>3</w:t>
            </w:r>
            <w:r>
              <w:rPr>
                <w:rFonts w:hint="default" w:ascii="宋体" w:hAnsi="宋体" w:cs="宋体"/>
                <w:b/>
                <w:bCs/>
                <w:sz w:val="18"/>
                <w:szCs w:val="18"/>
                <w:lang w:val="en-US" w:eastAsia="zh-CN"/>
              </w:rPr>
              <w:t>)</w:t>
            </w: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18"/>
                <w:szCs w:val="18"/>
                <w:lang w:val="en-US" w:eastAsia="zh-CN"/>
              </w:rPr>
            </w:pPr>
            <w:r>
              <w:rPr>
                <w:rFonts w:hint="default" w:ascii="宋体" w:hAnsi="宋体" w:cs="宋体"/>
                <w:b/>
                <w:bCs/>
                <w:sz w:val="18"/>
                <w:szCs w:val="18"/>
                <w:lang w:val="en-US" w:eastAsia="zh-CN"/>
              </w:rPr>
              <w:t>速率(kg/h)</w:t>
            </w: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18"/>
                <w:szCs w:val="18"/>
                <w:lang w:val="en-US" w:eastAsia="zh-CN"/>
              </w:rPr>
            </w:pPr>
            <w:r>
              <w:rPr>
                <w:rFonts w:hint="eastAsia" w:ascii="宋体" w:hAnsi="宋体" w:cs="宋体"/>
                <w:b/>
                <w:bCs/>
                <w:sz w:val="18"/>
                <w:szCs w:val="18"/>
                <w:lang w:val="en-US" w:eastAsia="zh-CN"/>
              </w:rPr>
              <w:t>排放量（t/a）</w:t>
            </w:r>
          </w:p>
        </w:tc>
        <w:tc>
          <w:tcPr>
            <w:tcW w:w="460"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18"/>
                <w:szCs w:val="18"/>
                <w:lang w:val="en-US" w:eastAsia="zh-CN"/>
              </w:rPr>
            </w:pPr>
            <w:r>
              <w:rPr>
                <w:rFonts w:hint="default" w:ascii="宋体" w:hAnsi="宋体" w:cs="宋体"/>
                <w:b/>
                <w:bCs/>
                <w:sz w:val="18"/>
                <w:szCs w:val="18"/>
                <w:lang w:val="en-US" w:eastAsia="zh-CN"/>
              </w:rPr>
              <w:t>浓度(mg/m</w:t>
            </w:r>
            <w:r>
              <w:rPr>
                <w:rFonts w:hint="default" w:ascii="宋体" w:hAnsi="宋体" w:cs="宋体"/>
                <w:b/>
                <w:bCs/>
                <w:sz w:val="18"/>
                <w:szCs w:val="18"/>
                <w:vertAlign w:val="superscript"/>
                <w:lang w:val="en-US" w:eastAsia="zh-CN"/>
              </w:rPr>
              <w:t>3</w:t>
            </w:r>
            <w:r>
              <w:rPr>
                <w:rFonts w:hint="default" w:ascii="宋体" w:hAnsi="宋体" w:cs="宋体"/>
                <w:b/>
                <w:bCs/>
                <w:sz w:val="18"/>
                <w:szCs w:val="18"/>
                <w:lang w:val="en-US" w:eastAsia="zh-CN"/>
              </w:rPr>
              <w:t>)</w:t>
            </w:r>
          </w:p>
        </w:tc>
        <w:tc>
          <w:tcPr>
            <w:tcW w:w="371"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b/>
                <w:bCs/>
                <w:sz w:val="18"/>
                <w:szCs w:val="18"/>
                <w:lang w:val="en-US" w:eastAsia="zh-CN"/>
              </w:rPr>
            </w:pPr>
            <w:r>
              <w:rPr>
                <w:rFonts w:hint="default" w:ascii="宋体" w:hAnsi="宋体" w:cs="宋体"/>
                <w:b/>
                <w:bCs/>
                <w:sz w:val="18"/>
                <w:szCs w:val="18"/>
                <w:lang w:val="en-US" w:eastAsia="zh-CN"/>
              </w:rPr>
              <w:t>速率(kg/h</w:t>
            </w:r>
          </w:p>
        </w:tc>
        <w:tc>
          <w:tcPr>
            <w:tcW w:w="487" w:type="pct"/>
            <w:vMerge w:val="continue"/>
            <w:tcBorders>
              <w:top w:val="single" w:color="231F20" w:sz="4" w:space="0"/>
              <w:left w:val="single" w:color="231F20" w:sz="4" w:space="0"/>
              <w:bottom w:val="single" w:color="231F20" w:sz="4" w:space="0"/>
              <w:right w:val="single" w:color="231F20" w:sz="12"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36" w:type="pct"/>
            <w:tcBorders>
              <w:top w:val="single" w:color="231F20" w:sz="4" w:space="0"/>
              <w:left w:val="single" w:color="231F20" w:sz="12" w:space="0"/>
              <w:bottom w:val="single" w:color="231F20" w:sz="4" w:space="0"/>
              <w:right w:val="single" w:color="231F2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top"/>
              <w:rPr>
                <w:rFonts w:hint="default" w:ascii="宋体" w:hAnsi="宋体" w:cs="宋体"/>
                <w:sz w:val="18"/>
                <w:szCs w:val="18"/>
                <w:lang w:val="en-US" w:eastAsia="zh-CN"/>
              </w:rPr>
            </w:pPr>
            <w:r>
              <w:rPr>
                <w:rFonts w:hint="eastAsia" w:ascii="宋体" w:hAnsi="宋体" w:eastAsia="宋体" w:cs="宋体"/>
                <w:i w:val="0"/>
                <w:iCs w:val="0"/>
                <w:color w:val="231F20"/>
                <w:kern w:val="0"/>
                <w:sz w:val="18"/>
                <w:szCs w:val="18"/>
                <w:u w:val="none"/>
                <w:lang w:val="en-US" w:eastAsia="zh-CN" w:bidi="ar"/>
              </w:rPr>
              <w:t>王峪矿段充填站</w:t>
            </w:r>
          </w:p>
        </w:tc>
        <w:tc>
          <w:tcPr>
            <w:tcW w:w="428"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0.4</w:t>
            </w: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500</w:t>
            </w:r>
          </w:p>
        </w:tc>
        <w:tc>
          <w:tcPr>
            <w:tcW w:w="460"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2</w:t>
            </w:r>
          </w:p>
        </w:tc>
        <w:tc>
          <w:tcPr>
            <w:tcW w:w="428"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9</w:t>
            </w:r>
          </w:p>
        </w:tc>
        <w:tc>
          <w:tcPr>
            <w:tcW w:w="468"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5</w:t>
            </w: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0.01</w:t>
            </w: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18"/>
                <w:szCs w:val="18"/>
                <w:lang w:val="en-US" w:eastAsia="zh-CN"/>
              </w:rPr>
            </w:pPr>
            <w:r>
              <w:rPr>
                <w:rFonts w:hint="eastAsia" w:ascii="宋体" w:hAnsi="宋体" w:cs="宋体"/>
                <w:sz w:val="18"/>
                <w:szCs w:val="18"/>
                <w:lang w:val="en-US" w:eastAsia="zh-CN"/>
              </w:rPr>
              <w:t>0.0495</w:t>
            </w:r>
          </w:p>
        </w:tc>
        <w:tc>
          <w:tcPr>
            <w:tcW w:w="460"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20</w:t>
            </w:r>
          </w:p>
        </w:tc>
        <w:tc>
          <w:tcPr>
            <w:tcW w:w="371"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3.5</w:t>
            </w:r>
          </w:p>
        </w:tc>
        <w:tc>
          <w:tcPr>
            <w:tcW w:w="487" w:type="pct"/>
            <w:tcBorders>
              <w:top w:val="single" w:color="231F20" w:sz="4" w:space="0"/>
              <w:left w:val="single" w:color="231F20" w:sz="4" w:space="0"/>
              <w:bottom w:val="single" w:color="231F20" w:sz="4" w:space="0"/>
              <w:right w:val="single" w:color="231F20" w:sz="12"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25/0.35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36" w:type="pct"/>
            <w:tcBorders>
              <w:top w:val="single" w:color="231F20" w:sz="4" w:space="0"/>
              <w:left w:val="single" w:color="231F20" w:sz="12" w:space="0"/>
              <w:bottom w:val="single" w:color="231F20" w:sz="4" w:space="0"/>
              <w:right w:val="single" w:color="231F20" w:sz="4" w:space="0"/>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top"/>
              <w:rPr>
                <w:rFonts w:hint="default" w:ascii="宋体" w:hAnsi="宋体" w:cs="宋体"/>
                <w:sz w:val="18"/>
                <w:szCs w:val="18"/>
                <w:lang w:val="en-US" w:eastAsia="zh-CN"/>
              </w:rPr>
            </w:pPr>
            <w:r>
              <w:rPr>
                <w:rFonts w:hint="eastAsia" w:cs="宋体"/>
                <w:i w:val="0"/>
                <w:iCs w:val="0"/>
                <w:color w:val="231F20"/>
                <w:kern w:val="0"/>
                <w:sz w:val="18"/>
                <w:szCs w:val="18"/>
                <w:u w:val="none"/>
                <w:lang w:val="en-US" w:eastAsia="zh-CN" w:bidi="ar"/>
              </w:rPr>
              <w:t>上河</w:t>
            </w:r>
            <w:r>
              <w:rPr>
                <w:rFonts w:hint="eastAsia" w:ascii="宋体" w:hAnsi="宋体" w:eastAsia="宋体" w:cs="宋体"/>
                <w:i w:val="0"/>
                <w:iCs w:val="0"/>
                <w:color w:val="231F20"/>
                <w:kern w:val="0"/>
                <w:sz w:val="18"/>
                <w:szCs w:val="18"/>
                <w:u w:val="none"/>
                <w:lang w:val="en-US" w:eastAsia="zh-CN" w:bidi="ar"/>
              </w:rPr>
              <w:t>矿段充填站</w:t>
            </w:r>
          </w:p>
        </w:tc>
        <w:tc>
          <w:tcPr>
            <w:tcW w:w="428"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0.4</w:t>
            </w: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500</w:t>
            </w:r>
          </w:p>
        </w:tc>
        <w:tc>
          <w:tcPr>
            <w:tcW w:w="460"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2</w:t>
            </w:r>
          </w:p>
        </w:tc>
        <w:tc>
          <w:tcPr>
            <w:tcW w:w="428"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eastAsia" w:ascii="宋体" w:hAnsi="宋体" w:cs="宋体"/>
                <w:sz w:val="21"/>
                <w:szCs w:val="21"/>
                <w:lang w:val="en-US" w:eastAsia="zh-CN"/>
              </w:rPr>
              <w:t>9</w:t>
            </w:r>
          </w:p>
        </w:tc>
        <w:tc>
          <w:tcPr>
            <w:tcW w:w="468"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5</w:t>
            </w: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0.01</w:t>
            </w:r>
          </w:p>
        </w:tc>
        <w:tc>
          <w:tcPr>
            <w:tcW w:w="452"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18"/>
                <w:szCs w:val="18"/>
                <w:lang w:val="en-US" w:eastAsia="zh-CN"/>
              </w:rPr>
            </w:pPr>
            <w:r>
              <w:rPr>
                <w:rFonts w:hint="eastAsia" w:ascii="宋体" w:hAnsi="宋体" w:cs="宋体"/>
                <w:sz w:val="18"/>
                <w:szCs w:val="18"/>
                <w:lang w:val="en-US" w:eastAsia="zh-CN"/>
              </w:rPr>
              <w:t>0.0495</w:t>
            </w:r>
          </w:p>
        </w:tc>
        <w:tc>
          <w:tcPr>
            <w:tcW w:w="460"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20</w:t>
            </w:r>
          </w:p>
        </w:tc>
        <w:tc>
          <w:tcPr>
            <w:tcW w:w="371" w:type="pct"/>
            <w:tcBorders>
              <w:top w:val="single" w:color="231F20" w:sz="4" w:space="0"/>
              <w:left w:val="single" w:color="231F20" w:sz="4" w:space="0"/>
              <w:bottom w:val="single" w:color="231F20" w:sz="4" w:space="0"/>
              <w:right w:val="single" w:color="231F20" w:sz="4"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3.5</w:t>
            </w:r>
          </w:p>
        </w:tc>
        <w:tc>
          <w:tcPr>
            <w:tcW w:w="487" w:type="pct"/>
            <w:tcBorders>
              <w:top w:val="single" w:color="231F20" w:sz="4" w:space="0"/>
              <w:left w:val="single" w:color="231F20" w:sz="4" w:space="0"/>
              <w:bottom w:val="single" w:color="231F20" w:sz="4" w:space="0"/>
              <w:right w:val="single" w:color="231F20" w:sz="12"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ascii="宋体" w:hAnsi="宋体" w:cs="宋体"/>
                <w:sz w:val="21"/>
                <w:szCs w:val="21"/>
                <w:lang w:val="en-US" w:eastAsia="zh-CN"/>
              </w:rPr>
            </w:pPr>
            <w:r>
              <w:rPr>
                <w:rFonts w:hint="default" w:ascii="宋体" w:hAnsi="宋体" w:cs="宋体"/>
                <w:sz w:val="21"/>
                <w:szCs w:val="21"/>
                <w:lang w:val="en-US" w:eastAsia="zh-CN"/>
              </w:rPr>
              <w:t>25/0.35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 w:hRule="atLeast"/>
        </w:trPr>
        <w:tc>
          <w:tcPr>
            <w:tcW w:w="5000" w:type="pct"/>
            <w:gridSpan w:val="11"/>
            <w:tcBorders>
              <w:top w:val="single" w:color="231F20" w:sz="4" w:space="0"/>
              <w:left w:val="single" w:color="231F20" w:sz="12" w:space="0"/>
              <w:bottom w:val="single" w:color="231F20" w:sz="12" w:space="0"/>
              <w:right w:val="single" w:color="231F20" w:sz="12" w:space="0"/>
            </w:tcBorders>
            <w:shd w:val="clear" w:color="auto" w:fill="auto"/>
            <w:vAlign w:val="center"/>
          </w:tcPr>
          <w:p>
            <w:pPr>
              <w:pStyle w:val="16"/>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textAlignment w:val="auto"/>
              <w:rPr>
                <w:rFonts w:hint="eastAsia" w:cs="宋体"/>
                <w:i w:val="0"/>
                <w:iCs w:val="0"/>
                <w:color w:val="231F20"/>
                <w:kern w:val="0"/>
                <w:sz w:val="21"/>
                <w:szCs w:val="21"/>
                <w:u w:val="none"/>
                <w:lang w:val="en-US" w:eastAsia="zh-CN" w:bidi="ar"/>
              </w:rPr>
            </w:pPr>
            <w:r>
              <w:rPr>
                <w:rFonts w:hint="eastAsia" w:cs="宋体"/>
                <w:i w:val="0"/>
                <w:iCs w:val="0"/>
                <w:color w:val="231F20"/>
                <w:kern w:val="0"/>
                <w:sz w:val="21"/>
                <w:szCs w:val="21"/>
                <w:u w:val="none"/>
                <w:lang w:val="en-US" w:eastAsia="zh-CN" w:bidi="ar"/>
              </w:rPr>
              <w:t>治理措施及效率：袋式除尘器， 除尘效率99.5%。</w:t>
            </w:r>
          </w:p>
        </w:tc>
      </w:tr>
    </w:tbl>
    <w:p>
      <w:pPr>
        <w:pStyle w:val="16"/>
        <w:numPr>
          <w:ilvl w:val="0"/>
          <w:numId w:val="10"/>
        </w:numPr>
        <w:ind w:firstLine="560"/>
        <w:rPr>
          <w:rFonts w:hint="eastAsia" w:ascii="宋体" w:hAnsi="宋体" w:cs="宋体"/>
          <w:b/>
          <w:bCs/>
          <w:lang w:val="en-US" w:eastAsia="zh-CN"/>
        </w:rPr>
      </w:pPr>
      <w:r>
        <w:rPr>
          <w:rFonts w:hint="eastAsia" w:ascii="宋体" w:hAnsi="宋体" w:cs="宋体"/>
          <w:b/>
          <w:bCs/>
          <w:lang w:val="en-US" w:eastAsia="zh-CN"/>
        </w:rPr>
        <w:t>无组织废气</w:t>
      </w:r>
    </w:p>
    <w:p>
      <w:pPr>
        <w:pStyle w:val="16"/>
        <w:numPr>
          <w:ilvl w:val="0"/>
          <w:numId w:val="0"/>
        </w:numPr>
        <w:ind w:firstLine="480" w:firstLineChars="200"/>
        <w:rPr>
          <w:rFonts w:hint="eastAsia" w:ascii="宋体" w:hAnsi="宋体" w:cs="宋体"/>
          <w:lang w:val="en-US" w:eastAsia="zh-CN"/>
        </w:rPr>
      </w:pPr>
      <w:r>
        <w:rPr>
          <w:rFonts w:hint="eastAsia" w:ascii="宋体" w:hAnsi="宋体" w:cs="宋体"/>
          <w:lang w:val="en-US" w:eastAsia="zh-CN"/>
        </w:rPr>
        <w:t>采矿生产过程中产生的废气主要有井下爆破、采掘、运输、充填等过程中产生的无组织扬尘。</w:t>
      </w:r>
    </w:p>
    <w:p>
      <w:pPr>
        <w:pStyle w:val="14"/>
        <w:numPr>
          <w:ilvl w:val="0"/>
          <w:numId w:val="11"/>
        </w:numPr>
        <w:ind w:firstLine="560"/>
        <w:rPr>
          <w:rFonts w:hint="eastAsia" w:ascii="宋体" w:hAnsi="宋体" w:eastAsia="宋体" w:cs="宋体"/>
          <w:lang w:eastAsia="zh-CN"/>
        </w:rPr>
      </w:pPr>
      <w:r>
        <w:rPr>
          <w:rFonts w:hint="eastAsia" w:ascii="宋体" w:hAnsi="宋体" w:eastAsia="宋体" w:cs="宋体"/>
          <w:lang w:eastAsia="zh-CN"/>
        </w:rPr>
        <w:t>爆破废气</w:t>
      </w:r>
    </w:p>
    <w:p>
      <w:pPr>
        <w:pStyle w:val="14"/>
        <w:ind w:firstLine="560"/>
        <w:rPr>
          <w:rFonts w:hint="eastAsia" w:ascii="宋体" w:hAnsi="宋体" w:eastAsia="宋体" w:cs="宋体"/>
          <w:lang w:eastAsia="zh-CN"/>
        </w:rPr>
      </w:pPr>
      <w:r>
        <w:rPr>
          <w:rFonts w:hint="eastAsia" w:ascii="宋体" w:hAnsi="宋体" w:eastAsia="宋体" w:cs="宋体"/>
          <w:lang w:eastAsia="zh-CN"/>
        </w:rPr>
        <w:t>井下爆破采用乳化炸药，爆破时产生气体的主要成分为CO、NOx等，其中有毒气体为CO、NOx</w:t>
      </w:r>
      <w:r>
        <w:rPr>
          <w:rFonts w:hint="eastAsia" w:ascii="宋体" w:hAnsi="宋体" w:eastAsia="宋体" w:cs="宋体"/>
          <w:vertAlign w:val="subscript"/>
          <w:lang w:eastAsia="zh-CN"/>
        </w:rPr>
        <w:t>2</w:t>
      </w:r>
      <w:r>
        <w:rPr>
          <w:rFonts w:hint="eastAsia" w:ascii="宋体" w:hAnsi="宋体" w:eastAsia="宋体" w:cs="宋体"/>
          <w:lang w:eastAsia="zh-CN"/>
        </w:rPr>
        <w:t>。</w:t>
      </w:r>
    </w:p>
    <w:p>
      <w:pPr>
        <w:pStyle w:val="14"/>
        <w:ind w:firstLine="560"/>
        <w:rPr>
          <w:rFonts w:hint="eastAsia" w:ascii="宋体" w:hAnsi="宋体" w:eastAsia="宋体" w:cs="宋体"/>
          <w:lang w:eastAsia="zh-CN"/>
        </w:rPr>
      </w:pPr>
      <w:r>
        <w:rPr>
          <w:rFonts w:hint="eastAsia" w:ascii="宋体" w:hAnsi="宋体" w:eastAsia="宋体" w:cs="宋体"/>
          <w:lang w:eastAsia="zh-CN"/>
        </w:rPr>
        <w:t>爆破作业采用乳化类、硝铵类炸药，炸药爆破时产生的气体其中有害气体主要是：CO、NOx。根据《工程爆破中的灾害及其控制》（黄忆龙，西部探矿工程，2002年第2期），岩石炸药爆炸产污系数为CO6.3g/kg，NOx14.6g/kg。</w:t>
      </w:r>
      <w:r>
        <w:rPr>
          <w:rFonts w:hint="eastAsia" w:cs="宋体"/>
          <w:lang w:eastAsia="zh-CN"/>
        </w:rPr>
        <w:t>上河矿段</w:t>
      </w:r>
      <w:r>
        <w:rPr>
          <w:rFonts w:hint="eastAsia" w:ascii="宋体" w:hAnsi="宋体" w:eastAsia="宋体" w:cs="宋体"/>
          <w:lang w:eastAsia="zh-CN"/>
        </w:rPr>
        <w:t>炸药使用量为739614</w:t>
      </w:r>
      <w:r>
        <w:rPr>
          <w:rFonts w:hint="eastAsia" w:cs="宋体"/>
          <w:lang w:val="en-US" w:eastAsia="zh-CN"/>
        </w:rPr>
        <w:t>kg/a</w:t>
      </w:r>
      <w:r>
        <w:rPr>
          <w:rFonts w:hint="eastAsia" w:ascii="宋体" w:hAnsi="宋体" w:eastAsia="宋体" w:cs="宋体"/>
          <w:lang w:eastAsia="zh-CN"/>
        </w:rPr>
        <w:t>（炸药单位消耗量为0.44kg/m³），则爆破CO产生量</w:t>
      </w:r>
      <w:r>
        <w:rPr>
          <w:rFonts w:hint="eastAsia" w:cs="宋体"/>
          <w:lang w:val="en-US" w:eastAsia="zh-CN"/>
        </w:rPr>
        <w:t>4.66</w:t>
      </w:r>
      <w:r>
        <w:rPr>
          <w:rFonts w:hint="eastAsia" w:ascii="宋体" w:hAnsi="宋体" w:eastAsia="宋体" w:cs="宋体"/>
          <w:lang w:eastAsia="zh-CN"/>
        </w:rPr>
        <w:t>t/a、NOx产生量</w:t>
      </w:r>
      <w:r>
        <w:rPr>
          <w:rFonts w:hint="eastAsia" w:cs="宋体"/>
          <w:lang w:val="en-US" w:eastAsia="zh-CN"/>
        </w:rPr>
        <w:t>10.80</w:t>
      </w:r>
      <w:r>
        <w:rPr>
          <w:rFonts w:hint="eastAsia" w:ascii="宋体" w:hAnsi="宋体" w:eastAsia="宋体" w:cs="宋体"/>
          <w:lang w:eastAsia="zh-CN"/>
        </w:rPr>
        <w:t>t/a。</w:t>
      </w:r>
    </w:p>
    <w:p>
      <w:pPr>
        <w:pStyle w:val="14"/>
        <w:ind w:firstLine="560"/>
        <w:rPr>
          <w:rFonts w:hint="eastAsia" w:ascii="宋体" w:hAnsi="宋体" w:eastAsia="宋体" w:cs="宋体"/>
          <w:lang w:eastAsia="zh-CN"/>
        </w:rPr>
      </w:pPr>
      <w:r>
        <w:rPr>
          <w:rFonts w:hint="eastAsia" w:ascii="宋体" w:hAnsi="宋体" w:eastAsia="宋体" w:cs="宋体"/>
          <w:lang w:eastAsia="zh-CN"/>
        </w:rPr>
        <w:t>治理措施：爆破废气一般是爆炸瞬时产生，爆破后采取</w:t>
      </w:r>
      <w:r>
        <w:rPr>
          <w:rFonts w:hint="eastAsia" w:cs="宋体"/>
          <w:lang w:eastAsia="zh-CN"/>
        </w:rPr>
        <w:t>局部</w:t>
      </w:r>
      <w:r>
        <w:rPr>
          <w:rFonts w:hint="eastAsia" w:ascii="宋体" w:hAnsi="宋体" w:eastAsia="宋体" w:cs="宋体"/>
          <w:lang w:eastAsia="zh-CN"/>
        </w:rPr>
        <w:t>强制通风，污风经两条回风进入中段回风巷道，最终由通风井主扇风机排至地表，爆破废气为间歇性排放。</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 xml:space="preserve"> （2）风井粉尘</w:t>
      </w:r>
    </w:p>
    <w:p>
      <w:pPr>
        <w:bidi w:val="0"/>
        <w:rPr>
          <w:rFonts w:hint="eastAsia"/>
          <w:lang w:eastAsia="zh-CN"/>
        </w:rPr>
      </w:pPr>
      <w:r>
        <w:rPr>
          <w:rFonts w:hint="eastAsia"/>
          <w:lang w:eastAsia="zh-CN"/>
        </w:rPr>
        <w:t>井下开采凿岩、爆破、装载、破碎、运输产生的矿井粉尘，其特点为间歇性和瞬时性，即瞬时产生量较大，污染物瞬时排放，浓度高峰值持续时间短，其产生的粉尘影响范围小。</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治理措施：通过采取湿式凿岩，并在矿岩爆堆铲装前，采用喷雾洒水进行湿式装载。对于矿坑内产生的粉尘和烟气，尽量加湿矿石，在各采掘工作面、溜井倒矿、竖井提升等各转载点易产生粉尘的地点设置喷头或水幕除尘，巷道内设置喷雾除尘，并定期洒水降尘，净化风流、加强通风。另外，井下含粉尘污风经长距离的回风水平的流动，在风流稀释和重力作用沉降后，到达回风井井口的粉尘浓度较低。</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根据国内矿山经验资料，采用湿式作业开采和洒水降尘充分的情况下，粉尘的产生量可减少90%以上。采取上述措施后，确保井下生产作业面及井口含尘浓度小于2mg/m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w:t>
      </w:r>
      <w:r>
        <w:rPr>
          <w:rFonts w:hint="eastAsia" w:cs="宋体"/>
          <w:szCs w:val="28"/>
          <w:lang w:eastAsia="zh-CN" w:bidi="ar"/>
        </w:rPr>
        <w:t>根据企业提供的上河矿段</w:t>
      </w:r>
      <w:r>
        <w:rPr>
          <w:rFonts w:hint="eastAsia" w:ascii="宋体" w:hAnsi="宋体" w:eastAsia="宋体" w:cs="宋体"/>
          <w:szCs w:val="28"/>
          <w:lang w:eastAsia="zh-CN" w:bidi="ar"/>
        </w:rPr>
        <w:t>井下通风量522360m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/h，粉尘排放速率约为</w:t>
      </w:r>
      <w:r>
        <w:rPr>
          <w:rFonts w:hint="eastAsia" w:cs="宋体"/>
          <w:szCs w:val="28"/>
          <w:lang w:val="en-US" w:eastAsia="zh-CN" w:bidi="ar"/>
        </w:rPr>
        <w:t>1.02</w:t>
      </w:r>
      <w:r>
        <w:rPr>
          <w:rFonts w:hint="eastAsia" w:ascii="宋体" w:hAnsi="宋体" w:eastAsia="宋体" w:cs="宋体"/>
          <w:szCs w:val="28"/>
          <w:lang w:eastAsia="zh-CN" w:bidi="ar"/>
        </w:rPr>
        <w:t>kg/h，年排放量为</w:t>
      </w:r>
      <w:r>
        <w:rPr>
          <w:rFonts w:hint="eastAsia" w:cs="宋体"/>
          <w:szCs w:val="28"/>
          <w:lang w:val="en-US" w:eastAsia="zh-CN" w:bidi="ar"/>
        </w:rPr>
        <w:t>8.07</w:t>
      </w:r>
      <w:r>
        <w:rPr>
          <w:rFonts w:hint="eastAsia" w:ascii="宋体" w:hAnsi="宋体" w:eastAsia="宋体" w:cs="宋体"/>
          <w:szCs w:val="28"/>
          <w:lang w:eastAsia="zh-CN" w:bidi="ar"/>
        </w:rPr>
        <w:t>t/a。</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w:t>
      </w:r>
      <w:r>
        <w:rPr>
          <w:rFonts w:hint="eastAsia" w:cs="宋体"/>
          <w:szCs w:val="28"/>
          <w:lang w:val="en-US" w:eastAsia="zh-CN" w:bidi="ar"/>
        </w:rPr>
        <w:t>3</w:t>
      </w:r>
      <w:r>
        <w:rPr>
          <w:rFonts w:hint="eastAsia" w:ascii="宋体" w:hAnsi="宋体" w:eastAsia="宋体" w:cs="宋体"/>
          <w:szCs w:val="28"/>
          <w:lang w:eastAsia="zh-CN" w:bidi="ar"/>
        </w:rPr>
        <w:t>）运输过程产生的废气</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矿石运输过程中产生粉尘。</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处理措施：目前上河矿段采出的矿石通过地下运输系统运至王峪矿段皮带运输系统处，通过皮带运输至选矿厂。企业对皮带进行全密闭，皮带廊内设置晒水抑尘措施，大大降低粉尘产生。</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w:t>
      </w:r>
      <w:r>
        <w:rPr>
          <w:rFonts w:hint="eastAsia" w:cs="宋体"/>
          <w:szCs w:val="28"/>
          <w:lang w:val="en-US" w:eastAsia="zh-CN" w:bidi="ar"/>
        </w:rPr>
        <w:t>4</w:t>
      </w:r>
      <w:r>
        <w:rPr>
          <w:rFonts w:hint="eastAsia" w:ascii="宋体" w:hAnsi="宋体" w:eastAsia="宋体" w:cs="宋体"/>
          <w:szCs w:val="28"/>
          <w:lang w:eastAsia="zh-CN" w:bidi="ar"/>
        </w:rPr>
        <w:t>）</w:t>
      </w:r>
      <w:r>
        <w:rPr>
          <w:rFonts w:hint="eastAsia" w:cs="宋体"/>
          <w:szCs w:val="28"/>
          <w:lang w:eastAsia="zh-CN" w:bidi="ar"/>
        </w:rPr>
        <w:t>主副井场地</w:t>
      </w:r>
      <w:r>
        <w:rPr>
          <w:rFonts w:hint="eastAsia" w:ascii="宋体" w:hAnsi="宋体" w:eastAsia="宋体" w:cs="宋体"/>
          <w:szCs w:val="28"/>
          <w:lang w:eastAsia="zh-CN" w:bidi="ar"/>
        </w:rPr>
        <w:t>无组织排放达标情况</w:t>
      </w:r>
    </w:p>
    <w:p>
      <w:pPr>
        <w:pStyle w:val="14"/>
        <w:ind w:firstLine="560"/>
        <w:rPr>
          <w:rFonts w:hint="eastAsia" w:ascii="宋体" w:hAnsi="宋体" w:eastAsia="宋体" w:cs="宋体"/>
          <w:szCs w:val="28"/>
          <w:lang w:eastAsia="zh-CN" w:bidi="ar"/>
        </w:rPr>
      </w:pPr>
      <w:r>
        <w:rPr>
          <w:rFonts w:hint="eastAsia" w:cs="宋体"/>
          <w:szCs w:val="28"/>
          <w:lang w:eastAsia="zh-CN" w:bidi="ar"/>
        </w:rPr>
        <w:t>主副井场地无组织废气主要有充填站、运输等产生。根据</w:t>
      </w:r>
      <w:r>
        <w:rPr>
          <w:rFonts w:hint="eastAsia" w:ascii="宋体" w:hAnsi="宋体" w:eastAsia="宋体" w:cs="宋体"/>
          <w:szCs w:val="28"/>
          <w:lang w:eastAsia="zh-CN" w:bidi="ar"/>
        </w:rPr>
        <w:t>沂水县环境保护监测站于2012年3月8日、9日进行了验收监测（沂环（验）字2012年第005号），</w:t>
      </w:r>
      <w:r>
        <w:rPr>
          <w:rFonts w:hint="eastAsia" w:cs="宋体"/>
          <w:szCs w:val="28"/>
          <w:lang w:eastAsia="zh-CN" w:bidi="ar"/>
        </w:rPr>
        <w:t>主副井</w:t>
      </w:r>
      <w:r>
        <w:rPr>
          <w:rFonts w:hint="eastAsia" w:ascii="宋体" w:hAnsi="宋体" w:eastAsia="宋体" w:cs="宋体"/>
          <w:szCs w:val="28"/>
          <w:lang w:eastAsia="zh-CN" w:bidi="ar"/>
        </w:rPr>
        <w:t>工业场地无组织排放监测结果见表2.2.6-</w:t>
      </w:r>
      <w:r>
        <w:rPr>
          <w:rFonts w:hint="eastAsia" w:cs="宋体"/>
          <w:szCs w:val="28"/>
          <w:lang w:val="en-US" w:eastAsia="zh-CN" w:bidi="ar"/>
        </w:rPr>
        <w:t>2</w:t>
      </w:r>
      <w:r>
        <w:rPr>
          <w:rFonts w:hint="eastAsia" w:ascii="宋体" w:hAnsi="宋体" w:eastAsia="宋体" w:cs="宋体"/>
          <w:szCs w:val="28"/>
          <w:lang w:eastAsia="zh-CN" w:bidi="ar"/>
        </w:rPr>
        <w:t>。</w:t>
      </w:r>
    </w:p>
    <w:p>
      <w:pPr>
        <w:pStyle w:val="14"/>
        <w:spacing w:line="240" w:lineRule="auto"/>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表2.2.6-</w:t>
      </w:r>
      <w:r>
        <w:rPr>
          <w:rFonts w:hint="eastAsia" w:cs="宋体"/>
          <w:b/>
          <w:bCs/>
          <w:sz w:val="24"/>
          <w:lang w:val="en-US" w:eastAsia="zh-CN" w:bidi="ar"/>
        </w:rPr>
        <w:t>2</w:t>
      </w:r>
      <w:r>
        <w:rPr>
          <w:rFonts w:hint="eastAsia" w:ascii="宋体" w:hAnsi="宋体" w:eastAsia="宋体" w:cs="宋体"/>
          <w:b/>
          <w:bCs/>
          <w:sz w:val="24"/>
          <w:lang w:eastAsia="zh-CN" w:bidi="ar"/>
        </w:rPr>
        <w:t xml:space="preserve"> </w:t>
      </w:r>
      <w:r>
        <w:rPr>
          <w:rFonts w:hint="eastAsia" w:cs="宋体"/>
          <w:b/>
          <w:bCs/>
          <w:sz w:val="24"/>
          <w:lang w:eastAsia="zh-CN" w:bidi="ar"/>
        </w:rPr>
        <w:t>主副井</w:t>
      </w:r>
      <w:r>
        <w:rPr>
          <w:rFonts w:hint="eastAsia" w:ascii="宋体" w:hAnsi="宋体" w:eastAsia="宋体" w:cs="宋体"/>
          <w:b/>
          <w:bCs/>
          <w:sz w:val="24"/>
          <w:lang w:eastAsia="zh-CN" w:bidi="ar"/>
        </w:rPr>
        <w:t>工业场地无组织排放一览表</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323"/>
        <w:gridCol w:w="1898"/>
        <w:gridCol w:w="1684"/>
        <w:gridCol w:w="1684"/>
        <w:gridCol w:w="16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51" w:type="pct"/>
            <w:vMerge w:val="restar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日期</w:t>
            </w:r>
          </w:p>
        </w:tc>
        <w:tc>
          <w:tcPr>
            <w:tcW w:w="1022" w:type="pct"/>
            <w:vMerge w:val="restar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点位</w:t>
            </w:r>
          </w:p>
        </w:tc>
        <w:tc>
          <w:tcPr>
            <w:tcW w:w="2726" w:type="pct"/>
            <w:gridSpan w:val="3"/>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监测结果（mg/m</w:t>
            </w:r>
            <w:r>
              <w:rPr>
                <w:rFonts w:hint="eastAsia" w:ascii="宋体" w:hAnsi="宋体" w:eastAsia="宋体" w:cs="宋体"/>
                <w:b/>
                <w:bCs/>
                <w:sz w:val="21"/>
                <w:szCs w:val="21"/>
                <w:vertAlign w:val="superscript"/>
                <w:lang w:eastAsia="zh-CN" w:bidi="ar"/>
              </w:rPr>
              <w:t>3</w:t>
            </w:r>
            <w:r>
              <w:rPr>
                <w:rFonts w:hint="eastAsia" w:ascii="宋体" w:hAnsi="宋体" w:eastAsia="宋体" w:cs="宋体"/>
                <w:b/>
                <w:bCs/>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251"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p>
        </w:tc>
        <w:tc>
          <w:tcPr>
            <w:tcW w:w="1022"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第1次</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第2次</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第3次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vMerge w:val="restar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2012.03.08</w:t>
            </w:r>
          </w:p>
        </w:tc>
        <w:tc>
          <w:tcPr>
            <w:tcW w:w="1022"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参考点</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0.201</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0.203</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0.197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022" w:type="pct"/>
            <w:vMerge w:val="restar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监控点</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0.374</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0.372</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022"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0.359</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0.356</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022"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0.357</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0.346</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vMerge w:val="restar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2012.03.09</w:t>
            </w:r>
          </w:p>
        </w:tc>
        <w:tc>
          <w:tcPr>
            <w:tcW w:w="1022"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参考点</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0.197</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0.202</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0.196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022" w:type="pct"/>
            <w:vMerge w:val="restar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监控点</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0.372</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0.368</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022"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0.390</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0.378</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51"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022"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0.365</w:t>
            </w:r>
          </w:p>
        </w:tc>
        <w:tc>
          <w:tcPr>
            <w:tcW w:w="90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0.367</w:t>
            </w:r>
          </w:p>
        </w:tc>
        <w:tc>
          <w:tcPr>
            <w:tcW w:w="910"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0.379</w:t>
            </w:r>
          </w:p>
        </w:tc>
      </w:tr>
    </w:tbl>
    <w:p>
      <w:pPr>
        <w:pStyle w:val="16"/>
        <w:ind w:firstLine="560"/>
        <w:rPr>
          <w:rFonts w:hint="eastAsia" w:ascii="宋体" w:hAnsi="宋体" w:eastAsia="宋体" w:cs="宋体"/>
          <w:szCs w:val="28"/>
          <w:lang w:bidi="ar"/>
        </w:rPr>
      </w:pPr>
      <w:r>
        <w:rPr>
          <w:rFonts w:hint="eastAsia" w:ascii="宋体" w:hAnsi="宋体" w:eastAsia="宋体" w:cs="宋体"/>
          <w:szCs w:val="28"/>
          <w:lang w:bidi="ar"/>
        </w:rPr>
        <w:t>由上表可知，</w:t>
      </w:r>
      <w:r>
        <w:rPr>
          <w:rFonts w:hint="eastAsia" w:ascii="宋体" w:hAnsi="宋体" w:eastAsia="宋体" w:cs="宋体"/>
          <w:szCs w:val="28"/>
          <w:lang w:eastAsia="zh-CN" w:bidi="ar"/>
        </w:rPr>
        <w:t>主副井</w:t>
      </w:r>
      <w:r>
        <w:rPr>
          <w:rFonts w:hint="eastAsia" w:ascii="宋体" w:hAnsi="宋体" w:eastAsia="宋体" w:cs="宋体"/>
          <w:szCs w:val="28"/>
          <w:lang w:bidi="ar"/>
        </w:rPr>
        <w:t>工业场地无组织排放颗粒物最大值为0.390mg/m</w:t>
      </w:r>
      <w:r>
        <w:rPr>
          <w:rFonts w:hint="eastAsia" w:ascii="宋体" w:hAnsi="宋体" w:eastAsia="宋体" w:cs="宋体"/>
          <w:szCs w:val="28"/>
          <w:vertAlign w:val="superscript"/>
          <w:lang w:bidi="ar"/>
        </w:rPr>
        <w:t>3</w:t>
      </w:r>
      <w:r>
        <w:rPr>
          <w:rFonts w:hint="eastAsia" w:ascii="宋体" w:hAnsi="宋体" w:eastAsia="宋体" w:cs="宋体"/>
          <w:szCs w:val="28"/>
          <w:lang w:bidi="ar"/>
        </w:rPr>
        <w:t>，满足《铁矿采选工业污染物排放标准》（GB28661-2012）表7中的无组织排放浓度限值1.0mg/m</w:t>
      </w:r>
      <w:r>
        <w:rPr>
          <w:rFonts w:hint="eastAsia" w:ascii="宋体" w:hAnsi="宋体" w:eastAsia="宋体" w:cs="宋体"/>
          <w:szCs w:val="28"/>
          <w:vertAlign w:val="superscript"/>
          <w:lang w:bidi="ar"/>
        </w:rPr>
        <w:t>3</w:t>
      </w:r>
      <w:r>
        <w:rPr>
          <w:rFonts w:hint="eastAsia" w:ascii="宋体" w:hAnsi="宋体" w:eastAsia="宋体" w:cs="宋体"/>
          <w:szCs w:val="28"/>
          <w:lang w:bidi="ar"/>
        </w:rPr>
        <w:t>。</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2.2.6.2 废水</w:t>
      </w:r>
    </w:p>
    <w:p>
      <w:pPr>
        <w:ind w:firstLine="560"/>
        <w:rPr>
          <w:rFonts w:hint="eastAsia" w:ascii="宋体" w:hAnsi="宋体" w:eastAsia="宋体" w:cs="宋体"/>
          <w:lang w:eastAsia="zh-CN"/>
        </w:rPr>
      </w:pPr>
      <w:r>
        <w:rPr>
          <w:rFonts w:hint="eastAsia" w:ascii="宋体" w:hAnsi="宋体" w:eastAsia="宋体" w:cs="宋体"/>
          <w:lang w:eastAsia="zh-CN"/>
        </w:rPr>
        <w:t>上河矿段废水主要有矿井涌水和工业场地产生的生产、生活废水。</w:t>
      </w:r>
    </w:p>
    <w:p>
      <w:pPr>
        <w:numPr>
          <w:ilvl w:val="0"/>
          <w:numId w:val="12"/>
        </w:numPr>
        <w:ind w:firstLineChars="0"/>
        <w:rPr>
          <w:rFonts w:hint="eastAsia" w:ascii="宋体" w:hAnsi="宋体" w:eastAsia="宋体" w:cs="宋体"/>
          <w:lang w:eastAsia="zh-CN"/>
        </w:rPr>
      </w:pPr>
      <w:r>
        <w:rPr>
          <w:rFonts w:hint="eastAsia" w:ascii="宋体" w:hAnsi="宋体" w:eastAsia="宋体" w:cs="宋体"/>
          <w:lang w:eastAsia="zh-CN"/>
        </w:rPr>
        <w:t>矿井涌水</w:t>
      </w:r>
    </w:p>
    <w:p>
      <w:pPr>
        <w:pStyle w:val="16"/>
        <w:ind w:firstLine="560"/>
        <w:rPr>
          <w:rFonts w:hint="eastAsia" w:ascii="宋体" w:hAnsi="宋体" w:eastAsia="宋体" w:cs="宋体"/>
        </w:rPr>
      </w:pPr>
      <w:r>
        <w:rPr>
          <w:rFonts w:hint="eastAsia" w:ascii="宋体" w:hAnsi="宋体" w:eastAsia="宋体" w:cs="宋体"/>
        </w:rPr>
        <w:t>根据《莱钢集团鲁南矿业有限公司王峪矿区（100万t/a）露天转地下开采工程资源开发利用方案（变更）》（2018年）可知，上河矿段地下坑道正常涌水量3040.25m</w:t>
      </w:r>
      <w:r>
        <w:rPr>
          <w:rFonts w:hint="eastAsia" w:ascii="宋体" w:hAnsi="宋体" w:eastAsia="宋体" w:cs="宋体"/>
          <w:vertAlign w:val="superscript"/>
        </w:rPr>
        <w:t>3</w:t>
      </w:r>
      <w:r>
        <w:rPr>
          <w:rFonts w:hint="eastAsia" w:ascii="宋体" w:hAnsi="宋体" w:eastAsia="宋体" w:cs="宋体"/>
        </w:rPr>
        <w:t>/d，主要污染因子是SS，通过上河矿段-50m两条水仓（2900m</w:t>
      </w:r>
      <w:r>
        <w:rPr>
          <w:rFonts w:hint="eastAsia" w:ascii="宋体" w:hAnsi="宋体" w:eastAsia="宋体" w:cs="宋体"/>
          <w:vertAlign w:val="superscript"/>
        </w:rPr>
        <w:t>3</w:t>
      </w:r>
      <w:r>
        <w:rPr>
          <w:rFonts w:hint="eastAsia" w:ascii="宋体" w:hAnsi="宋体" w:eastAsia="宋体" w:cs="宋体"/>
        </w:rPr>
        <w:t>）及地面</w:t>
      </w:r>
      <w:r>
        <w:rPr>
          <w:rFonts w:hint="eastAsia" w:ascii="宋体" w:hAnsi="宋体" w:cs="宋体"/>
          <w:lang w:eastAsia="zh-CN"/>
        </w:rPr>
        <w:t>涌水池</w:t>
      </w:r>
      <w:r>
        <w:rPr>
          <w:rFonts w:hint="eastAsia" w:ascii="宋体" w:hAnsi="宋体" w:eastAsia="宋体" w:cs="宋体"/>
        </w:rPr>
        <w:t>沉淀</w:t>
      </w:r>
      <w:r>
        <w:rPr>
          <w:rFonts w:hint="eastAsia" w:ascii="宋体" w:hAnsi="宋体" w:cs="宋体"/>
          <w:lang w:eastAsia="zh-CN"/>
        </w:rPr>
        <w:t>，上清液全部回用，不外排。沉淀后污泥及时收集，并回用于生产过程中</w:t>
      </w:r>
      <w:r>
        <w:rPr>
          <w:rFonts w:hint="eastAsia" w:ascii="宋体" w:hAnsi="宋体" w:eastAsia="宋体" w:cs="宋体"/>
        </w:rPr>
        <w:t>。</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本次环评委托济南浩宏伟业检测技术有限公司于2021年6月对采场工业场地矿井涌水出水口水质进行监测，监测报告文号为HHWY-202104H-03，监测结果见表2.2.6-</w:t>
      </w:r>
      <w:r>
        <w:rPr>
          <w:rFonts w:hint="eastAsia" w:cs="宋体"/>
          <w:szCs w:val="28"/>
          <w:lang w:val="en-US" w:eastAsia="zh-CN" w:bidi="ar"/>
        </w:rPr>
        <w:t>3</w:t>
      </w:r>
      <w:r>
        <w:rPr>
          <w:rFonts w:hint="eastAsia" w:ascii="宋体" w:hAnsi="宋体" w:eastAsia="宋体" w:cs="宋体"/>
          <w:szCs w:val="28"/>
          <w:lang w:eastAsia="zh-CN" w:bidi="ar"/>
        </w:rPr>
        <w:t>。</w:t>
      </w:r>
    </w:p>
    <w:p>
      <w:pPr>
        <w:pStyle w:val="14"/>
        <w:spacing w:line="240" w:lineRule="auto"/>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表2.2.6-</w:t>
      </w:r>
      <w:r>
        <w:rPr>
          <w:rFonts w:hint="eastAsia" w:cs="宋体"/>
          <w:b/>
          <w:bCs/>
          <w:sz w:val="24"/>
          <w:lang w:val="en-US" w:eastAsia="zh-CN" w:bidi="ar"/>
        </w:rPr>
        <w:t>3</w:t>
      </w:r>
      <w:r>
        <w:rPr>
          <w:rFonts w:hint="eastAsia" w:ascii="宋体" w:hAnsi="宋体" w:eastAsia="宋体" w:cs="宋体"/>
          <w:b/>
          <w:bCs/>
          <w:sz w:val="24"/>
          <w:lang w:eastAsia="zh-CN" w:bidi="ar"/>
        </w:rPr>
        <w:t xml:space="preserve"> 采矿矿井涌水水质监测结果</w:t>
      </w:r>
    </w:p>
    <w:tbl>
      <w:tblPr>
        <w:tblStyle w:val="24"/>
        <w:tblW w:w="4996" w:type="pct"/>
        <w:tblInd w:w="0" w:type="dxa"/>
        <w:tblLayout w:type="fixed"/>
        <w:tblCellMar>
          <w:top w:w="0" w:type="dxa"/>
          <w:left w:w="108" w:type="dxa"/>
          <w:bottom w:w="0" w:type="dxa"/>
          <w:right w:w="108" w:type="dxa"/>
        </w:tblCellMar>
      </w:tblPr>
      <w:tblGrid>
        <w:gridCol w:w="690"/>
        <w:gridCol w:w="1923"/>
        <w:gridCol w:w="1162"/>
        <w:gridCol w:w="1626"/>
        <w:gridCol w:w="2004"/>
        <w:gridCol w:w="1045"/>
        <w:gridCol w:w="830"/>
      </w:tblGrid>
      <w:tr>
        <w:tblPrEx>
          <w:tblCellMar>
            <w:top w:w="0" w:type="dxa"/>
            <w:left w:w="108" w:type="dxa"/>
            <w:bottom w:w="0" w:type="dxa"/>
            <w:right w:w="108" w:type="dxa"/>
          </w:tblCellMar>
        </w:tblPrEx>
        <w:trPr>
          <w:trHeight w:val="397" w:hRule="atLeast"/>
          <w:tblHeader/>
        </w:trPr>
        <w:tc>
          <w:tcPr>
            <w:tcW w:w="372" w:type="pct"/>
            <w:vMerge w:val="restart"/>
            <w:tcBorders>
              <w:top w:val="single" w:color="000000" w:sz="12"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序号</w:t>
            </w:r>
          </w:p>
        </w:tc>
        <w:tc>
          <w:tcPr>
            <w:tcW w:w="1036"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监测项目</w:t>
            </w:r>
          </w:p>
        </w:tc>
        <w:tc>
          <w:tcPr>
            <w:tcW w:w="626"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单位</w:t>
            </w:r>
          </w:p>
        </w:tc>
        <w:tc>
          <w:tcPr>
            <w:tcW w:w="1956" w:type="pct"/>
            <w:gridSpan w:val="2"/>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王峪矿段南风井涌水池处监测结果</w:t>
            </w:r>
          </w:p>
        </w:tc>
        <w:tc>
          <w:tcPr>
            <w:tcW w:w="563" w:type="pct"/>
            <w:vMerge w:val="restart"/>
            <w:tcBorders>
              <w:top w:val="single" w:color="000000" w:sz="12"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限值</w:t>
            </w:r>
          </w:p>
        </w:tc>
        <w:tc>
          <w:tcPr>
            <w:tcW w:w="445" w:type="pct"/>
            <w:vMerge w:val="restart"/>
            <w:tcBorders>
              <w:top w:val="single" w:color="000000" w:sz="12"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是否达标</w:t>
            </w:r>
          </w:p>
        </w:tc>
      </w:tr>
      <w:tr>
        <w:tblPrEx>
          <w:tblCellMar>
            <w:top w:w="0" w:type="dxa"/>
            <w:left w:w="108" w:type="dxa"/>
            <w:bottom w:w="0" w:type="dxa"/>
            <w:right w:w="108" w:type="dxa"/>
          </w:tblCellMar>
        </w:tblPrEx>
        <w:trPr>
          <w:trHeight w:val="397" w:hRule="atLeast"/>
          <w:tblHeader/>
        </w:trPr>
        <w:tc>
          <w:tcPr>
            <w:tcW w:w="37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0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2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87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2021.06.24</w:t>
            </w:r>
          </w:p>
        </w:tc>
        <w:tc>
          <w:tcPr>
            <w:tcW w:w="108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2021.06.25</w:t>
            </w:r>
          </w:p>
        </w:tc>
        <w:tc>
          <w:tcPr>
            <w:tcW w:w="563"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445" w:type="pct"/>
            <w:vMerge w:val="continue"/>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pH值</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无量纲</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7.9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7.3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6~9</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全盐量</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Style w:val="48"/>
                <w:rFonts w:hint="eastAsia" w:ascii="宋体" w:hAnsi="宋体" w:eastAsia="宋体" w:cs="宋体"/>
                <w:sz w:val="21"/>
                <w:szCs w:val="21"/>
                <w:lang w:bidi="ar"/>
              </w:rPr>
              <w:t>1.74×10</w:t>
            </w:r>
            <w:r>
              <w:rPr>
                <w:rStyle w:val="49"/>
                <w:rFonts w:hint="eastAsia" w:ascii="宋体" w:hAnsi="宋体" w:eastAsia="宋体" w:cs="宋体"/>
                <w:sz w:val="21"/>
                <w:szCs w:val="21"/>
                <w:lang w:bidi="ar"/>
              </w:rPr>
              <w:t>3</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Style w:val="48"/>
                <w:rFonts w:hint="eastAsia" w:ascii="宋体" w:hAnsi="宋体" w:eastAsia="宋体" w:cs="宋体"/>
                <w:sz w:val="21"/>
                <w:szCs w:val="21"/>
                <w:lang w:bidi="ar"/>
              </w:rPr>
              <w:t>1.83×10</w:t>
            </w:r>
            <w:r>
              <w:rPr>
                <w:rStyle w:val="49"/>
                <w:rFonts w:hint="eastAsia" w:ascii="宋体" w:hAnsi="宋体" w:eastAsia="宋体" w:cs="宋体"/>
                <w:sz w:val="21"/>
                <w:szCs w:val="21"/>
                <w:lang w:bidi="ar"/>
              </w:rPr>
              <w:t>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悬浮物</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氟化物</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1.07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1.14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≤1.0</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b/>
                <w:bCs/>
                <w:sz w:val="21"/>
                <w:szCs w:val="21"/>
                <w:lang w:eastAsia="zh-CN" w:bidi="ar"/>
              </w:rPr>
              <w:t>否</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硫酸盐</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863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853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氯化物</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146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144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硝酸盐（以N计）</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12.3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12.2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8</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高锰酸盐指数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3.0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3.0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9</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化学需氧量</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rPr>
              <w:t>11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13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≤20</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10</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氨氮</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0.036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0.043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≤1.0</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11</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总氮</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5.87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5.86</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12</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总磷</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0.06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13</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五日生化需氧量</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3.4</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3.9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14</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铜</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0.05L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0.05L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≤1.0</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锌</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0.05L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0.05L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≤1.0</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16</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镉</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5.0×10</w:t>
            </w:r>
            <w:r>
              <w:rPr>
                <w:rFonts w:hint="eastAsia" w:ascii="宋体" w:hAnsi="宋体" w:eastAsia="宋体" w:cs="宋体"/>
                <w:color w:val="000000"/>
                <w:sz w:val="21"/>
                <w:szCs w:val="21"/>
                <w:vertAlign w:val="superscript"/>
                <w:lang w:bidi="ar"/>
              </w:rPr>
              <w:t>-4</w:t>
            </w:r>
            <w:r>
              <w:rPr>
                <w:rFonts w:hint="eastAsia" w:ascii="宋体" w:hAnsi="宋体" w:eastAsia="宋体" w:cs="宋体"/>
                <w:color w:val="000000"/>
                <w:sz w:val="21"/>
                <w:szCs w:val="21"/>
                <w:lang w:bidi="ar"/>
              </w:rPr>
              <w:t>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5.0×10</w:t>
            </w:r>
            <w:r>
              <w:rPr>
                <w:rFonts w:hint="eastAsia" w:ascii="宋体" w:hAnsi="宋体" w:eastAsia="宋体" w:cs="宋体"/>
                <w:color w:val="000000"/>
                <w:sz w:val="21"/>
                <w:szCs w:val="21"/>
                <w:vertAlign w:val="superscript"/>
                <w:lang w:bidi="ar"/>
              </w:rPr>
              <w:t>-4</w:t>
            </w:r>
            <w:r>
              <w:rPr>
                <w:rFonts w:hint="eastAsia" w:ascii="宋体" w:hAnsi="宋体" w:eastAsia="宋体" w:cs="宋体"/>
                <w:color w:val="000000"/>
                <w:sz w:val="21"/>
                <w:szCs w:val="21"/>
                <w:lang w:bidi="ar"/>
              </w:rPr>
              <w:t>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≤0.005</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17</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铅</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2.5×10</w:t>
            </w:r>
            <w:r>
              <w:rPr>
                <w:rStyle w:val="47"/>
                <w:rFonts w:hint="eastAsia" w:ascii="宋体" w:hAnsi="宋体" w:eastAsia="宋体" w:cs="宋体"/>
                <w:sz w:val="21"/>
                <w:szCs w:val="21"/>
                <w:lang w:bidi="ar"/>
              </w:rPr>
              <w:t>-3</w:t>
            </w:r>
            <w:r>
              <w:rPr>
                <w:rFonts w:hint="eastAsia" w:ascii="宋体" w:hAnsi="宋体" w:eastAsia="宋体" w:cs="宋体"/>
                <w:color w:val="000000"/>
                <w:sz w:val="21"/>
                <w:szCs w:val="21"/>
                <w:lang w:bidi="ar"/>
              </w:rPr>
              <w:t>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2.5×10</w:t>
            </w:r>
            <w:r>
              <w:rPr>
                <w:rStyle w:val="47"/>
                <w:rFonts w:hint="eastAsia" w:ascii="宋体" w:hAnsi="宋体" w:eastAsia="宋体" w:cs="宋体"/>
                <w:sz w:val="21"/>
                <w:szCs w:val="21"/>
                <w:lang w:bidi="ar"/>
              </w:rPr>
              <w:t>-3</w:t>
            </w:r>
            <w:r>
              <w:rPr>
                <w:rFonts w:hint="eastAsia" w:ascii="宋体" w:hAnsi="宋体" w:eastAsia="宋体" w:cs="宋体"/>
                <w:color w:val="000000"/>
                <w:sz w:val="21"/>
                <w:szCs w:val="21"/>
                <w:lang w:bidi="ar"/>
              </w:rPr>
              <w:t>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≤0.05</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18</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铁</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0.54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0.60 </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19</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锰</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 xml:space="preserve">0.04 </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20</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硒</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0.0004L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0.0004L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≤0.01</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21</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砷</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0.0003L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0.0003L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≤0.05</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22</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汞</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0.00008</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0.00004</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≤0.0001</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23</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六价铬</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0.004L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0.004L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≤0.05</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24</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氰化物</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0.004L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0.004L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25</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挥发酚（以苯酚计）</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0.0003L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0.0003L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≤0.005</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26</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石油类</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0.01L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0.01L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≤0.05</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27</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阴离子表面活性剂</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0.06</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0.08</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28</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硫化物</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0.005L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0.005L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29</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粪大肠菌群</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MNP/L</w:t>
            </w:r>
          </w:p>
        </w:tc>
        <w:tc>
          <w:tcPr>
            <w:tcW w:w="162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4.8×10</w:t>
            </w:r>
            <w:r>
              <w:rPr>
                <w:rFonts w:hint="eastAsia" w:ascii="宋体" w:hAnsi="宋体" w:eastAsia="宋体" w:cs="宋体"/>
                <w:sz w:val="21"/>
                <w:szCs w:val="21"/>
                <w:vertAlign w:val="superscript"/>
                <w:lang w:eastAsia="zh-CN" w:bidi="ar"/>
              </w:rPr>
              <w:t>2</w:t>
            </w:r>
          </w:p>
        </w:tc>
        <w:tc>
          <w:tcPr>
            <w:tcW w:w="200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5.8×10</w:t>
            </w:r>
            <w:r>
              <w:rPr>
                <w:rFonts w:hint="eastAsia" w:ascii="宋体" w:hAnsi="宋体" w:eastAsia="宋体" w:cs="宋体"/>
                <w:sz w:val="21"/>
                <w:szCs w:val="21"/>
                <w:vertAlign w:val="superscript"/>
                <w:lang w:eastAsia="zh-CN" w:bidi="ar"/>
              </w:rPr>
              <w:t>2</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≤10000</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是</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30</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钙</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221</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247</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31</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镁</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45.5</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54.1</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32</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银</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0.03L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0.03L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33</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铬</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0.03L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0.03L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34</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钛</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7.0×10</w:t>
            </w:r>
            <w:r>
              <w:rPr>
                <w:rFonts w:hint="eastAsia" w:ascii="宋体" w:hAnsi="宋体" w:eastAsia="宋体" w:cs="宋体"/>
                <w:color w:val="000000"/>
                <w:sz w:val="21"/>
                <w:szCs w:val="21"/>
                <w:vertAlign w:val="superscript"/>
                <w:lang w:bidi="ar"/>
              </w:rPr>
              <w:t>-3</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4.0×10</w:t>
            </w:r>
            <w:r>
              <w:rPr>
                <w:rFonts w:hint="eastAsia" w:ascii="宋体" w:hAnsi="宋体" w:eastAsia="宋体" w:cs="宋体"/>
                <w:color w:val="000000"/>
                <w:sz w:val="21"/>
                <w:szCs w:val="21"/>
                <w:vertAlign w:val="superscript"/>
                <w:lang w:bidi="ar"/>
              </w:rPr>
              <w:t>-3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35</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钴</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3.0×10</w:t>
            </w:r>
            <w:r>
              <w:rPr>
                <w:rFonts w:hint="eastAsia" w:ascii="宋体" w:hAnsi="宋体" w:eastAsia="宋体" w:cs="宋体"/>
                <w:color w:val="000000"/>
                <w:sz w:val="21"/>
                <w:szCs w:val="21"/>
                <w:vertAlign w:val="superscript"/>
                <w:lang w:bidi="ar"/>
              </w:rPr>
              <w:t>-3</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2.0×10</w:t>
            </w:r>
            <w:r>
              <w:rPr>
                <w:rFonts w:hint="eastAsia" w:ascii="宋体" w:hAnsi="宋体" w:eastAsia="宋体" w:cs="宋体"/>
                <w:color w:val="000000"/>
                <w:sz w:val="21"/>
                <w:szCs w:val="21"/>
                <w:vertAlign w:val="superscript"/>
                <w:lang w:bidi="ar"/>
              </w:rPr>
              <w:t>-3</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36</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镍</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9.0×10</w:t>
            </w:r>
            <w:r>
              <w:rPr>
                <w:rFonts w:hint="eastAsia" w:ascii="宋体" w:hAnsi="宋体" w:eastAsia="宋体" w:cs="宋体"/>
                <w:color w:val="000000"/>
                <w:sz w:val="21"/>
                <w:szCs w:val="21"/>
                <w:vertAlign w:val="superscript"/>
                <w:lang w:bidi="ar"/>
              </w:rPr>
              <w:t>-4</w:t>
            </w:r>
            <w:r>
              <w:rPr>
                <w:rFonts w:hint="eastAsia" w:ascii="宋体" w:hAnsi="宋体" w:eastAsia="宋体" w:cs="宋体"/>
                <w:color w:val="000000"/>
                <w:sz w:val="21"/>
                <w:szCs w:val="21"/>
                <w:lang w:bidi="ar"/>
              </w:rPr>
              <w:t>L</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9.0×10</w:t>
            </w:r>
            <w:r>
              <w:rPr>
                <w:rFonts w:hint="eastAsia" w:ascii="宋体" w:hAnsi="宋体" w:eastAsia="宋体" w:cs="宋体"/>
                <w:color w:val="000000"/>
                <w:sz w:val="21"/>
                <w:szCs w:val="21"/>
                <w:vertAlign w:val="superscript"/>
                <w:lang w:bidi="ar"/>
              </w:rPr>
              <w:t>-4</w:t>
            </w:r>
            <w:r>
              <w:rPr>
                <w:rFonts w:hint="eastAsia" w:ascii="宋体" w:hAnsi="宋体" w:eastAsia="宋体" w:cs="宋体"/>
                <w:color w:val="000000"/>
                <w:sz w:val="21"/>
                <w:szCs w:val="21"/>
                <w:lang w:bidi="ar"/>
              </w:rPr>
              <w:t>L</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372" w:type="pc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37</w:t>
            </w:r>
          </w:p>
        </w:tc>
        <w:tc>
          <w:tcPr>
            <w:tcW w:w="192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铝</w:t>
            </w:r>
          </w:p>
        </w:tc>
        <w:tc>
          <w:tcPr>
            <w:tcW w:w="62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162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0.099</w:t>
            </w:r>
          </w:p>
        </w:tc>
        <w:tc>
          <w:tcPr>
            <w:tcW w:w="20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0.019</w:t>
            </w:r>
          </w:p>
        </w:tc>
        <w:tc>
          <w:tcPr>
            <w:tcW w:w="56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445"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CellMar>
            <w:top w:w="0" w:type="dxa"/>
            <w:left w:w="108" w:type="dxa"/>
            <w:bottom w:w="0" w:type="dxa"/>
            <w:right w:w="108" w:type="dxa"/>
          </w:tblCellMar>
        </w:tblPrEx>
        <w:trPr>
          <w:trHeight w:val="397" w:hRule="atLeast"/>
        </w:trPr>
        <w:tc>
          <w:tcPr>
            <w:tcW w:w="5000" w:type="pct"/>
            <w:gridSpan w:val="7"/>
            <w:tcBorders>
              <w:top w:val="single" w:color="000000" w:sz="4" w:space="0"/>
              <w:left w:val="single" w:color="000000" w:sz="12" w:space="0"/>
              <w:bottom w:val="single" w:color="000000" w:sz="12"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备注：“检出限+L”表示未检出；“/”代表无限值，不评价</w:t>
            </w:r>
          </w:p>
        </w:tc>
      </w:tr>
    </w:tbl>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由</w:t>
      </w:r>
      <w:r>
        <w:rPr>
          <w:rFonts w:hint="eastAsia" w:cs="宋体"/>
          <w:szCs w:val="28"/>
          <w:lang w:eastAsia="zh-CN" w:bidi="ar"/>
        </w:rPr>
        <w:t>上表</w:t>
      </w:r>
      <w:r>
        <w:rPr>
          <w:rFonts w:hint="eastAsia" w:ascii="宋体" w:hAnsi="宋体" w:eastAsia="宋体" w:cs="宋体"/>
          <w:szCs w:val="28"/>
          <w:lang w:eastAsia="zh-CN" w:bidi="ar"/>
        </w:rPr>
        <w:t>可知，矿井涌水出水口处水质除氟化物外，其它各监测项目均满足《地表水环境质量标准》（GB 3838-20</w:t>
      </w:r>
      <w:r>
        <w:rPr>
          <w:rFonts w:hint="eastAsia" w:cs="宋体"/>
          <w:szCs w:val="28"/>
          <w:lang w:val="en-US" w:eastAsia="zh-CN" w:bidi="ar"/>
        </w:rPr>
        <w:t>0</w:t>
      </w:r>
      <w:r>
        <w:rPr>
          <w:rFonts w:hint="eastAsia" w:ascii="宋体" w:hAnsi="宋体" w:eastAsia="宋体" w:cs="宋体"/>
          <w:szCs w:val="28"/>
          <w:lang w:eastAsia="zh-CN" w:bidi="ar"/>
        </w:rPr>
        <w:t>）Ⅲ类水体要求；氟化物略超标，最大超标倍数1.04，原因与当地水文地质条件有关。</w:t>
      </w:r>
    </w:p>
    <w:p>
      <w:pPr>
        <w:pStyle w:val="14"/>
        <w:numPr>
          <w:ilvl w:val="0"/>
          <w:numId w:val="12"/>
        </w:numPr>
        <w:ind w:left="0" w:firstLine="560"/>
        <w:rPr>
          <w:rFonts w:hint="eastAsia" w:ascii="宋体" w:hAnsi="宋体" w:eastAsia="宋体" w:cs="宋体"/>
          <w:szCs w:val="28"/>
          <w:lang w:eastAsia="zh-CN" w:bidi="ar"/>
        </w:rPr>
      </w:pPr>
      <w:r>
        <w:rPr>
          <w:rFonts w:hint="eastAsia" w:ascii="宋体" w:hAnsi="宋体" w:eastAsia="宋体" w:cs="宋体"/>
          <w:szCs w:val="28"/>
          <w:lang w:eastAsia="zh-CN" w:bidi="ar"/>
        </w:rPr>
        <w:t>生活污水</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工业场区无职工食堂，只有临时性宿舍供职工班前班后休息。生活污水主要是职工产生的洗浴和冲厕污水，产生量约9.60m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/d，年产生量为3169m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/a，主要污染物为COD、NH</w:t>
      </w:r>
      <w:r>
        <w:rPr>
          <w:rFonts w:hint="eastAsia" w:ascii="宋体" w:hAnsi="宋体" w:eastAsia="宋体" w:cs="宋体"/>
          <w:szCs w:val="28"/>
          <w:vertAlign w:val="subscript"/>
          <w:lang w:eastAsia="zh-CN" w:bidi="ar"/>
        </w:rPr>
        <w:t>3</w:t>
      </w:r>
      <w:r>
        <w:rPr>
          <w:rFonts w:hint="eastAsia" w:ascii="宋体" w:hAnsi="宋体" w:eastAsia="宋体" w:cs="宋体"/>
          <w:szCs w:val="28"/>
          <w:lang w:eastAsia="zh-CN" w:bidi="ar"/>
        </w:rPr>
        <w:t>-N，年产生量分别约0.95t/a、0.13t/a。生活污水经污水处理站处理后达到《城镇污水处理厂污染物排放标准》（GB 18918-2002）一级A标准、《城市污水再生利用 城市杂用水水质》(GB/T</w:t>
      </w:r>
      <w:r>
        <w:rPr>
          <w:rFonts w:hint="eastAsia" w:cs="宋体"/>
          <w:szCs w:val="28"/>
          <w:lang w:val="en-US" w:eastAsia="zh-CN" w:bidi="ar"/>
        </w:rPr>
        <w:t xml:space="preserve"> </w:t>
      </w:r>
      <w:r>
        <w:rPr>
          <w:rFonts w:hint="eastAsia" w:ascii="宋体" w:hAnsi="宋体" w:eastAsia="宋体" w:cs="宋体"/>
          <w:szCs w:val="28"/>
          <w:lang w:eastAsia="zh-CN" w:bidi="ar"/>
        </w:rPr>
        <w:t>18920-2020)中“城市绿化、道路清扫、消防、建筑施工”标准的水质要求后，全部回用于企业绿化和道路洒水，不外排。</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2.2.6.3 固废</w:t>
      </w:r>
    </w:p>
    <w:p>
      <w:pPr>
        <w:pStyle w:val="16"/>
        <w:ind w:firstLine="560"/>
        <w:rPr>
          <w:rFonts w:hint="eastAsia" w:ascii="宋体" w:hAnsi="宋体" w:eastAsia="宋体" w:cs="宋体"/>
        </w:rPr>
      </w:pPr>
      <w:r>
        <w:rPr>
          <w:rFonts w:hint="eastAsia" w:ascii="宋体" w:hAnsi="宋体" w:eastAsia="宋体" w:cs="宋体"/>
        </w:rPr>
        <w:t>固体废物主要有掘进过程产生的废石、沉淀池中沉淀的污泥、废矿物油、废油桶及生活垃圾等。</w:t>
      </w:r>
    </w:p>
    <w:p>
      <w:pPr>
        <w:pStyle w:val="16"/>
        <w:ind w:firstLine="560"/>
        <w:rPr>
          <w:rFonts w:hint="eastAsia" w:ascii="宋体" w:hAnsi="宋体" w:eastAsia="宋体" w:cs="宋体"/>
        </w:rPr>
      </w:pPr>
      <w:r>
        <w:rPr>
          <w:rFonts w:hint="eastAsia" w:ascii="宋体" w:hAnsi="宋体" w:eastAsia="宋体" w:cs="宋体"/>
        </w:rPr>
        <w:t>生产期间井下掘进废石（取矿石体积的20%，按年产50万吨矿石计算）约</w:t>
      </w:r>
      <w:r>
        <w:rPr>
          <w:rFonts w:hint="eastAsia" w:ascii="宋体" w:hAnsi="宋体" w:cs="宋体"/>
          <w:lang w:val="en-US" w:eastAsia="zh-CN"/>
        </w:rPr>
        <w:t>2.8</w:t>
      </w:r>
      <w:r>
        <w:rPr>
          <w:rFonts w:hint="eastAsia" w:ascii="宋体" w:hAnsi="宋体" w:eastAsia="宋体" w:cs="宋体"/>
        </w:rPr>
        <w:t>万m</w:t>
      </w:r>
      <w:r>
        <w:rPr>
          <w:rFonts w:hint="eastAsia" w:ascii="宋体" w:hAnsi="宋体" w:eastAsia="宋体" w:cs="宋体"/>
          <w:vertAlign w:val="superscript"/>
        </w:rPr>
        <w:t>3</w:t>
      </w:r>
      <w:r>
        <w:rPr>
          <w:rFonts w:hint="eastAsia" w:ascii="宋体" w:hAnsi="宋体" w:eastAsia="宋体" w:cs="宋体"/>
        </w:rPr>
        <w:t>/a，折合约</w:t>
      </w:r>
      <w:r>
        <w:rPr>
          <w:rFonts w:hint="eastAsia" w:ascii="宋体" w:hAnsi="宋体" w:cs="宋体"/>
          <w:lang w:val="en-US" w:eastAsia="zh-CN"/>
        </w:rPr>
        <w:t>7.6</w:t>
      </w:r>
      <w:r>
        <w:rPr>
          <w:rFonts w:hint="eastAsia" w:ascii="宋体" w:hAnsi="宋体" w:eastAsia="宋体" w:cs="宋体"/>
        </w:rPr>
        <w:t>万t/a（矿石体重3.51t/m</w:t>
      </w:r>
      <w:r>
        <w:rPr>
          <w:rFonts w:hint="eastAsia" w:ascii="宋体" w:hAnsi="宋体" w:eastAsia="宋体" w:cs="宋体"/>
          <w:vertAlign w:val="superscript"/>
        </w:rPr>
        <w:t>3</w:t>
      </w:r>
      <w:r>
        <w:rPr>
          <w:rFonts w:hint="eastAsia" w:ascii="宋体" w:hAnsi="宋体" w:eastAsia="宋体" w:cs="宋体"/>
        </w:rPr>
        <w:t>，废石体重2.68t/m</w:t>
      </w:r>
      <w:r>
        <w:rPr>
          <w:rFonts w:hint="eastAsia" w:ascii="宋体" w:hAnsi="宋体" w:eastAsia="宋体" w:cs="宋体"/>
          <w:vertAlign w:val="superscript"/>
        </w:rPr>
        <w:t>3</w:t>
      </w:r>
      <w:r>
        <w:rPr>
          <w:rFonts w:hint="eastAsia" w:ascii="宋体" w:hAnsi="宋体" w:eastAsia="宋体" w:cs="宋体"/>
        </w:rPr>
        <w:t>），全部用于回填采空区，废石不出坑。</w:t>
      </w:r>
    </w:p>
    <w:p>
      <w:pPr>
        <w:pStyle w:val="16"/>
        <w:ind w:firstLine="560"/>
        <w:rPr>
          <w:rFonts w:hint="eastAsia" w:ascii="宋体" w:hAnsi="宋体" w:eastAsia="宋体" w:cs="宋体"/>
        </w:rPr>
      </w:pPr>
      <w:r>
        <w:rPr>
          <w:rFonts w:hint="eastAsia" w:ascii="宋体" w:hAnsi="宋体" w:eastAsia="宋体" w:cs="宋体"/>
        </w:rPr>
        <w:t>矿井涌水地下水仓和地面沉淀池每年清池一次，每次清出污泥约85t，成分是岩屑、矿粉，不在场区储存，随时运到选矿厂筛选。</w:t>
      </w:r>
    </w:p>
    <w:p>
      <w:pPr>
        <w:pStyle w:val="16"/>
        <w:ind w:firstLine="560"/>
        <w:rPr>
          <w:rFonts w:hint="eastAsia" w:ascii="宋体" w:hAnsi="宋体" w:eastAsia="宋体" w:cs="宋体"/>
        </w:rPr>
      </w:pPr>
      <w:r>
        <w:rPr>
          <w:rFonts w:hint="eastAsia" w:ascii="宋体" w:hAnsi="宋体" w:eastAsia="宋体" w:cs="宋体"/>
        </w:rPr>
        <w:t>设备维护所产生的废矿物油属于危险废物（HW08废矿物油与含矿物油废物900-249-08），产生量约0.5t/年；废油桶属于危险废物（HW49其他废物900-041-49），产生量约0.4t/a。废矿物油及废油桶收集后暂存公司危废暂存间，委托有资质单位统一处理。</w:t>
      </w:r>
    </w:p>
    <w:p>
      <w:pPr>
        <w:pStyle w:val="16"/>
        <w:ind w:firstLine="560"/>
        <w:rPr>
          <w:rFonts w:hint="eastAsia" w:ascii="宋体" w:hAnsi="宋体" w:eastAsia="宋体" w:cs="宋体"/>
        </w:rPr>
      </w:pPr>
      <w:r>
        <w:rPr>
          <w:rFonts w:hint="eastAsia" w:ascii="宋体" w:hAnsi="宋体" w:eastAsia="宋体" w:cs="宋体"/>
        </w:rPr>
        <w:t>生活垃圾产生量约56.6t/a，由环卫部门统一收集处理。</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2.2.6.4 噪声</w:t>
      </w:r>
    </w:p>
    <w:p>
      <w:pPr>
        <w:pStyle w:val="14"/>
        <w:ind w:firstLine="562"/>
        <w:rPr>
          <w:rFonts w:hint="eastAsia" w:ascii="宋体" w:hAnsi="宋体" w:eastAsia="宋体" w:cs="宋体"/>
          <w:b/>
          <w:bCs/>
          <w:szCs w:val="28"/>
          <w:lang w:eastAsia="zh-CN" w:bidi="ar"/>
        </w:rPr>
      </w:pPr>
      <w:r>
        <w:rPr>
          <w:rFonts w:hint="eastAsia" w:ascii="宋体" w:hAnsi="宋体" w:eastAsia="宋体" w:cs="宋体"/>
          <w:b/>
          <w:bCs/>
          <w:szCs w:val="28"/>
          <w:lang w:eastAsia="zh-CN" w:bidi="ar"/>
        </w:rPr>
        <w:t>（1）噪声</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噪声主要类型为空气动力性噪声、机械性噪声，其噪声源强为90～100dB（A）。 </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地表噪声设备的治理措施：主通风机出口设消音设施，电机机壳加装隔音罩；噪声较大的设备布设在室内并采取减振措施。山东省分析测试中心于2018年06月23日对厂界噪声进行现状监测，监测结果见表2.2.6-</w:t>
      </w:r>
      <w:r>
        <w:rPr>
          <w:rFonts w:hint="eastAsia" w:cs="宋体"/>
          <w:szCs w:val="28"/>
          <w:lang w:val="en-US" w:eastAsia="zh-CN" w:bidi="ar"/>
        </w:rPr>
        <w:t>4</w:t>
      </w:r>
      <w:r>
        <w:rPr>
          <w:rFonts w:hint="eastAsia" w:ascii="宋体" w:hAnsi="宋体" w:eastAsia="宋体" w:cs="宋体"/>
          <w:szCs w:val="28"/>
          <w:lang w:eastAsia="zh-CN" w:bidi="ar"/>
        </w:rPr>
        <w:t>。</w:t>
      </w:r>
    </w:p>
    <w:p>
      <w:pPr>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表2.2.6-</w:t>
      </w:r>
      <w:r>
        <w:rPr>
          <w:rFonts w:hint="eastAsia" w:cs="宋体"/>
          <w:b/>
          <w:bCs/>
          <w:sz w:val="24"/>
          <w:lang w:val="en-US" w:eastAsia="zh-CN"/>
        </w:rPr>
        <w:t>4</w:t>
      </w:r>
      <w:r>
        <w:rPr>
          <w:rFonts w:hint="eastAsia" w:ascii="宋体" w:hAnsi="宋体" w:eastAsia="宋体" w:cs="宋体"/>
          <w:b/>
          <w:bCs/>
          <w:sz w:val="24"/>
          <w:lang w:eastAsia="zh-CN"/>
        </w:rPr>
        <w:t xml:space="preserve"> 厂界噪声现状监测结果</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143"/>
        <w:gridCol w:w="3254"/>
        <w:gridCol w:w="28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92"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监测点位</w:t>
            </w:r>
          </w:p>
        </w:tc>
        <w:tc>
          <w:tcPr>
            <w:tcW w:w="3307"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监测结果L</w:t>
            </w:r>
            <w:r>
              <w:rPr>
                <w:rFonts w:hint="eastAsia" w:ascii="宋体" w:hAnsi="宋体" w:eastAsia="宋体" w:cs="宋体"/>
                <w:b/>
                <w:bCs/>
                <w:kern w:val="2"/>
                <w:sz w:val="21"/>
                <w:vertAlign w:val="subscript"/>
                <w:lang w:eastAsia="zh-CN"/>
              </w:rPr>
              <w:t>eq</w:t>
            </w:r>
            <w:r>
              <w:rPr>
                <w:rFonts w:hint="eastAsia" w:ascii="宋体" w:hAnsi="宋体" w:eastAsia="宋体" w:cs="宋体"/>
                <w:b/>
                <w:bCs/>
                <w:kern w:val="2"/>
                <w:sz w:val="21"/>
                <w:lang w:eastAsia="zh-CN"/>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9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3307"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2018.06.23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9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175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昼间</w:t>
            </w:r>
          </w:p>
        </w:tc>
        <w:tc>
          <w:tcPr>
            <w:tcW w:w="155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东厂界外1m</w:t>
            </w:r>
          </w:p>
        </w:tc>
        <w:tc>
          <w:tcPr>
            <w:tcW w:w="175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43.7</w:t>
            </w:r>
          </w:p>
        </w:tc>
        <w:tc>
          <w:tcPr>
            <w:tcW w:w="155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南厂界外1m</w:t>
            </w:r>
          </w:p>
        </w:tc>
        <w:tc>
          <w:tcPr>
            <w:tcW w:w="175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42.1</w:t>
            </w:r>
          </w:p>
        </w:tc>
        <w:tc>
          <w:tcPr>
            <w:tcW w:w="155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西厂界外1m</w:t>
            </w:r>
          </w:p>
        </w:tc>
        <w:tc>
          <w:tcPr>
            <w:tcW w:w="175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41.1</w:t>
            </w:r>
          </w:p>
        </w:tc>
        <w:tc>
          <w:tcPr>
            <w:tcW w:w="155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北厂界外1m</w:t>
            </w:r>
          </w:p>
        </w:tc>
        <w:tc>
          <w:tcPr>
            <w:tcW w:w="175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43.0</w:t>
            </w:r>
          </w:p>
        </w:tc>
        <w:tc>
          <w:tcPr>
            <w:tcW w:w="155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9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限值</w:t>
            </w:r>
          </w:p>
        </w:tc>
        <w:tc>
          <w:tcPr>
            <w:tcW w:w="1752"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60</w:t>
            </w:r>
          </w:p>
        </w:tc>
        <w:tc>
          <w:tcPr>
            <w:tcW w:w="155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50</w:t>
            </w:r>
          </w:p>
        </w:tc>
      </w:tr>
    </w:tbl>
    <w:p>
      <w:pPr>
        <w:pStyle w:val="16"/>
        <w:ind w:firstLine="560"/>
        <w:rPr>
          <w:rFonts w:hint="eastAsia" w:ascii="宋体" w:hAnsi="宋体" w:eastAsia="宋体" w:cs="宋体"/>
        </w:rPr>
      </w:pPr>
      <w:r>
        <w:rPr>
          <w:rFonts w:hint="eastAsia" w:ascii="宋体" w:hAnsi="宋体" w:eastAsia="宋体" w:cs="宋体"/>
        </w:rPr>
        <w:t>根据</w:t>
      </w:r>
      <w:r>
        <w:rPr>
          <w:rFonts w:hint="eastAsia" w:ascii="宋体" w:hAnsi="宋体" w:eastAsia="宋体" w:cs="宋体"/>
          <w:lang w:eastAsia="zh-CN"/>
        </w:rPr>
        <w:t>上表</w:t>
      </w:r>
      <w:r>
        <w:rPr>
          <w:rFonts w:hint="eastAsia" w:ascii="宋体" w:hAnsi="宋体" w:eastAsia="宋体" w:cs="宋体"/>
        </w:rPr>
        <w:t>可知，主、副井场地噪声满足《工业企业厂界环境噪声排放标准》（GB12348-2008）中2类标准。</w:t>
      </w:r>
    </w:p>
    <w:p>
      <w:pPr>
        <w:pStyle w:val="16"/>
        <w:ind w:firstLine="562"/>
        <w:rPr>
          <w:rFonts w:hint="eastAsia" w:ascii="宋体" w:hAnsi="宋体" w:eastAsia="宋体" w:cs="宋体"/>
          <w:b/>
          <w:bCs/>
        </w:rPr>
      </w:pPr>
      <w:r>
        <w:rPr>
          <w:rFonts w:hint="eastAsia" w:ascii="宋体" w:hAnsi="宋体" w:eastAsia="宋体" w:cs="宋体"/>
          <w:b/>
          <w:bCs/>
        </w:rPr>
        <w:t>（2）振动</w:t>
      </w:r>
    </w:p>
    <w:p>
      <w:pPr>
        <w:pStyle w:val="16"/>
        <w:ind w:firstLine="560"/>
        <w:rPr>
          <w:rFonts w:hint="eastAsia" w:ascii="宋体" w:hAnsi="宋体" w:eastAsia="宋体" w:cs="宋体"/>
        </w:rPr>
      </w:pPr>
      <w:r>
        <w:rPr>
          <w:rFonts w:hint="eastAsia" w:ascii="宋体" w:hAnsi="宋体" w:eastAsia="宋体" w:cs="宋体"/>
        </w:rPr>
        <w:t>采矿爆破会导致地表振动，振动源强为110~130dB（A）。</w:t>
      </w:r>
    </w:p>
    <w:p>
      <w:pPr>
        <w:pStyle w:val="16"/>
        <w:ind w:firstLine="560"/>
        <w:rPr>
          <w:rFonts w:hint="eastAsia" w:ascii="宋体" w:hAnsi="宋体" w:eastAsia="宋体" w:cs="宋体"/>
        </w:rPr>
      </w:pPr>
      <w:r>
        <w:rPr>
          <w:rFonts w:hint="eastAsia" w:ascii="宋体" w:hAnsi="宋体" w:eastAsia="宋体" w:cs="宋体"/>
        </w:rPr>
        <w:t>治理措施：合理安排爆破周期及爆破时间，采用微差爆破工艺。爆破前告知附近可能影响到</w:t>
      </w:r>
      <w:r>
        <w:rPr>
          <w:rFonts w:hint="eastAsia" w:ascii="宋体" w:hAnsi="宋体" w:cs="宋体"/>
          <w:lang w:eastAsia="zh-CN"/>
        </w:rPr>
        <w:t>的</w:t>
      </w:r>
      <w:r>
        <w:rPr>
          <w:rFonts w:hint="eastAsia" w:ascii="宋体" w:hAnsi="宋体" w:eastAsia="宋体" w:cs="宋体"/>
        </w:rPr>
        <w:t>居民。</w:t>
      </w:r>
    </w:p>
    <w:p>
      <w:pPr>
        <w:pStyle w:val="6"/>
        <w:rPr>
          <w:rFonts w:hint="eastAsia" w:ascii="宋体" w:hAnsi="宋体" w:eastAsia="宋体" w:cs="宋体"/>
          <w:lang w:eastAsia="zh-CN"/>
        </w:rPr>
      </w:pPr>
      <w:bookmarkStart w:id="57" w:name="_Toc28177"/>
      <w:bookmarkStart w:id="58" w:name="_Toc13691"/>
      <w:r>
        <w:rPr>
          <w:rFonts w:hint="eastAsia" w:ascii="宋体" w:hAnsi="宋体" w:eastAsia="宋体" w:cs="宋体"/>
          <w:lang w:eastAsia="zh-CN"/>
        </w:rPr>
        <w:t>2.3 现有选矿厂及尾矿库</w:t>
      </w:r>
      <w:bookmarkEnd w:id="57"/>
      <w:bookmarkEnd w:id="58"/>
    </w:p>
    <w:p>
      <w:pPr>
        <w:pStyle w:val="7"/>
        <w:rPr>
          <w:rFonts w:hint="eastAsia" w:ascii="宋体" w:hAnsi="宋体" w:eastAsia="宋体" w:cs="宋体"/>
          <w:lang w:eastAsia="zh-CN"/>
        </w:rPr>
      </w:pPr>
      <w:r>
        <w:rPr>
          <w:rFonts w:hint="eastAsia" w:ascii="宋体" w:hAnsi="宋体" w:eastAsia="宋体" w:cs="宋体"/>
          <w:lang w:eastAsia="zh-CN"/>
        </w:rPr>
        <w:t>2.3.1 项目概况</w:t>
      </w:r>
    </w:p>
    <w:p>
      <w:pPr>
        <w:pStyle w:val="16"/>
        <w:ind w:firstLine="560"/>
        <w:rPr>
          <w:rFonts w:hint="default" w:ascii="宋体" w:hAnsi="宋体" w:eastAsia="宋体" w:cs="宋体"/>
          <w:lang w:val="en-US" w:eastAsia="zh-CN"/>
        </w:rPr>
      </w:pPr>
      <w:r>
        <w:rPr>
          <w:rFonts w:hint="eastAsia" w:ascii="宋体" w:hAnsi="宋体" w:eastAsia="宋体" w:cs="宋体"/>
          <w:lang w:eastAsia="zh-CN"/>
        </w:rPr>
        <w:t>莱钢集团现有选矿厂主要包括，年产</w:t>
      </w:r>
      <w:r>
        <w:rPr>
          <w:rFonts w:hint="eastAsia" w:ascii="宋体" w:hAnsi="宋体" w:eastAsia="宋体" w:cs="宋体"/>
          <w:lang w:val="en-US" w:eastAsia="zh-CN"/>
        </w:rPr>
        <w:t>130万吨的选矿厂和尾矿库（包括1#、2#）。</w:t>
      </w:r>
    </w:p>
    <w:p>
      <w:pPr>
        <w:ind w:firstLine="560"/>
        <w:rPr>
          <w:rFonts w:hint="eastAsia" w:ascii="宋体" w:hAnsi="宋体" w:eastAsia="宋体" w:cs="宋体"/>
          <w:lang w:eastAsia="zh-CN"/>
        </w:rPr>
      </w:pPr>
      <w:r>
        <w:rPr>
          <w:rFonts w:hint="eastAsia" w:ascii="宋体" w:hAnsi="宋体" w:eastAsia="宋体" w:cs="宋体"/>
        </w:rPr>
        <w:t>选矿厂于1980年建成投产，生产规模为50万吨/年，之后陆续扩建技改，到2005年对破碎系统进行整体改造完成后，选矿厂原矿处理能力达到130万吨/年。公司于2015年着手对选矿厂磨选工艺进行技术改造，改造后产能不变。</w:t>
      </w:r>
      <w:r>
        <w:rPr>
          <w:rFonts w:hint="eastAsia" w:cs="宋体"/>
          <w:lang w:eastAsia="zh-CN"/>
        </w:rPr>
        <w:t>选矿厂</w:t>
      </w:r>
      <w:r>
        <w:rPr>
          <w:rFonts w:hint="eastAsia" w:ascii="宋体" w:hAnsi="宋体" w:eastAsia="宋体" w:cs="宋体"/>
          <w:lang w:eastAsia="zh-CN"/>
        </w:rPr>
        <w:t>产品规模为38.76万t/a铁精矿，产品品位在65%以上。产品去向：选厂选出的铁精粉不在选矿厂内堆存，直接由皮带输送至北临的球团厂的铁精粉仓库。</w:t>
      </w:r>
    </w:p>
    <w:p>
      <w:pPr>
        <w:pStyle w:val="16"/>
        <w:ind w:firstLine="560"/>
        <w:rPr>
          <w:rFonts w:hint="eastAsia" w:ascii="宋体" w:hAnsi="宋体" w:eastAsia="宋体" w:cs="宋体"/>
        </w:rPr>
      </w:pPr>
      <w:r>
        <w:rPr>
          <w:rFonts w:hint="eastAsia" w:ascii="宋体" w:hAnsi="宋体" w:eastAsia="宋体" w:cs="宋体"/>
        </w:rPr>
        <w:t>1#尾矿库始建于1977年，该尾矿库已停运，目前处于回采中。2#尾矿库建在1#尾矿库下游的西南侧位置，库内面积为21.08万m</w:t>
      </w:r>
      <w:r>
        <w:rPr>
          <w:rFonts w:hint="eastAsia" w:ascii="宋体" w:hAnsi="宋体" w:eastAsia="宋体" w:cs="宋体"/>
          <w:vertAlign w:val="superscript"/>
        </w:rPr>
        <w:t>2</w:t>
      </w:r>
      <w:r>
        <w:rPr>
          <w:rFonts w:hint="eastAsia" w:ascii="宋体" w:hAnsi="宋体" w:eastAsia="宋体" w:cs="宋体"/>
        </w:rPr>
        <w:t>，形成库内容积为412.4万m</w:t>
      </w:r>
      <w:r>
        <w:rPr>
          <w:rFonts w:hint="eastAsia" w:ascii="宋体" w:hAnsi="宋体" w:eastAsia="宋体" w:cs="宋体"/>
          <w:vertAlign w:val="superscript"/>
        </w:rPr>
        <w:t>3</w:t>
      </w:r>
      <w:r>
        <w:rPr>
          <w:rFonts w:hint="eastAsia" w:ascii="宋体" w:hAnsi="宋体" w:eastAsia="宋体" w:cs="宋体"/>
        </w:rPr>
        <w:t>，有效容积约为378.0万m</w:t>
      </w:r>
      <w:r>
        <w:rPr>
          <w:rFonts w:hint="eastAsia" w:ascii="宋体" w:hAnsi="宋体" w:eastAsia="宋体" w:cs="宋体"/>
          <w:vertAlign w:val="superscript"/>
        </w:rPr>
        <w:t>3</w:t>
      </w:r>
      <w:r>
        <w:rPr>
          <w:rFonts w:hint="eastAsia" w:ascii="宋体" w:hAnsi="宋体" w:eastAsia="宋体" w:cs="宋体"/>
        </w:rPr>
        <w:t>。</w:t>
      </w:r>
    </w:p>
    <w:p>
      <w:pPr>
        <w:ind w:firstLine="560"/>
        <w:rPr>
          <w:rFonts w:hint="eastAsia" w:ascii="宋体" w:hAnsi="宋体" w:eastAsia="宋体" w:cs="宋体"/>
          <w:lang w:eastAsia="zh-CN"/>
        </w:rPr>
      </w:pPr>
      <w:r>
        <w:rPr>
          <w:rFonts w:hint="eastAsia" w:ascii="宋体" w:hAnsi="宋体" w:eastAsia="宋体" w:cs="宋体"/>
          <w:lang w:eastAsia="zh-CN"/>
        </w:rPr>
        <w:t>目前，选矿厂劳动定员190人，全年运行330天；破碎、筛分系统两班制运行，每天15小时；磨选工序实行三班三运转制度，每天生产24个小时。</w:t>
      </w:r>
    </w:p>
    <w:p>
      <w:pPr>
        <w:pStyle w:val="7"/>
        <w:rPr>
          <w:rFonts w:hint="eastAsia" w:ascii="宋体" w:hAnsi="宋体" w:eastAsia="宋体" w:cs="宋体"/>
          <w:lang w:eastAsia="zh-CN"/>
        </w:rPr>
      </w:pPr>
      <w:r>
        <w:rPr>
          <w:rFonts w:hint="eastAsia" w:ascii="宋体" w:hAnsi="宋体" w:eastAsia="宋体" w:cs="宋体"/>
          <w:lang w:eastAsia="zh-CN"/>
        </w:rPr>
        <w:t>2.3.2 项目组成</w:t>
      </w:r>
    </w:p>
    <w:p>
      <w:pPr>
        <w:pStyle w:val="16"/>
        <w:ind w:firstLine="913" w:firstLineChars="0"/>
        <w:rPr>
          <w:rFonts w:hint="eastAsia" w:ascii="宋体" w:hAnsi="宋体" w:eastAsia="宋体" w:cs="宋体"/>
        </w:rPr>
      </w:pPr>
      <w:r>
        <w:rPr>
          <w:rFonts w:hint="eastAsia" w:ascii="宋体" w:hAnsi="宋体" w:eastAsia="宋体" w:cs="宋体"/>
        </w:rPr>
        <w:t>现有选矿厂及尾矿库项目组成见表2.3.2-1。</w:t>
      </w:r>
    </w:p>
    <w:p>
      <w:pPr>
        <w:pStyle w:val="16"/>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表2.3.2-1 现有选矿厂及尾矿库组成</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2"/>
        <w:gridCol w:w="262"/>
        <w:gridCol w:w="35"/>
        <w:gridCol w:w="469"/>
        <w:gridCol w:w="626"/>
        <w:gridCol w:w="7090"/>
        <w:tblGridChange w:id="3">
          <w:tblGrid>
            <w:gridCol w:w="75"/>
            <w:gridCol w:w="537"/>
            <w:gridCol w:w="75"/>
            <w:gridCol w:w="187"/>
            <w:gridCol w:w="35"/>
            <w:gridCol w:w="469"/>
            <w:gridCol w:w="626"/>
            <w:gridCol w:w="75"/>
            <w:gridCol w:w="7015"/>
            <w:gridCol w:w="75"/>
          </w:tblGrid>
        </w:tblGridChange>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36"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工程</w:t>
            </w: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工程（车间）名称</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项目组成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主体工程</w:t>
            </w: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破碎筛分</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干选车间</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占地面积5060m</w:t>
            </w:r>
            <w:r>
              <w:rPr>
                <w:rFonts w:hint="eastAsia" w:ascii="宋体" w:hAnsi="宋体" w:eastAsia="宋体" w:cs="宋体"/>
                <w:sz w:val="21"/>
                <w:szCs w:val="21"/>
                <w:vertAlign w:val="superscript"/>
                <w:lang w:eastAsia="zh-CN" w:bidi="ar"/>
              </w:rPr>
              <w:t>2</w:t>
            </w:r>
            <w:r>
              <w:rPr>
                <w:rFonts w:hint="eastAsia" w:ascii="宋体" w:hAnsi="宋体" w:eastAsia="宋体" w:cs="宋体"/>
                <w:sz w:val="21"/>
                <w:szCs w:val="21"/>
                <w:lang w:eastAsia="zh-CN" w:bidi="ar"/>
              </w:rPr>
              <w:t>，建筑面积889m</w:t>
            </w:r>
            <w:r>
              <w:rPr>
                <w:rFonts w:hint="eastAsia" w:ascii="宋体" w:hAnsi="宋体" w:eastAsia="宋体" w:cs="宋体"/>
                <w:sz w:val="21"/>
                <w:szCs w:val="21"/>
                <w:vertAlign w:val="superscript"/>
                <w:lang w:eastAsia="zh-CN" w:bidi="ar"/>
              </w:rPr>
              <w:t>2</w:t>
            </w:r>
            <w:r>
              <w:rPr>
                <w:rFonts w:hint="eastAsia" w:ascii="宋体" w:hAnsi="宋体" w:eastAsia="宋体" w:cs="宋体"/>
                <w:sz w:val="21"/>
                <w:szCs w:val="21"/>
                <w:lang w:eastAsia="zh-CN" w:bidi="ar"/>
              </w:rPr>
              <w:t>，用于铁矿石破碎和干选，包括粗碎、中碎、细碎、振筛、干式磁选。主要设备有1台C110颚式破碎机用于粗碎、1台H6800圆锥破碎机用于中碎、1台HP500圆锥破碎机用于细碎。</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磨选车间</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采用二级磨选、三段磁选、品位提升机与高效智能磁浮选柱的联合浮选工艺，主要设备有1台LCTY1550湿式预选机、2台球磨机、3台磁选机、2台品位提升机、3台磁浮选柱等。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Change w:id="4" w:author="Administrator" w:date="2021-09-26T13:45:00Z">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blPrExChange>
        </w:tblPrEx>
        <w:trPr>
          <w:wBefore w:w="0" w:type="auto"/>
          <w:trHeight w:val="719" w:hRule="atLeast"/>
          <w:trPrChange w:id="4" w:author="Administrator" w:date="2021-09-26T13:45:00Z">
            <w:trPr>
              <w:gridBefore w:val="1"/>
              <w:wBefore w:w="15" w:type="dxa"/>
              <w:trHeight w:val="397" w:hRule="atLeast"/>
            </w:trPr>
          </w:trPrChange>
        </w:trPr>
        <w:tc>
          <w:tcPr>
            <w:tcW w:w="336" w:type="pct"/>
            <w:vMerge w:val="continue"/>
            <w:tcBorders>
              <w:tl2br w:val="nil"/>
              <w:tr2bl w:val="nil"/>
            </w:tcBorders>
            <w:tcMar>
              <w:top w:w="15" w:type="dxa"/>
              <w:left w:w="15" w:type="dxa"/>
              <w:right w:w="15" w:type="dxa"/>
            </w:tcMar>
            <w:vAlign w:val="center"/>
            <w:tcPrChange w:id="5" w:author="Administrator" w:date="2021-09-26T13:45:00Z">
              <w:tcPr>
                <w:tcW w:w="337" w:type="pct"/>
                <w:gridSpan w:val="2"/>
                <w:vMerge w:val="continue"/>
                <w:tcBorders>
                  <w:tl2br w:val="nil"/>
                  <w:tr2bl w:val="nil"/>
                </w:tcBorders>
                <w:tcMar>
                  <w:top w:w="15" w:type="dxa"/>
                  <w:left w:w="15" w:type="dxa"/>
                  <w:right w:w="15" w:type="dxa"/>
                </w:tcMar>
                <w:vAlign w:val="center"/>
              </w:tcPr>
            </w:tcPrChange>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Change w:id="6" w:author="Administrator" w:date="2021-09-26T13:45:00Z">
              <w:tcPr>
                <w:tcW w:w="765" w:type="pct"/>
                <w:gridSpan w:val="5"/>
                <w:tcBorders>
                  <w:tl2br w:val="nil"/>
                  <w:tr2bl w:val="nil"/>
                </w:tcBorders>
                <w:tcMar>
                  <w:top w:w="15" w:type="dxa"/>
                  <w:left w:w="15" w:type="dxa"/>
                  <w:right w:w="15" w:type="dxa"/>
                </w:tcMar>
                <w:vAlign w:val="center"/>
              </w:tcPr>
            </w:tcPrChange>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尾矿处理车间</w:t>
            </w:r>
          </w:p>
        </w:tc>
        <w:tc>
          <w:tcPr>
            <w:tcW w:w="3898" w:type="pct"/>
            <w:tcBorders>
              <w:tl2br w:val="nil"/>
              <w:tr2bl w:val="nil"/>
            </w:tcBorders>
            <w:tcMar>
              <w:top w:w="15" w:type="dxa"/>
              <w:left w:w="15" w:type="dxa"/>
              <w:right w:w="15" w:type="dxa"/>
            </w:tcMar>
            <w:vAlign w:val="center"/>
            <w:tcPrChange w:id="7" w:author="Administrator" w:date="2021-09-26T13:45:00Z">
              <w:tcPr>
                <w:tcW w:w="3896" w:type="pct"/>
                <w:gridSpan w:val="2"/>
                <w:tcBorders>
                  <w:tl2br w:val="nil"/>
                  <w:tr2bl w:val="nil"/>
                </w:tcBorders>
                <w:tcMar>
                  <w:top w:w="15" w:type="dxa"/>
                  <w:left w:w="15" w:type="dxa"/>
                  <w:right w:w="15" w:type="dxa"/>
                </w:tcMar>
                <w:vAlign w:val="center"/>
              </w:tcPr>
            </w:tcPrChange>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占地面积360m</w:t>
            </w:r>
            <w:r>
              <w:rPr>
                <w:rFonts w:hint="eastAsia" w:ascii="宋体" w:hAnsi="宋体" w:eastAsia="宋体" w:cs="宋体"/>
                <w:sz w:val="21"/>
                <w:szCs w:val="21"/>
                <w:vertAlign w:val="superscript"/>
                <w:lang w:eastAsia="zh-CN" w:bidi="ar"/>
              </w:rPr>
              <w:t>2</w:t>
            </w:r>
            <w:r>
              <w:rPr>
                <w:rFonts w:hint="eastAsia" w:ascii="宋体" w:hAnsi="宋体" w:eastAsia="宋体" w:cs="宋体"/>
                <w:sz w:val="21"/>
                <w:szCs w:val="21"/>
                <w:lang w:eastAsia="zh-CN" w:bidi="ar"/>
              </w:rPr>
              <w:t>，高8m，钢结构厂房。尾矿经浓密机、压滤机脱水后由皮带输送至尾矿仓库临时堆存；采用二段磨矿、三段磁选，磁选后精矿进入磨选车间的品位提升机与高效智能磁浮选柱提升品位。主要设备有4台球磨机、2台磁选机、1台旋流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44"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2#尾矿库</w:t>
            </w:r>
          </w:p>
        </w:tc>
        <w:tc>
          <w:tcPr>
            <w:tcW w:w="621"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库容及</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服务年限</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占地约25万m</w:t>
            </w:r>
            <w:r>
              <w:rPr>
                <w:rFonts w:hint="eastAsia" w:ascii="宋体" w:hAnsi="宋体" w:eastAsia="宋体" w:cs="宋体"/>
                <w:sz w:val="21"/>
                <w:szCs w:val="21"/>
                <w:vertAlign w:val="superscript"/>
                <w:lang w:eastAsia="zh-CN" w:bidi="ar"/>
              </w:rPr>
              <w:t>2</w:t>
            </w:r>
            <w:r>
              <w:rPr>
                <w:rFonts w:hint="eastAsia" w:ascii="宋体" w:hAnsi="宋体" w:eastAsia="宋体" w:cs="宋体"/>
                <w:sz w:val="21"/>
                <w:szCs w:val="21"/>
                <w:lang w:eastAsia="zh-CN" w:bidi="ar"/>
              </w:rPr>
              <w:t>，库内面积为21.08万m</w:t>
            </w:r>
            <w:r>
              <w:rPr>
                <w:rFonts w:hint="eastAsia" w:ascii="宋体" w:hAnsi="宋体" w:eastAsia="宋体" w:cs="宋体"/>
                <w:sz w:val="21"/>
                <w:szCs w:val="21"/>
                <w:vertAlign w:val="superscript"/>
                <w:lang w:eastAsia="zh-CN" w:bidi="ar"/>
              </w:rPr>
              <w:t>2</w:t>
            </w:r>
            <w:r>
              <w:rPr>
                <w:rFonts w:hint="eastAsia" w:ascii="宋体" w:hAnsi="宋体" w:eastAsia="宋体" w:cs="宋体"/>
                <w:sz w:val="21"/>
                <w:szCs w:val="21"/>
                <w:lang w:eastAsia="zh-CN" w:bidi="ar"/>
              </w:rPr>
              <w:t>，形成库内容积为412.4万m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，有效容积约为378.0万m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，设计服务年限为29年。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44"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21"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坝体</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尾矿库仅于库区西南侧筑坝，筑坝方式为一次性筑坝，采用碎石土分层碾压，由240.0m高程筑坝至260.0m高程，坝高20.0m，坝顶宽度10.0m。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44"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21"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排洪系统</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采用排水井-排水管式排水系统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44"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21"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回收系统</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回收方式为浮船式取水，即将回收水泵固定在浮船上，将尾矿库内上清水输送至回水池。坝体渗滤水经集水池收集后泵入尾矿库，与尾矿库上清水一起输送至回水池。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44"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21" w:type="pct"/>
            <w:gridSpan w:val="3"/>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尾矿输送</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利用尾矿输送管道输送至地下采空区进行充填。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辅助工程</w:t>
            </w: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1#尾矿库</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1#尾矿库设计库容494万m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，设计标高+295m，属下游式废石透水尾矿库。</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服务期满，已停止放矿。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检修车间</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用于生产设备检修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办公服务设施</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办公室、门卫、值班室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6"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公用工程</w:t>
            </w: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供水</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生活杂用水和部分生产用水：由鲁南矿业供水系统供给，水源为王峪采场蓄水；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部分生产用水水源：为采场矿井涌水，选矿厂设用水池。</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饮用水：用汽车自饮用水源地拉运至主场地。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排水</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雨水：经雨水管网排出厂外。</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生活污水：经化粪池处理后排入公司污水管网，进入企业生活污水处理站，处理达标后回用于企业绿化和道路洒水，不外排。</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生产废水：选矿厂废水经浓缩池浓缩后，全部回用于生产，不外排；尾矿库废水收集到回水池，经沉淀后回用于选矿厂，不外排。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供电</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由矿区内输电线路引入，厂区建有变配电室。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供热</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冬季采暖利用空气源热泵供暖。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储运工程</w:t>
            </w: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原矿仓</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2座，每座容量200m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，用于储存原矿。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粉矿仓</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建有4座圆形粉矿仓，每个有效容量600t。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废石仓</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设2座封闭废石仓，其中1座有效容量150t，用于贮存湿式预选废石；1座有效容量250t，用于贮存干选废石。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矿石堆场</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一座，为露天堆放，用于储存原矿石。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备件库</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用于储存其它物料和备件。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运输</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厂内由皮带运输，厂外均采用汽车运输；尾矿及铁精粉通过管道运输。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环保工程</w:t>
            </w:r>
          </w:p>
        </w:tc>
        <w:tc>
          <w:tcPr>
            <w:tcW w:w="163" w:type="pct"/>
            <w:gridSpan w:val="2"/>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废气治理</w:t>
            </w:r>
          </w:p>
        </w:tc>
        <w:tc>
          <w:tcPr>
            <w:tcW w:w="602"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选矿</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有组织：车间各主要产尘点设集气罩，废气收集后引入水膜除尘器除尘（共5套），经15m的排气筒（共4根）排放。</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无组织：选矿厂内物料通过密闭皮带运输，皮带廊及下料口密闭并设有用洒水等抑尘措施；铁精粉经管道输送至球团厂铁精粉仓库储存。</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63" w:type="pct"/>
            <w:gridSpan w:val="2"/>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25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尾矿库</w:t>
            </w:r>
          </w:p>
        </w:tc>
        <w:tc>
          <w:tcPr>
            <w:tcW w:w="344"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回采中，设苫盖、喷淋等抑尘设施。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20"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63" w:type="pct"/>
            <w:gridSpan w:val="2"/>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25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344"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采取分散放矿、洒水、覆土植草、坝体护坡和绿化等抑尘措施。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废水治理</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生活污水：经化粪池处理后排入公司污水管网，进入企业生活污水处理站，处理达标后回用于企业绿化和道路洒水，不外排。选矿废水：选矿厂设浓缩池和循环水池，废水经沉淀后全部回用于生产；</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2#尾矿库废水：废水收集后排入回水池，沉淀后回用于选矿生产。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63" w:type="pct"/>
            <w:gridSpan w:val="2"/>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固废</w:t>
            </w:r>
          </w:p>
        </w:tc>
        <w:tc>
          <w:tcPr>
            <w:tcW w:w="602"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一般固废</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废石：暂存废石仓，外售综合利用；</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尾矿：部分用于地下采空区充填，剩余部分输送至尾矿库堆存；</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生活垃圾：集中存放，由环卫部门统一处置。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163" w:type="pct"/>
            <w:gridSpan w:val="2"/>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602" w:type="pct"/>
            <w:gridSpan w:val="2"/>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危废</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cs="宋体"/>
                <w:sz w:val="21"/>
                <w:szCs w:val="21"/>
                <w:lang w:eastAsia="zh-CN" w:bidi="ar"/>
              </w:rPr>
              <w:t>在球团厂北侧建设一座危废间。</w:t>
            </w:r>
            <w:r>
              <w:rPr>
                <w:rFonts w:hint="eastAsia" w:ascii="宋体" w:hAnsi="宋体" w:eastAsia="宋体" w:cs="宋体"/>
                <w:sz w:val="21"/>
                <w:szCs w:val="21"/>
                <w:lang w:eastAsia="zh-CN" w:bidi="ar"/>
              </w:rPr>
              <w:t>收集</w:t>
            </w:r>
            <w:r>
              <w:rPr>
                <w:rFonts w:hint="eastAsia" w:cs="宋体"/>
                <w:sz w:val="21"/>
                <w:szCs w:val="21"/>
                <w:lang w:eastAsia="zh-CN" w:bidi="ar"/>
              </w:rPr>
              <w:t>的废油桶、废矿物油储存</w:t>
            </w:r>
            <w:r>
              <w:rPr>
                <w:rFonts w:hint="eastAsia" w:ascii="宋体" w:hAnsi="宋体" w:eastAsia="宋体" w:cs="宋体"/>
                <w:sz w:val="21"/>
                <w:szCs w:val="21"/>
                <w:lang w:eastAsia="zh-CN" w:bidi="ar"/>
              </w:rPr>
              <w:t>于危废间，委托有资质单位处理。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6"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765" w:type="pct"/>
            <w:gridSpan w:val="4"/>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噪声治理</w:t>
            </w:r>
          </w:p>
        </w:tc>
        <w:tc>
          <w:tcPr>
            <w:tcW w:w="389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采用吸声、隔声、减震和绿化等措施。</w:t>
            </w:r>
          </w:p>
        </w:tc>
      </w:tr>
    </w:tbl>
    <w:p>
      <w:pPr>
        <w:pStyle w:val="7"/>
        <w:rPr>
          <w:rFonts w:hint="eastAsia" w:ascii="宋体" w:hAnsi="宋体" w:eastAsia="宋体" w:cs="宋体"/>
          <w:lang w:eastAsia="zh-CN"/>
        </w:rPr>
      </w:pPr>
      <w:r>
        <w:rPr>
          <w:rFonts w:hint="eastAsia" w:ascii="宋体" w:hAnsi="宋体" w:eastAsia="宋体" w:cs="宋体"/>
          <w:lang w:eastAsia="zh-CN"/>
        </w:rPr>
        <w:t>2.3.3 主要设备</w:t>
      </w:r>
    </w:p>
    <w:p>
      <w:pPr>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表2.3.3-1 现有工程主要生产设备一览表</w:t>
      </w:r>
    </w:p>
    <w:tbl>
      <w:tblPr>
        <w:tblStyle w:val="24"/>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06"/>
        <w:gridCol w:w="2117"/>
        <w:gridCol w:w="2199"/>
        <w:gridCol w:w="1523"/>
        <w:gridCol w:w="215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6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序号</w:t>
            </w:r>
          </w:p>
        </w:tc>
        <w:tc>
          <w:tcPr>
            <w:tcW w:w="1163"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设备规格及名称</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规格型号</w:t>
            </w:r>
          </w:p>
        </w:tc>
        <w:tc>
          <w:tcPr>
            <w:tcW w:w="8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数量（台）</w:t>
            </w:r>
          </w:p>
        </w:tc>
        <w:tc>
          <w:tcPr>
            <w:tcW w:w="118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top w:w="15" w:type="dxa"/>
              <w:left w:w="15" w:type="dxa"/>
              <w:right w:w="15"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颚式破碎机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JC1100</w:t>
            </w:r>
          </w:p>
        </w:tc>
        <w:tc>
          <w:tcPr>
            <w:tcW w:w="8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粗破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top w:w="15" w:type="dxa"/>
              <w:left w:w="15" w:type="dxa"/>
              <w:right w:w="15"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圆锥破碎机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H6800EC-HC</w:t>
            </w:r>
          </w:p>
        </w:tc>
        <w:tc>
          <w:tcPr>
            <w:tcW w:w="8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中破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top w:w="15" w:type="dxa"/>
              <w:left w:w="15" w:type="dxa"/>
              <w:right w:w="15"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圆锥破碎机</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HP500</w:t>
            </w:r>
          </w:p>
        </w:tc>
        <w:tc>
          <w:tcPr>
            <w:tcW w:w="8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细破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top w:w="15" w:type="dxa"/>
              <w:left w:w="15" w:type="dxa"/>
              <w:right w:w="15"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圆振动筛</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2YAQ3073－AT</w:t>
            </w:r>
          </w:p>
        </w:tc>
        <w:tc>
          <w:tcPr>
            <w:tcW w:w="8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湿式预选机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LCTY1550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湿式溢流型球磨机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MQY3660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6kV，一段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旋流器</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ф500-8</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湿式溢流型球磨机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MQY3660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6kV，二段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德瑞克高频细筛</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2SG48-60W-5STK</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直线振动筛</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2.4×4.8</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6月停车准备更换</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湿式磁选机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CTB1245</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一段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湿式磁选机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CTB1245</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二段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湿式磁选机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CTB1230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三段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浓缩磁选</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NCT1230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精矿浓缩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品位提升机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CW1600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闲置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高效智能磁浮选机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CFX2400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3台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刮板电机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6台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变频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浓缩机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NT-30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3台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湿式溢流型球磨机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MQY2745</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3台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500KW扫选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湿式溢流型球磨机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MQY2145</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280KW扫选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粗选磁选机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CCTC1230</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拆除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脱泥磁选机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CCNTN1218</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扫选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磁选机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CCTC1018</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扫选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旋流器</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FX350-PU×4</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8" w:type="pct"/>
            <w:tcBorders>
              <w:tl2br w:val="nil"/>
              <w:tr2bl w:val="nil"/>
            </w:tcBorders>
            <w:tcMar>
              <w:left w:w="108" w:type="dxa"/>
              <w:right w:w="108" w:type="dxa"/>
            </w:tcMar>
            <w:vAlign w:val="center"/>
          </w:tcPr>
          <w:p>
            <w:pPr>
              <w:keepNext w:val="0"/>
              <w:keepLines w:val="0"/>
              <w:numPr>
                <w:ilvl w:val="0"/>
                <w:numId w:val="13"/>
              </w:numPr>
              <w:suppressLineNumbers w:val="0"/>
              <w:spacing w:before="0" w:beforeAutospacing="0" w:after="0" w:afterAutospacing="0" w:line="240" w:lineRule="auto"/>
              <w:ind w:right="0" w:firstLineChars="0"/>
              <w:jc w:val="center"/>
              <w:rPr>
                <w:rFonts w:hint="eastAsia" w:ascii="宋体" w:hAnsi="宋体" w:eastAsia="宋体" w:cs="宋体"/>
                <w:kern w:val="2"/>
                <w:sz w:val="21"/>
                <w:szCs w:val="21"/>
                <w:lang w:eastAsia="zh-CN"/>
              </w:rPr>
            </w:pP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旋流器</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FX200-PU×4</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182"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bl>
    <w:p>
      <w:pPr>
        <w:pStyle w:val="7"/>
        <w:rPr>
          <w:rFonts w:hint="eastAsia" w:ascii="宋体" w:hAnsi="宋体" w:eastAsia="宋体" w:cs="宋体"/>
          <w:lang w:eastAsia="zh-CN"/>
        </w:rPr>
      </w:pPr>
      <w:r>
        <w:rPr>
          <w:rFonts w:hint="eastAsia" w:ascii="宋体" w:hAnsi="宋体" w:eastAsia="宋体" w:cs="宋体"/>
          <w:lang w:eastAsia="zh-CN"/>
        </w:rPr>
        <w:t>2.3.4 主要原辅材料</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表2.3.4-1 现有工程主要原辅材料一览表 </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1311"/>
        <w:gridCol w:w="1083"/>
        <w:gridCol w:w="1793"/>
        <w:gridCol w:w="2748"/>
        <w:gridCol w:w="15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11" w:type="pct"/>
            <w:tcBorders>
              <w:top w:val="single" w:color="auto" w:sz="12"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序号</w:t>
            </w:r>
          </w:p>
        </w:tc>
        <w:tc>
          <w:tcPr>
            <w:tcW w:w="706" w:type="pc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名称</w:t>
            </w:r>
          </w:p>
        </w:tc>
        <w:tc>
          <w:tcPr>
            <w:tcW w:w="583" w:type="pc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单位</w:t>
            </w:r>
          </w:p>
        </w:tc>
        <w:tc>
          <w:tcPr>
            <w:tcW w:w="965" w:type="pc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2020年耗量</w:t>
            </w:r>
          </w:p>
        </w:tc>
        <w:tc>
          <w:tcPr>
            <w:tcW w:w="1479" w:type="pct"/>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储运方式</w:t>
            </w:r>
          </w:p>
        </w:tc>
        <w:tc>
          <w:tcPr>
            <w:tcW w:w="853" w:type="pct"/>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矿石</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万t/a</w:t>
            </w:r>
          </w:p>
        </w:tc>
        <w:tc>
          <w:tcPr>
            <w:tcW w:w="96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50</w:t>
            </w:r>
          </w:p>
        </w:tc>
        <w:tc>
          <w:tcPr>
            <w:tcW w:w="14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汽车运输，堆于原矿仓</w:t>
            </w:r>
          </w:p>
        </w:tc>
        <w:tc>
          <w:tcPr>
            <w:tcW w:w="853" w:type="pct"/>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原料来源于采矿工程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1" w:type="pct"/>
            <w:tcBorders>
              <w:top w:val="single" w:color="auto" w:sz="4" w:space="0"/>
              <w:left w:val="single" w:color="auto" w:sz="12"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w:t>
            </w:r>
          </w:p>
        </w:tc>
        <w:tc>
          <w:tcPr>
            <w:tcW w:w="706"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磨矿钢球</w:t>
            </w:r>
          </w:p>
        </w:tc>
        <w:tc>
          <w:tcPr>
            <w:tcW w:w="583"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t/a</w:t>
            </w:r>
          </w:p>
        </w:tc>
        <w:tc>
          <w:tcPr>
            <w:tcW w:w="965"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1548</w:t>
            </w:r>
          </w:p>
        </w:tc>
        <w:tc>
          <w:tcPr>
            <w:tcW w:w="1479" w:type="pct"/>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汽车运输，袋装</w:t>
            </w:r>
            <w:r>
              <w:rPr>
                <w:rFonts w:hint="eastAsia" w:cs="宋体"/>
                <w:sz w:val="21"/>
                <w:szCs w:val="21"/>
                <w:lang w:eastAsia="zh-CN" w:bidi="ar"/>
              </w:rPr>
              <w:t>，存于</w:t>
            </w:r>
            <w:r>
              <w:rPr>
                <w:rFonts w:hint="eastAsia" w:ascii="宋体" w:hAnsi="宋体" w:eastAsia="宋体" w:cs="宋体"/>
                <w:sz w:val="21"/>
                <w:szCs w:val="21"/>
                <w:lang w:eastAsia="zh-CN" w:bidi="ar"/>
              </w:rPr>
              <w:t>仓库</w:t>
            </w:r>
          </w:p>
        </w:tc>
        <w:tc>
          <w:tcPr>
            <w:tcW w:w="853" w:type="pct"/>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磨矿用料</w:t>
            </w:r>
          </w:p>
        </w:tc>
      </w:tr>
    </w:tbl>
    <w:p>
      <w:pPr>
        <w:pStyle w:val="7"/>
        <w:rPr>
          <w:rFonts w:hint="eastAsia" w:ascii="宋体" w:hAnsi="宋体" w:eastAsia="宋体" w:cs="宋体"/>
          <w:lang w:eastAsia="zh-CN"/>
        </w:rPr>
      </w:pPr>
      <w:r>
        <w:rPr>
          <w:rFonts w:hint="eastAsia" w:ascii="宋体" w:hAnsi="宋体" w:eastAsia="宋体" w:cs="宋体"/>
          <w:lang w:eastAsia="zh-CN"/>
        </w:rPr>
        <w:t>2.3.5 矿石化学成分</w:t>
      </w:r>
    </w:p>
    <w:p>
      <w:pPr>
        <w:ind w:firstLine="560"/>
        <w:rPr>
          <w:rFonts w:hint="eastAsia" w:ascii="宋体" w:hAnsi="宋体" w:eastAsia="宋体" w:cs="宋体"/>
          <w:lang w:eastAsia="zh-CN"/>
        </w:rPr>
      </w:pPr>
      <w:r>
        <w:rPr>
          <w:rFonts w:hint="eastAsia" w:ascii="宋体" w:hAnsi="宋体" w:eastAsia="宋体" w:cs="宋体"/>
          <w:lang w:eastAsia="zh-CN"/>
        </w:rPr>
        <w:t>根据化学分析资料，矿石中主要有益组分为铁，其它稀有分散元素的含量均较低，未发现具综合利用价值的元素。含极微量的钛、铬、钒、镍、钴、镓等。</w:t>
      </w:r>
    </w:p>
    <w:p>
      <w:pPr>
        <w:ind w:firstLine="560"/>
        <w:rPr>
          <w:rFonts w:hint="eastAsia" w:ascii="宋体" w:hAnsi="宋体" w:eastAsia="宋体" w:cs="宋体"/>
          <w:lang w:eastAsia="zh-CN"/>
        </w:rPr>
      </w:pPr>
      <w:r>
        <w:rPr>
          <w:rFonts w:hint="eastAsia" w:ascii="宋体" w:hAnsi="宋体" w:eastAsia="宋体" w:cs="宋体"/>
          <w:lang w:eastAsia="zh-CN"/>
        </w:rPr>
        <w:t>矿石全铁含量一般在30～39%之间，沿厚度倾斜方向上的变化由浅到深仅略有降低趋势。全铁含量一般在25～37%之间，平均值34.96%。变化系数10.15％。因矿石中含有较多的硅酸铁矿物，硅酸铁含量较高，一般含量在2～12%之间，王峪矿段平均5.78%，多为石英型矿石。</w:t>
      </w:r>
    </w:p>
    <w:p>
      <w:pPr>
        <w:ind w:firstLine="560"/>
        <w:rPr>
          <w:rFonts w:hint="eastAsia" w:ascii="宋体" w:hAnsi="宋体" w:eastAsia="宋体" w:cs="宋体"/>
          <w:lang w:eastAsia="zh-CN"/>
        </w:rPr>
      </w:pPr>
      <w:r>
        <w:rPr>
          <w:rFonts w:hint="eastAsia" w:ascii="宋体" w:hAnsi="宋体" w:eastAsia="宋体" w:cs="宋体"/>
          <w:lang w:eastAsia="zh-CN"/>
        </w:rPr>
        <w:t>光谱全分析结果表明，除含量高的SiO</w:t>
      </w:r>
      <w:r>
        <w:rPr>
          <w:rFonts w:hint="eastAsia" w:ascii="宋体" w:hAnsi="宋体" w:eastAsia="宋体" w:cs="宋体"/>
          <w:vertAlign w:val="subscript"/>
          <w:lang w:eastAsia="zh-CN"/>
        </w:rPr>
        <w:t>2</w:t>
      </w:r>
      <w:r>
        <w:rPr>
          <w:rFonts w:hint="eastAsia" w:ascii="宋体" w:hAnsi="宋体" w:eastAsia="宋体" w:cs="宋体"/>
          <w:lang w:eastAsia="zh-CN"/>
        </w:rPr>
        <w:t>、FeO、Al</w:t>
      </w:r>
      <w:r>
        <w:rPr>
          <w:rFonts w:hint="eastAsia" w:ascii="宋体" w:hAnsi="宋体" w:eastAsia="宋体" w:cs="宋体"/>
          <w:vertAlign w:val="subscript"/>
          <w:lang w:eastAsia="zh-CN"/>
        </w:rPr>
        <w:t>2</w:t>
      </w:r>
      <w:r>
        <w:rPr>
          <w:rFonts w:hint="eastAsia" w:ascii="宋体" w:hAnsi="宋体" w:eastAsia="宋体" w:cs="宋体"/>
          <w:lang w:eastAsia="zh-CN"/>
        </w:rPr>
        <w:t>O</w:t>
      </w:r>
      <w:r>
        <w:rPr>
          <w:rFonts w:hint="eastAsia" w:ascii="宋体" w:hAnsi="宋体" w:eastAsia="宋体" w:cs="宋体"/>
          <w:vertAlign w:val="subscript"/>
          <w:lang w:eastAsia="zh-CN"/>
        </w:rPr>
        <w:t xml:space="preserve"> </w:t>
      </w:r>
      <w:r>
        <w:rPr>
          <w:rFonts w:hint="eastAsia" w:ascii="宋体" w:hAnsi="宋体" w:eastAsia="宋体" w:cs="宋体"/>
          <w:lang w:eastAsia="zh-CN"/>
        </w:rPr>
        <w:t>、CaO、MgO外，尚含有伴生元素，主要为Cu、Mn、Zn、Ti、Ag、Ni、Cr、As、Co。其中As＜0.0001%、Cr 0.00163%、Mn 0.076%、Zn 0.0049%、Ti 0.026%、Ni 0.0011%、Ag 0.000041%、Co 0.0040%、Cu 0.0063%。由此可见，伴生有益元素含量甚微，无综合利用价值。</w:t>
      </w:r>
    </w:p>
    <w:p>
      <w:pPr>
        <w:ind w:firstLine="560"/>
        <w:rPr>
          <w:rFonts w:hint="eastAsia" w:ascii="宋体" w:hAnsi="宋体" w:eastAsia="宋体" w:cs="宋体"/>
          <w:lang w:eastAsia="zh-CN"/>
        </w:rPr>
      </w:pPr>
      <w:r>
        <w:rPr>
          <w:rFonts w:hint="eastAsia" w:ascii="宋体" w:hAnsi="宋体" w:eastAsia="宋体" w:cs="宋体"/>
          <w:lang w:eastAsia="zh-CN"/>
        </w:rPr>
        <w:t>矿石多元素化学成分见表2.3.5-1。矿石的铁物相分析见表2.3.5-2。</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表2.3.5-1 矿石的多元素化学成分</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6"/>
        <w:gridCol w:w="1326"/>
        <w:gridCol w:w="1326"/>
        <w:gridCol w:w="1326"/>
        <w:gridCol w:w="1326"/>
        <w:gridCol w:w="1326"/>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组成</w:t>
            </w:r>
          </w:p>
        </w:tc>
        <w:tc>
          <w:tcPr>
            <w:tcW w:w="714"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TFe</w:t>
            </w:r>
          </w:p>
        </w:tc>
        <w:tc>
          <w:tcPr>
            <w:tcW w:w="714"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SFe</w:t>
            </w:r>
          </w:p>
        </w:tc>
        <w:tc>
          <w:tcPr>
            <w:tcW w:w="714"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FeO</w:t>
            </w:r>
          </w:p>
        </w:tc>
        <w:tc>
          <w:tcPr>
            <w:tcW w:w="714"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w:t>
            </w:r>
          </w:p>
        </w:tc>
        <w:tc>
          <w:tcPr>
            <w:tcW w:w="714"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P</w:t>
            </w:r>
          </w:p>
        </w:tc>
        <w:tc>
          <w:tcPr>
            <w:tcW w:w="714" w:type="pct"/>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Mn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含量/%</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30.21</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26.00</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16.45</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0.077</w:t>
            </w:r>
          </w:p>
        </w:tc>
        <w:tc>
          <w:tcPr>
            <w:tcW w:w="714" w:type="pct"/>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组成</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TiO</w:t>
            </w:r>
            <w:r>
              <w:rPr>
                <w:rFonts w:hint="eastAsia" w:ascii="宋体" w:hAnsi="宋体" w:eastAsia="宋体" w:cs="宋体"/>
                <w:b/>
                <w:bCs/>
                <w:sz w:val="21"/>
                <w:szCs w:val="21"/>
                <w:vertAlign w:val="subscript"/>
              </w:rPr>
              <w:t>2</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CaO</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MgO</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SiO</w:t>
            </w:r>
            <w:r>
              <w:rPr>
                <w:rFonts w:hint="eastAsia" w:ascii="宋体" w:hAnsi="宋体" w:eastAsia="宋体" w:cs="宋体"/>
                <w:b/>
                <w:bCs/>
                <w:sz w:val="21"/>
                <w:szCs w:val="21"/>
                <w:vertAlign w:val="subscript"/>
              </w:rPr>
              <w:t>2</w:t>
            </w:r>
          </w:p>
        </w:tc>
        <w:tc>
          <w:tcPr>
            <w:tcW w:w="71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Al</w:t>
            </w:r>
            <w:r>
              <w:rPr>
                <w:rFonts w:hint="eastAsia" w:ascii="宋体" w:hAnsi="宋体" w:eastAsia="宋体" w:cs="宋体"/>
                <w:b/>
                <w:bCs/>
                <w:sz w:val="21"/>
                <w:szCs w:val="21"/>
                <w:vertAlign w:val="subscript"/>
              </w:rPr>
              <w:t>2</w:t>
            </w:r>
            <w:r>
              <w:rPr>
                <w:rFonts w:hint="eastAsia" w:ascii="宋体" w:hAnsi="宋体" w:eastAsia="宋体" w:cs="宋体"/>
                <w:b/>
                <w:bCs/>
                <w:sz w:val="21"/>
                <w:szCs w:val="21"/>
              </w:rPr>
              <w:t>O</w:t>
            </w:r>
            <w:r>
              <w:rPr>
                <w:rFonts w:hint="eastAsia" w:ascii="宋体" w:hAnsi="宋体" w:eastAsia="宋体" w:cs="宋体"/>
                <w:b/>
                <w:bCs/>
                <w:sz w:val="21"/>
                <w:szCs w:val="21"/>
                <w:vertAlign w:val="subscript"/>
              </w:rPr>
              <w:t>3</w:t>
            </w:r>
          </w:p>
        </w:tc>
        <w:tc>
          <w:tcPr>
            <w:tcW w:w="714" w:type="pct"/>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4" w:type="pct"/>
            <w:tcBorders>
              <w:left w:val="single" w:color="auto" w:sz="12" w:space="0"/>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含量/%</w:t>
            </w:r>
          </w:p>
        </w:tc>
        <w:tc>
          <w:tcPr>
            <w:tcW w:w="714"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0.059</w:t>
            </w:r>
          </w:p>
        </w:tc>
        <w:tc>
          <w:tcPr>
            <w:tcW w:w="714"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2.16</w:t>
            </w:r>
          </w:p>
        </w:tc>
        <w:tc>
          <w:tcPr>
            <w:tcW w:w="714"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1.17</w:t>
            </w:r>
          </w:p>
        </w:tc>
        <w:tc>
          <w:tcPr>
            <w:tcW w:w="714"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45.18</w:t>
            </w:r>
          </w:p>
        </w:tc>
        <w:tc>
          <w:tcPr>
            <w:tcW w:w="714"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3.3</w:t>
            </w:r>
          </w:p>
        </w:tc>
        <w:tc>
          <w:tcPr>
            <w:tcW w:w="714" w:type="pct"/>
            <w:tcBorders>
              <w:bottom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2.64</w:t>
            </w:r>
          </w:p>
        </w:tc>
      </w:tr>
    </w:tbl>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表2.3.5-2 矿石的铁物相分析</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29"/>
        <w:gridCol w:w="1584"/>
        <w:gridCol w:w="1155"/>
        <w:gridCol w:w="1187"/>
        <w:gridCol w:w="1304"/>
        <w:gridCol w:w="1220"/>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pct"/>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矿物</w:t>
            </w:r>
          </w:p>
        </w:tc>
        <w:tc>
          <w:tcPr>
            <w:tcW w:w="853"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假象赤铁矿</w:t>
            </w:r>
          </w:p>
        </w:tc>
        <w:tc>
          <w:tcPr>
            <w:tcW w:w="622"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磁铁矿</w:t>
            </w:r>
          </w:p>
        </w:tc>
        <w:tc>
          <w:tcPr>
            <w:tcW w:w="639"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黄铁矿</w:t>
            </w:r>
          </w:p>
        </w:tc>
        <w:tc>
          <w:tcPr>
            <w:tcW w:w="702"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硅酸铁</w:t>
            </w:r>
          </w:p>
        </w:tc>
        <w:tc>
          <w:tcPr>
            <w:tcW w:w="657" w:type="pc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其他</w:t>
            </w:r>
          </w:p>
        </w:tc>
        <w:tc>
          <w:tcPr>
            <w:tcW w:w="593" w:type="pct"/>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原矿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pct"/>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TFe/%</w:t>
            </w:r>
          </w:p>
        </w:tc>
        <w:tc>
          <w:tcPr>
            <w:tcW w:w="853"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1.93</w:t>
            </w:r>
          </w:p>
        </w:tc>
        <w:tc>
          <w:tcPr>
            <w:tcW w:w="622"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20.28</w:t>
            </w:r>
          </w:p>
        </w:tc>
        <w:tc>
          <w:tcPr>
            <w:tcW w:w="639"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0.032</w:t>
            </w:r>
          </w:p>
        </w:tc>
        <w:tc>
          <w:tcPr>
            <w:tcW w:w="702"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5.39</w:t>
            </w:r>
          </w:p>
        </w:tc>
        <w:tc>
          <w:tcPr>
            <w:tcW w:w="657"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2.71</w:t>
            </w:r>
          </w:p>
        </w:tc>
        <w:tc>
          <w:tcPr>
            <w:tcW w:w="593" w:type="pct"/>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1" w:type="pct"/>
            <w:tcBorders>
              <w:left w:val="single" w:color="auto" w:sz="12" w:space="0"/>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TFe分配率/%</w:t>
            </w:r>
          </w:p>
        </w:tc>
        <w:tc>
          <w:tcPr>
            <w:tcW w:w="853"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6.36</w:t>
            </w:r>
          </w:p>
        </w:tc>
        <w:tc>
          <w:tcPr>
            <w:tcW w:w="622"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66.84</w:t>
            </w:r>
          </w:p>
        </w:tc>
        <w:tc>
          <w:tcPr>
            <w:tcW w:w="639"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0.11</w:t>
            </w:r>
          </w:p>
        </w:tc>
        <w:tc>
          <w:tcPr>
            <w:tcW w:w="702"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17.76</w:t>
            </w:r>
          </w:p>
        </w:tc>
        <w:tc>
          <w:tcPr>
            <w:tcW w:w="657" w:type="pct"/>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7.91</w:t>
            </w:r>
          </w:p>
        </w:tc>
        <w:tc>
          <w:tcPr>
            <w:tcW w:w="593" w:type="pct"/>
            <w:tcBorders>
              <w:bottom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100.00</w:t>
            </w:r>
          </w:p>
        </w:tc>
      </w:tr>
    </w:tbl>
    <w:p>
      <w:pPr>
        <w:pStyle w:val="7"/>
        <w:rPr>
          <w:rFonts w:hint="eastAsia" w:ascii="宋体" w:hAnsi="宋体" w:eastAsia="宋体" w:cs="宋体"/>
          <w:lang w:eastAsia="zh-CN"/>
        </w:rPr>
      </w:pPr>
      <w:r>
        <w:rPr>
          <w:rFonts w:hint="eastAsia" w:ascii="宋体" w:hAnsi="宋体" w:eastAsia="宋体" w:cs="宋体"/>
          <w:lang w:eastAsia="zh-CN"/>
        </w:rPr>
        <w:t>2.3.6 平面布置</w:t>
      </w:r>
    </w:p>
    <w:p>
      <w:pPr>
        <w:pStyle w:val="16"/>
        <w:ind w:firstLine="560"/>
        <w:rPr>
          <w:rFonts w:hint="eastAsia" w:ascii="宋体" w:hAnsi="宋体" w:eastAsia="宋体" w:cs="宋体"/>
        </w:rPr>
      </w:pPr>
      <w:r>
        <w:rPr>
          <w:rFonts w:hint="eastAsia" w:ascii="宋体" w:hAnsi="宋体" w:eastAsia="宋体" w:cs="宋体"/>
        </w:rPr>
        <w:t>选矿厂为不规则形状，南北长、东西窄。东侧厂界从北向南依次布设皮带廊、矿石堆场、粗碎车间、铁精粉仓库、浓缩池；西侧厂界从南向北依次布设浓缩池、磨选车间、筛分车间、中、洗破碎车间、皮带廊。尾矿库呈不规则形状，主要包括推土场、1-2#尾矿库。选矿厂及尾矿库总体布置见图2.3.6-1。</w:t>
      </w:r>
    </w:p>
    <w:p>
      <w:pPr>
        <w:pStyle w:val="7"/>
        <w:rPr>
          <w:rFonts w:hint="eastAsia" w:ascii="宋体" w:hAnsi="宋体" w:eastAsia="宋体" w:cs="宋体"/>
          <w:lang w:eastAsia="zh-CN"/>
        </w:rPr>
      </w:pPr>
      <w:r>
        <w:rPr>
          <w:rFonts w:hint="eastAsia" w:ascii="宋体" w:hAnsi="宋体" w:eastAsia="宋体" w:cs="宋体"/>
          <w:lang w:eastAsia="zh-CN"/>
        </w:rPr>
        <w:t>2.3.7 工艺流程及产排污</w:t>
      </w:r>
    </w:p>
    <w:p>
      <w:pPr>
        <w:pStyle w:val="8"/>
        <w:rPr>
          <w:rFonts w:hint="eastAsia" w:ascii="宋体" w:hAnsi="宋体" w:eastAsia="宋体" w:cs="宋体"/>
          <w:lang w:eastAsia="zh-CN"/>
        </w:rPr>
      </w:pPr>
      <w:r>
        <w:rPr>
          <w:rFonts w:hint="eastAsia" w:ascii="宋体" w:hAnsi="宋体" w:eastAsia="宋体" w:cs="宋体"/>
          <w:lang w:eastAsia="zh-CN"/>
        </w:rPr>
        <w:t>2.3.7.1 选矿工艺流程</w:t>
      </w:r>
    </w:p>
    <w:p>
      <w:pPr>
        <w:ind w:firstLine="560"/>
        <w:rPr>
          <w:rFonts w:hint="eastAsia" w:ascii="宋体" w:hAnsi="宋体" w:eastAsia="宋体" w:cs="宋体"/>
          <w:lang w:eastAsia="zh-CN"/>
        </w:rPr>
      </w:pPr>
      <w:r>
        <w:rPr>
          <w:rFonts w:hint="eastAsia" w:ascii="宋体" w:hAnsi="宋体" w:eastAsia="宋体" w:cs="宋体"/>
          <w:lang w:eastAsia="zh-CN"/>
        </w:rPr>
        <w:t>选矿厂主要</w:t>
      </w:r>
      <w:r>
        <w:rPr>
          <w:rFonts w:hint="eastAsia" w:cs="宋体"/>
          <w:lang w:eastAsia="zh-CN"/>
        </w:rPr>
        <w:t>建有</w:t>
      </w:r>
      <w:r>
        <w:rPr>
          <w:rFonts w:hint="eastAsia" w:ascii="宋体" w:hAnsi="宋体" w:eastAsia="宋体" w:cs="宋体"/>
          <w:lang w:eastAsia="zh-CN"/>
        </w:rPr>
        <w:t>破碎筛分干选车间和磨选车间，其生产工艺流程及产污环节见图2.3.7-1、图2.3.7-2。</w:t>
      </w:r>
    </w:p>
    <w:p>
      <w:pPr>
        <w:ind w:firstLine="560"/>
        <w:rPr>
          <w:rFonts w:hint="eastAsia" w:ascii="宋体" w:hAnsi="宋体" w:eastAsia="宋体" w:cs="宋体"/>
          <w:lang w:eastAsia="zh-CN"/>
        </w:rPr>
      </w:pPr>
      <w:r>
        <w:rPr>
          <w:rFonts w:hint="eastAsia" w:ascii="宋体" w:hAnsi="宋体" w:eastAsia="宋体" w:cs="宋体"/>
          <w:lang w:eastAsia="zh-CN"/>
        </w:rPr>
        <w:t>1）破碎筛分干选车间</w:t>
      </w:r>
    </w:p>
    <w:p>
      <w:pPr>
        <w:ind w:firstLine="560"/>
        <w:rPr>
          <w:rFonts w:hint="eastAsia" w:ascii="宋体" w:hAnsi="宋体" w:eastAsia="宋体" w:cs="宋体"/>
          <w:lang w:eastAsia="zh-CN"/>
        </w:rPr>
      </w:pPr>
      <w:r>
        <w:rPr>
          <w:rFonts w:hint="eastAsia" w:ascii="宋体" w:hAnsi="宋体" w:eastAsia="宋体" w:cs="宋体"/>
          <w:lang w:eastAsia="zh-CN"/>
        </w:rPr>
        <w:t>破碎系统采用三段一闭路破碎、筛分、干选的工艺流程，碎矿产品粒度0-12mm，储存于4个圆筒粉矿仓内。</w:t>
      </w:r>
    </w:p>
    <w:p>
      <w:pPr>
        <w:ind w:firstLine="560"/>
        <w:rPr>
          <w:rFonts w:hint="eastAsia" w:ascii="宋体" w:hAnsi="宋体" w:eastAsia="宋体" w:cs="宋体"/>
          <w:lang w:eastAsia="zh-CN"/>
        </w:rPr>
      </w:pPr>
      <w:r>
        <w:rPr>
          <w:rFonts w:hint="eastAsia" w:ascii="宋体" w:hAnsi="宋体" w:eastAsia="宋体" w:cs="宋体"/>
          <w:lang w:eastAsia="zh-CN"/>
        </w:rPr>
        <w:t>矿石经皮带运输至JC1100颚式破碎机进行粗碎，粗碎产品落料至带式输送机上运输至H6800EC-HC圆锥破碎机进行中碎，中碎后产品落料至带式运输机上，输送至筛分车间。筛分采用1台2YAQ3073－AT圆振动筛，筛上物料直接落料至皮带运输机上，运输至细碎车间，经HP500圆锥破碎机细碎后运输至筛分车间，构成闭路。筛下物料经皮带运输至缓冲仓。</w:t>
      </w:r>
    </w:p>
    <w:p>
      <w:pPr>
        <w:ind w:firstLine="560"/>
        <w:rPr>
          <w:rFonts w:hint="eastAsia" w:ascii="宋体" w:hAnsi="宋体" w:eastAsia="宋体" w:cs="宋体"/>
          <w:lang w:eastAsia="zh-CN"/>
        </w:rPr>
      </w:pPr>
      <w:r>
        <w:rPr>
          <w:rFonts w:hint="eastAsia" w:ascii="宋体" w:hAnsi="宋体" w:eastAsia="宋体" w:cs="宋体"/>
          <w:lang w:eastAsia="zh-CN"/>
        </w:rPr>
        <w:t>2）磨选车间</w:t>
      </w:r>
    </w:p>
    <w:p>
      <w:pPr>
        <w:ind w:firstLine="560"/>
        <w:rPr>
          <w:rFonts w:hint="eastAsia" w:ascii="宋体" w:hAnsi="宋体" w:eastAsia="宋体" w:cs="宋体"/>
          <w:lang w:eastAsia="zh-CN"/>
        </w:rPr>
      </w:pPr>
      <w:r>
        <w:rPr>
          <w:rFonts w:hint="eastAsia" w:ascii="宋体" w:hAnsi="宋体" w:eastAsia="宋体" w:cs="宋体"/>
          <w:lang w:eastAsia="zh-CN"/>
        </w:rPr>
        <w:t>原粉矿仓内物料经仓底集料皮带运至转运站，经球磨机给料皮带运至湿式预选机进行预选抛废，预选废石由直线振动筛（-1mm筛下物料）进行脱水，其筛上粗粒废石通过废渣带式输送机运至原废石仓，汽车外运。筛下矿石进入由溢流型球磨机与旋流器组成的闭路磨矿，细度-200目占60%。旋流器溢流经一段粗磁选后进入再磨系统，再磨分级采用德瑞克高频细筛，高频细筛筛上产品经浓缩磁选后返回一段溢流型球磨机再磨。高频细筛筛下矿石细度为-200目的占80%，通过二段磁选。</w:t>
      </w:r>
    </w:p>
    <w:p>
      <w:pPr>
        <w:ind w:firstLine="560"/>
        <w:rPr>
          <w:rFonts w:hint="eastAsia" w:ascii="宋体" w:hAnsi="宋体" w:eastAsia="宋体" w:cs="宋体"/>
          <w:lang w:eastAsia="zh-CN"/>
        </w:rPr>
      </w:pPr>
      <w:r>
        <w:rPr>
          <w:rFonts w:hint="eastAsia" w:ascii="宋体" w:hAnsi="宋体" w:eastAsia="宋体" w:cs="宋体"/>
          <w:lang w:eastAsia="zh-CN"/>
        </w:rPr>
        <w:t>磁选精矿进入品位提升机提质除杂，其精矿给入高效智能磁浮选柱，磁浮选柱精矿为最终铁精矿，品位66.5%，磁浮选柱尾矿品位30%左右，作为中矿进入尾矿利用系统。一、二段磁选尾矿、浓缩磁选尾矿、直线筛筛下物料、品位提升机尾矿品位约14%，均进入浓缩池，溢流水回用于选矿生产，底流进入盘式磁选机磁选，得到中矿和最终尾矿。中矿品位约17%，进入尾矿利用系统；最终尾矿（浓度20%，品位约10.21%）通过管道输送至采矿地下采空区充填站用于充填。</w:t>
      </w:r>
    </w:p>
    <w:p>
      <w:pPr>
        <w:ind w:firstLine="560"/>
        <w:rPr>
          <w:rFonts w:hint="eastAsia" w:ascii="宋体" w:hAnsi="宋体" w:eastAsia="宋体" w:cs="宋体"/>
          <w:lang w:eastAsia="zh-CN"/>
        </w:rPr>
      </w:pPr>
      <w:r>
        <w:rPr>
          <w:rFonts w:hint="eastAsia" w:ascii="宋体" w:hAnsi="宋体" w:eastAsia="宋体" w:cs="宋体"/>
          <w:lang w:eastAsia="zh-CN"/>
        </w:rPr>
        <w:t>磁浮选柱尾矿和一、二段磁选尾矿、浓缩磁选尾矿、直线筛筛下物料及品位提升机尾矿混合后的中矿品位约28%，进入磁选机提高浓度，之后进入球磨机与旋流器组成的闭路磨矿，旋流器溢流经磁选机磁选后再进入球磨机与旋流器组成的闭路磨矿，旋流器溢流进入磁选机，磁选得到的精矿返回主厂房进入品位提升机提质除杂，再加药调浆后给入高效智能磁浮选柱，磁浮选柱精矿为最终铁精矿，品位60%。尾矿利用工艺中的磁选及磁浮选柱产生的尾矿与上述盘式磁选机得到的尾矿一起通过管道输送至采矿地下采空区充填站用于充填。</w:t>
      </w:r>
    </w:p>
    <w:p>
      <w:pPr>
        <w:ind w:firstLine="560"/>
        <w:rPr>
          <w:rFonts w:hint="eastAsia" w:ascii="宋体" w:hAnsi="宋体" w:eastAsia="宋体" w:cs="宋体"/>
          <w:lang w:eastAsia="zh-CN"/>
        </w:rPr>
        <w:sectPr>
          <w:headerReference r:id="rId31" w:type="default"/>
          <w:footerReference r:id="rId33" w:type="default"/>
          <w:headerReference r:id="rId32" w:type="even"/>
          <w:footerReference r:id="rId34" w:type="even"/>
          <w:pgSz w:w="11905" w:h="16838"/>
          <w:pgMar w:top="1417" w:right="1247" w:bottom="1247" w:left="1587" w:header="850" w:footer="850" w:gutter="0"/>
          <w:pgBorders>
            <w:top w:val="none" w:sz="0" w:space="0"/>
            <w:left w:val="none" w:sz="0" w:space="0"/>
            <w:bottom w:val="none" w:sz="0" w:space="0"/>
            <w:right w:val="none" w:sz="0" w:space="0"/>
          </w:pgBorders>
          <w:cols w:space="0" w:num="1"/>
          <w:docGrid w:type="lines" w:linePitch="383" w:charSpace="0"/>
        </w:sectPr>
      </w:pPr>
      <w:r>
        <w:rPr>
          <w:rFonts w:hint="eastAsia" w:ascii="宋体" w:hAnsi="宋体" w:eastAsia="宋体" w:cs="宋体"/>
          <w:kern w:val="2"/>
          <w:lang w:eastAsia="zh-CN"/>
        </w:rPr>
        <w:t>两个磁浮选柱得到的精矿混合后得到品位为65.5%的铁精粉。</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lang w:eastAsia="zh-CN"/>
              </w:rPr>
            </w:pPr>
            <w:r>
              <w:rPr>
                <w:rFonts w:hint="eastAsia" w:ascii="宋体" w:hAnsi="宋体" w:eastAsia="宋体" w:cs="宋体"/>
                <w:sz w:val="21"/>
                <w:szCs w:val="21"/>
                <w:lang w:eastAsia="zh-CN"/>
              </w:rPr>
              <mc:AlternateContent>
                <mc:Choice Requires="wps">
                  <w:drawing>
                    <wp:anchor distT="0" distB="0" distL="114300" distR="114300" simplePos="0" relativeHeight="251695104" behindDoc="0" locked="0" layoutInCell="1" allowOverlap="1">
                      <wp:simplePos x="0" y="0"/>
                      <wp:positionH relativeFrom="column">
                        <wp:posOffset>586105</wp:posOffset>
                      </wp:positionH>
                      <wp:positionV relativeFrom="paragraph">
                        <wp:posOffset>5476240</wp:posOffset>
                      </wp:positionV>
                      <wp:extent cx="751840" cy="579120"/>
                      <wp:effectExtent l="0" t="0" r="10160" b="11430"/>
                      <wp:wrapNone/>
                      <wp:docPr id="323" name="文本框 323"/>
                      <wp:cNvGraphicFramePr/>
                      <a:graphic xmlns:a="http://schemas.openxmlformats.org/drawingml/2006/main">
                        <a:graphicData uri="http://schemas.microsoft.com/office/word/2010/wordprocessingShape">
                          <wps:wsp>
                            <wps:cNvSpPr txBox="1"/>
                            <wps:spPr>
                              <a:xfrm>
                                <a:off x="1830070" y="5979795"/>
                                <a:ext cx="751840" cy="57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560"/>
                                    <w:rPr>
                                      <w:lang w:eastAsia="zh-CN"/>
                                    </w:rPr>
                                  </w:pPr>
                                  <w:r>
                                    <w:rPr>
                                      <w:rFonts w:hint="eastAsia"/>
                                      <w:lang w:eastAsia="zh-CN"/>
                                    </w:rPr>
                                    <w:t>S5</w:t>
                                  </w:r>
                                </w:p>
                                <w:p>
                                  <w:pPr>
                                    <w:ind w:firstLine="560"/>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6.15pt;margin-top:431.2pt;height:45.6pt;width:59.2pt;z-index:251695104;mso-width-relative:page;mso-height-relative:page;" fillcolor="#FFFFFF [3201]" filled="t" stroked="f" coordsize="21600,21600" o:gfxdata="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FfWNXWAAAACgEAAA8AAAAAAAAAAQAgAAAAIgAAAGRycy9kb3ducmV2LnhtbFBLAQIUABQA&#10;AAAIAIdO4kCjzjZkZAIAAKwEAAAOAAAAAAAAAAEAIAAAACUBAABkcnMvZTJvRG9jLnhtbFBLBQYA&#10;AAAABgAGAFkBAAD7BQAAAAA=&#10;">
                      <v:fill on="t" focussize="0,0"/>
                      <v:stroke on="f" weight="0.5pt"/>
                      <v:imagedata o:title=""/>
                      <o:lock v:ext="edit" aspectratio="f"/>
                      <v:textbox>
                        <w:txbxContent>
                          <w:p>
                            <w:pPr>
                              <w:ind w:firstLine="560"/>
                              <w:rPr>
                                <w:lang w:eastAsia="zh-CN"/>
                              </w:rPr>
                            </w:pPr>
                            <w:r>
                              <w:rPr>
                                <w:rFonts w:hint="eastAsia"/>
                                <w:lang w:eastAsia="zh-CN"/>
                              </w:rPr>
                              <w:t>S5</w:t>
                            </w:r>
                          </w:p>
                          <w:p>
                            <w:pPr>
                              <w:ind w:firstLine="560"/>
                              <w:rPr>
                                <w:lang w:eastAsia="zh-CN"/>
                              </w:rPr>
                            </w:pPr>
                          </w:p>
                        </w:txbxContent>
                      </v:textbox>
                    </v:shape>
                  </w:pict>
                </mc:Fallback>
              </mc:AlternateContent>
            </w:r>
            <w:r>
              <w:rPr>
                <w:rFonts w:hint="eastAsia" w:ascii="宋体" w:hAnsi="宋体" w:eastAsia="宋体" w:cs="宋体"/>
                <w:sz w:val="21"/>
                <w:szCs w:val="21"/>
                <w:lang w:eastAsia="zh-CN"/>
              </w:rPr>
              <mc:AlternateContent>
                <mc:Choice Requires="wps">
                  <w:drawing>
                    <wp:anchor distT="0" distB="0" distL="114300" distR="114300" simplePos="0" relativeHeight="251697152" behindDoc="0" locked="0" layoutInCell="1" allowOverlap="1">
                      <wp:simplePos x="0" y="0"/>
                      <wp:positionH relativeFrom="column">
                        <wp:posOffset>2464435</wp:posOffset>
                      </wp:positionH>
                      <wp:positionV relativeFrom="paragraph">
                        <wp:posOffset>1136650</wp:posOffset>
                      </wp:positionV>
                      <wp:extent cx="760095" cy="299085"/>
                      <wp:effectExtent l="0" t="0" r="1905" b="5715"/>
                      <wp:wrapNone/>
                      <wp:docPr id="326" name="文本框 326"/>
                      <wp:cNvGraphicFramePr/>
                      <a:graphic xmlns:a="http://schemas.openxmlformats.org/drawingml/2006/main">
                        <a:graphicData uri="http://schemas.microsoft.com/office/word/2010/wordprocessingShape">
                          <wps:wsp>
                            <wps:cNvSpPr txBox="1"/>
                            <wps:spPr>
                              <a:xfrm>
                                <a:off x="0" y="0"/>
                                <a:ext cx="760095" cy="2990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24"/>
                                      <w:lang w:eastAsia="zh-CN"/>
                                    </w:rPr>
                                  </w:pPr>
                                  <w:r>
                                    <w:rPr>
                                      <w:rFonts w:hint="eastAsia"/>
                                      <w:sz w:val="24"/>
                                      <w:lang w:eastAsia="zh-CN"/>
                                    </w:rPr>
                                    <w:t>、S2</w:t>
                                  </w:r>
                                </w:p>
                                <w:p>
                                  <w:pPr>
                                    <w:ind w:firstLine="560"/>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05pt;margin-top:89.5pt;height:23.55pt;width:59.85pt;z-index:251697152;mso-width-relative:page;mso-height-relative:page;" fillcolor="#FFFFFF [3201]" filled="t" stroked="f" coordsize="21600,21600" o:gfxdata="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JlNV01QAAAAsB&#10;AAAPAAAAAAAAAAEAIAAAACIAAABkcnMvZG93bnJldi54bWxQSwECFAAUAAAACACHTuJA9PMLKlcC&#10;AACgBAAADgAAAAAAAAABACAAAAAkAQAAZHJzL2Uyb0RvYy54bWxQSwUGAAAAAAYABgBZAQAA7QUA&#10;AAAA&#10;">
                      <v:fill on="t" focussize="0,0"/>
                      <v:stroke on="f" weight="0.5pt"/>
                      <v:imagedata o:title=""/>
                      <o:lock v:ext="edit" aspectratio="f"/>
                      <v:textbox>
                        <w:txbxContent>
                          <w:p>
                            <w:pPr>
                              <w:spacing w:line="240" w:lineRule="auto"/>
                              <w:ind w:firstLine="0" w:firstLineChars="0"/>
                              <w:rPr>
                                <w:sz w:val="24"/>
                                <w:lang w:eastAsia="zh-CN"/>
                              </w:rPr>
                            </w:pPr>
                            <w:r>
                              <w:rPr>
                                <w:rFonts w:hint="eastAsia"/>
                                <w:sz w:val="24"/>
                                <w:lang w:eastAsia="zh-CN"/>
                              </w:rPr>
                              <w:t>、S2</w:t>
                            </w:r>
                          </w:p>
                          <w:p>
                            <w:pPr>
                              <w:ind w:firstLine="560"/>
                              <w:rPr>
                                <w:lang w:eastAsia="zh-CN"/>
                              </w:rPr>
                            </w:pPr>
                          </w:p>
                        </w:txbxContent>
                      </v:textbox>
                    </v:shape>
                  </w:pict>
                </mc:Fallback>
              </mc:AlternateContent>
            </w:r>
            <w:r>
              <w:rPr>
                <w:rFonts w:hint="eastAsia" w:ascii="宋体" w:hAnsi="宋体" w:eastAsia="宋体" w:cs="宋体"/>
                <w:sz w:val="21"/>
                <w:szCs w:val="21"/>
                <w:lang w:eastAsia="zh-CN"/>
              </w:rPr>
              <mc:AlternateContent>
                <mc:Choice Requires="wps">
                  <w:drawing>
                    <wp:anchor distT="0" distB="0" distL="114300" distR="114300" simplePos="0" relativeHeight="251696128" behindDoc="0" locked="0" layoutInCell="1" allowOverlap="1">
                      <wp:simplePos x="0" y="0"/>
                      <wp:positionH relativeFrom="column">
                        <wp:posOffset>2462530</wp:posOffset>
                      </wp:positionH>
                      <wp:positionV relativeFrom="paragraph">
                        <wp:posOffset>588010</wp:posOffset>
                      </wp:positionV>
                      <wp:extent cx="760095" cy="309245"/>
                      <wp:effectExtent l="0" t="0" r="1905" b="14605"/>
                      <wp:wrapNone/>
                      <wp:docPr id="324" name="文本框 324"/>
                      <wp:cNvGraphicFramePr/>
                      <a:graphic xmlns:a="http://schemas.openxmlformats.org/drawingml/2006/main">
                        <a:graphicData uri="http://schemas.microsoft.com/office/word/2010/wordprocessingShape">
                          <wps:wsp>
                            <wps:cNvSpPr txBox="1"/>
                            <wps:spPr>
                              <a:xfrm>
                                <a:off x="0" y="0"/>
                                <a:ext cx="760095" cy="30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24"/>
                                      <w:lang w:eastAsia="zh-CN"/>
                                    </w:rPr>
                                  </w:pPr>
                                  <w:r>
                                    <w:rPr>
                                      <w:rFonts w:hint="eastAsia"/>
                                      <w:sz w:val="24"/>
                                      <w:lang w:eastAsia="zh-CN"/>
                                    </w:rPr>
                                    <w:t>、S1</w:t>
                                  </w:r>
                                </w:p>
                                <w:p>
                                  <w:pPr>
                                    <w:ind w:firstLine="560"/>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3.9pt;margin-top:46.3pt;height:24.35pt;width:59.85pt;z-index:251696128;mso-width-relative:page;mso-height-relative:page;" fillcolor="#FFFFFF [3201]" filled="t" stroked="f" coordsize="21600,21600" o:gfxdata="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QpVH3VAAAACgEA&#10;AA8AAAAAAAAAAQAgAAAAIgAAAGRycy9kb3ducmV2LnhtbFBLAQIUABQAAAAIAIdO4kAmfKZlVgIA&#10;AKAEAAAOAAAAAAAAAAEAIAAAACQBAABkcnMvZTJvRG9jLnhtbFBLBQYAAAAABgAGAFkBAADsBQAA&#10;AAA=&#10;">
                      <v:fill on="t" focussize="0,0"/>
                      <v:stroke on="f" weight="0.5pt"/>
                      <v:imagedata o:title=""/>
                      <o:lock v:ext="edit" aspectratio="f"/>
                      <v:textbox>
                        <w:txbxContent>
                          <w:p>
                            <w:pPr>
                              <w:spacing w:line="240" w:lineRule="auto"/>
                              <w:ind w:firstLine="0" w:firstLineChars="0"/>
                              <w:rPr>
                                <w:sz w:val="24"/>
                                <w:lang w:eastAsia="zh-CN"/>
                              </w:rPr>
                            </w:pPr>
                            <w:r>
                              <w:rPr>
                                <w:rFonts w:hint="eastAsia"/>
                                <w:sz w:val="24"/>
                                <w:lang w:eastAsia="zh-CN"/>
                              </w:rPr>
                              <w:t>、S1</w:t>
                            </w:r>
                          </w:p>
                          <w:p>
                            <w:pPr>
                              <w:ind w:firstLine="560"/>
                              <w:rPr>
                                <w:lang w:eastAsia="zh-CN"/>
                              </w:rPr>
                            </w:pPr>
                          </w:p>
                        </w:txbxContent>
                      </v:textbox>
                    </v:shape>
                  </w:pict>
                </mc:Fallback>
              </mc:AlternateContent>
            </w:r>
            <w:r>
              <w:rPr>
                <w:rFonts w:hint="eastAsia" w:ascii="宋体" w:hAnsi="宋体" w:eastAsia="宋体" w:cs="宋体"/>
                <w:sz w:val="21"/>
                <w:szCs w:val="21"/>
                <w:lang w:eastAsia="zh-CN"/>
              </w:rPr>
              <mc:AlternateContent>
                <mc:Choice Requires="wps">
                  <w:drawing>
                    <wp:anchor distT="0" distB="0" distL="114300" distR="114300" simplePos="0" relativeHeight="251698176" behindDoc="0" locked="0" layoutInCell="1" allowOverlap="1">
                      <wp:simplePos x="0" y="0"/>
                      <wp:positionH relativeFrom="column">
                        <wp:posOffset>3231515</wp:posOffset>
                      </wp:positionH>
                      <wp:positionV relativeFrom="paragraph">
                        <wp:posOffset>2957830</wp:posOffset>
                      </wp:positionV>
                      <wp:extent cx="760095" cy="340360"/>
                      <wp:effectExtent l="0" t="0" r="1905" b="2540"/>
                      <wp:wrapNone/>
                      <wp:docPr id="327" name="文本框 327"/>
                      <wp:cNvGraphicFramePr/>
                      <a:graphic xmlns:a="http://schemas.openxmlformats.org/drawingml/2006/main">
                        <a:graphicData uri="http://schemas.microsoft.com/office/word/2010/wordprocessingShape">
                          <wps:wsp>
                            <wps:cNvSpPr txBox="1"/>
                            <wps:spPr>
                              <a:xfrm>
                                <a:off x="0" y="0"/>
                                <a:ext cx="760095" cy="34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24"/>
                                      <w:lang w:eastAsia="zh-CN"/>
                                    </w:rPr>
                                  </w:pPr>
                                  <w:r>
                                    <w:rPr>
                                      <w:rFonts w:hint="eastAsia"/>
                                      <w:sz w:val="24"/>
                                      <w:lang w:eastAsia="zh-CN"/>
                                    </w:rPr>
                                    <w:t>、S3</w:t>
                                  </w:r>
                                </w:p>
                                <w:p>
                                  <w:pPr>
                                    <w:ind w:firstLine="560"/>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54.45pt;margin-top:232.9pt;height:26.8pt;width:59.85pt;z-index:251698176;mso-width-relative:page;mso-height-relative:page;" fillcolor="#FFFFFF [3201]" filled="t" stroked="f" coordsize="21600,21600" o:gfxdata="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6i4e/dYA&#10;AAALAQAADwAAAAAAAAABACAAAAAiAAAAZHJzL2Rvd25yZXYueG1sUEsBAhQAFAAAAAgAh07iQHJT&#10;qrxaAgAAoAQAAA4AAAAAAAAAAQAgAAAAJQEAAGRycy9lMm9Eb2MueG1sUEsFBgAAAAAGAAYAWQEA&#10;APEFAAAAAA==&#10;">
                      <v:fill on="t" focussize="0,0"/>
                      <v:stroke on="f" weight="0.5pt"/>
                      <v:imagedata o:title=""/>
                      <o:lock v:ext="edit" aspectratio="f"/>
                      <v:textbox>
                        <w:txbxContent>
                          <w:p>
                            <w:pPr>
                              <w:spacing w:line="240" w:lineRule="auto"/>
                              <w:ind w:firstLine="0" w:firstLineChars="0"/>
                              <w:rPr>
                                <w:sz w:val="24"/>
                                <w:lang w:eastAsia="zh-CN"/>
                              </w:rPr>
                            </w:pPr>
                            <w:r>
                              <w:rPr>
                                <w:rFonts w:hint="eastAsia"/>
                                <w:sz w:val="24"/>
                                <w:lang w:eastAsia="zh-CN"/>
                              </w:rPr>
                              <w:t>、S3</w:t>
                            </w:r>
                          </w:p>
                          <w:p>
                            <w:pPr>
                              <w:ind w:firstLine="560"/>
                              <w:rPr>
                                <w:lang w:eastAsia="zh-CN"/>
                              </w:rPr>
                            </w:pPr>
                          </w:p>
                        </w:txbxContent>
                      </v:textbox>
                    </v:shape>
                  </w:pict>
                </mc:Fallback>
              </mc:AlternateContent>
            </w:r>
            <w:r>
              <w:rPr>
                <w:rFonts w:hint="eastAsia" w:ascii="宋体" w:hAnsi="宋体" w:eastAsia="宋体" w:cs="宋体"/>
                <w:sz w:val="21"/>
                <w:szCs w:val="21"/>
                <w:lang w:eastAsia="zh-CN"/>
              </w:rPr>
              <mc:AlternateContent>
                <mc:Choice Requires="wps">
                  <w:drawing>
                    <wp:anchor distT="0" distB="0" distL="114300" distR="114300" simplePos="0" relativeHeight="251700224" behindDoc="0" locked="0" layoutInCell="1" allowOverlap="1">
                      <wp:simplePos x="0" y="0"/>
                      <wp:positionH relativeFrom="column">
                        <wp:posOffset>1016635</wp:posOffset>
                      </wp:positionH>
                      <wp:positionV relativeFrom="paragraph">
                        <wp:posOffset>7247255</wp:posOffset>
                      </wp:positionV>
                      <wp:extent cx="403225" cy="810260"/>
                      <wp:effectExtent l="0" t="0" r="15875" b="8890"/>
                      <wp:wrapNone/>
                      <wp:docPr id="329" name="文本框 329"/>
                      <wp:cNvGraphicFramePr/>
                      <a:graphic xmlns:a="http://schemas.openxmlformats.org/drawingml/2006/main">
                        <a:graphicData uri="http://schemas.microsoft.com/office/word/2010/wordprocessingShape">
                          <wps:wsp>
                            <wps:cNvSpPr txBox="1"/>
                            <wps:spPr>
                              <a:xfrm>
                                <a:off x="0" y="0"/>
                                <a:ext cx="403225" cy="810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24"/>
                                      <w:lang w:eastAsia="zh-CN"/>
                                    </w:rPr>
                                  </w:pPr>
                                  <w:r>
                                    <w:rPr>
                                      <w:rFonts w:hint="eastAsia"/>
                                      <w:sz w:val="24"/>
                                      <w:lang w:eastAsia="zh-CN"/>
                                    </w:rPr>
                                    <w:t>G4S4</w:t>
                                  </w:r>
                                </w:p>
                                <w:p>
                                  <w:pPr>
                                    <w:ind w:firstLine="560"/>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0.05pt;margin-top:570.65pt;height:63.8pt;width:31.75pt;z-index:251700224;mso-width-relative:page;mso-height-relative:page;" fillcolor="#FFFFFF [3201]" filled="t" stroked="f" coordsize="21600,21600" o:gfxdata="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NGWUHDX&#10;AAAADQEAAA8AAAAAAAAAAQAgAAAAIgAAAGRycy9kb3ducmV2LnhtbFBLAQIUABQAAAAIAIdO4kDS&#10;Q5LnWgIAAKAEAAAOAAAAAAAAAAEAIAAAACYBAABkcnMvZTJvRG9jLnhtbFBLBQYAAAAABgAGAFkB&#10;AADyBQAAAAA=&#10;">
                      <v:fill on="t" focussize="0,0"/>
                      <v:stroke on="f" weight="0.5pt"/>
                      <v:imagedata o:title=""/>
                      <o:lock v:ext="edit" aspectratio="f"/>
                      <v:textbox>
                        <w:txbxContent>
                          <w:p>
                            <w:pPr>
                              <w:spacing w:line="240" w:lineRule="auto"/>
                              <w:ind w:firstLine="0" w:firstLineChars="0"/>
                              <w:rPr>
                                <w:sz w:val="24"/>
                                <w:lang w:eastAsia="zh-CN"/>
                              </w:rPr>
                            </w:pPr>
                            <w:r>
                              <w:rPr>
                                <w:rFonts w:hint="eastAsia"/>
                                <w:sz w:val="24"/>
                                <w:lang w:eastAsia="zh-CN"/>
                              </w:rPr>
                              <w:t>G4S4</w:t>
                            </w:r>
                          </w:p>
                          <w:p>
                            <w:pPr>
                              <w:ind w:firstLine="560"/>
                              <w:rPr>
                                <w:lang w:eastAsia="zh-CN"/>
                              </w:rPr>
                            </w:pPr>
                          </w:p>
                        </w:txbxContent>
                      </v:textbox>
                    </v:shape>
                  </w:pict>
                </mc:Fallback>
              </mc:AlternateContent>
            </w:r>
            <w:r>
              <w:rPr>
                <w:rFonts w:hint="eastAsia" w:ascii="宋体" w:hAnsi="宋体" w:eastAsia="宋体" w:cs="宋体"/>
                <w:sz w:val="21"/>
                <w:szCs w:val="21"/>
                <w:lang w:eastAsia="zh-CN"/>
              </w:rPr>
              <mc:AlternateContent>
                <mc:Choice Requires="wps">
                  <w:drawing>
                    <wp:anchor distT="0" distB="0" distL="114300" distR="114300" simplePos="0" relativeHeight="251699200" behindDoc="0" locked="0" layoutInCell="1" allowOverlap="1">
                      <wp:simplePos x="0" y="0"/>
                      <wp:positionH relativeFrom="column">
                        <wp:posOffset>4875530</wp:posOffset>
                      </wp:positionH>
                      <wp:positionV relativeFrom="paragraph">
                        <wp:posOffset>7213600</wp:posOffset>
                      </wp:positionV>
                      <wp:extent cx="375920" cy="810260"/>
                      <wp:effectExtent l="0" t="0" r="5080" b="8890"/>
                      <wp:wrapNone/>
                      <wp:docPr id="328" name="文本框 328"/>
                      <wp:cNvGraphicFramePr/>
                      <a:graphic xmlns:a="http://schemas.openxmlformats.org/drawingml/2006/main">
                        <a:graphicData uri="http://schemas.microsoft.com/office/word/2010/wordprocessingShape">
                          <wps:wsp>
                            <wps:cNvSpPr txBox="1"/>
                            <wps:spPr>
                              <a:xfrm>
                                <a:off x="0" y="0"/>
                                <a:ext cx="375920" cy="8102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24"/>
                                      <w:lang w:eastAsia="zh-CN"/>
                                    </w:rPr>
                                  </w:pPr>
                                  <w:r>
                                    <w:rPr>
                                      <w:rFonts w:hint="eastAsia"/>
                                      <w:sz w:val="24"/>
                                      <w:lang w:eastAsia="zh-CN"/>
                                    </w:rPr>
                                    <w:t>G4S4</w:t>
                                  </w:r>
                                </w:p>
                                <w:p>
                                  <w:pPr>
                                    <w:ind w:firstLine="560"/>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3.9pt;margin-top:568pt;height:63.8pt;width:29.6pt;z-index:251699200;mso-width-relative:page;mso-height-relative:page;" fillcolor="#FFFFFF [3201]" filled="t" stroked="f" coordsize="21600,21600" o:gfxdata="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nlel/9cA&#10;AAANAQAADwAAAAAAAAABACAAAAAiAAAAZHJzL2Rvd25yZXYueG1sUEsBAhQAFAAAAAgAh07iQIFX&#10;9ppZAgAAoAQAAA4AAAAAAAAAAQAgAAAAJgEAAGRycy9lMm9Eb2MueG1sUEsFBgAAAAAGAAYAWQEA&#10;APEFAAAAAA==&#10;">
                      <v:fill on="t" focussize="0,0"/>
                      <v:stroke on="f" weight="0.5pt"/>
                      <v:imagedata o:title=""/>
                      <o:lock v:ext="edit" aspectratio="f"/>
                      <v:textbox>
                        <w:txbxContent>
                          <w:p>
                            <w:pPr>
                              <w:spacing w:line="240" w:lineRule="auto"/>
                              <w:ind w:firstLine="0" w:firstLineChars="0"/>
                              <w:rPr>
                                <w:sz w:val="24"/>
                                <w:lang w:eastAsia="zh-CN"/>
                              </w:rPr>
                            </w:pPr>
                            <w:r>
                              <w:rPr>
                                <w:rFonts w:hint="eastAsia"/>
                                <w:sz w:val="24"/>
                                <w:lang w:eastAsia="zh-CN"/>
                              </w:rPr>
                              <w:t>G4S4</w:t>
                            </w:r>
                          </w:p>
                          <w:p>
                            <w:pPr>
                              <w:ind w:firstLine="560"/>
                              <w:rPr>
                                <w:lang w:eastAsia="zh-CN"/>
                              </w:rPr>
                            </w:pPr>
                          </w:p>
                        </w:txbxContent>
                      </v:textbox>
                    </v:shape>
                  </w:pict>
                </mc:Fallback>
              </mc:AlternateContent>
            </w:r>
            <w:r>
              <w:rPr>
                <w:rFonts w:hint="eastAsia" w:ascii="宋体" w:hAnsi="宋体" w:eastAsia="宋体" w:cs="宋体"/>
                <w:b/>
                <w:bCs/>
                <w:sz w:val="21"/>
                <w:szCs w:val="21"/>
                <w:lang w:eastAsia="zh-CN"/>
              </w:rPr>
              <w:drawing>
                <wp:anchor distT="0" distB="0" distL="114300" distR="114300" simplePos="0" relativeHeight="251687936" behindDoc="0" locked="0" layoutInCell="1" allowOverlap="1">
                  <wp:simplePos x="0" y="0"/>
                  <wp:positionH relativeFrom="column">
                    <wp:posOffset>7620</wp:posOffset>
                  </wp:positionH>
                  <wp:positionV relativeFrom="paragraph">
                    <wp:posOffset>29210</wp:posOffset>
                  </wp:positionV>
                  <wp:extent cx="5346065" cy="8173720"/>
                  <wp:effectExtent l="0" t="0" r="6985" b="17780"/>
                  <wp:wrapTopAndBottom/>
                  <wp:docPr id="3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5"/>
                          <pic:cNvPicPr>
                            <a:picLocks noChangeAspect="1"/>
                          </pic:cNvPicPr>
                        </pic:nvPicPr>
                        <pic:blipFill>
                          <a:blip r:embed="rId89"/>
                          <a:stretch>
                            <a:fillRect/>
                          </a:stretch>
                        </pic:blipFill>
                        <pic:spPr>
                          <a:xfrm>
                            <a:off x="0" y="0"/>
                            <a:ext cx="5346065" cy="8173720"/>
                          </a:xfrm>
                          <a:prstGeom prst="rect">
                            <a:avLst/>
                          </a:prstGeom>
                          <a:noFill/>
                          <a:ln>
                            <a:noFill/>
                          </a:ln>
                        </pic:spPr>
                      </pic:pic>
                    </a:graphicData>
                  </a:graphic>
                </wp:anchor>
              </w:drawing>
            </w:r>
            <w:r>
              <w:rPr>
                <w:rFonts w:hint="eastAsia" w:ascii="宋体" w:hAnsi="宋体" w:eastAsia="宋体" w:cs="宋体"/>
                <w:b/>
                <w:bCs/>
                <w:sz w:val="21"/>
                <w:szCs w:val="21"/>
                <w:lang w:eastAsia="zh-CN"/>
              </w:rPr>
              <w:t xml:space="preserve">备注：G代表废气；S代表固废；整个过程都有噪声产生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nil"/>
              <w:left w:val="nil"/>
              <w:bottom w:val="nil"/>
              <w:right w:val="nil"/>
            </w:tcBorders>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图2.3.7-1 破碎筛分干选车间工艺流程及产污环节图</w:t>
            </w:r>
          </w:p>
        </w:tc>
      </w:tr>
    </w:tbl>
    <w:p>
      <w:pPr>
        <w:pStyle w:val="14"/>
        <w:ind w:firstLine="560"/>
        <w:rPr>
          <w:rFonts w:hint="eastAsia" w:ascii="宋体" w:hAnsi="宋体" w:eastAsia="宋体" w:cs="宋体"/>
          <w:lang w:eastAsia="zh-CN"/>
        </w:rPr>
        <w:sectPr>
          <w:headerReference r:id="rId35" w:type="default"/>
          <w:footerReference r:id="rId37" w:type="default"/>
          <w:headerReference r:id="rId36" w:type="even"/>
          <w:footerReference r:id="rId38" w:type="even"/>
          <w:pgSz w:w="11905" w:h="16838"/>
          <w:pgMar w:top="1417" w:right="1247" w:bottom="1247" w:left="1587" w:header="850" w:footer="850" w:gutter="0"/>
          <w:pgBorders>
            <w:top w:val="none" w:sz="0" w:space="0"/>
            <w:left w:val="none" w:sz="0" w:space="0"/>
            <w:bottom w:val="none" w:sz="0" w:space="0"/>
            <w:right w:val="none" w:sz="0" w:space="0"/>
          </w:pgBorders>
          <w:cols w:space="720" w:num="1"/>
          <w:docGrid w:type="lines" w:linePitch="383" w:charSpace="0"/>
        </w:sect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6" w:type="dxa"/>
            <w:tcBorders>
              <w:tl2br w:val="nil"/>
              <w:tr2bl w:val="nil"/>
            </w:tcBorders>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lang w:eastAsia="zh-CN"/>
              </w:rPr>
            </w:pPr>
            <w:r>
              <w:rPr>
                <w:rFonts w:hint="eastAsia" w:ascii="宋体" w:hAnsi="宋体" w:eastAsia="宋体" w:cs="宋体"/>
                <w:sz w:val="21"/>
                <w:szCs w:val="21"/>
                <w:lang w:eastAsia="zh-CN"/>
              </w:rPr>
              <mc:AlternateContent>
                <mc:Choice Requires="wps">
                  <w:drawing>
                    <wp:anchor distT="0" distB="0" distL="114300" distR="114300" simplePos="0" relativeHeight="251705344" behindDoc="0" locked="0" layoutInCell="1" allowOverlap="1">
                      <wp:simplePos x="0" y="0"/>
                      <wp:positionH relativeFrom="column">
                        <wp:posOffset>4732020</wp:posOffset>
                      </wp:positionH>
                      <wp:positionV relativeFrom="paragraph">
                        <wp:posOffset>3554095</wp:posOffset>
                      </wp:positionV>
                      <wp:extent cx="437515" cy="340360"/>
                      <wp:effectExtent l="0" t="0" r="635" b="2540"/>
                      <wp:wrapNone/>
                      <wp:docPr id="338" name="文本框 338"/>
                      <wp:cNvGraphicFramePr/>
                      <a:graphic xmlns:a="http://schemas.openxmlformats.org/drawingml/2006/main">
                        <a:graphicData uri="http://schemas.microsoft.com/office/word/2010/wordprocessingShape">
                          <wps:wsp>
                            <wps:cNvSpPr txBox="1"/>
                            <wps:spPr>
                              <a:xfrm>
                                <a:off x="0" y="0"/>
                                <a:ext cx="437515" cy="340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24"/>
                                      <w:lang w:eastAsia="zh-CN"/>
                                    </w:rPr>
                                  </w:pPr>
                                  <w:r>
                                    <w:rPr>
                                      <w:rFonts w:hint="eastAsia"/>
                                      <w:sz w:val="24"/>
                                      <w:lang w:eastAsia="zh-CN"/>
                                    </w:rPr>
                                    <w:t>W1</w:t>
                                  </w:r>
                                </w:p>
                                <w:p>
                                  <w:pPr>
                                    <w:ind w:firstLine="560"/>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2.6pt;margin-top:279.85pt;height:26.8pt;width:34.45pt;z-index:251705344;mso-width-relative:page;mso-height-relative:page;" fillcolor="#FFFFFF [3201]" filled="t" stroked="f" coordsize="21600,21600" o:gfxdata="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rQJZY&#10;2AAAAAsBAAAPAAAAAAAAAAEAIAAAACIAAABkcnMvZG93bnJldi54bWxQSwECFAAUAAAACACHTuJA&#10;DnVkKFoCAACgBAAADgAAAAAAAAABACAAAAAnAQAAZHJzL2Uyb0RvYy54bWxQSwUGAAAAAAYABgBZ&#10;AQAA8wUAAAAA&#10;">
                      <v:fill on="t" focussize="0,0"/>
                      <v:stroke on="f" weight="0.5pt"/>
                      <v:imagedata o:title=""/>
                      <o:lock v:ext="edit" aspectratio="f"/>
                      <v:textbox>
                        <w:txbxContent>
                          <w:p>
                            <w:pPr>
                              <w:spacing w:line="240" w:lineRule="auto"/>
                              <w:ind w:firstLine="0" w:firstLineChars="0"/>
                              <w:rPr>
                                <w:sz w:val="24"/>
                                <w:lang w:eastAsia="zh-CN"/>
                              </w:rPr>
                            </w:pPr>
                            <w:r>
                              <w:rPr>
                                <w:rFonts w:hint="eastAsia"/>
                                <w:sz w:val="24"/>
                                <w:lang w:eastAsia="zh-CN"/>
                              </w:rPr>
                              <w:t>W1</w:t>
                            </w:r>
                          </w:p>
                          <w:p>
                            <w:pPr>
                              <w:ind w:firstLine="560"/>
                              <w:rPr>
                                <w:lang w:eastAsia="zh-CN"/>
                              </w:rPr>
                            </w:pPr>
                          </w:p>
                        </w:txbxContent>
                      </v:textbox>
                    </v:shape>
                  </w:pict>
                </mc:Fallback>
              </mc:AlternateContent>
            </w:r>
            <w:r>
              <w:rPr>
                <w:rFonts w:hint="eastAsia" w:ascii="宋体" w:hAnsi="宋体" w:eastAsia="宋体" w:cs="宋体"/>
                <w:sz w:val="21"/>
                <w:szCs w:val="21"/>
                <w:lang w:eastAsia="zh-CN"/>
              </w:rPr>
              <mc:AlternateContent>
                <mc:Choice Requires="wps">
                  <w:drawing>
                    <wp:anchor distT="0" distB="0" distL="114300" distR="114300" simplePos="0" relativeHeight="251704320" behindDoc="0" locked="0" layoutInCell="1" allowOverlap="1">
                      <wp:simplePos x="0" y="0"/>
                      <wp:positionH relativeFrom="column">
                        <wp:posOffset>2673985</wp:posOffset>
                      </wp:positionH>
                      <wp:positionV relativeFrom="paragraph">
                        <wp:posOffset>1942465</wp:posOffset>
                      </wp:positionV>
                      <wp:extent cx="376555" cy="309245"/>
                      <wp:effectExtent l="0" t="0" r="4445" b="14605"/>
                      <wp:wrapNone/>
                      <wp:docPr id="336" name="文本框 336"/>
                      <wp:cNvGraphicFramePr/>
                      <a:graphic xmlns:a="http://schemas.openxmlformats.org/drawingml/2006/main">
                        <a:graphicData uri="http://schemas.microsoft.com/office/word/2010/wordprocessingShape">
                          <wps:wsp>
                            <wps:cNvSpPr txBox="1"/>
                            <wps:spPr>
                              <a:xfrm>
                                <a:off x="0" y="0"/>
                                <a:ext cx="376555" cy="3092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24"/>
                                      <w:lang w:eastAsia="zh-CN"/>
                                    </w:rPr>
                                  </w:pPr>
                                  <w:r>
                                    <w:rPr>
                                      <w:rFonts w:hint="eastAsia"/>
                                      <w:sz w:val="24"/>
                                      <w:lang w:eastAsia="zh-CN"/>
                                    </w:rPr>
                                    <w:t>S6</w:t>
                                  </w:r>
                                </w:p>
                                <w:p>
                                  <w:pPr>
                                    <w:ind w:firstLine="560"/>
                                    <w:rPr>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0.55pt;margin-top:152.95pt;height:24.35pt;width:29.65pt;z-index:251704320;mso-width-relative:page;mso-height-relative:page;" fillcolor="#FFFFFF [3201]" filled="t" stroked="f" coordsize="21600,21600" o:gfxdata="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53CB1gAAAAsB&#10;AAAPAAAAAAAAAAEAIAAAACIAAABkcnMvZG93bnJldi54bWxQSwECFAAUAAAACACHTuJAAgJdclYC&#10;AACgBAAADgAAAAAAAAABACAAAAAlAQAAZHJzL2Uyb0RvYy54bWxQSwUGAAAAAAYABgBZAQAA7QUA&#10;AAAA&#10;">
                      <v:fill on="t" focussize="0,0"/>
                      <v:stroke on="f" weight="0.5pt"/>
                      <v:imagedata o:title=""/>
                      <o:lock v:ext="edit" aspectratio="f"/>
                      <v:textbox>
                        <w:txbxContent>
                          <w:p>
                            <w:pPr>
                              <w:spacing w:line="240" w:lineRule="auto"/>
                              <w:ind w:firstLine="0" w:firstLineChars="0"/>
                              <w:rPr>
                                <w:sz w:val="24"/>
                                <w:lang w:eastAsia="zh-CN"/>
                              </w:rPr>
                            </w:pPr>
                            <w:r>
                              <w:rPr>
                                <w:rFonts w:hint="eastAsia"/>
                                <w:sz w:val="24"/>
                                <w:lang w:eastAsia="zh-CN"/>
                              </w:rPr>
                              <w:t>S6</w:t>
                            </w:r>
                          </w:p>
                          <w:p>
                            <w:pPr>
                              <w:ind w:firstLine="560"/>
                              <w:rPr>
                                <w:lang w:eastAsia="zh-CN"/>
                              </w:rPr>
                            </w:pPr>
                          </w:p>
                        </w:txbxContent>
                      </v:textbox>
                    </v:shape>
                  </w:pict>
                </mc:Fallback>
              </mc:AlternateContent>
            </w:r>
            <w:r>
              <w:rPr>
                <w:rFonts w:hint="eastAsia" w:ascii="宋体" w:hAnsi="宋体" w:eastAsia="宋体" w:cs="宋体"/>
                <w:lang w:eastAsia="zh-CN"/>
              </w:rPr>
              <w:drawing>
                <wp:anchor distT="0" distB="0" distL="114300" distR="114300" simplePos="0" relativeHeight="251703296" behindDoc="0" locked="0" layoutInCell="1" allowOverlap="1">
                  <wp:simplePos x="0" y="0"/>
                  <wp:positionH relativeFrom="column">
                    <wp:posOffset>920750</wp:posOffset>
                  </wp:positionH>
                  <wp:positionV relativeFrom="paragraph">
                    <wp:posOffset>1917065</wp:posOffset>
                  </wp:positionV>
                  <wp:extent cx="1000125" cy="190500"/>
                  <wp:effectExtent l="0" t="0" r="9525" b="0"/>
                  <wp:wrapTopAndBottom/>
                  <wp:docPr id="3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图片 7"/>
                          <pic:cNvPicPr>
                            <a:picLocks noChangeAspect="1"/>
                          </pic:cNvPicPr>
                        </pic:nvPicPr>
                        <pic:blipFill>
                          <a:blip r:embed="rId90"/>
                          <a:stretch>
                            <a:fillRect/>
                          </a:stretch>
                        </pic:blipFill>
                        <pic:spPr>
                          <a:xfrm rot="10800000">
                            <a:off x="0" y="0"/>
                            <a:ext cx="1000125" cy="190500"/>
                          </a:xfrm>
                          <a:prstGeom prst="rect">
                            <a:avLst/>
                          </a:prstGeom>
                          <a:noFill/>
                          <a:ln>
                            <a:noFill/>
                          </a:ln>
                        </pic:spPr>
                      </pic:pic>
                    </a:graphicData>
                  </a:graphic>
                </wp:anchor>
              </w:drawing>
            </w:r>
            <w:r>
              <w:rPr>
                <w:rFonts w:hint="eastAsia" w:ascii="宋体" w:hAnsi="宋体" w:eastAsia="宋体" w:cs="宋体"/>
                <w:lang w:eastAsia="zh-CN"/>
              </w:rPr>
              <w:drawing>
                <wp:anchor distT="0" distB="0" distL="114300" distR="114300" simplePos="0" relativeHeight="251701248" behindDoc="0" locked="0" layoutInCell="1" allowOverlap="1">
                  <wp:simplePos x="0" y="0"/>
                  <wp:positionH relativeFrom="column">
                    <wp:posOffset>3987800</wp:posOffset>
                  </wp:positionH>
                  <wp:positionV relativeFrom="paragraph">
                    <wp:posOffset>3630295</wp:posOffset>
                  </wp:positionV>
                  <wp:extent cx="772795" cy="147320"/>
                  <wp:effectExtent l="0" t="0" r="8255" b="5080"/>
                  <wp:wrapNone/>
                  <wp:docPr id="33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 name="图片 7"/>
                          <pic:cNvPicPr>
                            <a:picLocks noChangeAspect="1"/>
                          </pic:cNvPicPr>
                        </pic:nvPicPr>
                        <pic:blipFill>
                          <a:blip r:embed="rId90"/>
                          <a:stretch>
                            <a:fillRect/>
                          </a:stretch>
                        </pic:blipFill>
                        <pic:spPr>
                          <a:xfrm>
                            <a:off x="0" y="0"/>
                            <a:ext cx="772795" cy="147320"/>
                          </a:xfrm>
                          <a:prstGeom prst="rect">
                            <a:avLst/>
                          </a:prstGeom>
                          <a:noFill/>
                          <a:ln>
                            <a:noFill/>
                          </a:ln>
                        </pic:spPr>
                      </pic:pic>
                    </a:graphicData>
                  </a:graphic>
                </wp:anchor>
              </w:drawing>
            </w:r>
            <w:r>
              <w:rPr>
                <w:rFonts w:hint="eastAsia" w:ascii="宋体" w:hAnsi="宋体" w:eastAsia="宋体" w:cs="宋体"/>
                <w:lang w:eastAsia="zh-CN"/>
              </w:rPr>
              <mc:AlternateContent>
                <mc:Choice Requires="wps">
                  <w:drawing>
                    <wp:anchor distT="0" distB="0" distL="114300" distR="114300" simplePos="0" relativeHeight="251702272" behindDoc="0" locked="0" layoutInCell="1" allowOverlap="1">
                      <wp:simplePos x="0" y="0"/>
                      <wp:positionH relativeFrom="column">
                        <wp:posOffset>4169410</wp:posOffset>
                      </wp:positionH>
                      <wp:positionV relativeFrom="paragraph">
                        <wp:posOffset>3968750</wp:posOffset>
                      </wp:positionV>
                      <wp:extent cx="1109980" cy="288290"/>
                      <wp:effectExtent l="0" t="0" r="13970" b="16510"/>
                      <wp:wrapNone/>
                      <wp:docPr id="333" name="文本框 333"/>
                      <wp:cNvGraphicFramePr/>
                      <a:graphic xmlns:a="http://schemas.openxmlformats.org/drawingml/2006/main">
                        <a:graphicData uri="http://schemas.microsoft.com/office/word/2010/wordprocessingShape">
                          <wps:wsp>
                            <wps:cNvSpPr txBox="1"/>
                            <wps:spPr>
                              <a:xfrm>
                                <a:off x="5177155" y="4685030"/>
                                <a:ext cx="1109980" cy="2882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ind w:firstLine="560"/>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8.3pt;margin-top:312.5pt;height:22.7pt;width:87.4pt;z-index:251702272;mso-width-relative:page;mso-height-relative:page;" fillcolor="#FFFFFF [3201]" filled="t" stroked="f" coordsize="21600,21600" o:gfxdata="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NmrUu3WAAAACwEAAA8AAAAAAAAAAQAgAAAAIgAAAGRycy9kb3ducmV2LnhtbFBLAQIU&#10;ABQAAAAIAIdO4kBBhHKXZwIAAK0EAAAOAAAAAAAAAAEAIAAAACUBAABkcnMvZTJvRG9jLnhtbFBL&#10;BQYAAAAABgAGAFkBAAD+BQAAAAA=&#10;">
                      <v:fill on="t" focussize="0,0"/>
                      <v:stroke on="f" weight="0.5pt"/>
                      <v:imagedata o:title=""/>
                      <o:lock v:ext="edit" aspectratio="f"/>
                      <v:textbox>
                        <w:txbxContent>
                          <w:p>
                            <w:pPr>
                              <w:ind w:firstLine="560"/>
                            </w:pPr>
                          </w:p>
                        </w:txbxContent>
                      </v:textbox>
                    </v:shape>
                  </w:pict>
                </mc:Fallback>
              </mc:AlternateContent>
            </w:r>
            <w:r>
              <w:rPr>
                <w:rFonts w:hint="eastAsia" w:ascii="宋体" w:hAnsi="宋体" w:eastAsia="宋体" w:cs="宋体"/>
                <w:b/>
                <w:bCs/>
                <w:sz w:val="21"/>
                <w:szCs w:val="21"/>
                <w:lang w:eastAsia="zh-CN"/>
              </w:rPr>
              <w:t>备注：S代表固废；</w:t>
            </w:r>
            <w:r>
              <w:rPr>
                <w:rFonts w:hint="eastAsia" w:ascii="宋体" w:hAnsi="宋体" w:eastAsia="宋体" w:cs="宋体"/>
                <w:sz w:val="24"/>
                <w:lang w:eastAsia="zh-CN"/>
              </w:rPr>
              <mc:AlternateContent>
                <mc:Choice Requires="wps">
                  <w:drawing>
                    <wp:anchor distT="0" distB="0" distL="114300" distR="114300" simplePos="0" relativeHeight="251693056" behindDoc="0" locked="0" layoutInCell="1" allowOverlap="1">
                      <wp:simplePos x="0" y="0"/>
                      <wp:positionH relativeFrom="column">
                        <wp:posOffset>1635760</wp:posOffset>
                      </wp:positionH>
                      <wp:positionV relativeFrom="paragraph">
                        <wp:posOffset>4971415</wp:posOffset>
                      </wp:positionV>
                      <wp:extent cx="302895" cy="235585"/>
                      <wp:effectExtent l="0" t="0" r="0" b="0"/>
                      <wp:wrapTopAndBottom/>
                      <wp:docPr id="321" name="文本框 321"/>
                      <wp:cNvGraphicFramePr/>
                      <a:graphic xmlns:a="http://schemas.openxmlformats.org/drawingml/2006/main">
                        <a:graphicData uri="http://schemas.microsoft.com/office/word/2010/wordprocessingShape">
                          <wps:wsp>
                            <wps:cNvSpPr txBox="1"/>
                            <wps:spPr>
                              <a:xfrm>
                                <a:off x="0" y="0"/>
                                <a:ext cx="302895" cy="23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15"/>
                                      <w:szCs w:val="15"/>
                                      <w:lang w:eastAsia="zh-CN"/>
                                    </w:rPr>
                                  </w:pPr>
                                  <w:r>
                                    <w:rPr>
                                      <w:rFonts w:hint="eastAsia"/>
                                      <w:sz w:val="15"/>
                                      <w:szCs w:val="15"/>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8pt;margin-top:391.45pt;height:18.55pt;width:23.85pt;mso-wrap-distance-bottom:0pt;mso-wrap-distance-top:0pt;z-index:251693056;mso-width-relative:page;mso-height-relative:page;" filled="f" stroked="f" coordsize="21600,21600" o:gfxdata="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Opb477cAAAACwEAAA8AAAAAAAAAAQAg&#10;AAAAIgAAAGRycy9kb3ducmV2LnhtbFBLAQIUABQAAAAIAIdO4kAHlXY/QwIAAHcEAAAOAAAAAAAA&#10;AAEAIAAAACsBAABkcnMvZTJvRG9jLnhtbFBLBQYAAAAABgAGAFkBAADgBQAAAAA=&#10;">
                      <v:fill on="f" focussize="0,0"/>
                      <v:stroke on="f" weight="0.5pt"/>
                      <v:imagedata o:title=""/>
                      <o:lock v:ext="edit" aspectratio="f"/>
                      <v:textbox>
                        <w:txbxContent>
                          <w:p>
                            <w:pPr>
                              <w:spacing w:line="240" w:lineRule="auto"/>
                              <w:ind w:firstLine="0" w:firstLineChars="0"/>
                              <w:rPr>
                                <w:sz w:val="15"/>
                                <w:szCs w:val="15"/>
                                <w:lang w:eastAsia="zh-CN"/>
                              </w:rPr>
                            </w:pPr>
                            <w:r>
                              <w:rPr>
                                <w:rFonts w:hint="eastAsia"/>
                                <w:sz w:val="15"/>
                                <w:szCs w:val="15"/>
                                <w:lang w:eastAsia="zh-CN"/>
                              </w:rPr>
                              <w:t>-</w:t>
                            </w:r>
                          </w:p>
                        </w:txbxContent>
                      </v:textbox>
                      <w10:wrap type="topAndBottom"/>
                    </v:shape>
                  </w:pict>
                </mc:Fallback>
              </mc:AlternateContent>
            </w:r>
            <w:r>
              <w:rPr>
                <w:rFonts w:hint="eastAsia" w:ascii="宋体" w:hAnsi="宋体" w:eastAsia="宋体" w:cs="宋体"/>
                <w:sz w:val="24"/>
                <w:lang w:eastAsia="zh-CN"/>
              </w:rPr>
              <mc:AlternateContent>
                <mc:Choice Requires="wps">
                  <w:drawing>
                    <wp:anchor distT="0" distB="0" distL="114300" distR="114300" simplePos="0" relativeHeight="251694080" behindDoc="0" locked="0" layoutInCell="1" allowOverlap="1">
                      <wp:simplePos x="0" y="0"/>
                      <wp:positionH relativeFrom="column">
                        <wp:posOffset>784860</wp:posOffset>
                      </wp:positionH>
                      <wp:positionV relativeFrom="paragraph">
                        <wp:posOffset>5747385</wp:posOffset>
                      </wp:positionV>
                      <wp:extent cx="302895" cy="235585"/>
                      <wp:effectExtent l="0" t="0" r="0" b="0"/>
                      <wp:wrapTopAndBottom/>
                      <wp:docPr id="322" name="文本框 322"/>
                      <wp:cNvGraphicFramePr/>
                      <a:graphic xmlns:a="http://schemas.openxmlformats.org/drawingml/2006/main">
                        <a:graphicData uri="http://schemas.microsoft.com/office/word/2010/wordprocessingShape">
                          <wps:wsp>
                            <wps:cNvSpPr txBox="1"/>
                            <wps:spPr>
                              <a:xfrm>
                                <a:off x="0" y="0"/>
                                <a:ext cx="302895" cy="2355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15"/>
                                      <w:szCs w:val="15"/>
                                      <w:lang w:eastAsia="zh-CN"/>
                                    </w:rPr>
                                  </w:pPr>
                                  <w:r>
                                    <w:rPr>
                                      <w:rFonts w:hint="eastAsia"/>
                                      <w:sz w:val="15"/>
                                      <w:szCs w:val="15"/>
                                      <w:lang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8pt;margin-top:452.55pt;height:18.55pt;width:23.85pt;mso-wrap-distance-bottom:0pt;mso-wrap-distance-top:0pt;z-index:251694080;mso-width-relative:page;mso-height-relative:page;" filled="f" stroked="f" coordsize="21600,21600" o:gfxdata="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ltOWbbAAAACwEAAA8AAAAAAAAAAQAg&#10;AAAAIgAAAGRycy9kb3ducmV2LnhtbFBLAQIUABQAAAAIAIdO4kA1YlGPRAIAAHcEAAAOAAAAAAAA&#10;AAEAIAAAACoBAABkcnMvZTJvRG9jLnhtbFBLBQYAAAAABgAGAFkBAADgBQAAAAA=&#10;">
                      <v:fill on="f" focussize="0,0"/>
                      <v:stroke on="f" weight="0.5pt"/>
                      <v:imagedata o:title=""/>
                      <o:lock v:ext="edit" aspectratio="f"/>
                      <v:textbox>
                        <w:txbxContent>
                          <w:p>
                            <w:pPr>
                              <w:spacing w:line="240" w:lineRule="auto"/>
                              <w:ind w:firstLine="0" w:firstLineChars="0"/>
                              <w:rPr>
                                <w:sz w:val="15"/>
                                <w:szCs w:val="15"/>
                                <w:lang w:eastAsia="zh-CN"/>
                              </w:rPr>
                            </w:pPr>
                            <w:r>
                              <w:rPr>
                                <w:rFonts w:hint="eastAsia"/>
                                <w:sz w:val="15"/>
                                <w:szCs w:val="15"/>
                                <w:lang w:eastAsia="zh-CN"/>
                              </w:rPr>
                              <w:t>-</w:t>
                            </w:r>
                          </w:p>
                        </w:txbxContent>
                      </v:textbox>
                      <w10:wrap type="topAndBottom"/>
                    </v:shape>
                  </w:pict>
                </mc:Fallback>
              </mc:AlternateContent>
            </w:r>
            <w:r>
              <w:rPr>
                <w:rFonts w:hint="eastAsia" w:ascii="宋体" w:hAnsi="宋体" w:eastAsia="宋体" w:cs="宋体"/>
                <w:sz w:val="24"/>
                <w:lang w:eastAsia="zh-CN"/>
              </w:rPr>
              <mc:AlternateContent>
                <mc:Choice Requires="wps">
                  <w:drawing>
                    <wp:anchor distT="0" distB="0" distL="114300" distR="114300" simplePos="0" relativeHeight="251689984" behindDoc="0" locked="0" layoutInCell="1" allowOverlap="1">
                      <wp:simplePos x="0" y="0"/>
                      <wp:positionH relativeFrom="column">
                        <wp:posOffset>2948305</wp:posOffset>
                      </wp:positionH>
                      <wp:positionV relativeFrom="paragraph">
                        <wp:posOffset>1256030</wp:posOffset>
                      </wp:positionV>
                      <wp:extent cx="1010285" cy="286385"/>
                      <wp:effectExtent l="0" t="0" r="0" b="0"/>
                      <wp:wrapTopAndBottom/>
                      <wp:docPr id="318" name="文本框 318"/>
                      <wp:cNvGraphicFramePr/>
                      <a:graphic xmlns:a="http://schemas.openxmlformats.org/drawingml/2006/main">
                        <a:graphicData uri="http://schemas.microsoft.com/office/word/2010/wordprocessingShape">
                          <wps:wsp>
                            <wps:cNvSpPr txBox="1"/>
                            <wps:spPr>
                              <a:xfrm>
                                <a:off x="4064635" y="2121535"/>
                                <a:ext cx="1010285" cy="2863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18"/>
                                      <w:szCs w:val="18"/>
                                      <w:lang w:eastAsia="zh-CN"/>
                                    </w:rPr>
                                  </w:pPr>
                                  <w:r>
                                    <w:rPr>
                                      <w:rFonts w:hint="eastAsia"/>
                                      <w:sz w:val="18"/>
                                      <w:szCs w:val="18"/>
                                      <w:lang w:eastAsia="zh-CN"/>
                                    </w:rPr>
                                    <w:t>除渣（直线筛）</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2.15pt;margin-top:98.9pt;height:22.55pt;width:79.55pt;mso-wrap-distance-bottom:0pt;mso-wrap-distance-top:0pt;z-index:251689984;mso-width-relative:page;mso-height-relative:page;" filled="f" stroked="f" coordsize="21600,21600" o:gfxdata="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ALxcbdwAAAALAQAADwAA&#10;AAAAAAABACAAAAAiAAAAZHJzL2Rvd25yZXYueG1sUEsBAhQAFAAAAAgAh07iQJ/LaJRLAgAAhAQA&#10;AA4AAAAAAAAAAQAgAAAAKwEAAGRycy9lMm9Eb2MueG1sUEsFBgAAAAAGAAYAWQEAAOgFAAAAAA==&#10;">
                      <v:fill on="f" focussize="0,0"/>
                      <v:stroke on="f" weight="0.5pt"/>
                      <v:imagedata o:title=""/>
                      <o:lock v:ext="edit" aspectratio="f"/>
                      <v:textbox>
                        <w:txbxContent>
                          <w:p>
                            <w:pPr>
                              <w:spacing w:line="240" w:lineRule="auto"/>
                              <w:ind w:firstLine="0" w:firstLineChars="0"/>
                              <w:rPr>
                                <w:sz w:val="18"/>
                                <w:szCs w:val="18"/>
                                <w:lang w:eastAsia="zh-CN"/>
                              </w:rPr>
                            </w:pPr>
                            <w:r>
                              <w:rPr>
                                <w:rFonts w:hint="eastAsia"/>
                                <w:sz w:val="18"/>
                                <w:szCs w:val="18"/>
                                <w:lang w:eastAsia="zh-CN"/>
                              </w:rPr>
                              <w:t>除渣（直线筛）</w:t>
                            </w:r>
                          </w:p>
                        </w:txbxContent>
                      </v:textbox>
                      <w10:wrap type="topAndBottom"/>
                    </v:shape>
                  </w:pict>
                </mc:Fallback>
              </mc:AlternateContent>
            </w:r>
            <w:r>
              <w:rPr>
                <w:rFonts w:hint="eastAsia" w:ascii="宋体" w:hAnsi="宋体" w:eastAsia="宋体" w:cs="宋体"/>
                <w:sz w:val="24"/>
                <w:lang w:eastAsia="zh-CN"/>
              </w:rPr>
              <mc:AlternateContent>
                <mc:Choice Requires="wps">
                  <w:drawing>
                    <wp:anchor distT="0" distB="0" distL="114300" distR="114300" simplePos="0" relativeHeight="251691008" behindDoc="0" locked="0" layoutInCell="1" allowOverlap="1">
                      <wp:simplePos x="0" y="0"/>
                      <wp:positionH relativeFrom="column">
                        <wp:posOffset>3701415</wp:posOffset>
                      </wp:positionH>
                      <wp:positionV relativeFrom="paragraph">
                        <wp:posOffset>1480820</wp:posOffset>
                      </wp:positionV>
                      <wp:extent cx="494030" cy="306070"/>
                      <wp:effectExtent l="0" t="0" r="0" b="0"/>
                      <wp:wrapTopAndBottom/>
                      <wp:docPr id="319" name="文本框 319"/>
                      <wp:cNvGraphicFramePr/>
                      <a:graphic xmlns:a="http://schemas.openxmlformats.org/drawingml/2006/main">
                        <a:graphicData uri="http://schemas.microsoft.com/office/word/2010/wordprocessingShape">
                          <wps:wsp>
                            <wps:cNvSpPr txBox="1"/>
                            <wps:spPr>
                              <a:xfrm>
                                <a:off x="0" y="0"/>
                                <a:ext cx="494030"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15"/>
                                      <w:szCs w:val="15"/>
                                      <w:lang w:eastAsia="zh-CN"/>
                                    </w:rPr>
                                  </w:pPr>
                                  <w:r>
                                    <w:rPr>
                                      <w:rFonts w:hint="eastAsia"/>
                                      <w:sz w:val="15"/>
                                      <w:szCs w:val="15"/>
                                      <w:lang w:eastAsia="zh-CN"/>
                                    </w:rPr>
                                    <w:t>-1mm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1.45pt;margin-top:116.6pt;height:24.1pt;width:38.9pt;mso-wrap-distance-bottom:0pt;mso-wrap-distance-top:0pt;z-index:251691008;mso-width-relative:page;mso-height-relative:page;" filled="f" stroked="f" coordsize="21600,21600" o:gfxdata="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R+ypI3AAAAAsBAAAPAAAAAAAAAAEA&#10;IAAAACIAAABkcnMvZG93bnJldi54bWxQSwECFAAUAAAACACHTuJA0FPxDUQCAAB3BAAADgAAAAAA&#10;AAABACAAAAArAQAAZHJzL2Uyb0RvYy54bWxQSwUGAAAAAAYABgBZAQAA4QUAAAAA&#10;">
                      <v:fill on="f" focussize="0,0"/>
                      <v:stroke on="f" weight="0.5pt"/>
                      <v:imagedata o:title=""/>
                      <o:lock v:ext="edit" aspectratio="f"/>
                      <v:textbox>
                        <w:txbxContent>
                          <w:p>
                            <w:pPr>
                              <w:spacing w:line="240" w:lineRule="auto"/>
                              <w:ind w:firstLine="0" w:firstLineChars="0"/>
                              <w:rPr>
                                <w:sz w:val="15"/>
                                <w:szCs w:val="15"/>
                                <w:lang w:eastAsia="zh-CN"/>
                              </w:rPr>
                            </w:pPr>
                            <w:r>
                              <w:rPr>
                                <w:rFonts w:hint="eastAsia"/>
                                <w:sz w:val="15"/>
                                <w:szCs w:val="15"/>
                                <w:lang w:eastAsia="zh-CN"/>
                              </w:rPr>
                              <w:t>-1mm</w:t>
                            </w:r>
                          </w:p>
                        </w:txbxContent>
                      </v:textbox>
                      <w10:wrap type="topAndBottom"/>
                    </v:shape>
                  </w:pict>
                </mc:Fallback>
              </mc:AlternateContent>
            </w:r>
            <w:r>
              <w:rPr>
                <w:rFonts w:hint="eastAsia" w:ascii="宋体" w:hAnsi="宋体" w:eastAsia="宋体" w:cs="宋体"/>
                <w:sz w:val="24"/>
                <w:lang w:eastAsia="zh-CN"/>
              </w:rPr>
              <mc:AlternateContent>
                <mc:Choice Requires="wps">
                  <w:drawing>
                    <wp:anchor distT="0" distB="0" distL="114300" distR="114300" simplePos="0" relativeHeight="251692032" behindDoc="0" locked="0" layoutInCell="1" allowOverlap="1">
                      <wp:simplePos x="0" y="0"/>
                      <wp:positionH relativeFrom="column">
                        <wp:posOffset>2543810</wp:posOffset>
                      </wp:positionH>
                      <wp:positionV relativeFrom="paragraph">
                        <wp:posOffset>1403350</wp:posOffset>
                      </wp:positionV>
                      <wp:extent cx="455295" cy="306070"/>
                      <wp:effectExtent l="0" t="0" r="0" b="0"/>
                      <wp:wrapTopAndBottom/>
                      <wp:docPr id="320" name="文本框 320"/>
                      <wp:cNvGraphicFramePr/>
                      <a:graphic xmlns:a="http://schemas.openxmlformats.org/drawingml/2006/main">
                        <a:graphicData uri="http://schemas.microsoft.com/office/word/2010/wordprocessingShape">
                          <wps:wsp>
                            <wps:cNvSpPr txBox="1"/>
                            <wps:spPr>
                              <a:xfrm>
                                <a:off x="0" y="0"/>
                                <a:ext cx="455295" cy="3060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sz w:val="15"/>
                                      <w:szCs w:val="15"/>
                                      <w:lang w:eastAsia="zh-CN"/>
                                    </w:rPr>
                                  </w:pPr>
                                  <w:r>
                                    <w:rPr>
                                      <w:rFonts w:hint="eastAsia"/>
                                      <w:sz w:val="15"/>
                                      <w:szCs w:val="15"/>
                                      <w:lang w:eastAsia="zh-CN"/>
                                    </w:rPr>
                                    <w:t>+1mm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00.3pt;margin-top:110.5pt;height:24.1pt;width:35.85pt;mso-wrap-distance-bottom:0pt;mso-wrap-distance-top:0pt;z-index:251692032;mso-width-relative:page;mso-height-relative:page;" filled="f" stroked="f" coordsize="21600,21600" o:gfxdata="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NGqnbAAAACwEAAA8AAAAAAAAAAQAg&#10;AAAAIgAAAGRycy9kb3ducmV2LnhtbFBLAQIUABQAAAAIAIdO4kDyEnOeRAIAAHcEAAAOAAAAAAAA&#10;AAEAIAAAACoBAABkcnMvZTJvRG9jLnhtbFBLBQYAAAAABgAGAFkBAADgBQAAAAA=&#10;">
                      <v:fill on="f" focussize="0,0"/>
                      <v:stroke on="f" weight="0.5pt"/>
                      <v:imagedata o:title=""/>
                      <o:lock v:ext="edit" aspectratio="f"/>
                      <v:textbox>
                        <w:txbxContent>
                          <w:p>
                            <w:pPr>
                              <w:spacing w:line="240" w:lineRule="auto"/>
                              <w:ind w:firstLine="0" w:firstLineChars="0"/>
                              <w:rPr>
                                <w:sz w:val="15"/>
                                <w:szCs w:val="15"/>
                                <w:lang w:eastAsia="zh-CN"/>
                              </w:rPr>
                            </w:pPr>
                            <w:r>
                              <w:rPr>
                                <w:rFonts w:hint="eastAsia"/>
                                <w:sz w:val="15"/>
                                <w:szCs w:val="15"/>
                                <w:lang w:eastAsia="zh-CN"/>
                              </w:rPr>
                              <w:t>+1mm</w:t>
                            </w:r>
                          </w:p>
                        </w:txbxContent>
                      </v:textbox>
                      <w10:wrap type="topAndBottom"/>
                    </v:shape>
                  </w:pict>
                </mc:Fallback>
              </mc:AlternateContent>
            </w:r>
            <w:r>
              <w:rPr>
                <w:rFonts w:hint="eastAsia" w:ascii="宋体" w:hAnsi="宋体" w:eastAsia="宋体" w:cs="宋体"/>
                <w:b/>
                <w:bCs/>
                <w:sz w:val="24"/>
                <w:lang w:eastAsia="zh-CN"/>
              </w:rPr>
              <w:drawing>
                <wp:anchor distT="0" distB="0" distL="114300" distR="114300" simplePos="0" relativeHeight="251688960" behindDoc="0" locked="0" layoutInCell="1" allowOverlap="1">
                  <wp:simplePos x="0" y="0"/>
                  <wp:positionH relativeFrom="column">
                    <wp:posOffset>0</wp:posOffset>
                  </wp:positionH>
                  <wp:positionV relativeFrom="paragraph">
                    <wp:posOffset>0</wp:posOffset>
                  </wp:positionV>
                  <wp:extent cx="5318125" cy="8114030"/>
                  <wp:effectExtent l="0" t="0" r="15875" b="1270"/>
                  <wp:wrapTopAndBottom/>
                  <wp:docPr id="3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图片 6"/>
                          <pic:cNvPicPr>
                            <a:picLocks noChangeAspect="1"/>
                          </pic:cNvPicPr>
                        </pic:nvPicPr>
                        <pic:blipFill>
                          <a:blip r:embed="rId91"/>
                          <a:stretch>
                            <a:fillRect/>
                          </a:stretch>
                        </pic:blipFill>
                        <pic:spPr>
                          <a:xfrm>
                            <a:off x="0" y="0"/>
                            <a:ext cx="5318125" cy="8114030"/>
                          </a:xfrm>
                          <a:prstGeom prst="rect">
                            <a:avLst/>
                          </a:prstGeom>
                          <a:noFill/>
                          <a:ln>
                            <a:noFill/>
                          </a:ln>
                        </pic:spPr>
                      </pic:pic>
                    </a:graphicData>
                  </a:graphic>
                </wp:anchor>
              </w:drawing>
            </w:r>
            <w:r>
              <w:rPr>
                <w:rFonts w:hint="eastAsia" w:ascii="宋体" w:hAnsi="宋体" w:eastAsia="宋体" w:cs="宋体"/>
                <w:b/>
                <w:bCs/>
                <w:sz w:val="21"/>
                <w:szCs w:val="21"/>
                <w:lang w:eastAsia="zh-CN"/>
              </w:rPr>
              <w:t>W代表废水；整个过程都有噪声产生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6" w:type="dxa"/>
            <w:tcBorders>
              <w:tl2br w:val="nil"/>
              <w:tr2bl w:val="nil"/>
            </w:tcBorders>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4"/>
                <w:lang w:eastAsia="zh-CN"/>
              </w:rPr>
            </w:pPr>
            <w:r>
              <w:rPr>
                <w:rFonts w:hint="eastAsia" w:ascii="宋体" w:hAnsi="宋体" w:eastAsia="宋体" w:cs="宋体"/>
                <w:b/>
                <w:bCs/>
                <w:sz w:val="24"/>
                <w:lang w:eastAsia="zh-CN"/>
              </w:rPr>
              <w:t>图2.3.7-2 磨选车间工艺流程及产污环节图</w:t>
            </w:r>
          </w:p>
        </w:tc>
      </w:tr>
    </w:tbl>
    <w:p>
      <w:pPr>
        <w:pStyle w:val="14"/>
        <w:ind w:firstLine="560"/>
        <w:rPr>
          <w:rFonts w:hint="eastAsia" w:ascii="宋体" w:hAnsi="宋体" w:eastAsia="宋体" w:cs="宋体"/>
          <w:lang w:eastAsia="zh-CN"/>
        </w:rPr>
        <w:sectPr>
          <w:pgSz w:w="11905" w:h="16838"/>
          <w:pgMar w:top="1417" w:right="1247" w:bottom="1247" w:left="1587" w:header="850" w:footer="850" w:gutter="0"/>
          <w:pgBorders>
            <w:top w:val="none" w:sz="0" w:space="0"/>
            <w:left w:val="none" w:sz="0" w:space="0"/>
            <w:bottom w:val="none" w:sz="0" w:space="0"/>
            <w:right w:val="none" w:sz="0" w:space="0"/>
          </w:pgBorders>
          <w:cols w:space="720" w:num="1"/>
          <w:docGrid w:type="lines" w:linePitch="383" w:charSpace="0"/>
        </w:sectPr>
      </w:pPr>
    </w:p>
    <w:p>
      <w:pPr>
        <w:pStyle w:val="8"/>
        <w:rPr>
          <w:rFonts w:hint="eastAsia" w:ascii="宋体" w:hAnsi="宋体" w:eastAsia="宋体" w:cs="宋体"/>
          <w:lang w:eastAsia="zh-CN"/>
        </w:rPr>
      </w:pPr>
      <w:r>
        <w:rPr>
          <w:rFonts w:hint="eastAsia" w:ascii="宋体" w:hAnsi="宋体" w:eastAsia="宋体" w:cs="宋体"/>
          <w:lang w:eastAsia="zh-CN"/>
        </w:rPr>
        <w:t>2.3.7.2 尾矿库</w:t>
      </w:r>
    </w:p>
    <w:p>
      <w:pPr>
        <w:ind w:firstLine="560"/>
        <w:rPr>
          <w:rFonts w:hint="eastAsia" w:ascii="宋体" w:hAnsi="宋体" w:eastAsia="宋体" w:cs="宋体"/>
          <w:lang w:eastAsia="zh-CN"/>
        </w:rPr>
      </w:pPr>
      <w:r>
        <w:rPr>
          <w:rFonts w:hint="eastAsia" w:ascii="宋体" w:hAnsi="宋体" w:eastAsia="宋体" w:cs="宋体"/>
          <w:lang w:eastAsia="zh-CN"/>
        </w:rPr>
        <w:t>矿山选厂年处理矿石100万t，尾矿量为28.68万t，合计17.38万m</w:t>
      </w:r>
      <w:r>
        <w:rPr>
          <w:rFonts w:hint="eastAsia" w:ascii="宋体" w:hAnsi="宋体" w:eastAsia="宋体" w:cs="宋体"/>
          <w:vertAlign w:val="superscript"/>
          <w:lang w:eastAsia="zh-CN"/>
        </w:rPr>
        <w:t>3</w:t>
      </w:r>
      <w:r>
        <w:rPr>
          <w:rFonts w:hint="eastAsia" w:ascii="宋体" w:hAnsi="宋体" w:eastAsia="宋体" w:cs="宋体"/>
          <w:lang w:eastAsia="zh-CN"/>
        </w:rPr>
        <w:t>（容重1.65kg/m</w:t>
      </w:r>
      <w:r>
        <w:rPr>
          <w:rFonts w:hint="eastAsia" w:ascii="宋体" w:hAnsi="宋体" w:eastAsia="宋体" w:cs="宋体"/>
          <w:vertAlign w:val="superscript"/>
          <w:lang w:eastAsia="zh-CN"/>
        </w:rPr>
        <w:t>3</w:t>
      </w:r>
      <w:r>
        <w:rPr>
          <w:rFonts w:hint="eastAsia" w:ascii="宋体" w:hAnsi="宋体" w:eastAsia="宋体" w:cs="宋体"/>
          <w:lang w:eastAsia="zh-CN"/>
        </w:rPr>
        <w:t>）。矿山服务年限内</w:t>
      </w:r>
      <w:r>
        <w:rPr>
          <w:rFonts w:hint="eastAsia" w:cs="宋体"/>
          <w:lang w:eastAsia="zh-CN"/>
        </w:rPr>
        <w:t>设计</w:t>
      </w:r>
      <w:r>
        <w:rPr>
          <w:rFonts w:hint="eastAsia" w:ascii="宋体" w:hAnsi="宋体" w:eastAsia="宋体" w:cs="宋体"/>
          <w:lang w:eastAsia="zh-CN"/>
        </w:rPr>
        <w:t>总尾矿量为677.82m</w:t>
      </w:r>
      <w:r>
        <w:rPr>
          <w:rFonts w:hint="eastAsia" w:ascii="宋体" w:hAnsi="宋体" w:eastAsia="宋体" w:cs="宋体"/>
          <w:vertAlign w:val="superscript"/>
          <w:lang w:eastAsia="zh-CN"/>
        </w:rPr>
        <w:t>3</w:t>
      </w:r>
      <w:r>
        <w:rPr>
          <w:rFonts w:hint="eastAsia" w:ascii="宋体" w:hAnsi="宋体" w:eastAsia="宋体" w:cs="宋体"/>
          <w:lang w:eastAsia="zh-CN"/>
        </w:rPr>
        <w:t>。</w:t>
      </w:r>
    </w:p>
    <w:p>
      <w:pPr>
        <w:ind w:firstLine="562"/>
        <w:rPr>
          <w:rFonts w:hint="eastAsia" w:ascii="宋体" w:hAnsi="宋体" w:eastAsia="宋体" w:cs="宋体"/>
          <w:b/>
          <w:bCs/>
          <w:lang w:eastAsia="zh-CN"/>
        </w:rPr>
      </w:pPr>
      <w:r>
        <w:rPr>
          <w:rFonts w:hint="eastAsia" w:ascii="宋体" w:hAnsi="宋体" w:eastAsia="宋体" w:cs="宋体"/>
          <w:b/>
          <w:bCs/>
          <w:lang w:eastAsia="zh-CN"/>
        </w:rPr>
        <w:t>（1）现有尾矿库</w:t>
      </w:r>
    </w:p>
    <w:p>
      <w:pPr>
        <w:ind w:firstLine="560"/>
        <w:rPr>
          <w:rFonts w:hint="eastAsia" w:ascii="宋体" w:hAnsi="宋体" w:eastAsia="宋体" w:cs="宋体"/>
          <w:lang w:eastAsia="zh-CN"/>
        </w:rPr>
      </w:pPr>
      <w:r>
        <w:rPr>
          <w:rFonts w:hint="eastAsia" w:ascii="宋体" w:hAnsi="宋体" w:eastAsia="宋体" w:cs="宋体"/>
          <w:lang w:eastAsia="zh-CN"/>
        </w:rPr>
        <w:t>矿山目前有2座尾矿库，分别为1#尾矿库和2#尾矿库。</w:t>
      </w:r>
    </w:p>
    <w:p>
      <w:pPr>
        <w:ind w:firstLine="560"/>
        <w:rPr>
          <w:rFonts w:hint="eastAsia" w:ascii="宋体" w:hAnsi="宋体" w:eastAsia="宋体" w:cs="宋体"/>
          <w:lang w:eastAsia="zh-CN"/>
        </w:rPr>
      </w:pPr>
      <w:r>
        <w:rPr>
          <w:rFonts w:hint="eastAsia" w:ascii="宋体" w:hAnsi="宋体" w:eastAsia="宋体" w:cs="宋体"/>
          <w:lang w:eastAsia="zh-CN"/>
        </w:rPr>
        <w:t>1#尾矿库始建于1977年，位于铲头山下东南方向一山沟内，属山谷型尾矿库。该尾矿库设计坝底标高230m，坝高65.0m，终期坝顶标高295.0m，总库容495.0万m</w:t>
      </w:r>
      <w:r>
        <w:rPr>
          <w:rFonts w:hint="eastAsia" w:ascii="宋体" w:hAnsi="宋体" w:eastAsia="宋体" w:cs="宋体"/>
          <w:vertAlign w:val="superscript"/>
          <w:lang w:eastAsia="zh-CN"/>
        </w:rPr>
        <w:t>3</w:t>
      </w:r>
      <w:r>
        <w:rPr>
          <w:rFonts w:hint="eastAsia" w:ascii="宋体" w:hAnsi="宋体" w:eastAsia="宋体" w:cs="宋体"/>
          <w:lang w:eastAsia="zh-CN"/>
        </w:rPr>
        <w:t>，初期坝为岩石分层筑坝。目前，实际坝顶标高已达295.0m，已经达到设计服务标高。该库设计总库容495万m</w:t>
      </w:r>
      <w:r>
        <w:rPr>
          <w:rFonts w:hint="eastAsia" w:ascii="宋体" w:hAnsi="宋体" w:eastAsia="宋体" w:cs="宋体"/>
          <w:vertAlign w:val="superscript"/>
          <w:lang w:eastAsia="zh-CN"/>
        </w:rPr>
        <w:t>3</w:t>
      </w:r>
      <w:r>
        <w:rPr>
          <w:rFonts w:hint="eastAsia" w:ascii="宋体" w:hAnsi="宋体" w:eastAsia="宋体" w:cs="宋体"/>
          <w:lang w:eastAsia="zh-CN"/>
        </w:rPr>
        <w:t>，有效库容380万m</w:t>
      </w:r>
      <w:r>
        <w:rPr>
          <w:rFonts w:hint="eastAsia" w:ascii="宋体" w:hAnsi="宋体" w:eastAsia="宋体" w:cs="宋体"/>
          <w:vertAlign w:val="superscript"/>
          <w:lang w:eastAsia="zh-CN"/>
        </w:rPr>
        <w:t>3</w:t>
      </w:r>
      <w:r>
        <w:rPr>
          <w:rFonts w:hint="eastAsia" w:ascii="宋体" w:hAnsi="宋体" w:eastAsia="宋体" w:cs="宋体"/>
          <w:lang w:eastAsia="zh-CN"/>
        </w:rPr>
        <w:t>。该库自建成使用至今，运行状况良好，坝体无明显沉陷、滑坡、裂缝、流土和管涌等现象，坡面未发现尾矿水出溢、渗漏现象。该尾矿库已停运，目前处于</w:t>
      </w:r>
      <w:r>
        <w:rPr>
          <w:rFonts w:hint="eastAsia" w:cs="宋体"/>
          <w:lang w:eastAsia="zh-CN"/>
        </w:rPr>
        <w:t>回</w:t>
      </w:r>
      <w:r>
        <w:rPr>
          <w:rFonts w:hint="eastAsia" w:ascii="宋体" w:hAnsi="宋体" w:eastAsia="宋体" w:cs="宋体"/>
          <w:lang w:eastAsia="zh-CN"/>
        </w:rPr>
        <w:t>采中。</w:t>
      </w:r>
    </w:p>
    <w:p>
      <w:pPr>
        <w:ind w:firstLine="560"/>
        <w:rPr>
          <w:rFonts w:hint="eastAsia" w:ascii="宋体" w:hAnsi="宋体" w:eastAsia="宋体" w:cs="宋体"/>
          <w:lang w:eastAsia="zh-CN"/>
        </w:rPr>
      </w:pPr>
      <w:r>
        <w:rPr>
          <w:rFonts w:hint="eastAsia" w:ascii="宋体" w:hAnsi="宋体" w:eastAsia="宋体" w:cs="宋体"/>
          <w:lang w:eastAsia="zh-CN"/>
        </w:rPr>
        <w:t>2#尾矿库建在1#尾矿库下游的西南侧位置，北侧紧邻1#库的尾矿坝，西侧为矿区排土场，南侧和东侧为自然山脊，最高点水平标高为+276.0m，最低点水平标高为+241.6m，占地面积共约33.04万m</w:t>
      </w:r>
      <w:r>
        <w:rPr>
          <w:rFonts w:hint="eastAsia" w:ascii="宋体" w:hAnsi="宋体" w:eastAsia="宋体" w:cs="宋体"/>
          <w:vertAlign w:val="superscript"/>
          <w:lang w:eastAsia="zh-CN"/>
        </w:rPr>
        <w:t>2</w:t>
      </w:r>
      <w:r>
        <w:rPr>
          <w:rFonts w:hint="eastAsia" w:ascii="宋体" w:hAnsi="宋体" w:eastAsia="宋体" w:cs="宋体"/>
          <w:lang w:eastAsia="zh-CN"/>
        </w:rPr>
        <w:t>。</w:t>
      </w:r>
    </w:p>
    <w:p>
      <w:pPr>
        <w:ind w:firstLine="560"/>
        <w:rPr>
          <w:rFonts w:hint="eastAsia" w:ascii="宋体" w:hAnsi="宋体" w:eastAsia="宋体" w:cs="宋体"/>
          <w:lang w:eastAsia="zh-CN"/>
        </w:rPr>
      </w:pPr>
      <w:r>
        <w:rPr>
          <w:rFonts w:hint="eastAsia" w:ascii="宋体" w:hAnsi="宋体" w:eastAsia="宋体" w:cs="宋体"/>
          <w:lang w:eastAsia="zh-CN"/>
        </w:rPr>
        <w:t>2#尾矿库北侧利用1#尾矿库的尾矿坝作为尾矿坝，西北侧利用排土场作为尾矿坝，南侧和东侧利用自然山脊，局部筑坝，共分3个坝段，由东至南分别为坝段Ⅰ、坝段Ⅱ和坝段Ⅲ，其中坝段Ⅰ和坝段Ⅲ由+240.0m 筑至+260.0m，坝高20.0m，坝段Ⅱ大部由+250.0m筑至+260.0m，坝高10.0m,局部由+240.0m 筑至+260.0m，坝高20.0m。</w:t>
      </w:r>
    </w:p>
    <w:p>
      <w:pPr>
        <w:ind w:firstLine="560"/>
        <w:rPr>
          <w:rFonts w:hint="eastAsia" w:ascii="宋体" w:hAnsi="宋体" w:eastAsia="宋体" w:cs="宋体"/>
          <w:lang w:eastAsia="zh-CN"/>
        </w:rPr>
      </w:pPr>
      <w:r>
        <w:rPr>
          <w:rFonts w:hint="eastAsia" w:ascii="宋体" w:hAnsi="宋体" w:eastAsia="宋体" w:cs="宋体"/>
          <w:lang w:eastAsia="zh-CN"/>
        </w:rPr>
        <w:t>2#尾矿库内面积为21.08万m</w:t>
      </w:r>
      <w:r>
        <w:rPr>
          <w:rFonts w:hint="eastAsia" w:ascii="宋体" w:hAnsi="宋体" w:eastAsia="宋体" w:cs="宋体"/>
          <w:vertAlign w:val="superscript"/>
          <w:lang w:eastAsia="zh-CN"/>
        </w:rPr>
        <w:t>2</w:t>
      </w:r>
      <w:r>
        <w:rPr>
          <w:rFonts w:hint="eastAsia" w:ascii="宋体" w:hAnsi="宋体" w:eastAsia="宋体" w:cs="宋体"/>
          <w:lang w:eastAsia="zh-CN"/>
        </w:rPr>
        <w:t>，形成库内容积为412.4万m</w:t>
      </w:r>
      <w:r>
        <w:rPr>
          <w:rFonts w:hint="eastAsia" w:ascii="宋体" w:hAnsi="宋体" w:eastAsia="宋体" w:cs="宋体"/>
          <w:vertAlign w:val="superscript"/>
          <w:lang w:eastAsia="zh-CN"/>
        </w:rPr>
        <w:t>3</w:t>
      </w:r>
      <w:r>
        <w:rPr>
          <w:rFonts w:hint="eastAsia" w:ascii="宋体" w:hAnsi="宋体" w:eastAsia="宋体" w:cs="宋体"/>
          <w:lang w:eastAsia="zh-CN"/>
        </w:rPr>
        <w:t>，有效容积约为378.0万m</w:t>
      </w:r>
      <w:r>
        <w:rPr>
          <w:rFonts w:hint="eastAsia" w:ascii="宋体" w:hAnsi="宋体" w:eastAsia="宋体" w:cs="宋体"/>
          <w:vertAlign w:val="superscript"/>
          <w:lang w:eastAsia="zh-CN"/>
        </w:rPr>
        <w:t>3</w:t>
      </w:r>
      <w:r>
        <w:rPr>
          <w:rFonts w:hint="eastAsia" w:ascii="宋体" w:hAnsi="宋体" w:eastAsia="宋体" w:cs="宋体"/>
          <w:lang w:eastAsia="zh-CN"/>
        </w:rPr>
        <w:t>。</w:t>
      </w:r>
    </w:p>
    <w:p>
      <w:pPr>
        <w:ind w:firstLine="562"/>
        <w:rPr>
          <w:rFonts w:hint="eastAsia" w:ascii="宋体" w:hAnsi="宋体" w:eastAsia="宋体" w:cs="宋体"/>
          <w:b/>
          <w:bCs/>
          <w:lang w:eastAsia="zh-CN"/>
        </w:rPr>
      </w:pPr>
      <w:r>
        <w:rPr>
          <w:rFonts w:hint="eastAsia" w:ascii="宋体" w:hAnsi="宋体" w:eastAsia="宋体" w:cs="宋体"/>
          <w:b/>
          <w:bCs/>
          <w:lang w:eastAsia="zh-CN"/>
        </w:rPr>
        <w:t>（2）尾矿输送</w:t>
      </w:r>
    </w:p>
    <w:p>
      <w:pPr>
        <w:ind w:firstLine="560"/>
        <w:rPr>
          <w:rFonts w:hint="eastAsia" w:ascii="宋体" w:hAnsi="宋体" w:eastAsia="宋体" w:cs="宋体"/>
          <w:lang w:eastAsia="zh-CN"/>
        </w:rPr>
      </w:pPr>
      <w:r>
        <w:rPr>
          <w:rFonts w:hint="eastAsia" w:ascii="宋体" w:hAnsi="宋体" w:eastAsia="宋体" w:cs="宋体"/>
          <w:lang w:eastAsia="zh-CN"/>
        </w:rPr>
        <w:t>尾矿库的尾矿输送使用原有矿浆输送系统。</w:t>
      </w:r>
    </w:p>
    <w:p>
      <w:pPr>
        <w:ind w:firstLine="560"/>
        <w:rPr>
          <w:rFonts w:hint="eastAsia" w:ascii="宋体" w:hAnsi="宋体" w:eastAsia="宋体" w:cs="宋体"/>
          <w:lang w:eastAsia="zh-CN"/>
        </w:rPr>
      </w:pPr>
      <w:r>
        <w:rPr>
          <w:rFonts w:hint="eastAsia" w:ascii="宋体" w:hAnsi="宋体" w:eastAsia="宋体" w:cs="宋体"/>
          <w:lang w:eastAsia="zh-CN"/>
        </w:rPr>
        <w:t>尾矿的排放主要在2#尾矿库的东侧进行坝前均匀放矿，坝上放矿管采用一条D273×12mm超高分子量聚乙烯管，长约1.9 km。分散管为D110×10mm超高分子量聚乙烯管，间距15m，同时放矿口为8个。</w:t>
      </w:r>
    </w:p>
    <w:p>
      <w:pPr>
        <w:ind w:firstLine="562"/>
        <w:rPr>
          <w:rFonts w:hint="eastAsia" w:ascii="宋体" w:hAnsi="宋体" w:eastAsia="宋体" w:cs="宋体"/>
          <w:b/>
          <w:bCs/>
          <w:lang w:eastAsia="zh-CN"/>
        </w:rPr>
      </w:pPr>
      <w:bookmarkStart w:id="59" w:name="_Toc516743890"/>
      <w:r>
        <w:rPr>
          <w:rFonts w:hint="eastAsia" w:ascii="宋体" w:hAnsi="宋体" w:eastAsia="宋体" w:cs="宋体"/>
          <w:b/>
          <w:bCs/>
          <w:lang w:eastAsia="zh-CN"/>
        </w:rPr>
        <w:t>（3）尾矿水的综合利用</w:t>
      </w:r>
      <w:bookmarkEnd w:id="59"/>
    </w:p>
    <w:p>
      <w:pPr>
        <w:bidi w:val="0"/>
        <w:rPr>
          <w:rFonts w:hint="eastAsia"/>
          <w:lang w:eastAsia="zh-CN"/>
        </w:rPr>
      </w:pPr>
      <w:r>
        <w:rPr>
          <w:rFonts w:hint="eastAsia"/>
          <w:lang w:eastAsia="zh-CN"/>
        </w:rPr>
        <w:t>结合生产供水要求，尾矿库内的水全部回收，作为选矿生产用水。回收方式为浮船式取水，即将回收水泵固定在浮船上，将尾矿库内的水输送至循环水池。</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2.3.7.</w:t>
      </w:r>
      <w:r>
        <w:rPr>
          <w:rFonts w:hint="eastAsia" w:eastAsia="宋体" w:cs="宋体"/>
          <w:szCs w:val="28"/>
          <w:lang w:val="en-US" w:eastAsia="zh-CN"/>
        </w:rPr>
        <w:t>3</w:t>
      </w:r>
      <w:r>
        <w:rPr>
          <w:rFonts w:hint="eastAsia" w:ascii="宋体" w:hAnsi="宋体" w:eastAsia="宋体" w:cs="宋体"/>
          <w:szCs w:val="28"/>
          <w:lang w:eastAsia="zh-CN"/>
        </w:rPr>
        <w:t xml:space="preserve"> 污染物产生环节</w:t>
      </w:r>
    </w:p>
    <w:p>
      <w:pPr>
        <w:pStyle w:val="14"/>
        <w:ind w:firstLine="560"/>
        <w:rPr>
          <w:rFonts w:hint="eastAsia" w:ascii="宋体" w:hAnsi="宋体" w:eastAsia="宋体" w:cs="宋体"/>
          <w:lang w:eastAsia="zh-CN"/>
        </w:rPr>
      </w:pPr>
      <w:r>
        <w:rPr>
          <w:rFonts w:hint="eastAsia" w:ascii="宋体" w:hAnsi="宋体" w:eastAsia="宋体" w:cs="宋体"/>
          <w:lang w:eastAsia="zh-CN"/>
        </w:rPr>
        <w:t>根据以上内容可知，污染物的产生环节见表2.3.7-1。</w:t>
      </w:r>
    </w:p>
    <w:p>
      <w:pPr>
        <w:pStyle w:val="14"/>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表2.3.7-1 污染物产生及排放环节汇总表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1"/>
        <w:gridCol w:w="390"/>
        <w:gridCol w:w="1695"/>
        <w:gridCol w:w="2040"/>
        <w:gridCol w:w="47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类别</w:t>
            </w: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污染源</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污染物</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治理措施及去向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废气</w:t>
            </w:r>
          </w:p>
        </w:tc>
        <w:tc>
          <w:tcPr>
            <w:tcW w:w="390"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有组织</w:t>
            </w:r>
          </w:p>
        </w:tc>
        <w:tc>
          <w:tcPr>
            <w:tcW w:w="1695"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粗破工序</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1套水膜除尘器处理后，15m高排气筒外排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390"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695"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中破工序</w:t>
            </w:r>
          </w:p>
        </w:tc>
        <w:tc>
          <w:tcPr>
            <w:tcW w:w="204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1套水膜除尘器处理后，15m高排气筒外排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390"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695"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细破工序口</w:t>
            </w:r>
          </w:p>
        </w:tc>
        <w:tc>
          <w:tcPr>
            <w:tcW w:w="204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2套（1用1备）水膜除尘器处理后，15m高排气筒外排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390"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695"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筛分和干选工序</w:t>
            </w:r>
          </w:p>
        </w:tc>
        <w:tc>
          <w:tcPr>
            <w:tcW w:w="204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1套水膜除尘器处理后，15m高排气筒外排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390"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w:t>
            </w:r>
          </w:p>
        </w:tc>
        <w:tc>
          <w:tcPr>
            <w:tcW w:w="1695"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储存、运输</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390"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695"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eastAsia="zh-CN"/>
              </w:rPr>
              <w:t>破碎、筛分等</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390"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695"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尾矿库</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1#尾矿库加盖防风抑尘网；2#尾矿库洒水抑尘。无组织排放。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废水</w:t>
            </w: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浓缩池溢流水</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w:t>
            </w:r>
          </w:p>
        </w:tc>
        <w:tc>
          <w:tcPr>
            <w:tcW w:w="4781"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直接返回选矿工艺循环利用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压滤机废水</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w:t>
            </w:r>
          </w:p>
        </w:tc>
        <w:tc>
          <w:tcPr>
            <w:tcW w:w="4781"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尾矿库回水</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通过泵打回王峪矿段涌水池，全部回用于选矿厂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eastAsia="zh-CN"/>
              </w:rPr>
              <w:t>生活污水</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cs="宋体"/>
                <w:sz w:val="21"/>
                <w:szCs w:val="21"/>
                <w:lang w:val="en-US" w:eastAsia="zh-CN"/>
              </w:rPr>
              <w:t>COD、氨氮等</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通过厂区生活污水处理系统处理后，回用于厂区绿化。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设备运行噪声</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室内布置，采用减振、加装消声器等降噪措施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固废</w:t>
            </w: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干式预选</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矿石</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在废石仓贮存，用于修路或运至尾矿库筑坝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湿式预选</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矿石</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在废石仓贮存，外售综合利用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磨选</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用管道输送至矿山充填站用于地下采空区充填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除尘灰</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矿石粉末</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直接用于磨矿工段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生产工艺维修过程</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废润滑油、废油桶等</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暂存危废暂存间，委托有资质单位处置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85" w:type="dxa"/>
            <w:gridSpan w:val="2"/>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职工办公生活</w:t>
            </w:r>
          </w:p>
        </w:tc>
        <w:tc>
          <w:tcPr>
            <w:tcW w:w="2040"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生活垃圾</w:t>
            </w:r>
          </w:p>
        </w:tc>
        <w:tc>
          <w:tcPr>
            <w:tcW w:w="478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委托环卫部门处置</w:t>
            </w:r>
          </w:p>
        </w:tc>
      </w:tr>
    </w:tbl>
    <w:p>
      <w:pPr>
        <w:pStyle w:val="7"/>
        <w:rPr>
          <w:rFonts w:hint="eastAsia" w:ascii="宋体" w:hAnsi="宋体" w:eastAsia="宋体" w:cs="宋体"/>
          <w:lang w:eastAsia="zh-CN"/>
        </w:rPr>
      </w:pPr>
      <w:r>
        <w:rPr>
          <w:rFonts w:hint="eastAsia" w:ascii="宋体" w:hAnsi="宋体" w:eastAsia="宋体" w:cs="宋体"/>
          <w:lang w:eastAsia="zh-CN"/>
        </w:rPr>
        <w:t>2.3.8 污染物的产生及排放情况</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2.3.8.1 废气</w:t>
      </w:r>
    </w:p>
    <w:p>
      <w:pPr>
        <w:pStyle w:val="16"/>
        <w:ind w:firstLine="560"/>
        <w:rPr>
          <w:rFonts w:hint="eastAsia" w:ascii="宋体" w:hAnsi="宋体" w:eastAsia="宋体" w:cs="宋体"/>
        </w:rPr>
      </w:pPr>
      <w:r>
        <w:rPr>
          <w:rFonts w:hint="eastAsia" w:ascii="宋体" w:hAnsi="宋体" w:eastAsia="宋体" w:cs="宋体"/>
        </w:rPr>
        <w:t>（1）有组织</w:t>
      </w:r>
    </w:p>
    <w:p>
      <w:pPr>
        <w:bidi w:val="0"/>
        <w:rPr>
          <w:rFonts w:hint="eastAsia"/>
          <w:lang w:eastAsia="zh-CN"/>
        </w:rPr>
      </w:pPr>
      <w:r>
        <w:rPr>
          <w:rFonts w:hint="eastAsia"/>
          <w:lang w:eastAsia="zh-CN"/>
        </w:rPr>
        <w:t>选矿厂有组织废气主要为破碎、筛分、干选过程产生并收集处理的废气。</w:t>
      </w:r>
    </w:p>
    <w:p>
      <w:pPr>
        <w:bidi w:val="0"/>
        <w:rPr>
          <w:rFonts w:hint="eastAsia"/>
          <w:lang w:eastAsia="zh-CN"/>
        </w:rPr>
      </w:pPr>
      <w:r>
        <w:rPr>
          <w:rFonts w:hint="eastAsia"/>
          <w:lang w:eastAsia="zh-CN"/>
        </w:rPr>
        <w:t>根据编号为信泽2017第XZ00025号检测报告可知，2017年3月1日选矿厂有组织排气筒监测结果见下表。</w:t>
      </w:r>
    </w:p>
    <w:p>
      <w:pPr>
        <w:pStyle w:val="14"/>
        <w:spacing w:line="240" w:lineRule="auto"/>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表2.3.8-1 选矿厂有组织排放结果一览表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1367"/>
        <w:gridCol w:w="1329"/>
        <w:gridCol w:w="1728"/>
        <w:gridCol w:w="1671"/>
        <w:gridCol w:w="25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88"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序号</w:t>
            </w:r>
          </w:p>
        </w:tc>
        <w:tc>
          <w:tcPr>
            <w:tcW w:w="1367"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工序</w:t>
            </w: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频次</w:t>
            </w:r>
          </w:p>
        </w:tc>
        <w:tc>
          <w:tcPr>
            <w:tcW w:w="1728"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标杆烟气量（m</w:t>
            </w:r>
            <w:r>
              <w:rPr>
                <w:rFonts w:hint="eastAsia" w:ascii="宋体" w:hAnsi="宋体" w:eastAsia="宋体" w:cs="宋体"/>
                <w:b/>
                <w:bCs/>
                <w:sz w:val="21"/>
                <w:szCs w:val="21"/>
                <w:vertAlign w:val="superscript"/>
                <w:lang w:eastAsia="zh-CN" w:bidi="ar"/>
              </w:rPr>
              <w:t>3</w:t>
            </w:r>
            <w:r>
              <w:rPr>
                <w:rFonts w:hint="eastAsia" w:ascii="宋体" w:hAnsi="宋体" w:eastAsia="宋体" w:cs="宋体"/>
                <w:b/>
                <w:bCs/>
                <w:sz w:val="21"/>
                <w:szCs w:val="21"/>
                <w:lang w:eastAsia="zh-CN" w:bidi="ar"/>
              </w:rPr>
              <w:t>/h）</w:t>
            </w:r>
          </w:p>
        </w:tc>
        <w:tc>
          <w:tcPr>
            <w:tcW w:w="1671"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排放浓度（mg/m</w:t>
            </w:r>
            <w:r>
              <w:rPr>
                <w:rFonts w:hint="eastAsia" w:ascii="宋体" w:hAnsi="宋体" w:eastAsia="宋体" w:cs="宋体"/>
                <w:b/>
                <w:bCs/>
                <w:sz w:val="21"/>
                <w:szCs w:val="21"/>
                <w:vertAlign w:val="superscript"/>
                <w:lang w:eastAsia="zh-CN" w:bidi="ar"/>
              </w:rPr>
              <w:t>3</w:t>
            </w:r>
            <w:r>
              <w:rPr>
                <w:rFonts w:hint="eastAsia" w:ascii="宋体" w:hAnsi="宋体" w:eastAsia="宋体" w:cs="宋体"/>
                <w:b/>
                <w:bCs/>
                <w:sz w:val="21"/>
                <w:szCs w:val="21"/>
                <w:lang w:eastAsia="zh-CN" w:bidi="ar"/>
              </w:rPr>
              <w:t>）</w:t>
            </w:r>
          </w:p>
        </w:tc>
        <w:tc>
          <w:tcPr>
            <w:tcW w:w="2502"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排放速率（kg/h）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w:t>
            </w:r>
          </w:p>
        </w:tc>
        <w:tc>
          <w:tcPr>
            <w:tcW w:w="1367"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粗破工序</w:t>
            </w: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第1次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18801</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3.2</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0.060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67"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第2次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18335</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b/>
                <w:bCs/>
                <w:color w:val="000000"/>
                <w:sz w:val="21"/>
                <w:szCs w:val="21"/>
                <w:lang w:eastAsia="zh-CN" w:bidi="ar"/>
              </w:rPr>
              <w:t>4.4</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b/>
                <w:bCs/>
                <w:color w:val="000000"/>
                <w:sz w:val="21"/>
                <w:szCs w:val="21"/>
                <w:lang w:eastAsia="zh-CN" w:bidi="ar"/>
              </w:rPr>
              <w:t>0.081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67"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第3次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18492</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3.8</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0.070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w:t>
            </w:r>
          </w:p>
        </w:tc>
        <w:tc>
          <w:tcPr>
            <w:tcW w:w="1367"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中破工序</w:t>
            </w: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第1次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55246</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b/>
                <w:bCs/>
                <w:color w:val="000000"/>
                <w:sz w:val="21"/>
                <w:szCs w:val="21"/>
                <w:lang w:eastAsia="zh-CN" w:bidi="ar"/>
              </w:rPr>
              <w:t>6.1</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b/>
                <w:bCs/>
                <w:color w:val="000000"/>
                <w:sz w:val="21"/>
                <w:szCs w:val="21"/>
                <w:lang w:eastAsia="zh-CN" w:bidi="ar"/>
              </w:rPr>
              <w:t>0.337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67"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第2次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37187</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3.7</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0.138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67"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第3次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55184</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4.9</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0.270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w:t>
            </w:r>
          </w:p>
        </w:tc>
        <w:tc>
          <w:tcPr>
            <w:tcW w:w="1367"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细破工序口</w:t>
            </w: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第1次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26062</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b/>
                <w:bCs/>
                <w:color w:val="000000"/>
                <w:sz w:val="21"/>
                <w:szCs w:val="21"/>
                <w:lang w:eastAsia="zh-CN" w:bidi="ar"/>
              </w:rPr>
              <w:t>2.5</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0.065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67"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第2次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39123</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1.2</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0.047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67"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第3次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51296</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1.5</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b/>
                <w:bCs/>
                <w:color w:val="000000"/>
                <w:sz w:val="21"/>
                <w:szCs w:val="21"/>
                <w:lang w:eastAsia="zh-CN" w:bidi="ar"/>
              </w:rPr>
              <w:t>0.077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w:t>
            </w:r>
          </w:p>
        </w:tc>
        <w:tc>
          <w:tcPr>
            <w:tcW w:w="1367" w:type="dxa"/>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筛分和干选工序</w:t>
            </w: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第1次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39582</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1.8</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0.071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67"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第2次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49227</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1.3</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8" w:type="dxa"/>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67"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1329" w:type="dxa"/>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bidi="ar"/>
              </w:rPr>
            </w:pPr>
            <w:r>
              <w:rPr>
                <w:rFonts w:hint="eastAsia" w:ascii="宋体" w:hAnsi="宋体" w:eastAsia="宋体" w:cs="宋体"/>
                <w:sz w:val="21"/>
                <w:szCs w:val="21"/>
                <w:lang w:eastAsia="zh-CN" w:bidi="ar"/>
              </w:rPr>
              <w:t>第3次</w:t>
            </w:r>
          </w:p>
        </w:tc>
        <w:tc>
          <w:tcPr>
            <w:tcW w:w="172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eastAsia="zh-CN" w:bidi="ar"/>
              </w:rPr>
              <w:t>56803</w:t>
            </w:r>
          </w:p>
        </w:tc>
        <w:tc>
          <w:tcPr>
            <w:tcW w:w="1671"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b/>
                <w:bCs/>
                <w:color w:val="000000"/>
                <w:sz w:val="21"/>
                <w:szCs w:val="21"/>
                <w:lang w:eastAsia="zh-CN" w:bidi="ar"/>
              </w:rPr>
              <w:t>4.4</w:t>
            </w:r>
          </w:p>
        </w:tc>
        <w:tc>
          <w:tcPr>
            <w:tcW w:w="2502"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b/>
                <w:bCs/>
                <w:color w:val="000000"/>
                <w:sz w:val="21"/>
                <w:szCs w:val="21"/>
                <w:lang w:eastAsia="zh-CN" w:bidi="ar"/>
              </w:rPr>
              <w:t>0.250</w:t>
            </w:r>
          </w:p>
        </w:tc>
      </w:tr>
    </w:tbl>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选矿厂粗碎工序、中碎工序、细碎工序、振筛和干选工序颗粒物的最大排放浓度分别为4.4mg/m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、6.1mg/m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、2.5mg/m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、4.4mg/m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，满足《铁矿采选工业污染物排放标准》（GB28661-2012）中表5中排放浓度限值20mg/m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的要求；粗碎工序、中碎工序、细碎工序、振筛和干选工序颗粒物的最大排放速率分别为0.081kg/h、0.337kg/h、0.077kg/h、0.250kg/h，满足《大气污染物综合排放标准》（GB 16297-1996）表2二级3.5kg/h的限值要求。</w:t>
      </w:r>
    </w:p>
    <w:p>
      <w:pPr>
        <w:pStyle w:val="16"/>
        <w:ind w:firstLine="560"/>
        <w:rPr>
          <w:rFonts w:hint="eastAsia" w:ascii="宋体" w:hAnsi="宋体" w:eastAsia="宋体" w:cs="宋体"/>
        </w:rPr>
      </w:pPr>
      <w:r>
        <w:rPr>
          <w:rFonts w:hint="eastAsia" w:ascii="宋体" w:hAnsi="宋体" w:eastAsia="宋体" w:cs="宋体"/>
        </w:rPr>
        <w:t>（2）无组织</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①选矿厂粉尘</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选矿厂无组织粉尘主要为堆场扬尘、装卸扬尘、破碎筛分扬尘及运输扬尘等。</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治理措施：选矿厂原矿石、粉矿和废石均设封闭式仓存放；矿石、粉矿运输皮带设封闭式皮带廊，且设洒水抑尘措施；厂区内道路均已硬化；定期洒水等措施，减少粉尘的产生量。</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根据青岛谱尼测试有限公司于2018年11月20～21日对选矿厂场界粉尘无组织排放情况进行了监测，监测结果见表2.3.8-2。</w:t>
      </w:r>
    </w:p>
    <w:p>
      <w:pPr>
        <w:pStyle w:val="14"/>
        <w:spacing w:line="240" w:lineRule="auto"/>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表2.3.8-2 选矿厂</w:t>
      </w:r>
      <w:r>
        <w:rPr>
          <w:rFonts w:hint="eastAsia" w:cs="宋体"/>
          <w:b/>
          <w:bCs/>
          <w:sz w:val="24"/>
          <w:lang w:eastAsia="zh-CN" w:bidi="ar"/>
        </w:rPr>
        <w:t>场</w:t>
      </w:r>
      <w:r>
        <w:rPr>
          <w:rFonts w:hint="eastAsia" w:ascii="宋体" w:hAnsi="宋体" w:eastAsia="宋体" w:cs="宋体"/>
          <w:b/>
          <w:bCs/>
          <w:sz w:val="24"/>
          <w:lang w:eastAsia="zh-CN" w:bidi="ar"/>
        </w:rPr>
        <w:t>界无组织监测结果表</w:t>
      </w:r>
    </w:p>
    <w:tbl>
      <w:tblPr>
        <w:tblStyle w:val="2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752"/>
        <w:gridCol w:w="1252"/>
        <w:gridCol w:w="1253"/>
        <w:gridCol w:w="1253"/>
        <w:gridCol w:w="1253"/>
        <w:gridCol w:w="1253"/>
        <w:gridCol w:w="12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623" w:type="dxa"/>
            <w:gridSpan w:val="2"/>
            <w:vMerge w:val="restart"/>
            <w:tcBorders>
              <w:top w:val="single" w:color="auto" w:sz="12" w:space="0"/>
              <w:left w:val="single" w:color="auto" w:sz="12" w:space="0"/>
              <w:right w:val="single" w:color="auto" w:sz="4" w:space="0"/>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监测点位</w:t>
            </w:r>
          </w:p>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（见附图）</w:t>
            </w:r>
          </w:p>
        </w:tc>
        <w:tc>
          <w:tcPr>
            <w:tcW w:w="6899" w:type="dxa"/>
            <w:gridSpan w:val="6"/>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105" w:firstLineChars="5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623" w:type="dxa"/>
            <w:gridSpan w:val="2"/>
            <w:vMerge w:val="continue"/>
            <w:tcBorders>
              <w:left w:val="single" w:color="auto" w:sz="12" w:space="0"/>
              <w:right w:val="single" w:color="auto" w:sz="4" w:space="0"/>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3449"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autoSpaceDE/>
              <w:autoSpaceDN/>
              <w:spacing w:before="0" w:beforeAutospacing="0" w:after="0" w:afterAutospacing="0" w:line="240" w:lineRule="auto"/>
              <w:ind w:left="0" w:right="0" w:firstLine="105" w:firstLineChars="5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2018.11.20</w:t>
            </w:r>
          </w:p>
        </w:tc>
        <w:tc>
          <w:tcPr>
            <w:tcW w:w="3450" w:type="dxa"/>
            <w:gridSpan w:val="3"/>
            <w:tcBorders>
              <w:top w:val="single" w:color="auto" w:sz="4" w:space="0"/>
              <w:left w:val="single" w:color="auto" w:sz="4" w:space="0"/>
              <w:bottom w:val="single" w:color="auto" w:sz="4" w:space="0"/>
              <w:righ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105" w:firstLineChars="5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2018.11.21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jc w:val="center"/>
        </w:trPr>
        <w:tc>
          <w:tcPr>
            <w:tcW w:w="1623" w:type="dxa"/>
            <w:gridSpan w:val="2"/>
            <w:vMerge w:val="continue"/>
            <w:tcBorders>
              <w:left w:val="single" w:color="auto" w:sz="12" w:space="0"/>
              <w:right w:val="single" w:color="auto" w:sz="4" w:space="0"/>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1149"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11:00</w:t>
            </w:r>
          </w:p>
        </w:tc>
        <w:tc>
          <w:tcPr>
            <w:tcW w:w="115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13:00</w:t>
            </w:r>
          </w:p>
        </w:tc>
        <w:tc>
          <w:tcPr>
            <w:tcW w:w="115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15:00</w:t>
            </w:r>
          </w:p>
        </w:tc>
        <w:tc>
          <w:tcPr>
            <w:tcW w:w="115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11:00</w:t>
            </w:r>
          </w:p>
        </w:tc>
        <w:tc>
          <w:tcPr>
            <w:tcW w:w="115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13:00</w:t>
            </w:r>
          </w:p>
        </w:tc>
        <w:tc>
          <w:tcPr>
            <w:tcW w:w="1150" w:type="dxa"/>
            <w:tcBorders>
              <w:top w:val="single" w:color="auto" w:sz="4" w:space="0"/>
              <w:left w:val="single" w:color="auto" w:sz="4" w:space="0"/>
              <w:right w:val="single" w:color="auto" w:sz="12"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3" w:type="dxa"/>
            <w:vMerge w:val="restart"/>
            <w:tcBorders>
              <w:top w:val="single" w:color="auto" w:sz="4" w:space="0"/>
              <w:left w:val="single" w:color="auto" w:sz="12" w:space="0"/>
              <w:right w:val="single" w:color="auto" w:sz="4" w:space="0"/>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颗粒物小时值mg</w:t>
            </w:r>
            <w:r>
              <w:rPr>
                <w:rFonts w:hint="eastAsia" w:ascii="宋体" w:hAnsi="宋体" w:eastAsia="宋体" w:cs="宋体"/>
                <w:sz w:val="21"/>
                <w:lang w:eastAsia="zh-CN"/>
              </w:rPr>
              <w:t>/m</w:t>
            </w:r>
            <w:r>
              <w:rPr>
                <w:rFonts w:hint="eastAsia" w:ascii="宋体" w:hAnsi="宋体" w:eastAsia="宋体" w:cs="宋体"/>
                <w:sz w:val="21"/>
                <w:vertAlign w:val="superscript"/>
                <w:lang w:eastAsia="zh-CN"/>
              </w:rPr>
              <w:t>3</w:t>
            </w:r>
          </w:p>
        </w:tc>
        <w:tc>
          <w:tcPr>
            <w:tcW w:w="69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w:t>
            </w:r>
          </w:p>
        </w:tc>
        <w:tc>
          <w:tcPr>
            <w:tcW w:w="1149"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0.19</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0.20</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0.25</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0.21</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0.26</w:t>
            </w:r>
          </w:p>
        </w:tc>
        <w:tc>
          <w:tcPr>
            <w:tcW w:w="1150" w:type="dxa"/>
            <w:tcBorders>
              <w:left w:val="single" w:color="auto" w:sz="4" w:space="0"/>
              <w:right w:val="single" w:color="auto" w:sz="12"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3" w:type="dxa"/>
            <w:vMerge w:val="continue"/>
            <w:tcBorders>
              <w:left w:val="single" w:color="auto" w:sz="12" w:space="0"/>
              <w:right w:val="single" w:color="auto" w:sz="4" w:space="0"/>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p>
        </w:tc>
        <w:tc>
          <w:tcPr>
            <w:tcW w:w="69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w:t>
            </w:r>
          </w:p>
        </w:tc>
        <w:tc>
          <w:tcPr>
            <w:tcW w:w="1149"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0.25</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0.24</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0.31</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0.26</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0.33</w:t>
            </w:r>
          </w:p>
        </w:tc>
        <w:tc>
          <w:tcPr>
            <w:tcW w:w="1150" w:type="dxa"/>
            <w:tcBorders>
              <w:left w:val="single" w:color="auto" w:sz="4" w:space="0"/>
              <w:right w:val="single" w:color="auto" w:sz="12"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3" w:type="dxa"/>
            <w:vMerge w:val="continue"/>
            <w:tcBorders>
              <w:left w:val="single" w:color="auto" w:sz="12" w:space="0"/>
              <w:right w:val="single" w:color="auto" w:sz="4" w:space="0"/>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p>
        </w:tc>
        <w:tc>
          <w:tcPr>
            <w:tcW w:w="69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w:t>
            </w:r>
          </w:p>
        </w:tc>
        <w:tc>
          <w:tcPr>
            <w:tcW w:w="1149"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0.28</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0.27</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0.33</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0.29</w:t>
            </w:r>
          </w:p>
        </w:tc>
        <w:tc>
          <w:tcPr>
            <w:tcW w:w="1150" w:type="dxa"/>
            <w:tcBorders>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0.34</w:t>
            </w:r>
          </w:p>
        </w:tc>
        <w:tc>
          <w:tcPr>
            <w:tcW w:w="1150" w:type="dxa"/>
            <w:tcBorders>
              <w:left w:val="single" w:color="auto" w:sz="4" w:space="0"/>
              <w:right w:val="single" w:color="auto" w:sz="12"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3" w:type="dxa"/>
            <w:vMerge w:val="continue"/>
            <w:tcBorders>
              <w:left w:val="single" w:color="auto" w:sz="12" w:space="0"/>
              <w:right w:val="single" w:color="auto" w:sz="4" w:space="0"/>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p>
        </w:tc>
        <w:tc>
          <w:tcPr>
            <w:tcW w:w="690" w:type="dxa"/>
            <w:tcBorders>
              <w:top w:val="single" w:color="auto" w:sz="4" w:space="0"/>
              <w:left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w:t>
            </w:r>
          </w:p>
        </w:tc>
        <w:tc>
          <w:tcPr>
            <w:tcW w:w="1149" w:type="dxa"/>
            <w:tcBorders>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0.24</w:t>
            </w:r>
          </w:p>
        </w:tc>
        <w:tc>
          <w:tcPr>
            <w:tcW w:w="1150" w:type="dxa"/>
            <w:tcBorders>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0.28</w:t>
            </w:r>
          </w:p>
        </w:tc>
        <w:tc>
          <w:tcPr>
            <w:tcW w:w="1150" w:type="dxa"/>
            <w:tcBorders>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0.29</w:t>
            </w:r>
          </w:p>
        </w:tc>
        <w:tc>
          <w:tcPr>
            <w:tcW w:w="1150" w:type="dxa"/>
            <w:tcBorders>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0.27</w:t>
            </w:r>
          </w:p>
        </w:tc>
        <w:tc>
          <w:tcPr>
            <w:tcW w:w="1150" w:type="dxa"/>
            <w:tcBorders>
              <w:left w:val="single" w:color="auto" w:sz="4" w:space="0"/>
              <w:bottom w:val="single" w:color="auto" w:sz="4" w:space="0"/>
              <w:right w:val="single" w:color="auto" w:sz="4"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0.31</w:t>
            </w:r>
          </w:p>
        </w:tc>
        <w:tc>
          <w:tcPr>
            <w:tcW w:w="1150" w:type="dxa"/>
            <w:tcBorders>
              <w:left w:val="single" w:color="auto" w:sz="4" w:space="0"/>
              <w:bottom w:val="single" w:color="auto" w:sz="4" w:space="0"/>
              <w:right w:val="single" w:color="auto" w:sz="12" w:space="0"/>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23" w:type="dxa"/>
            <w:gridSpan w:val="2"/>
            <w:tcBorders>
              <w:left w:val="single" w:color="auto" w:sz="12" w:space="0"/>
              <w:bottom w:val="single" w:color="auto" w:sz="12" w:space="0"/>
              <w:right w:val="single" w:color="auto" w:sz="4" w:space="0"/>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备注</w:t>
            </w:r>
          </w:p>
        </w:tc>
        <w:tc>
          <w:tcPr>
            <w:tcW w:w="6899" w:type="dxa"/>
            <w:gridSpan w:val="6"/>
            <w:tcBorders>
              <w:top w:val="single" w:color="auto" w:sz="4" w:space="0"/>
              <w:left w:val="single" w:color="auto" w:sz="4" w:space="0"/>
              <w:bottom w:val="single" w:color="auto" w:sz="12" w:space="0"/>
              <w:righ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lang w:eastAsia="zh-CN"/>
              </w:rPr>
            </w:pPr>
            <w:r>
              <w:rPr>
                <w:rFonts w:hint="eastAsia" w:ascii="宋体" w:hAnsi="宋体" w:eastAsia="宋体" w:cs="宋体"/>
                <w:kern w:val="2"/>
                <w:sz w:val="21"/>
                <w:lang w:eastAsia="zh-CN"/>
              </w:rPr>
              <w:t>监测期间主导风向：北。</w:t>
            </w:r>
          </w:p>
        </w:tc>
      </w:tr>
    </w:tbl>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Borders>
              <w:top w:val="nil"/>
              <w:left w:val="nil"/>
              <w:bottom w:val="nil"/>
              <w:right w:val="nil"/>
            </w:tcBorders>
          </w:tcPr>
          <w:p>
            <w:pPr>
              <w:pStyle w:val="14"/>
              <w:keepNext w:val="0"/>
              <w:keepLines w:val="0"/>
              <w:suppressLineNumbers w:val="0"/>
              <w:spacing w:before="0" w:beforeAutospacing="0" w:after="0" w:afterAutospacing="0"/>
              <w:ind w:left="0" w:right="0" w:firstLine="482"/>
              <w:jc w:val="center"/>
              <w:rPr>
                <w:rFonts w:hint="eastAsia" w:ascii="宋体" w:hAnsi="宋体" w:eastAsia="宋体" w:cs="宋体"/>
                <w:b/>
                <w:bCs/>
                <w:sz w:val="24"/>
                <w:lang w:eastAsia="zh-CN" w:bidi="ar"/>
              </w:rPr>
            </w:pPr>
            <w:r>
              <w:rPr>
                <w:rFonts w:hint="eastAsia" w:ascii="宋体" w:hAnsi="宋体" w:eastAsia="宋体" w:cs="宋体"/>
                <w:b/>
                <w:bCs/>
                <w:sz w:val="24"/>
                <w:lang w:eastAsia="zh-CN"/>
              </w:rPr>
              <w:drawing>
                <wp:anchor distT="0" distB="0" distL="114300" distR="114300" simplePos="0" relativeHeight="251708416" behindDoc="1" locked="0" layoutInCell="1" allowOverlap="1">
                  <wp:simplePos x="0" y="0"/>
                  <wp:positionH relativeFrom="column">
                    <wp:posOffset>441325</wp:posOffset>
                  </wp:positionH>
                  <wp:positionV relativeFrom="paragraph">
                    <wp:posOffset>-3012440</wp:posOffset>
                  </wp:positionV>
                  <wp:extent cx="5181600" cy="2847975"/>
                  <wp:effectExtent l="0" t="0" r="0" b="47625"/>
                  <wp:wrapThrough wrapText="bothSides">
                    <wp:wrapPolygon>
                      <wp:start x="0" y="0"/>
                      <wp:lineTo x="0" y="21528"/>
                      <wp:lineTo x="21521" y="21528"/>
                      <wp:lineTo x="21521" y="0"/>
                      <wp:lineTo x="0" y="0"/>
                    </wp:wrapPolygon>
                  </wp:wrapThrough>
                  <wp:docPr id="4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图片 9"/>
                          <pic:cNvPicPr>
                            <a:picLocks noChangeAspect="1"/>
                          </pic:cNvPicPr>
                        </pic:nvPicPr>
                        <pic:blipFill>
                          <a:blip r:embed="rId92"/>
                          <a:stretch>
                            <a:fillRect/>
                          </a:stretch>
                        </pic:blipFill>
                        <pic:spPr>
                          <a:xfrm>
                            <a:off x="0" y="0"/>
                            <a:ext cx="5181600" cy="28479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Borders>
              <w:top w:val="nil"/>
              <w:left w:val="nil"/>
              <w:bottom w:val="nil"/>
              <w:right w:val="nil"/>
            </w:tcBorders>
          </w:tcPr>
          <w:p>
            <w:pPr>
              <w:pStyle w:val="14"/>
              <w:keepNext w:val="0"/>
              <w:keepLines w:val="0"/>
              <w:suppressLineNumbers w:val="0"/>
              <w:spacing w:before="0" w:beforeAutospacing="0" w:after="0" w:afterAutospacing="0" w:line="240" w:lineRule="auto"/>
              <w:ind w:left="0" w:right="0" w:firstLine="482"/>
              <w:jc w:val="center"/>
              <w:rPr>
                <w:rFonts w:hint="eastAsia" w:ascii="宋体" w:hAnsi="宋体" w:eastAsia="宋体" w:cs="宋体"/>
                <w:sz w:val="24"/>
                <w:lang w:eastAsia="zh-CN" w:bidi="ar"/>
              </w:rPr>
            </w:pPr>
            <w:r>
              <w:rPr>
                <w:rFonts w:hint="eastAsia" w:ascii="宋体" w:hAnsi="宋体" w:eastAsia="宋体" w:cs="宋体"/>
                <w:b/>
                <w:bCs/>
                <w:sz w:val="24"/>
                <w:lang w:eastAsia="zh-CN" w:bidi="ar"/>
              </w:rPr>
              <w:t>图2.3.8-1 选矿厂无组织监测点位示意图</w:t>
            </w:r>
          </w:p>
        </w:tc>
      </w:tr>
    </w:tbl>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由表可知：选矿厂厂界无组织废气颗粒物的最大值为0.34mg/m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，满足《铁矿采选工业污染物排放标准》（GB28661-2012）表7中的无组织排放浓度限值1.0mg/m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②尾矿库粉尘</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尾矿库粉尘主要是干滩大风天气产生的风蚀扬尘。</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治理措施：尾矿上采取压实覆土、植草等措施减少粉尘产生量；植被未覆盖区域及开挖区域采用防尘网覆盖方式，减少尾矿库起尘量；采用分散放矿增大滩面润湿面积方式防止扬尘。尾矿库坝外坡用平整大粒径废石护坡，防止雨水冲刷、渗流冲蚀、粉尘飞扬，并在坝外坡进行植被绿化，起到固沙保土作用；初期坝坡面撒草籽绿化，坡脚种植高大乔木，通过采取抑尘措施，尾矿库扬尘不会对周边大气环境产生较大影响。</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根据青岛谱尼测试有限公司于2018年11月20～21日对尾矿库场界粉尘无组织排放情况进行了监测，监测结果见表2.3.8-3。</w:t>
      </w:r>
    </w:p>
    <w:p>
      <w:pPr>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表2.3.8-3 尾矿库场界无组织排放监测结果</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752"/>
        <w:gridCol w:w="1252"/>
        <w:gridCol w:w="1253"/>
        <w:gridCol w:w="1253"/>
        <w:gridCol w:w="1253"/>
        <w:gridCol w:w="1253"/>
        <w:gridCol w:w="12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23" w:type="dxa"/>
            <w:gridSpan w:val="2"/>
            <w:vMerge w:val="restart"/>
            <w:tcBorders>
              <w:tl2br w:val="nil"/>
              <w:tr2bl w:val="nil"/>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监测点位</w:t>
            </w:r>
          </w:p>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（见附图）</w:t>
            </w:r>
          </w:p>
        </w:tc>
        <w:tc>
          <w:tcPr>
            <w:tcW w:w="6899" w:type="dxa"/>
            <w:gridSpan w:val="6"/>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105" w:firstLineChars="5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23" w:type="dxa"/>
            <w:gridSpan w:val="2"/>
            <w:vMerge w:val="continue"/>
            <w:tcBorders>
              <w:tl2br w:val="nil"/>
              <w:tr2bl w:val="nil"/>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p>
        </w:tc>
        <w:tc>
          <w:tcPr>
            <w:tcW w:w="3449" w:type="dxa"/>
            <w:gridSpan w:val="3"/>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105" w:firstLineChars="5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2018.11.20</w:t>
            </w:r>
          </w:p>
        </w:tc>
        <w:tc>
          <w:tcPr>
            <w:tcW w:w="3450" w:type="dxa"/>
            <w:gridSpan w:val="3"/>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105" w:firstLineChars="5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2018.11.21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23" w:type="dxa"/>
            <w:gridSpan w:val="2"/>
            <w:vMerge w:val="continue"/>
            <w:tcBorders>
              <w:tl2br w:val="nil"/>
              <w:tr2bl w:val="nil"/>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p>
        </w:tc>
        <w:tc>
          <w:tcPr>
            <w:tcW w:w="1149"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11:00</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13:00</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15:00</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11:00</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13:00</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3" w:type="dxa"/>
            <w:vMerge w:val="restar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颗粒物小时值mg</w:t>
            </w:r>
            <w:r>
              <w:rPr>
                <w:rFonts w:hint="eastAsia" w:ascii="宋体" w:hAnsi="宋体" w:eastAsia="宋体" w:cs="宋体"/>
                <w:sz w:val="21"/>
                <w:szCs w:val="21"/>
                <w:lang w:eastAsia="zh-CN"/>
              </w:rPr>
              <w:t>/m</w:t>
            </w:r>
            <w:r>
              <w:rPr>
                <w:rFonts w:hint="eastAsia" w:ascii="宋体" w:hAnsi="宋体" w:eastAsia="宋体" w:cs="宋体"/>
                <w:sz w:val="21"/>
                <w:szCs w:val="21"/>
                <w:vertAlign w:val="superscript"/>
                <w:lang w:eastAsia="zh-CN"/>
              </w:rPr>
              <w:t>3</w:t>
            </w:r>
          </w:p>
        </w:tc>
        <w:tc>
          <w:tcPr>
            <w:tcW w:w="69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149"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0.24</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0.22</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0.21</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0.18</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0.23</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3" w:type="dxa"/>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9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149"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0.27</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0.25</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0.24</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0.22</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0.27</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3" w:type="dxa"/>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9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149"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0.32</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0.29</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0.28</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0.25</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0.30</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933" w:type="dxa"/>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9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1149"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0.28</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0.27</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0.26</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0.27</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0.32</w:t>
            </w:r>
          </w:p>
        </w:tc>
        <w:tc>
          <w:tcPr>
            <w:tcW w:w="1150"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1623" w:type="dxa"/>
            <w:gridSpan w:val="2"/>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备注</w:t>
            </w:r>
          </w:p>
        </w:tc>
        <w:tc>
          <w:tcPr>
            <w:tcW w:w="6899" w:type="dxa"/>
            <w:gridSpan w:val="6"/>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监测期间主导风向：北。</w:t>
            </w:r>
          </w:p>
        </w:tc>
      </w:tr>
    </w:tbl>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7" w:type="dxa"/>
            <w:tcBorders>
              <w:top w:val="nil"/>
              <w:left w:val="nil"/>
              <w:bottom w:val="nil"/>
              <w:right w:val="nil"/>
            </w:tcBorders>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Cs w:val="28"/>
                <w:lang w:eastAsia="zh-CN" w:bidi="ar"/>
              </w:rPr>
            </w:pPr>
            <w:r>
              <w:rPr>
                <w:rFonts w:hint="eastAsia" w:ascii="宋体" w:hAnsi="宋体" w:eastAsia="宋体" w:cs="宋体"/>
                <w:b/>
                <w:bCs/>
                <w:sz w:val="24"/>
                <w:lang w:eastAsia="zh-CN" w:bidi="ar"/>
              </w:rPr>
              <w:t>图2.3.7-2 尾矿库无组织监测点位示意图</w:t>
            </w:r>
            <w:r>
              <w:rPr>
                <w:rFonts w:hint="eastAsia" w:ascii="宋体" w:hAnsi="宋体" w:eastAsia="宋体" w:cs="宋体"/>
                <w:szCs w:val="28"/>
                <w:lang w:eastAsia="zh-CN"/>
              </w:rPr>
              <w:drawing>
                <wp:anchor distT="0" distB="0" distL="114300" distR="114300" simplePos="0" relativeHeight="251709440" behindDoc="0" locked="0" layoutInCell="1" allowOverlap="1">
                  <wp:simplePos x="0" y="0"/>
                  <wp:positionH relativeFrom="column">
                    <wp:posOffset>355600</wp:posOffset>
                  </wp:positionH>
                  <wp:positionV relativeFrom="paragraph">
                    <wp:posOffset>69850</wp:posOffset>
                  </wp:positionV>
                  <wp:extent cx="5272405" cy="2558415"/>
                  <wp:effectExtent l="0" t="0" r="4445" b="13335"/>
                  <wp:wrapTopAndBottom/>
                  <wp:docPr id="4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图片 10"/>
                          <pic:cNvPicPr>
                            <a:picLocks noChangeAspect="1"/>
                          </pic:cNvPicPr>
                        </pic:nvPicPr>
                        <pic:blipFill>
                          <a:blip r:embed="rId93"/>
                          <a:stretch>
                            <a:fillRect/>
                          </a:stretch>
                        </pic:blipFill>
                        <pic:spPr>
                          <a:xfrm>
                            <a:off x="0" y="0"/>
                            <a:ext cx="5272405" cy="2558415"/>
                          </a:xfrm>
                          <a:prstGeom prst="rect">
                            <a:avLst/>
                          </a:prstGeom>
                          <a:noFill/>
                          <a:ln>
                            <a:noFill/>
                          </a:ln>
                        </pic:spPr>
                      </pic:pic>
                    </a:graphicData>
                  </a:graphic>
                </wp:anchor>
              </w:drawing>
            </w:r>
          </w:p>
        </w:tc>
      </w:tr>
    </w:tbl>
    <w:p>
      <w:pPr>
        <w:pStyle w:val="16"/>
        <w:ind w:firstLine="560"/>
        <w:rPr>
          <w:rFonts w:hint="eastAsia" w:ascii="宋体" w:hAnsi="宋体" w:eastAsia="宋体" w:cs="宋体"/>
          <w:szCs w:val="28"/>
          <w:lang w:bidi="ar"/>
        </w:rPr>
      </w:pPr>
      <w:r>
        <w:rPr>
          <w:rFonts w:hint="eastAsia" w:ascii="宋体" w:hAnsi="宋体" w:eastAsia="宋体" w:cs="宋体"/>
          <w:szCs w:val="28"/>
          <w:lang w:bidi="ar"/>
        </w:rPr>
        <w:t>由表可知：尾矿库场界无组织废气颗粒物的最大值为0.32mg/m</w:t>
      </w:r>
      <w:r>
        <w:rPr>
          <w:rFonts w:hint="eastAsia" w:ascii="宋体" w:hAnsi="宋体" w:eastAsia="宋体" w:cs="宋体"/>
          <w:szCs w:val="28"/>
          <w:vertAlign w:val="superscript"/>
          <w:lang w:bidi="ar"/>
        </w:rPr>
        <w:t>3</w:t>
      </w:r>
      <w:r>
        <w:rPr>
          <w:rFonts w:hint="eastAsia" w:ascii="宋体" w:hAnsi="宋体" w:eastAsia="宋体" w:cs="宋体"/>
          <w:szCs w:val="28"/>
          <w:lang w:bidi="ar"/>
        </w:rPr>
        <w:t>，满足《铁矿采选工业污染物排放标准》（GB28661-2012）表7中的无组织排放浓度限值1.0mg/m</w:t>
      </w:r>
      <w:r>
        <w:rPr>
          <w:rFonts w:hint="eastAsia" w:ascii="宋体" w:hAnsi="宋体" w:eastAsia="宋体" w:cs="宋体"/>
          <w:szCs w:val="28"/>
          <w:vertAlign w:val="superscript"/>
          <w:lang w:bidi="ar"/>
        </w:rPr>
        <w:t>3</w:t>
      </w:r>
      <w:r>
        <w:rPr>
          <w:rFonts w:hint="eastAsia" w:ascii="宋体" w:hAnsi="宋体" w:eastAsia="宋体" w:cs="宋体"/>
          <w:szCs w:val="28"/>
          <w:lang w:bidi="ar"/>
        </w:rPr>
        <w:t>。</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2.3.8.2 废水</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选矿厂于尾矿库工程运营过程中产生的废水主要为选矿生产废水、尾矿库上清水和渗滤水、生活污水。</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（1）选矿生产废水</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选矿厂设4座浓缩池，</w:t>
      </w:r>
      <w:r>
        <w:rPr>
          <w:rFonts w:hint="eastAsia" w:cs="宋体"/>
          <w:szCs w:val="28"/>
          <w:lang w:eastAsia="zh-CN" w:bidi="ar"/>
        </w:rPr>
        <w:t>位于选矿厂南侧，</w:t>
      </w:r>
      <w:r>
        <w:rPr>
          <w:rFonts w:hint="eastAsia" w:ascii="宋体" w:hAnsi="宋体" w:eastAsia="宋体" w:cs="宋体"/>
          <w:szCs w:val="28"/>
          <w:lang w:eastAsia="zh-CN" w:bidi="ar"/>
        </w:rPr>
        <w:t>其中两个用于选矿废水浓缩，一个用于存放溢流水，一个备用。每个浓缩池内径30m、池深3.6m，呈圆锥形，容积1150m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选矿废水包括精矿脱水、浓缩池溢流水、充填站回用水，全部回用于选矿工艺补水。每天循环水量9160.8m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/d，通过泵打至王峪矿段涌水池后回用于选矿厂，不外排。</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（2）尾矿库上清水和渗滤水</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尾矿库回水池</w:t>
      </w:r>
      <w:r>
        <w:rPr>
          <w:rFonts w:hint="eastAsia" w:cs="宋体"/>
          <w:szCs w:val="28"/>
          <w:lang w:eastAsia="zh-CN" w:bidi="ar"/>
        </w:rPr>
        <w:t>位于</w:t>
      </w:r>
      <w:r>
        <w:rPr>
          <w:rFonts w:hint="eastAsia" w:cs="宋体"/>
          <w:szCs w:val="28"/>
          <w:lang w:val="en-US" w:eastAsia="zh-CN" w:bidi="ar"/>
        </w:rPr>
        <w:t>2#尾矿库北侧</w:t>
      </w:r>
      <w:r>
        <w:rPr>
          <w:rFonts w:hint="eastAsia" w:ascii="宋体" w:hAnsi="宋体" w:eastAsia="宋体" w:cs="宋体"/>
          <w:szCs w:val="28"/>
          <w:lang w:eastAsia="zh-CN" w:bidi="ar"/>
        </w:rPr>
        <w:t>，池深2.5m，容积为1600m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1#尾矿库已停止放矿，基本没有坝体渗水排放。</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现有选矿厂产生的尾矿排入新建的2#尾矿库，尾矿库内上层清水及坝体渗水（回水量：1023.4m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/d）全部经管道排入回水池，静置沉淀后，通过泵打入王峪矿段涌水池中，同涌水池中的水一起打入选矿厂，供选矿厂生产，不外排。</w:t>
      </w:r>
    </w:p>
    <w:p>
      <w:pPr>
        <w:ind w:firstLine="560"/>
        <w:rPr>
          <w:rFonts w:hint="eastAsia" w:ascii="宋体" w:hAnsi="宋体" w:eastAsia="宋体" w:cs="宋体"/>
          <w:lang w:eastAsia="zh-CN"/>
        </w:rPr>
      </w:pPr>
      <w:r>
        <w:rPr>
          <w:rFonts w:hint="eastAsia" w:ascii="宋体" w:hAnsi="宋体" w:eastAsia="宋体" w:cs="宋体"/>
          <w:lang w:eastAsia="zh-CN"/>
        </w:rPr>
        <w:t>根据青岛谱尼测试有限公司于2018年11月和2019年1月对尾矿库渗滤水水质进行的监测可知，尾矿库渗滤液回水池各项指标见表2.3.8-4。</w:t>
      </w:r>
    </w:p>
    <w:p>
      <w:pPr>
        <w:autoSpaceDE/>
        <w:autoSpaceDN/>
        <w:spacing w:line="240" w:lineRule="auto"/>
        <w:ind w:firstLine="2650" w:firstLineChars="1100"/>
        <w:jc w:val="both"/>
        <w:rPr>
          <w:rFonts w:hint="eastAsia" w:ascii="宋体" w:hAnsi="宋体" w:eastAsia="宋体" w:cs="宋体"/>
          <w:b/>
          <w:kern w:val="2"/>
          <w:sz w:val="24"/>
          <w:lang w:eastAsia="zh-CN"/>
        </w:rPr>
      </w:pPr>
      <w:r>
        <w:rPr>
          <w:rFonts w:hint="eastAsia" w:ascii="宋体" w:hAnsi="宋体" w:eastAsia="宋体" w:cs="宋体"/>
          <w:b/>
          <w:kern w:val="2"/>
          <w:sz w:val="24"/>
          <w:lang w:eastAsia="zh-CN"/>
        </w:rPr>
        <w:t>表2.3.8-4 尾矿库渗滤水监测结果</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392"/>
        <w:gridCol w:w="1680"/>
        <w:gridCol w:w="1724"/>
        <w:gridCol w:w="1669"/>
        <w:gridCol w:w="18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blHeader/>
        </w:trPr>
        <w:tc>
          <w:tcPr>
            <w:tcW w:w="1289" w:type="pct"/>
            <w:vMerge w:val="restar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监测项目</w:t>
            </w:r>
          </w:p>
        </w:tc>
        <w:tc>
          <w:tcPr>
            <w:tcW w:w="1834" w:type="pct"/>
            <w:gridSpan w:val="2"/>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第一天</w:t>
            </w:r>
          </w:p>
        </w:tc>
        <w:tc>
          <w:tcPr>
            <w:tcW w:w="1876" w:type="pct"/>
            <w:gridSpan w:val="2"/>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第二天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blHeader/>
        </w:trPr>
        <w:tc>
          <w:tcPr>
            <w:tcW w:w="1289" w:type="pct"/>
            <w:vMerge w:val="continue"/>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第一次</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第二次</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第一次</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第二次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pH 值（无量纲）</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7.84</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7.74</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7.77</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化学需氧量（CODcr)</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生化需氧量（BOD5)</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1.2</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悬浮物（ss)</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14</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13</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氨氮（以 N 计）</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0.057</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0.047</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0.037</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0.43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总磷（以P计）</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0.03</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0.02</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0.02</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挥发酚（以苯酚计）</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硫化物</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氟化物</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0.7</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0.66</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0.7</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氰化物</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全盐量</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1.57×10</w:t>
            </w:r>
            <w:r>
              <w:rPr>
                <w:rFonts w:hint="eastAsia" w:ascii="宋体" w:hAnsi="宋体" w:eastAsia="宋体" w:cs="宋体"/>
                <w:sz w:val="21"/>
                <w:szCs w:val="21"/>
                <w:vertAlign w:val="superscript"/>
                <w:lang w:eastAsia="zh-CN" w:bidi="ar"/>
              </w:rPr>
              <w:t>3</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1.58×10</w:t>
            </w:r>
            <w:r>
              <w:rPr>
                <w:rFonts w:hint="eastAsia" w:ascii="宋体" w:hAnsi="宋体" w:eastAsia="宋体" w:cs="宋体"/>
                <w:sz w:val="21"/>
                <w:szCs w:val="21"/>
                <w:vertAlign w:val="superscript"/>
                <w:lang w:eastAsia="zh-CN" w:bidi="ar"/>
              </w:rPr>
              <w:t>3</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1.56×10</w:t>
            </w:r>
            <w:r>
              <w:rPr>
                <w:rFonts w:hint="eastAsia" w:ascii="宋体" w:hAnsi="宋体" w:eastAsia="宋体" w:cs="宋体"/>
                <w:sz w:val="21"/>
                <w:szCs w:val="21"/>
                <w:vertAlign w:val="superscript"/>
                <w:lang w:eastAsia="zh-CN" w:bidi="ar"/>
              </w:rPr>
              <w:t>3</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1.52×10</w:t>
            </w:r>
            <w:r>
              <w:rPr>
                <w:rFonts w:hint="eastAsia" w:ascii="宋体" w:hAnsi="宋体" w:eastAsia="宋体" w:cs="宋体"/>
                <w:sz w:val="21"/>
                <w:szCs w:val="21"/>
                <w:vertAlign w:val="superscript"/>
                <w:lang w:eastAsia="zh-CN" w:bidi="ar"/>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阴离子表面活性剂</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石油类</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铁</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0.07</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0.07</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0.08</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锰</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0.006</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0.005</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铜</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锌</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铅</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镉</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镍</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砷</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0.001</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0.0009</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0.0008</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0.0008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汞</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六价铬</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粪大肠菌群</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28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总氮*</w:t>
            </w:r>
          </w:p>
        </w:tc>
        <w:tc>
          <w:tcPr>
            <w:tcW w:w="905"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51.6</w:t>
            </w:r>
          </w:p>
        </w:tc>
        <w:tc>
          <w:tcPr>
            <w:tcW w:w="928"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51.4</w:t>
            </w:r>
          </w:p>
        </w:tc>
        <w:tc>
          <w:tcPr>
            <w:tcW w:w="899"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51.7</w:t>
            </w:r>
          </w:p>
        </w:tc>
        <w:tc>
          <w:tcPr>
            <w:tcW w:w="976"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5000" w:type="pct"/>
            <w:gridSpan w:val="5"/>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备注：总氮*监测日期为2019.01.15（第一天）、2019.01.16（第二天）；其余监测指标监测日期均为2018.11.21（第一天）、2018.11.22（第二天）。</w:t>
            </w:r>
          </w:p>
        </w:tc>
      </w:tr>
    </w:tbl>
    <w:p>
      <w:pPr>
        <w:pStyle w:val="16"/>
        <w:ind w:firstLine="560"/>
        <w:rPr>
          <w:rFonts w:hint="eastAsia" w:ascii="宋体" w:hAnsi="宋体" w:eastAsia="宋体" w:cs="宋体"/>
        </w:rPr>
      </w:pPr>
      <w:r>
        <w:rPr>
          <w:rFonts w:hint="eastAsia" w:ascii="宋体" w:hAnsi="宋体" w:eastAsia="宋体" w:cs="宋体"/>
        </w:rPr>
        <w:t>（3）生活污水</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选矿厂、尾矿库厂区内无职工食堂、无宿舍，生活废水主要为职工生活洗漱废水和冲厕废水，水量为5.32m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/d，年产生量</w:t>
      </w:r>
      <w:r>
        <w:rPr>
          <w:rFonts w:hint="eastAsia" w:cs="宋体"/>
          <w:szCs w:val="28"/>
          <w:lang w:eastAsia="zh-CN" w:bidi="ar"/>
        </w:rPr>
        <w:t>约</w:t>
      </w:r>
      <w:r>
        <w:rPr>
          <w:rFonts w:hint="eastAsia" w:ascii="宋体" w:hAnsi="宋体" w:eastAsia="宋体" w:cs="宋体"/>
          <w:szCs w:val="28"/>
          <w:lang w:eastAsia="zh-CN" w:bidi="ar"/>
        </w:rPr>
        <w:t>1756m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/a，主要污染物为COD、NH</w:t>
      </w:r>
      <w:r>
        <w:rPr>
          <w:rFonts w:hint="eastAsia" w:ascii="宋体" w:hAnsi="宋体" w:eastAsia="宋体" w:cs="宋体"/>
          <w:szCs w:val="28"/>
          <w:vertAlign w:val="subscript"/>
          <w:lang w:eastAsia="zh-CN" w:bidi="ar"/>
        </w:rPr>
        <w:t>3</w:t>
      </w:r>
      <w:r>
        <w:rPr>
          <w:rFonts w:hint="eastAsia" w:ascii="宋体" w:hAnsi="宋体" w:eastAsia="宋体" w:cs="宋体"/>
          <w:szCs w:val="28"/>
          <w:lang w:eastAsia="zh-CN" w:bidi="ar"/>
        </w:rPr>
        <w:t>-N，年产生量分别约0.53t/a、0.07t/a。生活污水生活污水经污水处理站处理后达到《城镇污水处理厂污染物排放标准》（GB 18918-2002）一级A标准、《城市污水再生利用 城市杂用水水质》(GB/T18920-2020)中“城市绿化、道路清扫、消防、建筑施工”标准的水质要求后，全部回用于企业绿化和道路洒水，不外排。</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2.3.8.3 固废</w:t>
      </w:r>
    </w:p>
    <w:p>
      <w:pPr>
        <w:pStyle w:val="16"/>
        <w:ind w:firstLine="560"/>
        <w:rPr>
          <w:rFonts w:hint="eastAsia" w:ascii="宋体" w:hAnsi="宋体" w:eastAsia="宋体" w:cs="宋体"/>
        </w:rPr>
      </w:pPr>
      <w:r>
        <w:rPr>
          <w:rFonts w:hint="eastAsia" w:ascii="宋体" w:hAnsi="宋体" w:eastAsia="宋体" w:cs="宋体"/>
        </w:rPr>
        <w:t>工程产生的固体废物主要为湿式预选废石、尾矿砂以及生活垃圾等。 </w:t>
      </w:r>
    </w:p>
    <w:p>
      <w:pPr>
        <w:pStyle w:val="16"/>
        <w:ind w:firstLine="560"/>
        <w:rPr>
          <w:rFonts w:hint="eastAsia" w:ascii="宋体" w:hAnsi="宋体" w:eastAsia="宋体" w:cs="宋体"/>
        </w:rPr>
      </w:pPr>
      <w:r>
        <w:rPr>
          <w:rFonts w:hint="eastAsia" w:ascii="宋体" w:hAnsi="宋体" w:eastAsia="宋体" w:cs="宋体"/>
        </w:rPr>
        <w:t>干选废石量为</w:t>
      </w:r>
      <w:r>
        <w:rPr>
          <w:rFonts w:hint="eastAsia" w:ascii="宋体" w:hAnsi="宋体" w:eastAsia="宋体" w:cs="宋体"/>
          <w:lang w:val="en-US" w:eastAsia="zh-CN"/>
        </w:rPr>
        <w:t>6.95</w:t>
      </w:r>
      <w:r>
        <w:rPr>
          <w:rFonts w:hint="eastAsia" w:ascii="宋体" w:hAnsi="宋体" w:eastAsia="宋体" w:cs="宋体"/>
        </w:rPr>
        <w:t>万t/a，湿式预选产生废石</w:t>
      </w:r>
      <w:r>
        <w:rPr>
          <w:rFonts w:hint="eastAsia" w:ascii="宋体" w:hAnsi="宋体" w:eastAsia="宋体" w:cs="宋体"/>
          <w:lang w:val="en-US" w:eastAsia="zh-CN"/>
        </w:rPr>
        <w:t>10.45</w:t>
      </w:r>
      <w:r>
        <w:rPr>
          <w:rFonts w:hint="eastAsia" w:ascii="宋体" w:hAnsi="宋体" w:eastAsia="宋体" w:cs="宋体"/>
        </w:rPr>
        <w:t>万t/a，在废石仓贮存，外售用做建筑材料。 </w:t>
      </w:r>
    </w:p>
    <w:p>
      <w:pPr>
        <w:pStyle w:val="16"/>
        <w:ind w:firstLine="560"/>
        <w:rPr>
          <w:rFonts w:hint="eastAsia" w:ascii="宋体" w:hAnsi="宋体" w:eastAsia="宋体" w:cs="宋体"/>
        </w:rPr>
      </w:pPr>
      <w:r>
        <w:rPr>
          <w:rFonts w:hint="eastAsia" w:ascii="宋体" w:hAnsi="宋体" w:eastAsia="宋体" w:cs="宋体"/>
        </w:rPr>
        <w:t>尾矿产生量</w:t>
      </w:r>
      <w:r>
        <w:rPr>
          <w:rFonts w:hint="eastAsia" w:ascii="宋体" w:hAnsi="宋体" w:eastAsia="宋体" w:cs="宋体"/>
          <w:lang w:val="en-US" w:eastAsia="zh-CN"/>
        </w:rPr>
        <w:t>20.0</w:t>
      </w:r>
      <w:r>
        <w:rPr>
          <w:rFonts w:hint="eastAsia" w:ascii="宋体" w:hAnsi="宋体" w:eastAsia="宋体" w:cs="宋体"/>
        </w:rPr>
        <w:t>万t/a，属于Ⅰ类一般工业固体废物，尾矿砂由管道输送至采矿区充填站，通过斜板浓密机分级，粗砂用于地下充填，细沙通过管道输送至尾矿库，在坝前分散放矿排入2#尾矿库内。其中</w:t>
      </w:r>
      <w:r>
        <w:rPr>
          <w:rFonts w:hint="eastAsia" w:ascii="宋体" w:hAnsi="宋体" w:eastAsia="宋体" w:cs="宋体"/>
          <w:lang w:val="en-US" w:eastAsia="zh-CN"/>
        </w:rPr>
        <w:t>12.4</w:t>
      </w:r>
      <w:r>
        <w:rPr>
          <w:rFonts w:hint="eastAsia" w:ascii="宋体" w:hAnsi="宋体" w:eastAsia="宋体" w:cs="宋体"/>
        </w:rPr>
        <w:t>万t/a用于井下充填，剩余</w:t>
      </w:r>
      <w:r>
        <w:rPr>
          <w:rFonts w:hint="eastAsia" w:ascii="宋体" w:hAnsi="宋体" w:eastAsia="宋体" w:cs="宋体"/>
          <w:lang w:val="en-US" w:eastAsia="zh-CN"/>
        </w:rPr>
        <w:t>7.6</w:t>
      </w:r>
      <w:r>
        <w:rPr>
          <w:rFonts w:hint="eastAsia" w:ascii="宋体" w:hAnsi="宋体" w:eastAsia="宋体" w:cs="宋体"/>
        </w:rPr>
        <w:t>万t/a排至2#尾矿库储存。</w:t>
      </w:r>
    </w:p>
    <w:p>
      <w:pPr>
        <w:pStyle w:val="16"/>
        <w:ind w:firstLine="560"/>
        <w:rPr>
          <w:rFonts w:hint="eastAsia" w:ascii="宋体" w:hAnsi="宋体" w:eastAsia="宋体" w:cs="宋体"/>
        </w:rPr>
      </w:pPr>
      <w:r>
        <w:rPr>
          <w:rFonts w:hint="eastAsia" w:ascii="宋体" w:hAnsi="宋体" w:eastAsia="宋体" w:cs="宋体"/>
        </w:rPr>
        <w:t>除尘器收集粉尘量为417t/a，全部用于磨矿工段。</w:t>
      </w:r>
    </w:p>
    <w:p>
      <w:pPr>
        <w:pStyle w:val="16"/>
        <w:ind w:firstLine="560"/>
        <w:rPr>
          <w:rFonts w:hint="eastAsia" w:ascii="宋体" w:hAnsi="宋体" w:eastAsia="宋体" w:cs="宋体"/>
        </w:rPr>
      </w:pPr>
      <w:r>
        <w:rPr>
          <w:rFonts w:hint="eastAsia" w:ascii="宋体" w:hAnsi="宋体" w:eastAsia="宋体" w:cs="宋体"/>
        </w:rPr>
        <w:t>设备维护所产生的废矿物油属于危险废物（HW08废矿物油与含矿物油废物900-249-08），产生量约0.8t/年；废油桶属于危险废物（HW49其他废物900-041-49），产生量约0.7t/a。废矿物油及废油桶收集后暂存公司危废暂存间，委托有资质单位统一处理。</w:t>
      </w:r>
    </w:p>
    <w:p>
      <w:pPr>
        <w:pStyle w:val="16"/>
        <w:ind w:firstLine="560"/>
        <w:rPr>
          <w:rFonts w:hint="eastAsia" w:ascii="宋体" w:hAnsi="宋体" w:eastAsia="宋体" w:cs="宋体"/>
        </w:rPr>
      </w:pPr>
      <w:r>
        <w:rPr>
          <w:rFonts w:hint="eastAsia" w:ascii="宋体" w:hAnsi="宋体" w:eastAsia="宋体" w:cs="宋体"/>
        </w:rPr>
        <w:t>劳动人员生活垃圾产生量为31.4t/a，生活垃圾为一般固废，收集后由环卫部门统一处理。</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2.3.8.4 噪声</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选矿厂噪声源主要来自于破碎车间、磨选车间及尾矿再利用车间的破碎机、球磨机、预选机、振动筛、磁选机、泵、风机等机械设备及道路运输车辆。</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治理措施：建设单位采取了基础减振、车间隔声、加装消声器等降噪措施；运输车辆低速通过村庄且经过村庄时禁止鸣笛，以上措施的实施，有效减缓了工程建设对周围声环境的影响。</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根据青岛谱尼测试有限公司出具的报告编号为NMBN2EEK58846545的监测报告可知，选矿厂厂界噪声监测结果见表2.3.8-5。</w:t>
      </w:r>
    </w:p>
    <w:p>
      <w:pPr>
        <w:spacing w:line="240" w:lineRule="auto"/>
        <w:ind w:firstLine="482"/>
        <w:jc w:val="center"/>
        <w:rPr>
          <w:rFonts w:hint="eastAsia" w:ascii="宋体" w:hAnsi="宋体" w:eastAsia="宋体" w:cs="宋体"/>
          <w:b/>
          <w:kern w:val="2"/>
          <w:sz w:val="24"/>
          <w:lang w:eastAsia="zh-CN"/>
        </w:rPr>
      </w:pPr>
      <w:r>
        <w:rPr>
          <w:rFonts w:hint="eastAsia" w:ascii="宋体" w:hAnsi="宋体" w:eastAsia="宋体" w:cs="宋体"/>
          <w:b/>
          <w:kern w:val="2"/>
          <w:sz w:val="24"/>
          <w:lang w:eastAsia="zh-CN"/>
        </w:rPr>
        <w:t>表2.3.8-5 选矿厂厂界噪声监测结果</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36"/>
        <w:gridCol w:w="2003"/>
        <w:gridCol w:w="1777"/>
        <w:gridCol w:w="1738"/>
        <w:gridCol w:w="1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6" w:type="dxa"/>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监测点位</w:t>
            </w:r>
          </w:p>
        </w:tc>
        <w:tc>
          <w:tcPr>
            <w:tcW w:w="7351" w:type="dxa"/>
            <w:gridSpan w:val="4"/>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监测结果L</w:t>
            </w:r>
            <w:r>
              <w:rPr>
                <w:rFonts w:hint="eastAsia" w:ascii="宋体" w:hAnsi="宋体" w:eastAsia="宋体" w:cs="宋体"/>
                <w:b/>
                <w:bCs/>
                <w:kern w:val="2"/>
                <w:sz w:val="21"/>
                <w:vertAlign w:val="subscript"/>
                <w:lang w:eastAsia="zh-CN"/>
              </w:rPr>
              <w:t>eq</w:t>
            </w:r>
            <w:r>
              <w:rPr>
                <w:rFonts w:hint="eastAsia" w:ascii="宋体" w:hAnsi="宋体" w:eastAsia="宋体" w:cs="宋体"/>
                <w:b/>
                <w:bCs/>
                <w:kern w:val="2"/>
                <w:sz w:val="21"/>
                <w:lang w:eastAsia="zh-CN"/>
              </w:rPr>
              <w:t>[dB（A）]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6" w:type="dxa"/>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3780" w:type="dxa"/>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2018.11.20</w:t>
            </w:r>
          </w:p>
        </w:tc>
        <w:tc>
          <w:tcPr>
            <w:tcW w:w="3571" w:type="dxa"/>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2018.11.21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6" w:type="dxa"/>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200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昼间</w:t>
            </w:r>
          </w:p>
        </w:tc>
        <w:tc>
          <w:tcPr>
            <w:tcW w:w="1777"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夜间</w:t>
            </w:r>
          </w:p>
        </w:tc>
        <w:tc>
          <w:tcPr>
            <w:tcW w:w="1738"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昼间</w:t>
            </w:r>
          </w:p>
        </w:tc>
        <w:tc>
          <w:tcPr>
            <w:tcW w:w="183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6"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东厂界外1m</w:t>
            </w:r>
          </w:p>
        </w:tc>
        <w:tc>
          <w:tcPr>
            <w:tcW w:w="200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50.7</w:t>
            </w:r>
          </w:p>
        </w:tc>
        <w:tc>
          <w:tcPr>
            <w:tcW w:w="1777"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47.0</w:t>
            </w:r>
          </w:p>
        </w:tc>
        <w:tc>
          <w:tcPr>
            <w:tcW w:w="1738"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50.0</w:t>
            </w:r>
          </w:p>
        </w:tc>
        <w:tc>
          <w:tcPr>
            <w:tcW w:w="183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6"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南厂界外1m</w:t>
            </w:r>
          </w:p>
        </w:tc>
        <w:tc>
          <w:tcPr>
            <w:tcW w:w="200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54.1</w:t>
            </w:r>
          </w:p>
        </w:tc>
        <w:tc>
          <w:tcPr>
            <w:tcW w:w="1777"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49.4</w:t>
            </w:r>
          </w:p>
        </w:tc>
        <w:tc>
          <w:tcPr>
            <w:tcW w:w="1738"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54.0</w:t>
            </w:r>
          </w:p>
        </w:tc>
        <w:tc>
          <w:tcPr>
            <w:tcW w:w="183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6"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西厂界外1m</w:t>
            </w:r>
          </w:p>
        </w:tc>
        <w:tc>
          <w:tcPr>
            <w:tcW w:w="200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50.3</w:t>
            </w:r>
          </w:p>
        </w:tc>
        <w:tc>
          <w:tcPr>
            <w:tcW w:w="1777"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45.2</w:t>
            </w:r>
          </w:p>
        </w:tc>
        <w:tc>
          <w:tcPr>
            <w:tcW w:w="1738"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49.8</w:t>
            </w:r>
          </w:p>
        </w:tc>
        <w:tc>
          <w:tcPr>
            <w:tcW w:w="183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6"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北厂界外1m</w:t>
            </w:r>
          </w:p>
        </w:tc>
        <w:tc>
          <w:tcPr>
            <w:tcW w:w="200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41.1</w:t>
            </w:r>
          </w:p>
        </w:tc>
        <w:tc>
          <w:tcPr>
            <w:tcW w:w="1777"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37.4</w:t>
            </w:r>
          </w:p>
        </w:tc>
        <w:tc>
          <w:tcPr>
            <w:tcW w:w="1738"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40.7</w:t>
            </w:r>
          </w:p>
        </w:tc>
        <w:tc>
          <w:tcPr>
            <w:tcW w:w="183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36"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限值</w:t>
            </w:r>
          </w:p>
        </w:tc>
        <w:tc>
          <w:tcPr>
            <w:tcW w:w="200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60</w:t>
            </w:r>
          </w:p>
        </w:tc>
        <w:tc>
          <w:tcPr>
            <w:tcW w:w="1777"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50</w:t>
            </w:r>
          </w:p>
        </w:tc>
        <w:tc>
          <w:tcPr>
            <w:tcW w:w="1738"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60</w:t>
            </w:r>
          </w:p>
        </w:tc>
        <w:tc>
          <w:tcPr>
            <w:tcW w:w="1833" w:type="dxa"/>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50</w:t>
            </w:r>
          </w:p>
        </w:tc>
      </w:tr>
    </w:tbl>
    <w:p>
      <w:pPr>
        <w:pStyle w:val="16"/>
        <w:ind w:firstLine="560"/>
        <w:rPr>
          <w:rFonts w:hint="eastAsia" w:ascii="宋体" w:hAnsi="宋体" w:eastAsia="宋体" w:cs="宋体"/>
        </w:rPr>
      </w:pPr>
      <w:r>
        <w:rPr>
          <w:rFonts w:hint="eastAsia" w:ascii="宋体" w:hAnsi="宋体" w:eastAsia="宋体" w:cs="宋体"/>
        </w:rPr>
        <w:t>根据表2.3.8-4可知，选矿厂厂界噪声满足《工业企业厂界环境噪声排放标准》（GB12348-2008）中2类标准要求。</w:t>
      </w:r>
    </w:p>
    <w:p>
      <w:pPr>
        <w:pStyle w:val="6"/>
        <w:rPr>
          <w:rFonts w:hint="eastAsia" w:ascii="宋体" w:hAnsi="宋体" w:eastAsia="宋体" w:cs="宋体"/>
          <w:lang w:eastAsia="zh-CN"/>
        </w:rPr>
      </w:pPr>
      <w:bookmarkStart w:id="60" w:name="_Toc4898"/>
      <w:bookmarkStart w:id="61" w:name="_Toc23153"/>
      <w:r>
        <w:rPr>
          <w:rFonts w:hint="eastAsia" w:ascii="宋体" w:hAnsi="宋体" w:eastAsia="宋体" w:cs="宋体"/>
          <w:lang w:eastAsia="zh-CN"/>
        </w:rPr>
        <w:t>2.4 现有球团厂</w:t>
      </w:r>
      <w:bookmarkEnd w:id="60"/>
      <w:bookmarkEnd w:id="61"/>
    </w:p>
    <w:p>
      <w:pPr>
        <w:pStyle w:val="7"/>
        <w:rPr>
          <w:rFonts w:hint="eastAsia" w:ascii="宋体" w:hAnsi="宋体" w:eastAsia="宋体" w:cs="宋体"/>
          <w:lang w:eastAsia="zh-CN"/>
        </w:rPr>
      </w:pPr>
      <w:r>
        <w:rPr>
          <w:rFonts w:hint="eastAsia" w:ascii="宋体" w:hAnsi="宋体" w:eastAsia="宋体" w:cs="宋体"/>
          <w:lang w:eastAsia="zh-CN"/>
        </w:rPr>
        <w:t>2.4.1 项目概况</w:t>
      </w:r>
    </w:p>
    <w:p>
      <w:pPr>
        <w:pStyle w:val="16"/>
        <w:ind w:firstLine="560"/>
        <w:rPr>
          <w:rFonts w:hint="eastAsia" w:ascii="宋体" w:hAnsi="宋体" w:eastAsia="宋体" w:cs="宋体"/>
        </w:rPr>
      </w:pPr>
      <w:r>
        <w:rPr>
          <w:rFonts w:hint="eastAsia" w:ascii="宋体" w:hAnsi="宋体" w:eastAsia="宋体" w:cs="宋体"/>
        </w:rPr>
        <w:t>球团厂主要建设</w:t>
      </w:r>
      <w:r>
        <w:rPr>
          <w:rFonts w:hint="eastAsia" w:ascii="宋体" w:hAnsi="宋体" w:cs="宋体"/>
          <w:lang w:eastAsia="zh-CN"/>
        </w:rPr>
        <w:t>有</w:t>
      </w:r>
      <w:r>
        <w:rPr>
          <w:rFonts w:hint="eastAsia" w:ascii="宋体" w:hAnsi="宋体" w:eastAsia="宋体" w:cs="宋体"/>
        </w:rPr>
        <w:t>年产60万吨/年球团生产线1条，配套建设煤粉制备系统、原料场、厂区运输系统等公辅系统配套设施。项目于2006年5月建成投产，分别对废气处理工艺及原料储存仓库进行改造，并安装在线监测及厂区环境监控等设备，球团厂于2021年5月5日取得《莱芜钢铁集团鲁南矿业有限公司（球团工序）超低排放评估监测报告技术审查意见》。</w:t>
      </w:r>
    </w:p>
    <w:p>
      <w:pPr>
        <w:pStyle w:val="16"/>
        <w:ind w:firstLine="560"/>
        <w:rPr>
          <w:rFonts w:hint="eastAsia" w:ascii="宋体" w:hAnsi="宋体" w:eastAsia="宋体" w:cs="宋体"/>
        </w:rPr>
      </w:pPr>
      <w:r>
        <w:rPr>
          <w:rFonts w:hint="eastAsia" w:ascii="宋体" w:hAnsi="宋体" w:eastAsia="宋体" w:cs="宋体"/>
        </w:rPr>
        <w:t>球团厂总劳动定员120人，工作制度为四班两运转工作制，每天两班，每班12小时。年工作日为330天，共计7920小时。</w:t>
      </w:r>
    </w:p>
    <w:p>
      <w:pPr>
        <w:pStyle w:val="7"/>
        <w:rPr>
          <w:rFonts w:hint="eastAsia" w:ascii="宋体" w:hAnsi="宋体" w:eastAsia="宋体" w:cs="宋体"/>
          <w:lang w:eastAsia="zh-CN"/>
        </w:rPr>
      </w:pPr>
      <w:r>
        <w:rPr>
          <w:rFonts w:hint="eastAsia" w:ascii="宋体" w:hAnsi="宋体" w:eastAsia="宋体" w:cs="宋体"/>
          <w:lang w:eastAsia="zh-CN"/>
        </w:rPr>
        <w:t>2.4.2 项目组成</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表2.4.2-1 现有球团厂项目组成一览表</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613"/>
        <w:gridCol w:w="1146"/>
        <w:gridCol w:w="733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3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工程</w:t>
            </w: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工程（车间）名称</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1"/>
              </w:rPr>
            </w:pPr>
            <w:r>
              <w:rPr>
                <w:rFonts w:hint="eastAsia" w:ascii="宋体" w:hAnsi="宋体" w:eastAsia="宋体" w:cs="宋体"/>
                <w:b/>
                <w:sz w:val="21"/>
                <w:szCs w:val="21"/>
                <w:lang w:eastAsia="zh-CN"/>
              </w:rPr>
              <w:t>项目组成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主体工程</w:t>
            </w: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配料室</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设6个配料仓，用于将精矿粉、膨润土等计量配料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烘干室</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设圆筒混料烘干机，混料能力100t/h，用于将配料后的混合料进行混匀烘干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造球室</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设2台Ф6000mm 造球盘，用于造生球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链篦机</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前设有辊筛布料机布料，链篦机用于干燥生球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回转窑</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设Φ4×28m的回转窑进行焙烧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冷却室</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使高温球团矿冷却至温度低于150℃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辅助工程</w:t>
            </w: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煤粉制备系统</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建有封闭式煤棚和封闭的磨粉系统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公用工程</w:t>
            </w: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供水</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生活杂用水和生产用水由企业供水系统供给；饮用水用汽车自</w:t>
            </w:r>
            <w:r>
              <w:rPr>
                <w:rFonts w:hint="eastAsia" w:cs="宋体"/>
                <w:sz w:val="21"/>
                <w:szCs w:val="21"/>
                <w:lang w:eastAsia="zh-CN" w:bidi="ar"/>
              </w:rPr>
              <w:t>生活用水</w:t>
            </w:r>
            <w:r>
              <w:rPr>
                <w:rFonts w:hint="eastAsia" w:ascii="宋体" w:hAnsi="宋体" w:eastAsia="宋体" w:cs="宋体"/>
                <w:sz w:val="21"/>
                <w:szCs w:val="21"/>
                <w:lang w:eastAsia="zh-CN" w:bidi="ar"/>
              </w:rPr>
              <w:t>拉运至主场地。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排水</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雨水经排放口排出厂外；生活污水经企业生活污水处理站处理达标后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回用于企业生产；生产废水全部循环利用，不外排。</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供电</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由矿区内输电线路引入，厂区建有变配电室。</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供热</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冬季采暖利用空气源热泵供暖。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储运工程</w:t>
            </w: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铁精粉仓库</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设4个，每个68m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，用于储存铁精粉</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膨润土仓</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设1个68m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的膨润土仓，用于储存膨润土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混料仓</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造球室顶部设有3个混料仓，每个仓容积为28m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成品仓</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设6，每个容量1000t，用于储存球团成品。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煤棚</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设1个煤棚。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运输</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厂内由皮带运输，厂外运输均采用汽车。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restar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环保工程</w:t>
            </w: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废气治理系统</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有组织废气：回转炉窑内部设置SNCR脱销处理，产生的废气经四场静电除尘+石灰石石膏脱硫+湿式电除尘处理后，通过76m排气筒外排，排气筒处设置DCS控制系统，实时监控环保设施运行参数和排放情况，并与环保局联网。</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无组织废气：各堆场设置喷雾抑尘装置；物料密闭存放；各生产车间全部密闭；厂内运输采用吸排罐车、管廊、密闭、汽车（篷布覆盖）封闭输送。</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污水治理</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生产废水设沉淀池和循环水池，经沉淀后全部回用于生产；生活污水排入公司废水管网进入企业生活污水处理站处理。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固体废物</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除尘设施收集的粉尘全部做为原料回收利用；</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脱硫石膏用于筑坝；</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生活垃圾由环卫部门处置。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37" w:type="pct"/>
            <w:vMerge w:val="continue"/>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p>
        </w:tc>
        <w:tc>
          <w:tcPr>
            <w:tcW w:w="630"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噪声治理</w:t>
            </w:r>
          </w:p>
        </w:tc>
        <w:tc>
          <w:tcPr>
            <w:tcW w:w="4031"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采用吸声、隔声、减震和绿化等措施。</w:t>
            </w:r>
          </w:p>
        </w:tc>
      </w:tr>
    </w:tbl>
    <w:p>
      <w:pPr>
        <w:pStyle w:val="7"/>
        <w:rPr>
          <w:rFonts w:hint="eastAsia" w:ascii="宋体" w:hAnsi="宋体" w:eastAsia="宋体" w:cs="宋体"/>
          <w:lang w:eastAsia="zh-CN"/>
        </w:rPr>
      </w:pPr>
      <w:r>
        <w:rPr>
          <w:rFonts w:hint="eastAsia" w:ascii="宋体" w:hAnsi="宋体" w:eastAsia="宋体" w:cs="宋体"/>
          <w:lang w:eastAsia="zh-CN"/>
        </w:rPr>
        <w:t>2.4.3 主要设备</w:t>
      </w:r>
    </w:p>
    <w:p>
      <w:pPr>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表2.4.3-1 现有球团厂主要生产设备一览表</w:t>
      </w:r>
    </w:p>
    <w:tbl>
      <w:tblPr>
        <w:tblStyle w:val="24"/>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104"/>
        <w:gridCol w:w="2116"/>
        <w:gridCol w:w="2198"/>
        <w:gridCol w:w="1523"/>
        <w:gridCol w:w="21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60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序号</w:t>
            </w:r>
          </w:p>
        </w:tc>
        <w:tc>
          <w:tcPr>
            <w:tcW w:w="1163"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设备规格及名称</w:t>
            </w:r>
          </w:p>
        </w:tc>
        <w:tc>
          <w:tcPr>
            <w:tcW w:w="1208"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规格型号</w:t>
            </w:r>
          </w:p>
        </w:tc>
        <w:tc>
          <w:tcPr>
            <w:tcW w:w="837"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数量（台）</w:t>
            </w:r>
          </w:p>
        </w:tc>
        <w:tc>
          <w:tcPr>
            <w:tcW w:w="1184" w:type="pct"/>
            <w:tcBorders>
              <w:tl2br w:val="nil"/>
              <w:tr2bl w:val="nil"/>
            </w:tcBorders>
            <w:tcMar>
              <w:top w:w="15" w:type="dxa"/>
              <w:left w:w="15" w:type="dxa"/>
              <w:right w:w="15"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料仓（成品）</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直径8米，高10.2米</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6个</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强混机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φ1.2×2.3m</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2台</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3</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造球机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Ф6000mm</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2台</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4</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链篦机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2.8×3.3m</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1台</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5</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回转窑</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Ф4×28m</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1台</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6</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环冷机</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φ12.5×1.53m</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1台</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7</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辊筛</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20辊</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1台</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8</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辊式布料器</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22辊</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1台</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9</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石灰仓</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90m</w:t>
            </w:r>
            <w:r>
              <w:rPr>
                <w:rFonts w:hint="eastAsia" w:ascii="宋体" w:hAnsi="宋体" w:eastAsia="宋体" w:cs="宋体"/>
                <w:sz w:val="21"/>
                <w:szCs w:val="21"/>
                <w:vertAlign w:val="superscript"/>
                <w:lang w:eastAsia="zh-CN" w:bidi="ar"/>
              </w:rPr>
              <w:t>3</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1个</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10</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煤粉仓</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25m</w:t>
            </w:r>
            <w:r>
              <w:rPr>
                <w:rFonts w:hint="eastAsia" w:ascii="宋体" w:hAnsi="宋体" w:eastAsia="宋体" w:cs="宋体"/>
                <w:sz w:val="21"/>
                <w:szCs w:val="21"/>
                <w:vertAlign w:val="superscript"/>
                <w:lang w:eastAsia="zh-CN" w:bidi="ar"/>
              </w:rPr>
              <w:t>3</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2个</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11</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除尘灰仓</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4个15.63m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；6个50m</w:t>
            </w:r>
            <w:r>
              <w:rPr>
                <w:rFonts w:hint="eastAsia" w:ascii="宋体" w:hAnsi="宋体" w:eastAsia="宋体" w:cs="宋体"/>
                <w:sz w:val="21"/>
                <w:szCs w:val="21"/>
                <w:vertAlign w:val="superscript"/>
                <w:lang w:eastAsia="zh-CN" w:bidi="ar"/>
              </w:rPr>
              <w:t>3</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10个</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12</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脱硫塔</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1个</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60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13</w:t>
            </w:r>
          </w:p>
        </w:tc>
        <w:tc>
          <w:tcPr>
            <w:tcW w:w="1163"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高压静电除尘器</w:t>
            </w:r>
          </w:p>
        </w:tc>
        <w:tc>
          <w:tcPr>
            <w:tcW w:w="1208"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837"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1个</w:t>
            </w:r>
          </w:p>
        </w:tc>
        <w:tc>
          <w:tcPr>
            <w:tcW w:w="1184" w:type="pct"/>
            <w:tcBorders>
              <w:tl2br w:val="nil"/>
              <w:tr2bl w:val="nil"/>
            </w:tcBorders>
            <w:tcMar>
              <w:left w:w="108" w:type="dxa"/>
              <w:right w:w="10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r>
    </w:tbl>
    <w:p>
      <w:pPr>
        <w:pStyle w:val="7"/>
        <w:rPr>
          <w:rFonts w:hint="eastAsia" w:ascii="宋体" w:hAnsi="宋体" w:eastAsia="宋体" w:cs="宋体"/>
          <w:lang w:eastAsia="zh-CN"/>
        </w:rPr>
      </w:pPr>
      <w:r>
        <w:rPr>
          <w:rFonts w:hint="eastAsia" w:ascii="宋体" w:hAnsi="宋体" w:eastAsia="宋体" w:cs="宋体"/>
          <w:lang w:eastAsia="zh-CN"/>
        </w:rPr>
        <w:t>2.4.4 产品产量和原辅燃料使用量</w:t>
      </w:r>
    </w:p>
    <w:p>
      <w:pPr>
        <w:ind w:firstLine="560"/>
        <w:rPr>
          <w:rFonts w:hint="eastAsia" w:ascii="宋体" w:hAnsi="宋体" w:eastAsia="宋体" w:cs="宋体"/>
          <w:lang w:eastAsia="zh-CN"/>
        </w:rPr>
      </w:pPr>
      <w:r>
        <w:rPr>
          <w:rFonts w:hint="eastAsia" w:ascii="宋体" w:hAnsi="宋体" w:eastAsia="宋体" w:cs="宋体"/>
          <w:lang w:eastAsia="zh-CN"/>
        </w:rPr>
        <w:t>主要产品及产量见表2.4.4-1。</w:t>
      </w:r>
    </w:p>
    <w:p>
      <w:pPr>
        <w:tabs>
          <w:tab w:val="left" w:pos="2127"/>
        </w:tabs>
        <w:autoSpaceDE/>
        <w:autoSpaceDN/>
        <w:adjustRightInd w:val="0"/>
        <w:snapToGrid w:val="0"/>
        <w:spacing w:line="240" w:lineRule="auto"/>
        <w:ind w:firstLine="482"/>
        <w:jc w:val="center"/>
        <w:rPr>
          <w:rFonts w:hint="eastAsia" w:ascii="宋体" w:hAnsi="宋体" w:eastAsia="宋体" w:cs="宋体"/>
          <w:b/>
          <w:color w:val="000000"/>
          <w:kern w:val="2"/>
          <w:sz w:val="24"/>
          <w:lang w:eastAsia="zh-CN"/>
        </w:rPr>
      </w:pPr>
      <w:r>
        <w:rPr>
          <w:rFonts w:hint="eastAsia" w:ascii="宋体" w:hAnsi="宋体" w:eastAsia="宋体" w:cs="宋体"/>
          <w:b/>
          <w:color w:val="000000"/>
          <w:kern w:val="2"/>
          <w:sz w:val="24"/>
          <w:lang w:eastAsia="zh-CN"/>
        </w:rPr>
        <w:t>表2.4.4-1 主要产品及产量</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2532"/>
        <w:gridCol w:w="2695"/>
        <w:gridCol w:w="26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pct"/>
            <w:tcBorders>
              <w:top w:val="single" w:color="auto" w:sz="12" w:space="0"/>
              <w:left w:val="single" w:color="auto" w:sz="12" w:space="0"/>
            </w:tcBorders>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产品</w:t>
            </w:r>
          </w:p>
        </w:tc>
        <w:tc>
          <w:tcPr>
            <w:tcW w:w="1363" w:type="pct"/>
            <w:tcBorders>
              <w:top w:val="single" w:color="auto" w:sz="12" w:space="0"/>
            </w:tcBorders>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产品名称</w:t>
            </w:r>
          </w:p>
        </w:tc>
        <w:tc>
          <w:tcPr>
            <w:tcW w:w="1451" w:type="pct"/>
            <w:tcBorders>
              <w:top w:val="single" w:color="auto" w:sz="12" w:space="0"/>
            </w:tcBorders>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设计产能</w:t>
            </w:r>
          </w:p>
        </w:tc>
        <w:tc>
          <w:tcPr>
            <w:tcW w:w="1451" w:type="pct"/>
            <w:tcBorders>
              <w:top w:val="single" w:color="auto" w:sz="12" w:space="0"/>
              <w:right w:val="single" w:color="auto" w:sz="12" w:space="0"/>
            </w:tcBorders>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年产量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34" w:type="pct"/>
            <w:tcBorders>
              <w:left w:val="single" w:color="auto" w:sz="12" w:space="0"/>
              <w:bottom w:val="single" w:color="auto" w:sz="12" w:space="0"/>
            </w:tcBorders>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p>
        </w:tc>
        <w:tc>
          <w:tcPr>
            <w:tcW w:w="1363" w:type="pct"/>
            <w:tcBorders>
              <w:bottom w:val="single" w:color="auto" w:sz="12" w:space="0"/>
            </w:tcBorders>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球团</w:t>
            </w:r>
          </w:p>
        </w:tc>
        <w:tc>
          <w:tcPr>
            <w:tcW w:w="1451" w:type="pct"/>
            <w:tcBorders>
              <w:bottom w:val="single" w:color="auto" w:sz="12" w:space="0"/>
            </w:tcBorders>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60万吨</w:t>
            </w:r>
            <w:r>
              <w:rPr>
                <w:rFonts w:hint="eastAsia" w:cs="宋体"/>
                <w:color w:val="000000"/>
                <w:kern w:val="2"/>
                <w:sz w:val="21"/>
                <w:szCs w:val="21"/>
                <w:lang w:val="en-US" w:eastAsia="zh-CN"/>
              </w:rPr>
              <w:t>/年</w:t>
            </w:r>
          </w:p>
        </w:tc>
        <w:tc>
          <w:tcPr>
            <w:tcW w:w="1451" w:type="pct"/>
            <w:tcBorders>
              <w:bottom w:val="single" w:color="auto" w:sz="12" w:space="0"/>
              <w:right w:val="single" w:color="auto" w:sz="12" w:space="0"/>
            </w:tcBorders>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default" w:ascii="宋体" w:hAnsi="宋体" w:eastAsia="宋体" w:cs="宋体"/>
                <w:color w:val="000000"/>
                <w:kern w:val="2"/>
                <w:sz w:val="21"/>
                <w:szCs w:val="21"/>
                <w:lang w:val="en-US" w:eastAsia="zh-CN"/>
              </w:rPr>
            </w:pPr>
            <w:r>
              <w:rPr>
                <w:rFonts w:hint="eastAsia" w:cs="宋体"/>
                <w:color w:val="000000"/>
                <w:kern w:val="2"/>
                <w:sz w:val="21"/>
                <w:szCs w:val="21"/>
                <w:lang w:val="en-US" w:eastAsia="zh-CN"/>
              </w:rPr>
              <w:t>14.2</w:t>
            </w:r>
            <w:r>
              <w:rPr>
                <w:rFonts w:hint="eastAsia" w:ascii="宋体" w:hAnsi="宋体" w:eastAsia="宋体" w:cs="宋体"/>
                <w:color w:val="000000"/>
                <w:kern w:val="2"/>
                <w:sz w:val="21"/>
                <w:szCs w:val="21"/>
                <w:lang w:eastAsia="zh-CN"/>
              </w:rPr>
              <w:t>万吨</w:t>
            </w:r>
            <w:r>
              <w:rPr>
                <w:rFonts w:hint="eastAsia" w:cs="宋体"/>
                <w:color w:val="000000"/>
                <w:kern w:val="2"/>
                <w:sz w:val="21"/>
                <w:szCs w:val="21"/>
                <w:lang w:val="en-US" w:eastAsia="zh-CN"/>
              </w:rPr>
              <w:t>/年</w:t>
            </w:r>
          </w:p>
        </w:tc>
      </w:tr>
    </w:tbl>
    <w:p>
      <w:pPr>
        <w:ind w:firstLine="560"/>
        <w:rPr>
          <w:rFonts w:hint="eastAsia" w:ascii="宋体" w:hAnsi="宋体" w:eastAsia="宋体" w:cs="宋体"/>
          <w:lang w:eastAsia="zh-CN"/>
        </w:rPr>
      </w:pPr>
      <w:r>
        <w:rPr>
          <w:rFonts w:hint="eastAsia" w:ascii="宋体" w:hAnsi="宋体" w:eastAsia="宋体" w:cs="宋体"/>
          <w:lang w:eastAsia="zh-CN"/>
        </w:rPr>
        <w:t>公司使用的原辅料为膨润土、铁精粉、生石灰、洗精煤等，公司原辅料、能源使用情况详见表2.4.4-2。</w:t>
      </w:r>
    </w:p>
    <w:p>
      <w:pPr>
        <w:tabs>
          <w:tab w:val="left" w:pos="2127"/>
        </w:tabs>
        <w:autoSpaceDE/>
        <w:autoSpaceDN/>
        <w:adjustRightInd w:val="0"/>
        <w:snapToGrid w:val="0"/>
        <w:spacing w:line="240" w:lineRule="auto"/>
        <w:ind w:firstLine="482"/>
        <w:jc w:val="center"/>
        <w:rPr>
          <w:rFonts w:hint="eastAsia" w:ascii="宋体" w:hAnsi="宋体" w:eastAsia="宋体" w:cs="宋体"/>
          <w:b/>
          <w:color w:val="000000"/>
          <w:kern w:val="2"/>
          <w:sz w:val="24"/>
          <w:lang w:eastAsia="zh-CN"/>
        </w:rPr>
      </w:pPr>
      <w:r>
        <w:rPr>
          <w:rFonts w:hint="eastAsia" w:ascii="宋体" w:hAnsi="宋体" w:eastAsia="宋体" w:cs="宋体"/>
          <w:b/>
          <w:color w:val="000000"/>
          <w:kern w:val="2"/>
          <w:sz w:val="24"/>
          <w:lang w:eastAsia="zh-CN"/>
        </w:rPr>
        <w:t>表2.4.4-2 主要原辅材料、能源消耗一览表</w:t>
      </w:r>
    </w:p>
    <w:tbl>
      <w:tblPr>
        <w:tblStyle w:val="2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1096"/>
        <w:gridCol w:w="1408"/>
        <w:gridCol w:w="2201"/>
        <w:gridCol w:w="2331"/>
        <w:gridCol w:w="13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top w:val="single" w:color="auto" w:sz="12" w:space="0"/>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一</w:t>
            </w:r>
          </w:p>
        </w:tc>
        <w:tc>
          <w:tcPr>
            <w:tcW w:w="4517" w:type="pct"/>
            <w:gridSpan w:val="5"/>
            <w:tcBorders>
              <w:top w:val="single" w:color="auto" w:sz="12" w:space="0"/>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序号</w:t>
            </w:r>
          </w:p>
        </w:tc>
        <w:tc>
          <w:tcPr>
            <w:tcW w:w="1348" w:type="pct"/>
            <w:gridSpan w:val="2"/>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名称</w:t>
            </w:r>
          </w:p>
        </w:tc>
        <w:tc>
          <w:tcPr>
            <w:tcW w:w="118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消耗量（t/a）</w:t>
            </w:r>
          </w:p>
        </w:tc>
        <w:tc>
          <w:tcPr>
            <w:tcW w:w="125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来源及运输</w:t>
            </w:r>
          </w:p>
        </w:tc>
        <w:tc>
          <w:tcPr>
            <w:tcW w:w="727" w:type="pct"/>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p>
        </w:tc>
        <w:tc>
          <w:tcPr>
            <w:tcW w:w="1348" w:type="pct"/>
            <w:gridSpan w:val="2"/>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rPr>
              <w:t>膨润土</w:t>
            </w:r>
          </w:p>
        </w:tc>
        <w:tc>
          <w:tcPr>
            <w:tcW w:w="1185" w:type="pct"/>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10524.6</w:t>
            </w:r>
          </w:p>
        </w:tc>
        <w:tc>
          <w:tcPr>
            <w:tcW w:w="125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外购、汽车运输</w:t>
            </w:r>
          </w:p>
        </w:tc>
        <w:tc>
          <w:tcPr>
            <w:tcW w:w="1354" w:type="dxa"/>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1348" w:type="pct"/>
            <w:gridSpan w:val="2"/>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rPr>
              <w:t>铁精粉</w:t>
            </w:r>
          </w:p>
        </w:tc>
        <w:tc>
          <w:tcPr>
            <w:tcW w:w="1185" w:type="pct"/>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default" w:ascii="宋体" w:hAnsi="宋体" w:eastAsia="宋体" w:cs="宋体"/>
                <w:kern w:val="2"/>
                <w:sz w:val="21"/>
                <w:szCs w:val="21"/>
                <w:lang w:val="en-US" w:eastAsia="zh-CN"/>
              </w:rPr>
            </w:pPr>
            <w:r>
              <w:rPr>
                <w:rFonts w:hint="eastAsia" w:cs="宋体"/>
                <w:kern w:val="2"/>
                <w:sz w:val="21"/>
                <w:szCs w:val="21"/>
                <w:lang w:val="en-US" w:eastAsia="zh-CN"/>
              </w:rPr>
              <w:t>12.6</w:t>
            </w:r>
          </w:p>
        </w:tc>
        <w:tc>
          <w:tcPr>
            <w:tcW w:w="125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集团矿区生产、管道输送</w:t>
            </w:r>
          </w:p>
        </w:tc>
        <w:tc>
          <w:tcPr>
            <w:tcW w:w="1354" w:type="dxa"/>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1348" w:type="pct"/>
            <w:gridSpan w:val="2"/>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color w:val="000000"/>
                <w:kern w:val="2"/>
                <w:sz w:val="21"/>
                <w:szCs w:val="21"/>
                <w:lang w:eastAsia="zh-CN"/>
              </w:rPr>
              <w:t>生石灰</w:t>
            </w:r>
          </w:p>
        </w:tc>
        <w:tc>
          <w:tcPr>
            <w:tcW w:w="1185" w:type="pct"/>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3256</w:t>
            </w:r>
          </w:p>
        </w:tc>
        <w:tc>
          <w:tcPr>
            <w:tcW w:w="125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外购、汽车运输</w:t>
            </w:r>
          </w:p>
        </w:tc>
        <w:tc>
          <w:tcPr>
            <w:tcW w:w="1354" w:type="dxa"/>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4</w:t>
            </w:r>
          </w:p>
        </w:tc>
        <w:tc>
          <w:tcPr>
            <w:tcW w:w="1348" w:type="pct"/>
            <w:gridSpan w:val="2"/>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尿素</w:t>
            </w:r>
          </w:p>
        </w:tc>
        <w:tc>
          <w:tcPr>
            <w:tcW w:w="1185" w:type="pct"/>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78.46</w:t>
            </w:r>
          </w:p>
        </w:tc>
        <w:tc>
          <w:tcPr>
            <w:tcW w:w="125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外购、汽车运输</w:t>
            </w:r>
          </w:p>
        </w:tc>
        <w:tc>
          <w:tcPr>
            <w:tcW w:w="1354" w:type="dxa"/>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二</w:t>
            </w:r>
          </w:p>
        </w:tc>
        <w:tc>
          <w:tcPr>
            <w:tcW w:w="4517" w:type="pct"/>
            <w:gridSpan w:val="5"/>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序号</w:t>
            </w:r>
          </w:p>
        </w:tc>
        <w:tc>
          <w:tcPr>
            <w:tcW w:w="590"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名称</w:t>
            </w:r>
          </w:p>
        </w:tc>
        <w:tc>
          <w:tcPr>
            <w:tcW w:w="758"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单位</w:t>
            </w:r>
          </w:p>
        </w:tc>
        <w:tc>
          <w:tcPr>
            <w:tcW w:w="118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实际用量</w:t>
            </w:r>
          </w:p>
        </w:tc>
        <w:tc>
          <w:tcPr>
            <w:tcW w:w="125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来源</w:t>
            </w:r>
          </w:p>
        </w:tc>
        <w:tc>
          <w:tcPr>
            <w:tcW w:w="727" w:type="pct"/>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运输方式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p>
        </w:tc>
        <w:tc>
          <w:tcPr>
            <w:tcW w:w="590"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洗精煤</w:t>
            </w:r>
          </w:p>
        </w:tc>
        <w:tc>
          <w:tcPr>
            <w:tcW w:w="758"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t/a</w:t>
            </w:r>
          </w:p>
        </w:tc>
        <w:tc>
          <w:tcPr>
            <w:tcW w:w="1185" w:type="pct"/>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20399.38</w:t>
            </w:r>
          </w:p>
        </w:tc>
        <w:tc>
          <w:tcPr>
            <w:tcW w:w="125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外购</w:t>
            </w:r>
          </w:p>
        </w:tc>
        <w:tc>
          <w:tcPr>
            <w:tcW w:w="727" w:type="pct"/>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汽车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590"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电力</w:t>
            </w:r>
          </w:p>
        </w:tc>
        <w:tc>
          <w:tcPr>
            <w:tcW w:w="758"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KWh/a</w:t>
            </w:r>
          </w:p>
        </w:tc>
        <w:tc>
          <w:tcPr>
            <w:tcW w:w="1185" w:type="pct"/>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b/>
                <w:color w:val="000000"/>
                <w:kern w:val="2"/>
                <w:sz w:val="24"/>
                <w:lang w:eastAsia="zh-CN"/>
              </w:rPr>
            </w:pPr>
            <w:r>
              <w:rPr>
                <w:rFonts w:hint="eastAsia" w:ascii="宋体" w:hAnsi="宋体" w:eastAsia="宋体" w:cs="宋体"/>
                <w:kern w:val="2"/>
                <w:sz w:val="21"/>
                <w:szCs w:val="21"/>
                <w:lang w:eastAsia="zh-CN"/>
              </w:rPr>
              <w:t>25125588</w:t>
            </w:r>
          </w:p>
        </w:tc>
        <w:tc>
          <w:tcPr>
            <w:tcW w:w="1255" w:type="pct"/>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t>
            </w:r>
          </w:p>
        </w:tc>
        <w:tc>
          <w:tcPr>
            <w:tcW w:w="727" w:type="pct"/>
            <w:tcBorders>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2" w:type="pct"/>
            <w:tcBorders>
              <w:left w:val="single" w:color="auto" w:sz="12" w:space="0"/>
              <w:bottom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590" w:type="pct"/>
            <w:tcBorders>
              <w:bottom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新鲜水</w:t>
            </w:r>
          </w:p>
        </w:tc>
        <w:tc>
          <w:tcPr>
            <w:tcW w:w="758" w:type="pct"/>
            <w:tcBorders>
              <w:bottom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m</w:t>
            </w:r>
            <w:r>
              <w:rPr>
                <w:rFonts w:hint="eastAsia" w:ascii="宋体" w:hAnsi="宋体" w:eastAsia="宋体" w:cs="宋体"/>
                <w:color w:val="000000"/>
                <w:kern w:val="2"/>
                <w:sz w:val="21"/>
                <w:szCs w:val="21"/>
                <w:vertAlign w:val="superscript"/>
                <w:lang w:eastAsia="zh-CN"/>
              </w:rPr>
              <w:t>3</w:t>
            </w:r>
            <w:r>
              <w:rPr>
                <w:rFonts w:hint="eastAsia" w:ascii="宋体" w:hAnsi="宋体" w:eastAsia="宋体" w:cs="宋体"/>
                <w:color w:val="000000"/>
                <w:kern w:val="2"/>
                <w:sz w:val="21"/>
                <w:szCs w:val="21"/>
                <w:lang w:eastAsia="zh-CN"/>
              </w:rPr>
              <w:t>/a</w:t>
            </w:r>
          </w:p>
        </w:tc>
        <w:tc>
          <w:tcPr>
            <w:tcW w:w="1185" w:type="pct"/>
            <w:tcBorders>
              <w:bottom w:val="single" w:color="auto" w:sz="12" w:space="0"/>
            </w:tcBorders>
            <w:vAlign w:val="center"/>
          </w:tcPr>
          <w:p>
            <w:pPr>
              <w:keepNext w:val="0"/>
              <w:keepLines w:val="0"/>
              <w:suppressLineNumbers w:val="0"/>
              <w:autoSpaceDE/>
              <w:autoSpaceDN/>
              <w:adjustRightInd w:val="0"/>
              <w:snapToGrid w:val="0"/>
              <w:spacing w:before="0" w:beforeAutospacing="0" w:after="0" w:afterAutospacing="0" w:line="360" w:lineRule="exact"/>
              <w:ind w:left="0" w:right="0" w:firstLine="0" w:firstLineChars="0"/>
              <w:jc w:val="center"/>
              <w:rPr>
                <w:rFonts w:hint="eastAsia" w:ascii="宋体" w:hAnsi="宋体" w:eastAsia="宋体" w:cs="宋体"/>
                <w:b/>
                <w:color w:val="000000"/>
                <w:kern w:val="2"/>
                <w:sz w:val="24"/>
                <w:lang w:eastAsia="zh-CN"/>
              </w:rPr>
            </w:pPr>
            <w:r>
              <w:rPr>
                <w:rFonts w:hint="eastAsia" w:ascii="宋体" w:hAnsi="宋体" w:eastAsia="宋体" w:cs="宋体"/>
                <w:kern w:val="2"/>
                <w:sz w:val="21"/>
                <w:szCs w:val="21"/>
                <w:lang w:eastAsia="zh-CN"/>
              </w:rPr>
              <w:t>349299</w:t>
            </w:r>
          </w:p>
        </w:tc>
        <w:tc>
          <w:tcPr>
            <w:tcW w:w="1255" w:type="pct"/>
            <w:tcBorders>
              <w:bottom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地下水</w:t>
            </w:r>
          </w:p>
        </w:tc>
        <w:tc>
          <w:tcPr>
            <w:tcW w:w="727" w:type="pct"/>
            <w:tcBorders>
              <w:bottom w:val="single" w:color="auto" w:sz="12" w:space="0"/>
              <w:right w:val="single" w:color="auto" w:sz="12" w:space="0"/>
            </w:tcBorders>
            <w:vAlign w:val="center"/>
          </w:tcPr>
          <w:p>
            <w:pPr>
              <w:keepNext w:val="0"/>
              <w:keepLines w:val="0"/>
              <w:suppressLineNumbers w:val="0"/>
              <w:tabs>
                <w:tab w:val="left" w:pos="2127"/>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t>
            </w:r>
          </w:p>
        </w:tc>
      </w:tr>
    </w:tbl>
    <w:p>
      <w:pPr>
        <w:pStyle w:val="7"/>
        <w:rPr>
          <w:rFonts w:hint="eastAsia" w:ascii="宋体" w:hAnsi="宋体" w:eastAsia="宋体" w:cs="宋体"/>
          <w:lang w:eastAsia="zh-CN"/>
        </w:rPr>
      </w:pPr>
      <w:r>
        <w:rPr>
          <w:rFonts w:hint="eastAsia" w:ascii="宋体" w:hAnsi="宋体" w:eastAsia="宋体" w:cs="宋体"/>
          <w:lang w:eastAsia="zh-CN"/>
        </w:rPr>
        <w:t>2.4.5 平面布置</w:t>
      </w:r>
    </w:p>
    <w:p>
      <w:pPr>
        <w:ind w:firstLine="560"/>
        <w:rPr>
          <w:rFonts w:hint="eastAsia" w:ascii="宋体" w:hAnsi="宋体" w:eastAsia="宋体" w:cs="宋体"/>
          <w:lang w:eastAsia="zh-CN"/>
        </w:rPr>
      </w:pPr>
      <w:r>
        <w:rPr>
          <w:rFonts w:hint="eastAsia" w:ascii="宋体" w:hAnsi="宋体" w:eastAsia="宋体" w:cs="宋体"/>
          <w:lang w:eastAsia="zh-CN"/>
        </w:rPr>
        <w:t>球团厂厂区呈不规则矩形，南北最长350m，东西最宽150m，厂区地形较为平坦。厂区西边界为234省道，在东、东南、西北厂界各设一处大门，东大门为人流出入口，北大门、东南大门主要为物料出入口。</w:t>
      </w:r>
    </w:p>
    <w:p>
      <w:pPr>
        <w:ind w:firstLine="560"/>
        <w:rPr>
          <w:rFonts w:hint="eastAsia" w:ascii="宋体" w:hAnsi="宋体" w:eastAsia="宋体" w:cs="宋体"/>
          <w:lang w:eastAsia="zh-CN"/>
        </w:rPr>
      </w:pPr>
      <w:r>
        <w:rPr>
          <w:rFonts w:hint="eastAsia" w:ascii="宋体" w:hAnsi="宋体" w:eastAsia="宋体" w:cs="宋体"/>
          <w:lang w:eastAsia="zh-CN"/>
        </w:rPr>
        <w:t>厂区包括原料库、强混室、造球室、链篦机、回转窑、环冷机等。回转窑（烧结车间）布置在厂区中部，回转窑东侧为废气处理单元，废气处理单元北侧为煤仓，厂区北门处有污水沉淀池。厂区平面图见图2.3.6-1。</w:t>
      </w:r>
    </w:p>
    <w:p>
      <w:pPr>
        <w:pStyle w:val="7"/>
        <w:rPr>
          <w:rFonts w:hint="eastAsia" w:ascii="宋体" w:hAnsi="宋体" w:eastAsia="宋体" w:cs="宋体"/>
          <w:lang w:eastAsia="zh-CN"/>
        </w:rPr>
      </w:pPr>
      <w:r>
        <w:rPr>
          <w:rFonts w:hint="eastAsia" w:ascii="宋体" w:hAnsi="宋体" w:eastAsia="宋体" w:cs="宋体"/>
          <w:lang w:eastAsia="zh-CN"/>
        </w:rPr>
        <w:t>2.4.6 工艺流程及产排污</w:t>
      </w:r>
    </w:p>
    <w:p>
      <w:pPr>
        <w:ind w:firstLine="560"/>
        <w:rPr>
          <w:rFonts w:hint="eastAsia" w:ascii="宋体" w:hAnsi="宋体" w:eastAsia="宋体" w:cs="宋体"/>
          <w:lang w:eastAsia="zh-CN"/>
        </w:rPr>
      </w:pPr>
      <w:r>
        <w:rPr>
          <w:rFonts w:hint="eastAsia" w:ascii="宋体" w:hAnsi="宋体" w:eastAsia="宋体" w:cs="宋体"/>
          <w:lang w:eastAsia="zh-CN"/>
        </w:rPr>
        <w:t>莱钢集团鲁南矿业有限公司球团厂现有一条年产60万吨链篦机-回转窑球团生产线。该生产线包括配料室、造球室、链篦机、回转窑、冷却室等主体工程、粉煤制备系统、供水系统等公用辅助设施。</w:t>
      </w:r>
    </w:p>
    <w:p>
      <w:pPr>
        <w:ind w:firstLine="560"/>
        <w:rPr>
          <w:rFonts w:hint="eastAsia" w:ascii="宋体" w:hAnsi="宋体" w:eastAsia="宋体" w:cs="宋体"/>
          <w:lang w:eastAsia="zh-CN"/>
        </w:rPr>
      </w:pPr>
      <w:r>
        <w:rPr>
          <w:rFonts w:hint="eastAsia" w:ascii="宋体" w:hAnsi="宋体" w:eastAsia="宋体" w:cs="宋体"/>
          <w:lang w:eastAsia="zh-CN"/>
        </w:rPr>
        <w:t>球团厂工艺流程如下：</w:t>
      </w:r>
    </w:p>
    <w:p>
      <w:pPr>
        <w:ind w:firstLine="560"/>
        <w:rPr>
          <w:rFonts w:hint="eastAsia" w:ascii="宋体" w:hAnsi="宋体" w:eastAsia="宋体" w:cs="宋体"/>
          <w:lang w:eastAsia="zh-CN"/>
        </w:rPr>
      </w:pPr>
      <w:r>
        <w:rPr>
          <w:rFonts w:hint="eastAsia" w:ascii="宋体" w:hAnsi="宋体" w:eastAsia="宋体" w:cs="宋体"/>
          <w:lang w:eastAsia="zh-CN"/>
        </w:rPr>
        <w:t>链篦机-回转窑车间共有6个系统组成：</w:t>
      </w:r>
    </w:p>
    <w:p>
      <w:pPr>
        <w:ind w:firstLine="560"/>
        <w:rPr>
          <w:rFonts w:hint="eastAsia" w:ascii="宋体" w:hAnsi="宋体" w:eastAsia="宋体" w:cs="宋体"/>
          <w:lang w:eastAsia="zh-CN"/>
        </w:rPr>
      </w:pPr>
      <w:r>
        <w:rPr>
          <w:rFonts w:hint="eastAsia" w:ascii="宋体" w:hAnsi="宋体" w:eastAsia="宋体" w:cs="宋体"/>
          <w:lang w:eastAsia="zh-CN"/>
        </w:rPr>
        <w:t>（1）原料储存运输系统</w:t>
      </w:r>
    </w:p>
    <w:p>
      <w:pPr>
        <w:ind w:firstLine="560"/>
        <w:rPr>
          <w:rFonts w:hint="eastAsia" w:ascii="宋体" w:hAnsi="宋体" w:eastAsia="宋体" w:cs="宋体"/>
          <w:lang w:eastAsia="zh-CN"/>
        </w:rPr>
      </w:pPr>
      <w:r>
        <w:rPr>
          <w:rFonts w:hint="eastAsia" w:ascii="宋体" w:hAnsi="宋体" w:eastAsia="宋体" w:cs="宋体"/>
          <w:lang w:eastAsia="zh-CN"/>
        </w:rPr>
        <w:t>本系统有配料仓、原料库，原料库用于贮存精矿粉和膨润土。</w:t>
      </w:r>
    </w:p>
    <w:p>
      <w:pPr>
        <w:ind w:firstLine="560"/>
        <w:rPr>
          <w:rFonts w:hint="eastAsia" w:ascii="宋体" w:hAnsi="宋体" w:eastAsia="宋体" w:cs="宋体"/>
          <w:lang w:eastAsia="zh-CN"/>
        </w:rPr>
      </w:pPr>
      <w:r>
        <w:rPr>
          <w:rFonts w:hint="eastAsia" w:ascii="宋体" w:hAnsi="宋体" w:eastAsia="宋体" w:cs="宋体"/>
          <w:lang w:eastAsia="zh-CN"/>
        </w:rPr>
        <w:t>精矿粉用管道输送至原料库，由铲车将精矿粉运至配料仓附近，再用行车抓斗抓至配料仓；膨润土由汽车运至原料库，由行车抓至配料仓。</w:t>
      </w:r>
    </w:p>
    <w:p>
      <w:pPr>
        <w:ind w:firstLine="560"/>
        <w:rPr>
          <w:rFonts w:hint="eastAsia" w:ascii="宋体" w:hAnsi="宋体" w:eastAsia="宋体" w:cs="宋体"/>
          <w:lang w:eastAsia="zh-CN"/>
        </w:rPr>
      </w:pPr>
      <w:r>
        <w:rPr>
          <w:rFonts w:hint="eastAsia" w:ascii="宋体" w:hAnsi="宋体" w:eastAsia="宋体" w:cs="宋体"/>
          <w:lang w:eastAsia="zh-CN"/>
        </w:rPr>
        <w:t>（2）配料系统</w:t>
      </w:r>
    </w:p>
    <w:p>
      <w:pPr>
        <w:ind w:firstLine="560"/>
        <w:rPr>
          <w:rFonts w:hint="eastAsia" w:ascii="宋体" w:hAnsi="宋体" w:eastAsia="宋体" w:cs="宋体"/>
          <w:lang w:eastAsia="zh-CN"/>
        </w:rPr>
      </w:pPr>
      <w:r>
        <w:rPr>
          <w:rFonts w:hint="eastAsia" w:ascii="宋体" w:hAnsi="宋体" w:eastAsia="宋体" w:cs="宋体"/>
          <w:lang w:eastAsia="zh-CN"/>
        </w:rPr>
        <w:t>精矿粉和膨润土设置配料仓，均采用皮带给料，电子皮带称计量。配料后的混合料，通过皮带输送机进入强混设备。</w:t>
      </w:r>
    </w:p>
    <w:p>
      <w:pPr>
        <w:ind w:firstLine="560"/>
        <w:rPr>
          <w:rFonts w:hint="eastAsia" w:ascii="宋体" w:hAnsi="宋体" w:eastAsia="宋体" w:cs="宋体"/>
          <w:lang w:eastAsia="zh-CN"/>
        </w:rPr>
      </w:pPr>
      <w:r>
        <w:rPr>
          <w:rFonts w:hint="eastAsia" w:ascii="宋体" w:hAnsi="宋体" w:eastAsia="宋体" w:cs="宋体"/>
          <w:lang w:eastAsia="zh-CN"/>
        </w:rPr>
        <w:t>（3）造球、生球筛及布料系统</w:t>
      </w:r>
    </w:p>
    <w:p>
      <w:pPr>
        <w:ind w:firstLine="560"/>
        <w:rPr>
          <w:rFonts w:hint="eastAsia" w:ascii="宋体" w:hAnsi="宋体" w:eastAsia="宋体" w:cs="宋体"/>
          <w:lang w:eastAsia="zh-CN"/>
        </w:rPr>
      </w:pPr>
      <w:r>
        <w:rPr>
          <w:rFonts w:hint="eastAsia" w:ascii="宋体" w:hAnsi="宋体" w:eastAsia="宋体" w:cs="宋体"/>
          <w:lang w:eastAsia="zh-CN"/>
        </w:rPr>
        <w:t>设有φ6000mm造球盘两台，生球尺寸φ8-16mm，强力混合后的混匀料通过皮带输送至造球室造球。混匀料经圆盘给料机按照要求流量计进入φ6000mm造球盘，球盘旋转加水造球，合格生球自动落入皮带。</w:t>
      </w:r>
    </w:p>
    <w:p>
      <w:pPr>
        <w:ind w:firstLine="560"/>
        <w:rPr>
          <w:rFonts w:hint="eastAsia" w:ascii="宋体" w:hAnsi="宋体" w:eastAsia="宋体" w:cs="宋体"/>
          <w:lang w:eastAsia="zh-CN"/>
        </w:rPr>
      </w:pPr>
      <w:r>
        <w:rPr>
          <w:rFonts w:hint="eastAsia" w:ascii="宋体" w:hAnsi="宋体" w:eastAsia="宋体" w:cs="宋体"/>
          <w:lang w:eastAsia="zh-CN"/>
        </w:rPr>
        <w:t>链篦机前设有锟筛布料机，生球通过给料器按照要求落入锟筛布料机，锟筛布料器有两个作用，一是将&lt;8mm和&gt;16mm生球筛下，筛下物由胶带机运至造球系统重新造球，而是将锟筛上生球均匀铺在链篦机上。</w:t>
      </w:r>
    </w:p>
    <w:p>
      <w:pPr>
        <w:ind w:firstLine="560"/>
        <w:rPr>
          <w:rFonts w:hint="eastAsia" w:ascii="宋体" w:hAnsi="宋体" w:eastAsia="宋体" w:cs="宋体"/>
          <w:lang w:eastAsia="zh-CN"/>
        </w:rPr>
      </w:pPr>
      <w:r>
        <w:rPr>
          <w:rFonts w:hint="eastAsia" w:ascii="宋体" w:hAnsi="宋体" w:eastAsia="宋体" w:cs="宋体"/>
          <w:lang w:eastAsia="zh-CN"/>
        </w:rPr>
        <w:t>（4）链篦机-回转窑系统</w:t>
      </w:r>
    </w:p>
    <w:p>
      <w:pPr>
        <w:ind w:firstLine="560"/>
        <w:rPr>
          <w:rFonts w:hint="eastAsia" w:ascii="宋体" w:hAnsi="宋体" w:eastAsia="宋体" w:cs="宋体"/>
          <w:lang w:eastAsia="zh-CN"/>
        </w:rPr>
      </w:pPr>
      <w:r>
        <w:rPr>
          <w:rFonts w:hint="eastAsia" w:ascii="宋体" w:hAnsi="宋体" w:eastAsia="宋体" w:cs="宋体"/>
          <w:lang w:eastAsia="zh-CN"/>
        </w:rPr>
        <w:t>生球的干燥预热设备为链篦机，其有效宽度为2.8m，有效长度为36m，篦板上料层厚度为180±20mm，链篦机沿其有效宽度方向分为三段，即干燥</w:t>
      </w:r>
      <w:r>
        <w:rPr>
          <w:rFonts w:hint="eastAsia" w:ascii="宋体" w:hAnsi="宋体" w:eastAsia="宋体" w:cs="宋体"/>
          <w:lang w:eastAsia="zh-CN"/>
        </w:rPr>
        <w:fldChar w:fldCharType="begin"/>
      </w:r>
      <w:r>
        <w:rPr>
          <w:rFonts w:hint="eastAsia" w:ascii="宋体" w:hAnsi="宋体" w:eastAsia="宋体" w:cs="宋体"/>
          <w:lang w:eastAsia="zh-CN"/>
        </w:rPr>
        <w:instrText xml:space="preserve"> = 1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w:t>
      </w:r>
      <w:r>
        <w:rPr>
          <w:rFonts w:hint="eastAsia" w:ascii="宋体" w:hAnsi="宋体" w:eastAsia="宋体" w:cs="宋体"/>
          <w:lang w:eastAsia="zh-CN"/>
        </w:rPr>
        <w:fldChar w:fldCharType="end"/>
      </w:r>
      <w:r>
        <w:rPr>
          <w:rFonts w:hint="eastAsia" w:ascii="宋体" w:hAnsi="宋体" w:eastAsia="宋体" w:cs="宋体"/>
          <w:lang w:eastAsia="zh-CN"/>
        </w:rPr>
        <w:t>段、干燥</w:t>
      </w:r>
      <w:r>
        <w:rPr>
          <w:rFonts w:hint="eastAsia" w:ascii="宋体" w:hAnsi="宋体" w:eastAsia="宋体" w:cs="宋体"/>
          <w:lang w:eastAsia="zh-CN"/>
        </w:rPr>
        <w:fldChar w:fldCharType="begin"/>
      </w:r>
      <w:r>
        <w:rPr>
          <w:rFonts w:hint="eastAsia" w:ascii="宋体" w:hAnsi="宋体" w:eastAsia="宋体" w:cs="宋体"/>
          <w:lang w:eastAsia="zh-CN"/>
        </w:rPr>
        <w:instrText xml:space="preserve"> = 2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II</w:t>
      </w:r>
      <w:r>
        <w:rPr>
          <w:rFonts w:hint="eastAsia" w:ascii="宋体" w:hAnsi="宋体" w:eastAsia="宋体" w:cs="宋体"/>
          <w:lang w:eastAsia="zh-CN"/>
        </w:rPr>
        <w:fldChar w:fldCharType="end"/>
      </w:r>
      <w:r>
        <w:rPr>
          <w:rFonts w:hint="eastAsia" w:ascii="宋体" w:hAnsi="宋体" w:eastAsia="宋体" w:cs="宋体"/>
          <w:lang w:eastAsia="zh-CN"/>
        </w:rPr>
        <w:t>段和预热段。其中干燥</w:t>
      </w:r>
      <w:r>
        <w:rPr>
          <w:rFonts w:hint="eastAsia" w:ascii="宋体" w:hAnsi="宋体" w:eastAsia="宋体" w:cs="宋体"/>
          <w:lang w:eastAsia="zh-CN"/>
        </w:rPr>
        <w:fldChar w:fldCharType="begin"/>
      </w:r>
      <w:r>
        <w:rPr>
          <w:rFonts w:hint="eastAsia" w:ascii="宋体" w:hAnsi="宋体" w:eastAsia="宋体" w:cs="宋体"/>
          <w:lang w:eastAsia="zh-CN"/>
        </w:rPr>
        <w:instrText xml:space="preserve"> = 1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w:t>
      </w:r>
      <w:r>
        <w:rPr>
          <w:rFonts w:hint="eastAsia" w:ascii="宋体" w:hAnsi="宋体" w:eastAsia="宋体" w:cs="宋体"/>
          <w:lang w:eastAsia="zh-CN"/>
        </w:rPr>
        <w:fldChar w:fldCharType="end"/>
      </w:r>
      <w:r>
        <w:rPr>
          <w:rFonts w:hint="eastAsia" w:ascii="宋体" w:hAnsi="宋体" w:eastAsia="宋体" w:cs="宋体"/>
          <w:lang w:eastAsia="zh-CN"/>
        </w:rPr>
        <w:t>段为鼓风干燥，以防止底部生球过湿破裂；干燥</w:t>
      </w:r>
      <w:r>
        <w:rPr>
          <w:rFonts w:hint="eastAsia" w:ascii="宋体" w:hAnsi="宋体" w:eastAsia="宋体" w:cs="宋体"/>
          <w:lang w:eastAsia="zh-CN"/>
        </w:rPr>
        <w:fldChar w:fldCharType="begin"/>
      </w:r>
      <w:r>
        <w:rPr>
          <w:rFonts w:hint="eastAsia" w:ascii="宋体" w:hAnsi="宋体" w:eastAsia="宋体" w:cs="宋体"/>
          <w:lang w:eastAsia="zh-CN"/>
        </w:rPr>
        <w:instrText xml:space="preserve"> = 2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II</w:t>
      </w:r>
      <w:r>
        <w:rPr>
          <w:rFonts w:hint="eastAsia" w:ascii="宋体" w:hAnsi="宋体" w:eastAsia="宋体" w:cs="宋体"/>
          <w:lang w:eastAsia="zh-CN"/>
        </w:rPr>
        <w:fldChar w:fldCharType="end"/>
      </w:r>
      <w:r>
        <w:rPr>
          <w:rFonts w:hint="eastAsia" w:ascii="宋体" w:hAnsi="宋体" w:eastAsia="宋体" w:cs="宋体"/>
          <w:lang w:eastAsia="zh-CN"/>
        </w:rPr>
        <w:t>段为抽风干燥。链篦机使用的干燥预热介质为回转窑的热废气。从回转窑尾部排出的热废气，首先进入链篦机的预热室，在穿过料层的同时将球团预热，然后经风箱、高温引风机，再进入干燥</w:t>
      </w:r>
      <w:r>
        <w:rPr>
          <w:rFonts w:hint="eastAsia" w:ascii="宋体" w:hAnsi="宋体" w:eastAsia="宋体" w:cs="宋体"/>
          <w:lang w:eastAsia="zh-CN"/>
        </w:rPr>
        <w:fldChar w:fldCharType="begin"/>
      </w:r>
      <w:r>
        <w:rPr>
          <w:rFonts w:hint="eastAsia" w:ascii="宋体" w:hAnsi="宋体" w:eastAsia="宋体" w:cs="宋体"/>
          <w:lang w:eastAsia="zh-CN"/>
        </w:rPr>
        <w:instrText xml:space="preserve"> = 1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w:t>
      </w:r>
      <w:r>
        <w:rPr>
          <w:rFonts w:hint="eastAsia" w:ascii="宋体" w:hAnsi="宋体" w:eastAsia="宋体" w:cs="宋体"/>
          <w:lang w:eastAsia="zh-CN"/>
        </w:rPr>
        <w:fldChar w:fldCharType="end"/>
      </w:r>
      <w:r>
        <w:rPr>
          <w:rFonts w:hint="eastAsia" w:ascii="宋体" w:hAnsi="宋体" w:eastAsia="宋体" w:cs="宋体"/>
          <w:lang w:eastAsia="zh-CN"/>
        </w:rPr>
        <w:t>段进行干燥。来自环冷二段和预热室部分热气鼓入干燥</w:t>
      </w:r>
      <w:r>
        <w:rPr>
          <w:rFonts w:hint="eastAsia" w:ascii="宋体" w:hAnsi="宋体" w:eastAsia="宋体" w:cs="宋体"/>
          <w:lang w:eastAsia="zh-CN"/>
        </w:rPr>
        <w:fldChar w:fldCharType="begin"/>
      </w:r>
      <w:r>
        <w:rPr>
          <w:rFonts w:hint="eastAsia" w:ascii="宋体" w:hAnsi="宋体" w:eastAsia="宋体" w:cs="宋体"/>
          <w:lang w:eastAsia="zh-CN"/>
        </w:rPr>
        <w:instrText xml:space="preserve"> = 2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II</w:t>
      </w:r>
      <w:r>
        <w:rPr>
          <w:rFonts w:hint="eastAsia" w:ascii="宋体" w:hAnsi="宋体" w:eastAsia="宋体" w:cs="宋体"/>
          <w:lang w:eastAsia="zh-CN"/>
        </w:rPr>
        <w:fldChar w:fldCharType="end"/>
      </w:r>
      <w:r>
        <w:rPr>
          <w:rFonts w:hint="eastAsia" w:ascii="宋体" w:hAnsi="宋体" w:eastAsia="宋体" w:cs="宋体"/>
          <w:lang w:eastAsia="zh-CN"/>
        </w:rPr>
        <w:t>段进行干燥。</w:t>
      </w:r>
      <w:r>
        <w:rPr>
          <w:rFonts w:hint="eastAsia" w:ascii="宋体" w:hAnsi="宋体" w:eastAsia="宋体" w:cs="宋体"/>
          <w:lang w:eastAsia="zh-CN"/>
        </w:rPr>
        <w:fldChar w:fldCharType="begin"/>
      </w:r>
      <w:r>
        <w:rPr>
          <w:rFonts w:hint="eastAsia" w:ascii="宋体" w:hAnsi="宋体" w:eastAsia="宋体" w:cs="宋体"/>
          <w:lang w:eastAsia="zh-CN"/>
        </w:rPr>
        <w:instrText xml:space="preserve"> = 1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w:t>
      </w:r>
      <w:r>
        <w:rPr>
          <w:rFonts w:hint="eastAsia" w:ascii="宋体" w:hAnsi="宋体" w:eastAsia="宋体" w:cs="宋体"/>
          <w:lang w:eastAsia="zh-CN"/>
        </w:rPr>
        <w:fldChar w:fldCharType="end"/>
      </w:r>
      <w:r>
        <w:rPr>
          <w:rFonts w:hint="eastAsia" w:ascii="宋体" w:hAnsi="宋体" w:eastAsia="宋体" w:cs="宋体"/>
          <w:lang w:eastAsia="zh-CN"/>
        </w:rPr>
        <w:t>段、</w:t>
      </w:r>
      <w:r>
        <w:rPr>
          <w:rFonts w:hint="eastAsia" w:ascii="宋体" w:hAnsi="宋体" w:eastAsia="宋体" w:cs="宋体"/>
          <w:lang w:eastAsia="zh-CN"/>
        </w:rPr>
        <w:fldChar w:fldCharType="begin"/>
      </w:r>
      <w:r>
        <w:rPr>
          <w:rFonts w:hint="eastAsia" w:ascii="宋体" w:hAnsi="宋体" w:eastAsia="宋体" w:cs="宋体"/>
          <w:lang w:eastAsia="zh-CN"/>
        </w:rPr>
        <w:instrText xml:space="preserve"> = 2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II</w:t>
      </w:r>
      <w:r>
        <w:rPr>
          <w:rFonts w:hint="eastAsia" w:ascii="宋体" w:hAnsi="宋体" w:eastAsia="宋体" w:cs="宋体"/>
          <w:lang w:eastAsia="zh-CN"/>
        </w:rPr>
        <w:fldChar w:fldCharType="end"/>
      </w:r>
      <w:r>
        <w:rPr>
          <w:rFonts w:hint="eastAsia" w:ascii="宋体" w:hAnsi="宋体" w:eastAsia="宋体" w:cs="宋体"/>
          <w:lang w:eastAsia="zh-CN"/>
        </w:rPr>
        <w:t>段排出的高温废气经烟道、电除尘器、脱硫、烟囱排出。通过人工调节冷风阀可控制干燥室风温。</w:t>
      </w:r>
    </w:p>
    <w:p>
      <w:pPr>
        <w:ind w:firstLine="560"/>
        <w:rPr>
          <w:rFonts w:hint="eastAsia" w:ascii="宋体" w:hAnsi="宋体" w:eastAsia="宋体" w:cs="宋体"/>
          <w:lang w:eastAsia="zh-CN"/>
        </w:rPr>
      </w:pPr>
      <w:r>
        <w:rPr>
          <w:rFonts w:hint="eastAsia" w:ascii="宋体" w:hAnsi="宋体" w:eastAsia="宋体" w:cs="宋体"/>
          <w:lang w:eastAsia="zh-CN"/>
        </w:rPr>
        <w:t>经链篦机预热后的干球温度在800~1000℃，直接卸入φ4×28m的回转窑中进行焙烧，回转窑焙烧热源为摇头煤粉烧嘴喷射煤粉燃烧和来自环冷机一段的热风。窑内焙烧温度最高为1250℃，焙烧时间30min，窑内气氛为强氧化气氛，球团矿进一步氧化。烟气脱硝位于预热工段，预热的热风经多管除尘器（两套）后再次返回干燥</w:t>
      </w:r>
      <w:r>
        <w:rPr>
          <w:rFonts w:hint="eastAsia" w:ascii="宋体" w:hAnsi="宋体" w:eastAsia="宋体" w:cs="宋体"/>
          <w:lang w:eastAsia="zh-CN"/>
        </w:rPr>
        <w:fldChar w:fldCharType="begin"/>
      </w:r>
      <w:r>
        <w:rPr>
          <w:rFonts w:hint="eastAsia" w:ascii="宋体" w:hAnsi="宋体" w:eastAsia="宋体" w:cs="宋体"/>
          <w:lang w:eastAsia="zh-CN"/>
        </w:rPr>
        <w:instrText xml:space="preserve"> = 1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w:t>
      </w:r>
      <w:r>
        <w:rPr>
          <w:rFonts w:hint="eastAsia" w:ascii="宋体" w:hAnsi="宋体" w:eastAsia="宋体" w:cs="宋体"/>
          <w:lang w:eastAsia="zh-CN"/>
        </w:rPr>
        <w:fldChar w:fldCharType="end"/>
      </w:r>
      <w:r>
        <w:rPr>
          <w:rFonts w:hint="eastAsia" w:ascii="宋体" w:hAnsi="宋体" w:eastAsia="宋体" w:cs="宋体"/>
          <w:lang w:eastAsia="zh-CN"/>
        </w:rPr>
        <w:t>段。</w:t>
      </w:r>
    </w:p>
    <w:p>
      <w:pPr>
        <w:ind w:firstLine="560"/>
        <w:rPr>
          <w:rFonts w:hint="eastAsia" w:ascii="宋体" w:hAnsi="宋体" w:eastAsia="宋体" w:cs="宋体"/>
          <w:lang w:eastAsia="zh-CN"/>
        </w:rPr>
      </w:pPr>
      <w:r>
        <w:rPr>
          <w:rFonts w:hint="eastAsia" w:ascii="宋体" w:hAnsi="宋体" w:eastAsia="宋体" w:cs="宋体"/>
          <w:lang w:eastAsia="zh-CN"/>
        </w:rPr>
        <w:t>从回转窑排出的焙烧球团矿温度为1100℃左右，由溜槽卸入40m</w:t>
      </w:r>
      <w:r>
        <w:rPr>
          <w:rFonts w:hint="eastAsia" w:ascii="宋体" w:hAnsi="宋体" w:eastAsia="宋体" w:cs="宋体"/>
          <w:vertAlign w:val="superscript"/>
          <w:lang w:eastAsia="zh-CN"/>
        </w:rPr>
        <w:t>2</w:t>
      </w:r>
      <w:r>
        <w:rPr>
          <w:rFonts w:hint="eastAsia" w:ascii="宋体" w:hAnsi="宋体" w:eastAsia="宋体" w:cs="宋体"/>
          <w:lang w:eastAsia="zh-CN"/>
        </w:rPr>
        <w:t>环式冷却机冷却。</w:t>
      </w:r>
    </w:p>
    <w:p>
      <w:pPr>
        <w:ind w:firstLine="560"/>
        <w:rPr>
          <w:rFonts w:hint="eastAsia" w:ascii="宋体" w:hAnsi="宋体" w:eastAsia="宋体" w:cs="宋体"/>
          <w:lang w:eastAsia="zh-CN"/>
        </w:rPr>
      </w:pPr>
      <w:r>
        <w:rPr>
          <w:rFonts w:hint="eastAsia" w:ascii="宋体" w:hAnsi="宋体" w:eastAsia="宋体" w:cs="宋体"/>
          <w:lang w:eastAsia="zh-CN"/>
        </w:rPr>
        <w:t>（5）成品冷却及贮存系统</w:t>
      </w:r>
    </w:p>
    <w:p>
      <w:pPr>
        <w:ind w:firstLine="560"/>
        <w:rPr>
          <w:rFonts w:hint="eastAsia" w:ascii="宋体" w:hAnsi="宋体" w:eastAsia="宋体" w:cs="宋体"/>
          <w:lang w:eastAsia="zh-CN"/>
        </w:rPr>
      </w:pPr>
      <w:r>
        <w:rPr>
          <w:rFonts w:hint="eastAsia" w:ascii="宋体" w:hAnsi="宋体" w:eastAsia="宋体" w:cs="宋体"/>
          <w:lang w:eastAsia="zh-CN"/>
        </w:rPr>
        <w:t>1100℃球团矿进入环式冷却机，环式冷却机为鼓风冷却，下有环式风道，三台鼓风机鼓风，环冷机排气温度分为高温段、中温段、低温段。高温段中温段设有保温罩，高温段排出的1000℃的高温气通过风罩直接进入回转窑头作为二次助燃风，中温段排出的400℃的气体经过一套重力除尘器、抽风机进入链篦机干燥二段用于湿球干燥。低温段排出的200℃的气体在窑头平台排放。</w:t>
      </w:r>
    </w:p>
    <w:p>
      <w:pPr>
        <w:ind w:firstLine="560"/>
        <w:rPr>
          <w:rFonts w:hint="eastAsia" w:ascii="宋体" w:hAnsi="宋体" w:eastAsia="宋体" w:cs="宋体"/>
          <w:lang w:eastAsia="zh-CN"/>
        </w:rPr>
      </w:pPr>
      <w:r>
        <w:rPr>
          <w:rFonts w:hint="eastAsia" w:ascii="宋体" w:hAnsi="宋体" w:eastAsia="宋体" w:cs="宋体"/>
          <w:lang w:eastAsia="zh-CN"/>
        </w:rPr>
        <w:t>进入环冷机的高温球团矿经过环冷机冷却后温度低于150℃（无组织粉尘采取雾炮抑尘），经胶带运输机运至成品料仓或料场。</w:t>
      </w:r>
    </w:p>
    <w:p>
      <w:pPr>
        <w:ind w:firstLine="560"/>
        <w:rPr>
          <w:rFonts w:hint="eastAsia" w:ascii="宋体" w:hAnsi="宋体" w:eastAsia="宋体" w:cs="宋体"/>
          <w:lang w:eastAsia="zh-CN"/>
        </w:rPr>
        <w:sectPr>
          <w:headerReference r:id="rId39" w:type="default"/>
          <w:footerReference r:id="rId41" w:type="default"/>
          <w:headerReference r:id="rId40" w:type="even"/>
          <w:footerReference r:id="rId42" w:type="even"/>
          <w:pgSz w:w="11905" w:h="16838"/>
          <w:pgMar w:top="1417" w:right="1247" w:bottom="1247" w:left="1587" w:header="850" w:footer="850" w:gutter="0"/>
          <w:pgBorders>
            <w:top w:val="none" w:sz="0" w:space="0"/>
            <w:left w:val="none" w:sz="0" w:space="0"/>
            <w:bottom w:val="none" w:sz="0" w:space="0"/>
            <w:right w:val="none" w:sz="0" w:space="0"/>
          </w:pgBorders>
          <w:cols w:space="0" w:num="1"/>
          <w:docGrid w:type="lines" w:linePitch="383" w:charSpace="0"/>
        </w:sectPr>
      </w:pPr>
      <w:r>
        <w:rPr>
          <w:rFonts w:hint="eastAsia" w:ascii="宋体" w:hAnsi="宋体" w:eastAsia="宋体" w:cs="宋体"/>
          <w:lang w:eastAsia="zh-CN"/>
        </w:rPr>
        <w:t>项目工艺流程及产排污情况见图2.4.6-1。</w:t>
      </w:r>
    </w:p>
    <w:p>
      <w:pPr>
        <w:ind w:firstLine="0" w:firstLineChars="0"/>
        <w:jc w:val="center"/>
        <w:rPr>
          <w:rFonts w:hint="eastAsia" w:ascii="宋体" w:hAnsi="宋体" w:eastAsia="宋体" w:cs="宋体"/>
          <w:b/>
          <w:bCs/>
          <w:sz w:val="24"/>
          <w:lang w:eastAsia="zh-CN"/>
        </w:rPr>
        <w:sectPr>
          <w:pgSz w:w="11905" w:h="16838"/>
          <w:pgMar w:top="1417" w:right="1247" w:bottom="1247" w:left="1587" w:header="850" w:footer="850" w:gutter="0"/>
          <w:pgBorders>
            <w:top w:val="none" w:sz="0" w:space="0"/>
            <w:left w:val="none" w:sz="0" w:space="0"/>
            <w:bottom w:val="none" w:sz="0" w:space="0"/>
            <w:right w:val="none" w:sz="0" w:space="0"/>
          </w:pgBorders>
          <w:cols w:space="0" w:num="1"/>
          <w:docGrid w:type="lines" w:linePitch="383" w:charSpace="0"/>
        </w:sectPr>
      </w:pPr>
      <w:r>
        <w:rPr>
          <w:rFonts w:hint="eastAsia" w:ascii="宋体" w:hAnsi="宋体" w:eastAsia="宋体" w:cs="宋体"/>
          <w:szCs w:val="28"/>
          <w:lang w:eastAsia="zh-CN"/>
        </w:rPr>
        <w:pict>
          <v:shape id="_x0000_s1026" o:spid="_x0000_s1026" o:spt="75" type="#_x0000_t75" style="position:absolute;left:0pt;margin-left:-7.55pt;margin-top:8pt;height:641.2pt;width:468.25pt;mso-wrap-distance-bottom:0pt;mso-wrap-distance-left:9pt;mso-wrap-distance-right:9pt;mso-wrap-distance-top:0pt;z-index:251722752;mso-width-relative:page;mso-height-relative:page;" o:ole="t" filled="f" o:preferrelative="t" stroked="f" coordsize="21600,21600">
            <v:path/>
            <v:fill on="f" focussize="0,0"/>
            <v:stroke on="f" joinstyle="miter"/>
            <v:imagedata r:id="rId95" o:title=""/>
            <o:lock v:ext="edit" aspectratio="f"/>
            <w10:wrap type="square"/>
          </v:shape>
          <o:OLEObject Type="Embed" ProgID="Visio.Drawing.15" ShapeID="_x0000_s1026" DrawAspect="Content" ObjectID="_1468075725" r:id="rId94">
            <o:LockedField>false</o:LockedField>
          </o:OLEObject>
        </w:pict>
      </w:r>
      <w:r>
        <w:rPr>
          <w:rFonts w:hint="eastAsia" w:ascii="宋体" w:hAnsi="宋体" w:eastAsia="宋体" w:cs="宋体"/>
          <w:b/>
          <w:bCs/>
          <w:sz w:val="24"/>
          <w:lang w:eastAsia="zh-CN"/>
        </w:rPr>
        <w:t>图2.4.6-1 项目工艺流程及产排污情况</w:t>
      </w:r>
    </w:p>
    <w:p>
      <w:pPr>
        <w:pStyle w:val="7"/>
        <w:rPr>
          <w:rFonts w:hint="eastAsia" w:ascii="宋体" w:hAnsi="宋体" w:eastAsia="宋体" w:cs="宋体"/>
          <w:lang w:eastAsia="zh-CN"/>
        </w:rPr>
      </w:pPr>
      <w:r>
        <w:rPr>
          <w:rFonts w:hint="eastAsia" w:ascii="宋体" w:hAnsi="宋体" w:eastAsia="宋体" w:cs="宋体"/>
          <w:lang w:eastAsia="zh-CN"/>
        </w:rPr>
        <w:t>2.4.7 污染物的产生及排放情况</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2.4.7.1 废气</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（1）有组织</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球团厂有组织废气主要是炉窑燃煤产生的废气，收集处理后外排。</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治理措施为：炉内脱硝+四电场静电除尘器+石灰-石膏湿法脱硫+湿电除尘+76m排气筒排放。在排气筒出气口安装CEMS烟气连续自动在线监测，并联网。</w:t>
      </w:r>
    </w:p>
    <w:p>
      <w:pPr>
        <w:widowControl/>
        <w:autoSpaceDN/>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鲁南矿业于2020年9月对球团厂炉窑燃煤废气处理系统进行改造，并于2020年12月投入运行。自废气处理系统升级改造后，根据在线监测数据，可知球团厂1号球团排气筒的在线监测数据见表2.4.7-1。</w:t>
      </w:r>
    </w:p>
    <w:p>
      <w:pPr>
        <w:pStyle w:val="14"/>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表2.4.7-1 球团厂1号球团排气筒在线监测结果一览表</w:t>
      </w:r>
    </w:p>
    <w:tbl>
      <w:tblPr>
        <w:tblStyle w:val="24"/>
        <w:tblW w:w="5000" w:type="pct"/>
        <w:tblInd w:w="0" w:type="dxa"/>
        <w:tblLayout w:type="fixed"/>
        <w:tblCellMar>
          <w:top w:w="0" w:type="dxa"/>
          <w:left w:w="108" w:type="dxa"/>
          <w:bottom w:w="0" w:type="dxa"/>
          <w:right w:w="108" w:type="dxa"/>
        </w:tblCellMar>
      </w:tblPr>
      <w:tblGrid>
        <w:gridCol w:w="920"/>
        <w:gridCol w:w="1145"/>
        <w:gridCol w:w="651"/>
        <w:gridCol w:w="963"/>
        <w:gridCol w:w="1132"/>
        <w:gridCol w:w="666"/>
        <w:gridCol w:w="961"/>
        <w:gridCol w:w="1107"/>
        <w:gridCol w:w="778"/>
        <w:gridCol w:w="964"/>
      </w:tblGrid>
      <w:tr>
        <w:tblPrEx>
          <w:tblCellMar>
            <w:top w:w="0" w:type="dxa"/>
            <w:left w:w="108" w:type="dxa"/>
            <w:bottom w:w="0" w:type="dxa"/>
            <w:right w:w="108" w:type="dxa"/>
          </w:tblCellMar>
        </w:tblPrEx>
        <w:trPr>
          <w:trHeight w:val="397" w:hRule="atLeast"/>
        </w:trPr>
        <w:tc>
          <w:tcPr>
            <w:tcW w:w="495" w:type="pct"/>
            <w:vMerge w:val="restart"/>
            <w:tcBorders>
              <w:top w:val="single" w:color="000000" w:sz="12"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时间</w:t>
            </w:r>
          </w:p>
        </w:tc>
        <w:tc>
          <w:tcPr>
            <w:tcW w:w="1484" w:type="pct"/>
            <w:gridSpan w:val="3"/>
            <w:tcBorders>
              <w:top w:val="single" w:color="000000" w:sz="1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二氧化硫</w:t>
            </w:r>
          </w:p>
        </w:tc>
        <w:tc>
          <w:tcPr>
            <w:tcW w:w="1484" w:type="pct"/>
            <w:gridSpan w:val="3"/>
            <w:tcBorders>
              <w:top w:val="single" w:color="000000" w:sz="12"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氮氧化物</w:t>
            </w:r>
          </w:p>
        </w:tc>
        <w:tc>
          <w:tcPr>
            <w:tcW w:w="1534" w:type="pct"/>
            <w:gridSpan w:val="3"/>
            <w:tcBorders>
              <w:top w:val="single" w:color="000000" w:sz="12"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烟尘</w:t>
            </w:r>
          </w:p>
        </w:tc>
      </w:tr>
      <w:tr>
        <w:tblPrEx>
          <w:tblCellMar>
            <w:top w:w="0" w:type="dxa"/>
            <w:left w:w="108" w:type="dxa"/>
            <w:bottom w:w="0" w:type="dxa"/>
            <w:right w:w="108" w:type="dxa"/>
          </w:tblCellMar>
        </w:tblPrEx>
        <w:trPr>
          <w:trHeight w:val="397" w:hRule="atLeast"/>
        </w:trPr>
        <w:tc>
          <w:tcPr>
            <w:tcW w:w="495"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折算浓度（mg/m</w:t>
            </w:r>
            <w:r>
              <w:rPr>
                <w:rFonts w:hint="eastAsia" w:ascii="宋体" w:hAnsi="宋体" w:eastAsia="宋体" w:cs="宋体"/>
                <w:color w:val="000000"/>
                <w:sz w:val="21"/>
                <w:szCs w:val="21"/>
                <w:vertAlign w:val="superscript"/>
                <w:lang w:eastAsia="zh-CN" w:bidi="ar"/>
              </w:rPr>
              <w:t>3</w:t>
            </w:r>
            <w:r>
              <w:rPr>
                <w:rFonts w:hint="eastAsia" w:ascii="宋体" w:hAnsi="宋体" w:eastAsia="宋体" w:cs="宋体"/>
                <w:color w:val="000000"/>
                <w:sz w:val="21"/>
                <w:szCs w:val="21"/>
                <w:lang w:eastAsia="zh-CN" w:bidi="ar"/>
              </w:rPr>
              <w:t>）</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排放量（t）</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计算排放速率（kg/h）</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折算浓度（mg/m</w:t>
            </w:r>
            <w:r>
              <w:rPr>
                <w:rFonts w:hint="eastAsia" w:ascii="宋体" w:hAnsi="宋体" w:eastAsia="宋体" w:cs="宋体"/>
                <w:color w:val="000000"/>
                <w:sz w:val="21"/>
                <w:szCs w:val="21"/>
                <w:vertAlign w:val="superscript"/>
                <w:lang w:eastAsia="zh-CN" w:bidi="ar"/>
              </w:rPr>
              <w:t>3</w:t>
            </w:r>
            <w:r>
              <w:rPr>
                <w:rFonts w:hint="eastAsia" w:ascii="宋体" w:hAnsi="宋体" w:eastAsia="宋体" w:cs="宋体"/>
                <w:color w:val="000000"/>
                <w:sz w:val="21"/>
                <w:szCs w:val="21"/>
                <w:lang w:eastAsia="zh-CN" w:bidi="ar"/>
              </w:rPr>
              <w:t>）</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排放量（t）</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计算排放速率（kg/h）</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折算浓度（mg/m</w:t>
            </w:r>
            <w:r>
              <w:rPr>
                <w:rFonts w:hint="eastAsia" w:ascii="宋体" w:hAnsi="宋体" w:eastAsia="宋体" w:cs="宋体"/>
                <w:color w:val="000000"/>
                <w:sz w:val="21"/>
                <w:szCs w:val="21"/>
                <w:vertAlign w:val="superscript"/>
                <w:lang w:eastAsia="zh-CN" w:bidi="ar"/>
              </w:rPr>
              <w:t>3</w:t>
            </w:r>
            <w:r>
              <w:rPr>
                <w:rFonts w:hint="eastAsia" w:ascii="宋体" w:hAnsi="宋体" w:eastAsia="宋体" w:cs="宋体"/>
                <w:color w:val="000000"/>
                <w:sz w:val="21"/>
                <w:szCs w:val="21"/>
                <w:lang w:eastAsia="zh-CN" w:bidi="ar"/>
              </w:rPr>
              <w:t>）</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排放量（t）</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计算排放速率（kg/h）</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2020-12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11.3</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0.4</w:t>
            </w:r>
            <w:r>
              <w:rPr>
                <w:rFonts w:hint="eastAsia" w:cs="宋体"/>
                <w:color w:val="000000"/>
                <w:sz w:val="18"/>
                <w:szCs w:val="18"/>
                <w:lang w:val="en-US" w:eastAsia="zh-CN" w:bidi="ar"/>
              </w:rPr>
              <w:t>8</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0.64</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43.5</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1.49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2.00</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1.4</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0.0405</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0.05</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2021-01</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7.29</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1.73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2.40</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42.1</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13.8</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1.34</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0.331</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0.46</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2021-02</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11.4</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2.21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3.29</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38.4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7.29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10.8</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1.21</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0.23</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0.34</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2021-03</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10.7</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3.14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4.22</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36.5</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10.6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14.2</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1.28</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0.363</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0.49</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2021-04</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11.7</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2.15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2.99</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40.6</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6.73</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9.35</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1.98</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0.347</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0.48</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2021-05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17.8</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3.11</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4.18</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44.4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7.35</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9.88</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2.85</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0.243</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0.33</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2021-06</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19.3</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1.82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2.53</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46.1</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4.22</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5.86</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2.08</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0.189</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0.26</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2021-07</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18.1</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4.64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6.24</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38.7</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9.54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12.8</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1.55</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0.38</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0.51</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18"/>
                <w:szCs w:val="18"/>
              </w:rPr>
            </w:pPr>
            <w:r>
              <w:rPr>
                <w:rFonts w:hint="eastAsia" w:ascii="宋体" w:hAnsi="宋体" w:eastAsia="宋体" w:cs="宋体"/>
                <w:color w:val="000000"/>
                <w:sz w:val="18"/>
                <w:szCs w:val="18"/>
                <w:lang w:eastAsia="zh-CN" w:bidi="ar"/>
              </w:rPr>
              <w:t>2021-08</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14.6</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2.86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3.84</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37.4</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6.9</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9.27</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1.61</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0.313</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0.42</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lang w:eastAsia="zh-CN" w:bidi="ar"/>
              </w:rPr>
            </w:pPr>
            <w:r>
              <w:rPr>
                <w:rFonts w:hint="eastAsia" w:ascii="宋体" w:hAnsi="宋体" w:eastAsia="宋体" w:cs="宋体"/>
                <w:b/>
                <w:bCs/>
                <w:color w:val="000000"/>
                <w:sz w:val="21"/>
                <w:szCs w:val="21"/>
                <w:lang w:eastAsia="zh-CN" w:bidi="ar"/>
              </w:rPr>
              <w:t>平均值</w:t>
            </w:r>
          </w:p>
        </w:tc>
        <w:tc>
          <w:tcPr>
            <w:tcW w:w="11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13.6 </w:t>
            </w:r>
          </w:p>
        </w:tc>
        <w:tc>
          <w:tcPr>
            <w:tcW w:w="6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2.46 </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3.37 </w:t>
            </w:r>
          </w:p>
        </w:tc>
        <w:tc>
          <w:tcPr>
            <w:tcW w:w="11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40.9 </w:t>
            </w:r>
          </w:p>
        </w:tc>
        <w:tc>
          <w:tcPr>
            <w:tcW w:w="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7.11 </w:t>
            </w:r>
          </w:p>
        </w:tc>
        <w:tc>
          <w:tcPr>
            <w:tcW w:w="96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9.77 </w:t>
            </w:r>
          </w:p>
        </w:tc>
        <w:tc>
          <w:tcPr>
            <w:tcW w:w="11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1.70 </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0.271 </w:t>
            </w:r>
          </w:p>
        </w:tc>
        <w:tc>
          <w:tcPr>
            <w:tcW w:w="963" w:type="dxa"/>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 xml:space="preserve">0.37 </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最大值</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19.3</w:t>
            </w:r>
          </w:p>
        </w:tc>
        <w:tc>
          <w:tcPr>
            <w:tcW w:w="3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4.64</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6.24</w:t>
            </w:r>
          </w:p>
        </w:tc>
        <w:tc>
          <w:tcPr>
            <w:tcW w:w="60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46.1</w:t>
            </w:r>
          </w:p>
        </w:tc>
        <w:tc>
          <w:tcPr>
            <w:tcW w:w="35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10.6</w:t>
            </w:r>
          </w:p>
        </w:tc>
        <w:tc>
          <w:tcPr>
            <w:tcW w:w="51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14.2</w:t>
            </w:r>
          </w:p>
        </w:tc>
        <w:tc>
          <w:tcPr>
            <w:tcW w:w="5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2.85</w:t>
            </w:r>
          </w:p>
        </w:tc>
        <w:tc>
          <w:tcPr>
            <w:tcW w:w="41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0.38</w:t>
            </w:r>
          </w:p>
        </w:tc>
        <w:tc>
          <w:tcPr>
            <w:tcW w:w="51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0.51</w:t>
            </w:r>
          </w:p>
        </w:tc>
      </w:tr>
      <w:tr>
        <w:tblPrEx>
          <w:tblCellMar>
            <w:top w:w="0" w:type="dxa"/>
            <w:left w:w="108" w:type="dxa"/>
            <w:bottom w:w="0" w:type="dxa"/>
            <w:right w:w="108" w:type="dxa"/>
          </w:tblCellMar>
        </w:tblPrEx>
        <w:trPr>
          <w:trHeight w:val="397" w:hRule="atLeast"/>
        </w:trPr>
        <w:tc>
          <w:tcPr>
            <w:tcW w:w="495" w:type="pct"/>
            <w:tcBorders>
              <w:top w:val="single" w:color="000000" w:sz="4" w:space="0"/>
              <w:left w:val="single" w:color="000000" w:sz="12"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限值</w:t>
            </w:r>
          </w:p>
        </w:tc>
        <w:tc>
          <w:tcPr>
            <w:tcW w:w="616"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35</w:t>
            </w:r>
          </w:p>
        </w:tc>
        <w:tc>
          <w:tcPr>
            <w:tcW w:w="350"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w:t>
            </w:r>
          </w:p>
        </w:tc>
        <w:tc>
          <w:tcPr>
            <w:tcW w:w="517"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96.8</w:t>
            </w:r>
          </w:p>
        </w:tc>
        <w:tc>
          <w:tcPr>
            <w:tcW w:w="609"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50</w:t>
            </w:r>
          </w:p>
        </w:tc>
        <w:tc>
          <w:tcPr>
            <w:tcW w:w="358"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w:t>
            </w:r>
          </w:p>
        </w:tc>
        <w:tc>
          <w:tcPr>
            <w:tcW w:w="517"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27.8</w:t>
            </w:r>
          </w:p>
        </w:tc>
        <w:tc>
          <w:tcPr>
            <w:tcW w:w="596"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10</w:t>
            </w:r>
          </w:p>
        </w:tc>
        <w:tc>
          <w:tcPr>
            <w:tcW w:w="419"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w:t>
            </w:r>
          </w:p>
        </w:tc>
        <w:tc>
          <w:tcPr>
            <w:tcW w:w="518" w:type="pct"/>
            <w:tcBorders>
              <w:top w:val="single" w:color="000000" w:sz="4" w:space="0"/>
              <w:left w:val="single" w:color="000000" w:sz="4" w:space="0"/>
              <w:bottom w:val="single" w:color="000000" w:sz="12"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136</w:t>
            </w:r>
          </w:p>
        </w:tc>
      </w:tr>
    </w:tbl>
    <w:p>
      <w:pPr>
        <w:widowControl/>
        <w:autoSpaceDN/>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根据表2.4.7-1可知，1号球团排气筒自2020年12月到2021年8月期间，废气中颗粒物、二氧化硫、氮氧化物最大排放浓度分别为2.85mg/m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、19.3mg/m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、46.1mg/m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，排放浓度满足《钢铁工业大气污染物排放标准》（DB 37/990-2019）表1烧结（球团）中链篦机回转窑的排放限值要求（颗粒物10mg/m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、二氧化硫35mg/m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、氮氧化物50mg/m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）；废气中颗粒物、二氧化硫、氮氧化物最大排放速率分别为6.24kg/h、14.2kg/h、0.51kg/h，满足《大气污染物综合排放标准》（GB 16297-1996）限值要求。</w:t>
      </w:r>
    </w:p>
    <w:p>
      <w:pPr>
        <w:pStyle w:val="16"/>
        <w:ind w:left="480" w:leftChars="200" w:firstLine="0" w:firstLineChars="0"/>
        <w:rPr>
          <w:rFonts w:hint="eastAsia" w:ascii="宋体" w:hAnsi="宋体" w:eastAsia="宋体" w:cs="宋体"/>
        </w:rPr>
      </w:pPr>
      <w:r>
        <w:rPr>
          <w:rFonts w:hint="eastAsia" w:ascii="宋体" w:hAnsi="宋体" w:eastAsia="宋体" w:cs="宋体"/>
        </w:rPr>
        <w:t>（2）无组织</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球团厂无组织废气产生主要来源于物料运输、物料存放、生产过程等产生的颗粒物。</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治理措施：厂内道路均已硬化，定期洒水抑尘，煤、铁精粉等物料均密闭储存、密闭运输等。</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根据《莱芜钢铁集团鲁南矿业有限公司超低排放评估监测报告》（2021年）可知，球团厂厂界监测结果见下表。</w:t>
      </w:r>
    </w:p>
    <w:p>
      <w:pPr>
        <w:pStyle w:val="14"/>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表2.4.7-2 球团厂厂界监测结果一览表</w:t>
      </w:r>
    </w:p>
    <w:tbl>
      <w:tblPr>
        <w:tblStyle w:val="24"/>
        <w:tblW w:w="4999"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857"/>
        <w:gridCol w:w="2474"/>
        <w:gridCol w:w="2474"/>
        <w:gridCol w:w="248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0" w:type="pct"/>
            <w:vMerge w:val="restar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检测点位</w:t>
            </w:r>
          </w:p>
        </w:tc>
        <w:tc>
          <w:tcPr>
            <w:tcW w:w="3999" w:type="pct"/>
            <w:gridSpan w:val="3"/>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检测结果（mg/m</w:t>
            </w:r>
            <w:r>
              <w:rPr>
                <w:rFonts w:hint="eastAsia" w:ascii="宋体" w:hAnsi="宋体" w:eastAsia="宋体" w:cs="宋体"/>
                <w:b/>
                <w:bCs/>
                <w:sz w:val="21"/>
                <w:szCs w:val="21"/>
                <w:vertAlign w:val="superscript"/>
                <w:lang w:eastAsia="zh-CN" w:bidi="ar"/>
              </w:rPr>
              <w:t>3</w:t>
            </w:r>
            <w:r>
              <w:rPr>
                <w:rFonts w:hint="eastAsia" w:ascii="宋体" w:hAnsi="宋体" w:eastAsia="宋体" w:cs="宋体"/>
                <w:b/>
                <w:bCs/>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0" w:type="pct"/>
            <w:vMerge w:val="continue"/>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第1次</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第2次</w:t>
            </w:r>
          </w:p>
        </w:tc>
        <w:tc>
          <w:tcPr>
            <w:tcW w:w="1333"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第3次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0"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上风向1#</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0.212</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0.207</w:t>
            </w:r>
          </w:p>
        </w:tc>
        <w:tc>
          <w:tcPr>
            <w:tcW w:w="1333"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0.205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0"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下风向2#</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0.425</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0.432</w:t>
            </w:r>
          </w:p>
        </w:tc>
        <w:tc>
          <w:tcPr>
            <w:tcW w:w="1333"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0.428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0"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下风向3#</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0.498</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0.503</w:t>
            </w:r>
          </w:p>
        </w:tc>
        <w:tc>
          <w:tcPr>
            <w:tcW w:w="1333"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0.509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000"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下风向4#</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0.458</w:t>
            </w:r>
          </w:p>
        </w:tc>
        <w:tc>
          <w:tcPr>
            <w:tcW w:w="133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0.453</w:t>
            </w:r>
          </w:p>
        </w:tc>
        <w:tc>
          <w:tcPr>
            <w:tcW w:w="1333"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0.463</w:t>
            </w:r>
          </w:p>
        </w:tc>
      </w:tr>
    </w:tbl>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由上表可知，球团厂厂界无组织废气颗粒物的最大值为0.509mg/m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，满足《《钢铁工业大气污染物排放标准》（DB 37/990-2019）表2中:“烧结、炼铁、炼钢的厂界”排放浓度限值1.0mg/m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2.4.7.2 废水</w:t>
      </w:r>
    </w:p>
    <w:p>
      <w:pPr>
        <w:pStyle w:val="16"/>
        <w:ind w:firstLine="560"/>
        <w:rPr>
          <w:rFonts w:hint="eastAsia" w:ascii="宋体" w:hAnsi="宋体" w:eastAsia="宋体" w:cs="宋体"/>
        </w:rPr>
      </w:pPr>
      <w:r>
        <w:rPr>
          <w:rFonts w:hint="eastAsia" w:ascii="宋体" w:hAnsi="宋体" w:eastAsia="宋体" w:cs="宋体"/>
        </w:rPr>
        <w:t>（1）生产废水</w:t>
      </w:r>
    </w:p>
    <w:p>
      <w:pPr>
        <w:pStyle w:val="16"/>
        <w:ind w:firstLine="560"/>
        <w:rPr>
          <w:rFonts w:hint="eastAsia" w:ascii="宋体" w:hAnsi="宋体" w:eastAsia="宋体" w:cs="宋体"/>
        </w:rPr>
      </w:pPr>
      <w:r>
        <w:rPr>
          <w:rFonts w:hint="eastAsia" w:ascii="宋体" w:hAnsi="宋体" w:eastAsia="宋体" w:cs="宋体"/>
        </w:rPr>
        <w:t>球团厂生产废水主要为设备冷却水，冷却水用水量为1171.2m</w:t>
      </w:r>
      <w:r>
        <w:rPr>
          <w:rFonts w:hint="eastAsia" w:ascii="宋体" w:hAnsi="宋体" w:eastAsia="宋体" w:cs="宋体"/>
          <w:vertAlign w:val="superscript"/>
        </w:rPr>
        <w:t>3</w:t>
      </w:r>
      <w:r>
        <w:rPr>
          <w:rFonts w:hint="eastAsia" w:ascii="宋体" w:hAnsi="宋体" w:eastAsia="宋体" w:cs="宋体"/>
        </w:rPr>
        <w:t>/d，全部循环利用，不外排。</w:t>
      </w:r>
    </w:p>
    <w:p>
      <w:pPr>
        <w:pStyle w:val="16"/>
        <w:ind w:firstLine="560"/>
        <w:rPr>
          <w:rFonts w:hint="eastAsia" w:ascii="宋体" w:hAnsi="宋体" w:eastAsia="宋体" w:cs="宋体"/>
        </w:rPr>
      </w:pPr>
      <w:r>
        <w:rPr>
          <w:rFonts w:hint="eastAsia" w:ascii="宋体" w:hAnsi="宋体" w:eastAsia="宋体" w:cs="宋体"/>
        </w:rPr>
        <w:t>（2）生活污水</w:t>
      </w:r>
    </w:p>
    <w:p>
      <w:pPr>
        <w:pStyle w:val="16"/>
        <w:ind w:firstLine="560"/>
        <w:rPr>
          <w:rFonts w:hint="eastAsia" w:ascii="宋体" w:hAnsi="宋体" w:eastAsia="宋体" w:cs="宋体"/>
        </w:rPr>
      </w:pPr>
      <w:r>
        <w:rPr>
          <w:rFonts w:hint="eastAsia" w:ascii="宋体" w:hAnsi="宋体" w:eastAsia="宋体" w:cs="宋体"/>
        </w:rPr>
        <w:t>生活污水产生量为3.36m</w:t>
      </w:r>
      <w:r>
        <w:rPr>
          <w:rFonts w:hint="eastAsia" w:ascii="宋体" w:hAnsi="宋体" w:eastAsia="宋体" w:cs="宋体"/>
          <w:vertAlign w:val="superscript"/>
        </w:rPr>
        <w:t>3</w:t>
      </w:r>
      <w:r>
        <w:rPr>
          <w:rFonts w:hint="eastAsia" w:ascii="宋体" w:hAnsi="宋体" w:eastAsia="宋体" w:cs="宋体"/>
        </w:rPr>
        <w:t>/d，4409m</w:t>
      </w:r>
      <w:r>
        <w:rPr>
          <w:rFonts w:hint="eastAsia" w:ascii="宋体" w:hAnsi="宋体" w:eastAsia="宋体" w:cs="宋体"/>
          <w:vertAlign w:val="superscript"/>
        </w:rPr>
        <w:t>3</w:t>
      </w:r>
      <w:r>
        <w:rPr>
          <w:rFonts w:hint="eastAsia" w:ascii="宋体" w:hAnsi="宋体" w:eastAsia="宋体" w:cs="宋体"/>
        </w:rPr>
        <w:t>/a，主要污染物为COD、NH</w:t>
      </w:r>
      <w:r>
        <w:rPr>
          <w:rFonts w:hint="eastAsia" w:ascii="宋体" w:hAnsi="宋体" w:eastAsia="宋体" w:cs="宋体"/>
          <w:vertAlign w:val="subscript"/>
        </w:rPr>
        <w:t>3</w:t>
      </w:r>
      <w:r>
        <w:rPr>
          <w:rFonts w:hint="eastAsia" w:ascii="宋体" w:hAnsi="宋体" w:eastAsia="宋体" w:cs="宋体"/>
        </w:rPr>
        <w:t>-N，年产生量分别约1.32t/a、0.18t/a。生活污水经化粪池处理后排入公司污水管网进入企业生活污水处理站处理达标后回用于企业绿化、道路洒水等。</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2.4.7.3 固废</w:t>
      </w:r>
    </w:p>
    <w:p>
      <w:pPr>
        <w:pStyle w:val="16"/>
        <w:ind w:firstLine="560"/>
        <w:rPr>
          <w:rFonts w:hint="eastAsia" w:ascii="宋体" w:hAnsi="宋体" w:eastAsia="宋体" w:cs="宋体"/>
        </w:rPr>
      </w:pPr>
      <w:r>
        <w:rPr>
          <w:rFonts w:hint="eastAsia" w:ascii="宋体" w:hAnsi="宋体" w:eastAsia="宋体" w:cs="宋体"/>
        </w:rPr>
        <w:t>球团厂固体废物主要为除尘系统的除尘灰、废气脱硫系统的脱硫石膏、回水池中的污泥、维修过程中产生的废润滑油、废油桶及生活垃圾等。</w:t>
      </w:r>
    </w:p>
    <w:p>
      <w:pPr>
        <w:pStyle w:val="16"/>
        <w:ind w:firstLine="560"/>
        <w:rPr>
          <w:rFonts w:hint="eastAsia" w:ascii="宋体" w:hAnsi="宋体" w:eastAsia="宋体" w:cs="宋体"/>
        </w:rPr>
      </w:pPr>
      <w:r>
        <w:rPr>
          <w:rFonts w:hint="eastAsia" w:ascii="宋体" w:hAnsi="宋体" w:eastAsia="宋体" w:cs="宋体"/>
        </w:rPr>
        <w:t>除尘系统的除尘灰，定期回收至造球配料和烧结配料中，全部回用；脱硫石膏用于尾矿库筑坝；回水池中污泥定期清理，全部回用于生产过程中。</w:t>
      </w:r>
    </w:p>
    <w:p>
      <w:pPr>
        <w:pStyle w:val="16"/>
        <w:ind w:firstLine="560"/>
        <w:rPr>
          <w:rFonts w:hint="eastAsia" w:ascii="宋体" w:hAnsi="宋体" w:eastAsia="宋体" w:cs="宋体"/>
        </w:rPr>
      </w:pPr>
      <w:r>
        <w:rPr>
          <w:rFonts w:hint="eastAsia" w:ascii="宋体" w:hAnsi="宋体" w:eastAsia="宋体" w:cs="宋体"/>
        </w:rPr>
        <w:t>设备维护所产生的废矿物油属于危险废物（HW08废矿物油与含矿物油废物900-249-08），产生量约0.3t/年；废油桶属于危险废物（HW49其他废物900-041-49），产生量约0.2t/a。废矿物油及废油桶收集后暂存公司危废暂存间，委托有资质单位统一处理。</w:t>
      </w:r>
    </w:p>
    <w:p>
      <w:pPr>
        <w:pStyle w:val="16"/>
        <w:ind w:firstLine="560"/>
        <w:rPr>
          <w:rFonts w:hint="eastAsia" w:ascii="宋体" w:hAnsi="宋体" w:eastAsia="宋体" w:cs="宋体"/>
        </w:rPr>
      </w:pPr>
      <w:r>
        <w:rPr>
          <w:rFonts w:hint="eastAsia" w:ascii="宋体" w:hAnsi="宋体" w:eastAsia="宋体" w:cs="宋体"/>
        </w:rPr>
        <w:t>废油桶、废矿物油等危险废物收集并集中储存在危废暂存间，委托有资质的单位进行处置。</w:t>
      </w:r>
    </w:p>
    <w:p>
      <w:pPr>
        <w:pStyle w:val="16"/>
        <w:ind w:firstLine="560"/>
        <w:rPr>
          <w:rFonts w:hint="eastAsia" w:ascii="宋体" w:hAnsi="宋体" w:eastAsia="宋体" w:cs="宋体"/>
        </w:rPr>
      </w:pPr>
      <w:r>
        <w:rPr>
          <w:rFonts w:hint="eastAsia" w:ascii="宋体" w:hAnsi="宋体" w:eastAsia="宋体" w:cs="宋体"/>
        </w:rPr>
        <w:t>生活垃圾产生量19.8t/a，由环卫部门统一处理。</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2.4.7.4 噪声</w:t>
      </w:r>
    </w:p>
    <w:p>
      <w:pPr>
        <w:bidi w:val="0"/>
        <w:rPr>
          <w:rFonts w:hint="eastAsia"/>
          <w:lang w:eastAsia="zh-CN"/>
        </w:rPr>
      </w:pPr>
      <w:r>
        <w:rPr>
          <w:rFonts w:hint="eastAsia"/>
          <w:lang w:eastAsia="zh-CN"/>
        </w:rPr>
        <w:t>球团厂噪声源主要来自于破碎车间、磨选车间等机械设备及道路运输车辆，噪声值均在90dB(A)左右。</w:t>
      </w:r>
    </w:p>
    <w:p>
      <w:pPr>
        <w:bidi w:val="0"/>
        <w:rPr>
          <w:rFonts w:hint="eastAsia"/>
          <w:lang w:eastAsia="zh-CN"/>
        </w:rPr>
      </w:pPr>
      <w:r>
        <w:rPr>
          <w:rFonts w:hint="eastAsia"/>
          <w:lang w:eastAsia="zh-CN"/>
        </w:rPr>
        <w:t>治理措施：建设单位采取了基础减振、车间隔声、加装消声器等降噪措施；运输车辆低速通过村庄且经过村庄时禁止鸣笛，以上措施的实施，有效减缓了工程建设对周围声环境的影响。</w:t>
      </w:r>
    </w:p>
    <w:p>
      <w:pPr>
        <w:bidi w:val="0"/>
        <w:rPr>
          <w:rFonts w:hint="eastAsia"/>
        </w:rPr>
      </w:pPr>
      <w:r>
        <w:rPr>
          <w:rFonts w:hint="eastAsia"/>
        </w:rPr>
        <w:t>该项目南厂界、北厂界、东厂界外均属鲁南矿业有限公司矿区范围内，西厂界外紧邻韩莱公路，根据 2018年10月28日山东信泽环境检测有限公司出具的验收监测数据，结果见表2.4.7-3。</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表2.4.7-3 球团厂噪声监测结果</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95"/>
        <w:gridCol w:w="3096"/>
        <w:gridCol w:w="3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95" w:type="dxa"/>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点位</w:t>
            </w:r>
          </w:p>
        </w:tc>
        <w:tc>
          <w:tcPr>
            <w:tcW w:w="3096"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昼间[dB(A)]</w:t>
            </w:r>
          </w:p>
        </w:tc>
        <w:tc>
          <w:tcPr>
            <w:tcW w:w="3096" w:type="dxa"/>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夜间[dB(A)]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5"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东厂界外1m</w:t>
            </w:r>
          </w:p>
        </w:tc>
        <w:tc>
          <w:tcPr>
            <w:tcW w:w="3096"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52.8</w:t>
            </w:r>
          </w:p>
        </w:tc>
        <w:tc>
          <w:tcPr>
            <w:tcW w:w="3096"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5"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南厂界外1m</w:t>
            </w:r>
          </w:p>
        </w:tc>
        <w:tc>
          <w:tcPr>
            <w:tcW w:w="3096"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55.1</w:t>
            </w:r>
          </w:p>
        </w:tc>
        <w:tc>
          <w:tcPr>
            <w:tcW w:w="3096"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5"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西厂界外1m</w:t>
            </w:r>
          </w:p>
        </w:tc>
        <w:tc>
          <w:tcPr>
            <w:tcW w:w="3096"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56.3</w:t>
            </w:r>
          </w:p>
        </w:tc>
        <w:tc>
          <w:tcPr>
            <w:tcW w:w="3096"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5" w:type="dxa"/>
            <w:tcBorders>
              <w:left w:val="single" w:color="auto" w:sz="12" w:space="0"/>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北厂界外1m</w:t>
            </w:r>
          </w:p>
        </w:tc>
        <w:tc>
          <w:tcPr>
            <w:tcW w:w="3096"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54.1</w:t>
            </w:r>
          </w:p>
        </w:tc>
        <w:tc>
          <w:tcPr>
            <w:tcW w:w="3096" w:type="dxa"/>
            <w:tcBorders>
              <w:bottom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45.1</w:t>
            </w:r>
          </w:p>
        </w:tc>
      </w:tr>
    </w:tbl>
    <w:p>
      <w:pPr>
        <w:pStyle w:val="16"/>
        <w:ind w:firstLine="560"/>
        <w:rPr>
          <w:rFonts w:hint="eastAsia" w:ascii="宋体" w:hAnsi="宋体" w:eastAsia="宋体" w:cs="宋体"/>
        </w:rPr>
      </w:pPr>
      <w:r>
        <w:rPr>
          <w:rFonts w:hint="eastAsia" w:ascii="宋体" w:hAnsi="宋体" w:eastAsia="宋体" w:cs="宋体"/>
        </w:rPr>
        <w:t>根据表2.4.7-3可知，球团厂厂界噪声满足《工业企业厂界环境噪声排放标准》（GB12348-2008）2类标准（昼间 60dB(A)，夜间 50dB(A)）。</w:t>
      </w:r>
    </w:p>
    <w:p>
      <w:pPr>
        <w:pStyle w:val="6"/>
        <w:rPr>
          <w:rFonts w:hint="eastAsia" w:ascii="宋体" w:hAnsi="宋体" w:eastAsia="宋体" w:cs="宋体"/>
          <w:lang w:eastAsia="zh-CN"/>
        </w:rPr>
      </w:pPr>
      <w:bookmarkStart w:id="62" w:name="_Toc14004"/>
      <w:bookmarkStart w:id="63" w:name="_Toc772"/>
      <w:r>
        <w:rPr>
          <w:rFonts w:hint="eastAsia" w:ascii="宋体" w:hAnsi="宋体" w:eastAsia="宋体" w:cs="宋体"/>
          <w:lang w:eastAsia="zh-CN"/>
        </w:rPr>
        <w:t>2.5 企业生活污水处理站</w:t>
      </w:r>
      <w:bookmarkEnd w:id="62"/>
      <w:bookmarkEnd w:id="63"/>
    </w:p>
    <w:p>
      <w:pPr>
        <w:ind w:firstLine="560"/>
        <w:rPr>
          <w:rFonts w:hint="eastAsia" w:ascii="宋体" w:hAnsi="宋体" w:eastAsia="宋体" w:cs="宋体"/>
          <w:highlight w:val="yellow"/>
          <w:lang w:eastAsia="zh-CN"/>
        </w:rPr>
      </w:pPr>
      <w:r>
        <w:rPr>
          <w:rFonts w:hint="eastAsia" w:ascii="宋体" w:hAnsi="宋体" w:eastAsia="宋体" w:cs="宋体"/>
          <w:lang w:eastAsia="zh-CN"/>
        </w:rPr>
        <w:t>莱钢集团鲁南矿业有限公司建有一座生活污水处理站，处理能力150m</w:t>
      </w:r>
      <w:r>
        <w:rPr>
          <w:rFonts w:hint="eastAsia" w:ascii="宋体" w:hAnsi="宋体" w:cs="宋体"/>
          <w:vertAlign w:val="superscript"/>
          <w:lang w:eastAsia="zh-CN"/>
        </w:rPr>
        <w:t>3</w:t>
      </w:r>
      <w:r>
        <w:rPr>
          <w:rFonts w:hint="eastAsia" w:ascii="宋体" w:hAnsi="宋体" w:eastAsia="宋体" w:cs="宋体"/>
          <w:lang w:eastAsia="zh-CN"/>
        </w:rPr>
        <w:t>/d，用于收集处理企业生活区及生产区生活污水。污水处理采用WA-A地埋式一体化污水处理装置，处理工艺流程见图2.5-1。</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7" w:type="dxa"/>
            <w:tcBorders>
              <w:tl2br w:val="nil"/>
              <w:tr2bl w:val="nil"/>
            </w:tcBorders>
          </w:tcPr>
          <w:p>
            <w:pPr>
              <w:keepNext w:val="0"/>
              <w:keepLines w:val="0"/>
              <w:suppressLineNumbers w:val="0"/>
              <w:spacing w:before="0" w:beforeAutospacing="0" w:after="0" w:afterAutospacing="0"/>
              <w:ind w:left="0" w:right="0"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5800725" cy="552450"/>
                  <wp:effectExtent l="0" t="0" r="9525" b="0"/>
                  <wp:wrapTopAndBottom/>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96"/>
                          <a:stretch>
                            <a:fillRect/>
                          </a:stretch>
                        </pic:blipFill>
                        <pic:spPr>
                          <a:xfrm>
                            <a:off x="0" y="0"/>
                            <a:ext cx="5800725" cy="552450"/>
                          </a:xfrm>
                          <a:prstGeom prst="rect">
                            <a:avLst/>
                          </a:prstGeom>
                          <a:noFill/>
                          <a:ln>
                            <a:noFill/>
                          </a:ln>
                        </pic:spPr>
                      </pic:pic>
                    </a:graphicData>
                  </a:graphic>
                </wp:anchor>
              </w:drawing>
            </w:r>
            <w:r>
              <w:rPr>
                <w:rFonts w:hint="eastAsia" w:ascii="宋体" w:hAnsi="宋体" w:eastAsia="宋体" w:cs="宋体"/>
                <w:b/>
                <w:bCs/>
                <w:sz w:val="24"/>
                <w:lang w:eastAsia="zh-CN"/>
              </w:rPr>
              <w:t>图2.5.1-1 生活污水处理工艺流程图</w:t>
            </w:r>
          </w:p>
        </w:tc>
      </w:tr>
    </w:tbl>
    <w:p>
      <w:pPr>
        <w:ind w:firstLine="560"/>
        <w:rPr>
          <w:rFonts w:hint="eastAsia" w:ascii="宋体" w:hAnsi="宋体" w:eastAsia="宋体" w:cs="宋体"/>
          <w:lang w:eastAsia="zh-CN"/>
        </w:rPr>
      </w:pPr>
      <w:r>
        <w:rPr>
          <w:rFonts w:hint="eastAsia" w:ascii="宋体" w:hAnsi="宋体" w:eastAsia="宋体" w:cs="宋体"/>
          <w:lang w:eastAsia="zh-CN"/>
        </w:rPr>
        <w:t>（1）调节池</w:t>
      </w:r>
    </w:p>
    <w:p>
      <w:pPr>
        <w:ind w:firstLine="560"/>
        <w:rPr>
          <w:rFonts w:hint="eastAsia" w:ascii="宋体" w:hAnsi="宋体" w:eastAsia="宋体" w:cs="宋体"/>
          <w:lang w:eastAsia="zh-CN"/>
        </w:rPr>
      </w:pPr>
      <w:r>
        <w:rPr>
          <w:rFonts w:hint="eastAsia" w:ascii="宋体" w:hAnsi="宋体" w:eastAsia="宋体" w:cs="宋体"/>
          <w:lang w:eastAsia="zh-CN"/>
        </w:rPr>
        <w:t>调节废水水质、水量，保证后续WA-A装置稳定运行，达到处理效果。</w:t>
      </w:r>
    </w:p>
    <w:p>
      <w:pPr>
        <w:ind w:firstLine="560"/>
        <w:rPr>
          <w:rFonts w:hint="eastAsia" w:ascii="宋体" w:hAnsi="宋体" w:eastAsia="宋体" w:cs="宋体"/>
          <w:lang w:eastAsia="zh-CN"/>
        </w:rPr>
      </w:pPr>
      <w:r>
        <w:rPr>
          <w:rFonts w:hint="eastAsia" w:ascii="宋体" w:hAnsi="宋体" w:eastAsia="宋体" w:cs="宋体"/>
          <w:lang w:eastAsia="zh-CN"/>
        </w:rPr>
        <w:t>（2）WA-A地埋式一体化污水处理装置</w:t>
      </w:r>
    </w:p>
    <w:p>
      <w:pPr>
        <w:ind w:firstLine="560"/>
        <w:rPr>
          <w:rFonts w:hint="eastAsia" w:ascii="宋体" w:hAnsi="宋体" w:eastAsia="宋体" w:cs="宋体"/>
          <w:lang w:eastAsia="zh-CN"/>
        </w:rPr>
      </w:pPr>
      <w:r>
        <w:rPr>
          <w:rFonts w:hint="eastAsia" w:ascii="宋体" w:hAnsi="宋体" w:eastAsia="宋体" w:cs="宋体"/>
          <w:lang w:eastAsia="zh-CN"/>
        </w:rPr>
        <w:t>WA-A地埋式一体化污水处理装置是本污水处理工程的核心工序。WA-A地埋式一体化污水处理装置由复合式罐体、水下曝气和电控系统三部分组成。污水进入复合式罐体后，在水面曝气系统下，与氧气及活性污泥充分接触，污水中的有机污染物被有效的吸附凝聚和氧化分解，处理后的污水通过生化池底部的凹形槽进入沉淀池，经沉淀净化后进入回用池，用于企业内部绿化、道路洒水等，不外排。</w:t>
      </w:r>
    </w:p>
    <w:p>
      <w:pPr>
        <w:pStyle w:val="16"/>
        <w:ind w:firstLine="560"/>
        <w:rPr>
          <w:rFonts w:hint="eastAsia" w:ascii="宋体" w:hAnsi="宋体" w:eastAsia="宋体" w:cs="宋体"/>
        </w:rPr>
      </w:pPr>
      <w:r>
        <w:rPr>
          <w:rFonts w:hint="eastAsia" w:ascii="宋体" w:hAnsi="宋体" w:eastAsia="宋体" w:cs="宋体"/>
        </w:rPr>
        <w:t>（3）出水水质</w:t>
      </w:r>
    </w:p>
    <w:p>
      <w:pPr>
        <w:pStyle w:val="14"/>
        <w:ind w:firstLine="560"/>
        <w:rPr>
          <w:rFonts w:hint="eastAsia" w:ascii="宋体" w:hAnsi="宋体" w:eastAsia="宋体" w:cs="宋体"/>
          <w:szCs w:val="28"/>
          <w:lang w:eastAsia="zh-CN" w:bidi="ar"/>
        </w:rPr>
      </w:pPr>
      <w:r>
        <w:rPr>
          <w:rFonts w:hint="eastAsia" w:ascii="宋体" w:hAnsi="宋体" w:eastAsia="宋体" w:cs="宋体"/>
          <w:szCs w:val="28"/>
          <w:lang w:eastAsia="zh-CN" w:bidi="ar"/>
        </w:rPr>
        <w:t>根据青岛谱尼测试有限公司于2018年11月21～22日对生活污水处理站出水口水质进行监测，污水处理站出水水质结果见表2.5</w:t>
      </w:r>
      <w:r>
        <w:rPr>
          <w:rFonts w:hint="eastAsia" w:cs="宋体"/>
          <w:szCs w:val="28"/>
          <w:lang w:val="en-US" w:eastAsia="zh-CN" w:bidi="ar"/>
        </w:rPr>
        <w:t>.1</w:t>
      </w:r>
      <w:r>
        <w:rPr>
          <w:rFonts w:hint="eastAsia" w:ascii="宋体" w:hAnsi="宋体" w:eastAsia="宋体" w:cs="宋体"/>
          <w:szCs w:val="28"/>
          <w:lang w:eastAsia="zh-CN" w:bidi="ar"/>
        </w:rPr>
        <w:t>-1。</w:t>
      </w:r>
    </w:p>
    <w:p>
      <w:pPr>
        <w:pStyle w:val="14"/>
        <w:spacing w:line="240" w:lineRule="auto"/>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表2.5.1-1 污水处理站出水水质一览表</w:t>
      </w:r>
    </w:p>
    <w:tbl>
      <w:tblPr>
        <w:tblStyle w:val="24"/>
        <w:tblpPr w:leftFromText="180" w:rightFromText="180" w:vertAnchor="text" w:horzAnchor="page" w:tblpX="1247" w:tblpY="175"/>
        <w:tblOverlap w:val="never"/>
        <w:tblW w:w="5192"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2238"/>
        <w:gridCol w:w="1584"/>
        <w:gridCol w:w="1238"/>
        <w:gridCol w:w="1170"/>
        <w:gridCol w:w="1773"/>
        <w:gridCol w:w="144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184"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监测项目</w:t>
            </w:r>
          </w:p>
        </w:tc>
        <w:tc>
          <w:tcPr>
            <w:tcW w:w="3050" w:type="pct"/>
            <w:gridSpan w:val="4"/>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监测结果（mg/L）</w:t>
            </w:r>
          </w:p>
        </w:tc>
        <w:tc>
          <w:tcPr>
            <w:tcW w:w="765"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限值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184"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p>
        </w:tc>
        <w:tc>
          <w:tcPr>
            <w:tcW w:w="1493" w:type="pct"/>
            <w:gridSpan w:val="2"/>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2018.11.21</w:t>
            </w:r>
          </w:p>
        </w:tc>
        <w:tc>
          <w:tcPr>
            <w:tcW w:w="1557" w:type="pct"/>
            <w:gridSpan w:val="2"/>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2018.11.22</w:t>
            </w:r>
          </w:p>
        </w:tc>
        <w:tc>
          <w:tcPr>
            <w:tcW w:w="765"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1184"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第一次</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第二次</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第一次</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r>
              <w:rPr>
                <w:rFonts w:hint="eastAsia" w:ascii="宋体" w:hAnsi="宋体" w:eastAsia="宋体" w:cs="宋体"/>
                <w:b/>
                <w:bCs/>
                <w:kern w:val="2"/>
                <w:sz w:val="21"/>
                <w:szCs w:val="21"/>
                <w:lang w:val="zh-CN" w:eastAsia="zh-CN" w:bidi="zh-CN"/>
              </w:rPr>
              <w:t>第二次</w:t>
            </w:r>
          </w:p>
        </w:tc>
        <w:tc>
          <w:tcPr>
            <w:tcW w:w="765"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pacing w:val="-1"/>
                <w:kern w:val="2"/>
                <w:sz w:val="21"/>
                <w:szCs w:val="21"/>
                <w:lang w:eastAsia="zh-CN"/>
              </w:rPr>
            </w:pPr>
            <w:r>
              <w:rPr>
                <w:rFonts w:hint="eastAsia" w:ascii="宋体" w:hAnsi="宋体" w:eastAsia="宋体" w:cs="宋体"/>
                <w:kern w:val="2"/>
                <w:sz w:val="21"/>
                <w:szCs w:val="21"/>
                <w:lang w:eastAsia="zh-CN"/>
              </w:rPr>
              <w:t>pH值（无量纲）</w:t>
            </w: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7.64</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7.58</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7.59</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7.57</w:t>
            </w:r>
          </w:p>
        </w:tc>
        <w:tc>
          <w:tcPr>
            <w:tcW w:w="7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6.0~9.0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pacing w:val="-1"/>
                <w:kern w:val="2"/>
                <w:sz w:val="21"/>
                <w:szCs w:val="21"/>
                <w:lang w:eastAsia="zh-CN"/>
              </w:rPr>
              <w:t>悬浮物</w:t>
            </w:r>
            <w:r>
              <w:rPr>
                <w:rFonts w:hint="eastAsia" w:ascii="宋体" w:hAnsi="宋体" w:eastAsia="宋体" w:cs="宋体"/>
                <w:spacing w:val="-5"/>
                <w:kern w:val="2"/>
                <w:sz w:val="21"/>
                <w:szCs w:val="21"/>
                <w:lang w:eastAsia="zh-CN"/>
              </w:rPr>
              <w:t>（SS）</w:t>
            </w: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9</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8</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7</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8</w:t>
            </w:r>
          </w:p>
        </w:tc>
        <w:tc>
          <w:tcPr>
            <w:tcW w:w="7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pacing w:val="-1"/>
                <w:kern w:val="2"/>
                <w:sz w:val="21"/>
                <w:szCs w:val="21"/>
                <w:lang w:val="zh-CN" w:eastAsia="zh-CN" w:bidi="zh-CN"/>
              </w:rPr>
              <w:t>化学需氧量</w:t>
            </w:r>
            <w:r>
              <w:rPr>
                <w:rFonts w:hint="eastAsia" w:ascii="宋体" w:hAnsi="宋体" w:eastAsia="宋体" w:cs="宋体"/>
                <w:kern w:val="2"/>
                <w:sz w:val="21"/>
                <w:szCs w:val="21"/>
                <w:lang w:eastAsia="zh-CN"/>
              </w:rPr>
              <w:t>（COD</w:t>
            </w:r>
            <w:r>
              <w:rPr>
                <w:rFonts w:hint="eastAsia" w:ascii="宋体" w:hAnsi="宋体" w:eastAsia="宋体" w:cs="宋体"/>
                <w:kern w:val="2"/>
                <w:sz w:val="21"/>
                <w:szCs w:val="21"/>
                <w:vertAlign w:val="subscript"/>
                <w:lang w:eastAsia="zh-CN"/>
              </w:rPr>
              <w:t>Cr</w:t>
            </w:r>
            <w:r>
              <w:rPr>
                <w:rFonts w:hint="eastAsia" w:ascii="宋体" w:hAnsi="宋体" w:eastAsia="宋体" w:cs="宋体"/>
                <w:kern w:val="2"/>
                <w:sz w:val="21"/>
                <w:szCs w:val="21"/>
                <w:lang w:eastAsia="zh-CN"/>
              </w:rPr>
              <w:t>）</w:t>
            </w: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24</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22</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23</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22</w:t>
            </w:r>
          </w:p>
        </w:tc>
        <w:tc>
          <w:tcPr>
            <w:tcW w:w="7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pacing w:val="-4"/>
                <w:kern w:val="2"/>
                <w:sz w:val="21"/>
                <w:szCs w:val="21"/>
                <w:lang w:val="zh-CN" w:eastAsia="zh-CN" w:bidi="zh-CN"/>
              </w:rPr>
              <w:t>生化需氧量</w:t>
            </w:r>
            <w:r>
              <w:rPr>
                <w:rFonts w:hint="eastAsia" w:ascii="宋体" w:hAnsi="宋体" w:eastAsia="宋体" w:cs="宋体"/>
                <w:kern w:val="2"/>
                <w:sz w:val="21"/>
                <w:szCs w:val="21"/>
                <w:lang w:eastAsia="zh-CN"/>
              </w:rPr>
              <w:t>（BOD</w:t>
            </w:r>
            <w:r>
              <w:rPr>
                <w:rFonts w:hint="eastAsia" w:ascii="宋体" w:hAnsi="宋体" w:eastAsia="宋体" w:cs="宋体"/>
                <w:kern w:val="2"/>
                <w:sz w:val="21"/>
                <w:szCs w:val="21"/>
                <w:vertAlign w:val="subscript"/>
                <w:lang w:eastAsia="zh-CN"/>
              </w:rPr>
              <w:t>5</w:t>
            </w:r>
            <w:r>
              <w:rPr>
                <w:rFonts w:hint="eastAsia" w:ascii="宋体" w:hAnsi="宋体" w:eastAsia="宋体" w:cs="宋体"/>
                <w:kern w:val="2"/>
                <w:sz w:val="21"/>
                <w:szCs w:val="21"/>
                <w:lang w:eastAsia="zh-CN"/>
              </w:rPr>
              <w:t>）</w:t>
            </w: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5.3</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4.8</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5.2</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4.9</w:t>
            </w:r>
          </w:p>
        </w:tc>
        <w:tc>
          <w:tcPr>
            <w:tcW w:w="7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sz w:val="21"/>
                <w:szCs w:val="21"/>
                <w:lang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氨氮</w:t>
            </w:r>
            <w:r>
              <w:rPr>
                <w:rFonts w:hint="eastAsia" w:ascii="宋体" w:hAnsi="宋体" w:eastAsia="宋体" w:cs="宋体"/>
                <w:spacing w:val="-3"/>
                <w:kern w:val="2"/>
                <w:sz w:val="21"/>
                <w:szCs w:val="21"/>
                <w:lang w:eastAsia="zh-CN"/>
              </w:rPr>
              <w:t>（以</w:t>
            </w:r>
            <w:r>
              <w:rPr>
                <w:rFonts w:hint="eastAsia" w:ascii="宋体" w:hAnsi="宋体" w:eastAsia="宋体" w:cs="宋体"/>
                <w:kern w:val="2"/>
                <w:sz w:val="21"/>
                <w:szCs w:val="21"/>
                <w:lang w:eastAsia="zh-CN"/>
              </w:rPr>
              <w:t>N计</w:t>
            </w:r>
            <w:r>
              <w:rPr>
                <w:rFonts w:hint="eastAsia" w:ascii="宋体" w:hAnsi="宋体" w:eastAsia="宋体" w:cs="宋体"/>
                <w:spacing w:val="-16"/>
                <w:kern w:val="2"/>
                <w:sz w:val="21"/>
                <w:szCs w:val="21"/>
                <w:lang w:eastAsia="zh-CN"/>
              </w:rPr>
              <w:t>）</w:t>
            </w: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4.77</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4.68</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4.81</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4.76</w:t>
            </w:r>
          </w:p>
        </w:tc>
        <w:tc>
          <w:tcPr>
            <w:tcW w:w="7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总磷</w:t>
            </w:r>
            <w:r>
              <w:rPr>
                <w:rFonts w:hint="eastAsia" w:ascii="宋体" w:hAnsi="宋体" w:eastAsia="宋体" w:cs="宋体"/>
                <w:spacing w:val="-3"/>
                <w:kern w:val="2"/>
                <w:sz w:val="21"/>
                <w:szCs w:val="21"/>
                <w:lang w:eastAsia="zh-CN"/>
              </w:rPr>
              <w:t>（以</w:t>
            </w:r>
            <w:r>
              <w:rPr>
                <w:rFonts w:hint="eastAsia" w:ascii="宋体" w:hAnsi="宋体" w:eastAsia="宋体" w:cs="宋体"/>
                <w:kern w:val="2"/>
                <w:sz w:val="21"/>
                <w:szCs w:val="21"/>
                <w:lang w:eastAsia="zh-CN"/>
              </w:rPr>
              <w:t>P</w:t>
            </w:r>
            <w:r>
              <w:rPr>
                <w:rFonts w:hint="eastAsia" w:ascii="宋体" w:hAnsi="宋体" w:eastAsia="宋体" w:cs="宋体"/>
                <w:spacing w:val="-3"/>
                <w:kern w:val="2"/>
                <w:sz w:val="21"/>
                <w:szCs w:val="21"/>
                <w:lang w:eastAsia="zh-CN"/>
              </w:rPr>
              <w:t>计</w:t>
            </w:r>
            <w:r>
              <w:rPr>
                <w:rFonts w:hint="eastAsia" w:ascii="宋体" w:hAnsi="宋体" w:eastAsia="宋体" w:cs="宋体"/>
                <w:kern w:val="2"/>
                <w:sz w:val="21"/>
                <w:szCs w:val="21"/>
                <w:lang w:eastAsia="zh-CN"/>
              </w:rPr>
              <w:t>）</w:t>
            </w: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0.84</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0.85</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0.66</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0.56</w:t>
            </w:r>
          </w:p>
        </w:tc>
        <w:tc>
          <w:tcPr>
            <w:tcW w:w="7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pacing w:val="-5"/>
                <w:kern w:val="2"/>
                <w:sz w:val="21"/>
                <w:szCs w:val="21"/>
                <w:lang w:eastAsia="zh-CN"/>
              </w:rPr>
              <w:t>阴离子表面活性剂</w:t>
            </w: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0.13</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0.12</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0.10</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0.09</w:t>
            </w:r>
          </w:p>
        </w:tc>
        <w:tc>
          <w:tcPr>
            <w:tcW w:w="7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18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pacing w:val="-5"/>
                <w:kern w:val="2"/>
                <w:sz w:val="21"/>
                <w:szCs w:val="21"/>
                <w:lang w:eastAsia="zh-CN"/>
              </w:rPr>
            </w:pPr>
            <w:r>
              <w:rPr>
                <w:rFonts w:hint="eastAsia" w:ascii="宋体" w:hAnsi="宋体" w:eastAsia="宋体" w:cs="宋体"/>
                <w:spacing w:val="-1"/>
                <w:kern w:val="2"/>
                <w:sz w:val="21"/>
                <w:szCs w:val="21"/>
                <w:lang w:eastAsia="zh-CN"/>
              </w:rPr>
              <w:t>动植物油</w:t>
            </w:r>
          </w:p>
        </w:tc>
        <w:tc>
          <w:tcPr>
            <w:tcW w:w="83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bidi="zh-CN"/>
              </w:rPr>
            </w:pPr>
            <w:r>
              <w:rPr>
                <w:rFonts w:hint="eastAsia" w:ascii="宋体" w:hAnsi="宋体" w:eastAsia="宋体" w:cs="宋体"/>
                <w:kern w:val="2"/>
                <w:sz w:val="21"/>
                <w:szCs w:val="21"/>
                <w:lang w:val="zh-CN" w:eastAsia="zh-CN" w:bidi="zh-CN"/>
              </w:rPr>
              <w:t>0.12</w:t>
            </w:r>
          </w:p>
        </w:tc>
        <w:tc>
          <w:tcPr>
            <w:tcW w:w="654"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0.13</w:t>
            </w:r>
          </w:p>
        </w:tc>
        <w:tc>
          <w:tcPr>
            <w:tcW w:w="61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0.10</w:t>
            </w:r>
          </w:p>
        </w:tc>
        <w:tc>
          <w:tcPr>
            <w:tcW w:w="93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0.08</w:t>
            </w:r>
          </w:p>
        </w:tc>
        <w:tc>
          <w:tcPr>
            <w:tcW w:w="7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zh-CN"/>
              </w:rPr>
            </w:pPr>
            <w:r>
              <w:rPr>
                <w:rFonts w:hint="eastAsia" w:ascii="宋体" w:hAnsi="宋体" w:eastAsia="宋体" w:cs="宋体"/>
                <w:kern w:val="2"/>
                <w:sz w:val="21"/>
                <w:szCs w:val="21"/>
                <w:lang w:eastAsia="zh-CN" w:bidi="zh-CN"/>
              </w:rPr>
              <w:t>1</w:t>
            </w:r>
          </w:p>
        </w:tc>
      </w:tr>
    </w:tbl>
    <w:p>
      <w:pPr>
        <w:ind w:firstLine="560"/>
        <w:rPr>
          <w:rFonts w:hint="eastAsia" w:ascii="宋体" w:hAnsi="宋体" w:eastAsia="宋体" w:cs="宋体"/>
          <w:lang w:eastAsia="zh-CN"/>
        </w:rPr>
      </w:pPr>
      <w:r>
        <w:rPr>
          <w:rFonts w:hint="eastAsia" w:ascii="宋体" w:hAnsi="宋体" w:eastAsia="宋体" w:cs="宋体"/>
          <w:lang w:eastAsia="zh-CN"/>
        </w:rPr>
        <w:t>由上表可知，污水处理站处理后水质满足《城镇污水处理厂污染物排放标准》（GB 18918-2002）一级A标准、《城市污水再生利用 城市杂用水水质》(GB/T18920-2020)中“城市绿化、道路清扫、消防、建筑施工”标准的水质要求后，全部回用于企业绿化和道路洒水，不外排。</w:t>
      </w:r>
    </w:p>
    <w:p>
      <w:pPr>
        <w:pStyle w:val="6"/>
        <w:rPr>
          <w:rFonts w:hint="eastAsia" w:ascii="宋体" w:hAnsi="宋体" w:eastAsia="宋体" w:cs="宋体"/>
          <w:lang w:eastAsia="zh-CN"/>
        </w:rPr>
      </w:pPr>
      <w:bookmarkStart w:id="64" w:name="_Toc8843"/>
      <w:bookmarkStart w:id="65" w:name="_Toc5170"/>
      <w:r>
        <w:rPr>
          <w:rFonts w:hint="eastAsia" w:ascii="宋体" w:hAnsi="宋体" w:eastAsia="宋体" w:cs="宋体"/>
          <w:lang w:eastAsia="zh-CN"/>
        </w:rPr>
        <w:t>2.6 现有工程物料平衡图</w:t>
      </w:r>
      <w:bookmarkEnd w:id="64"/>
      <w:bookmarkEnd w:id="65"/>
    </w:p>
    <w:tbl>
      <w:tblPr>
        <w:tblStyle w:val="25"/>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5000" w:type="pct"/>
            <w:tcBorders>
              <w:tl2br w:val="nil"/>
              <w:tr2bl w:val="nil"/>
            </w:tcBorders>
          </w:tcPr>
          <w:p>
            <w:pPr>
              <w:pStyle w:val="16"/>
              <w:keepNext w:val="0"/>
              <w:keepLines w:val="0"/>
              <w:suppressLineNumbers w:val="0"/>
              <w:spacing w:before="0" w:beforeAutospacing="0" w:after="0" w:afterAutospacing="0"/>
              <w:ind w:left="0" w:right="0" w:firstLine="0" w:firstLineChars="0"/>
              <w:jc w:val="center"/>
              <w:rPr>
                <w:rFonts w:hint="eastAsia" w:ascii="宋体" w:hAnsi="宋体" w:eastAsia="宋体" w:cs="宋体"/>
              </w:rPr>
            </w:pPr>
            <w:r>
              <w:rPr>
                <w:rFonts w:hint="eastAsia" w:ascii="宋体" w:hAnsi="宋体" w:eastAsia="宋体" w:cs="宋体"/>
                <w:b/>
                <w:bCs/>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5772150" cy="3352800"/>
                  <wp:effectExtent l="0" t="0" r="0" b="0"/>
                  <wp:wrapTopAndBottom/>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97"/>
                          <a:stretch>
                            <a:fillRect/>
                          </a:stretch>
                        </pic:blipFill>
                        <pic:spPr>
                          <a:xfrm>
                            <a:off x="0" y="0"/>
                            <a:ext cx="5772150" cy="3352800"/>
                          </a:xfrm>
                          <a:prstGeom prst="rect">
                            <a:avLst/>
                          </a:prstGeom>
                          <a:noFill/>
                          <a:ln>
                            <a:noFill/>
                          </a:ln>
                        </pic:spPr>
                      </pic:pic>
                    </a:graphicData>
                  </a:graphic>
                </wp:anchor>
              </w:drawing>
            </w:r>
            <w:r>
              <w:rPr>
                <w:rFonts w:hint="eastAsia" w:ascii="宋体" w:hAnsi="宋体" w:eastAsia="宋体" w:cs="宋体"/>
                <w:b/>
                <w:bCs/>
              </w:rPr>
              <w:t xml:space="preserve">图2.6.1-1 </w:t>
            </w:r>
            <w:r>
              <w:rPr>
                <w:rFonts w:hint="eastAsia" w:ascii="宋体" w:hAnsi="宋体" w:eastAsia="宋体" w:cs="宋体"/>
                <w:b/>
                <w:bCs/>
                <w:lang w:eastAsia="zh-CN"/>
              </w:rPr>
              <w:t>现有工程</w:t>
            </w:r>
            <w:r>
              <w:rPr>
                <w:rFonts w:hint="eastAsia" w:ascii="宋体" w:hAnsi="宋体" w:eastAsia="宋体" w:cs="宋体"/>
                <w:b/>
                <w:bCs/>
              </w:rPr>
              <w:t xml:space="preserve">物料平衡图 </w:t>
            </w:r>
          </w:p>
        </w:tc>
      </w:tr>
    </w:tbl>
    <w:p>
      <w:pPr>
        <w:pStyle w:val="6"/>
        <w:outlineLvl w:val="9"/>
        <w:rPr>
          <w:rFonts w:hint="eastAsia" w:ascii="宋体" w:hAnsi="宋体" w:eastAsia="宋体" w:cs="宋体"/>
          <w:lang w:eastAsia="zh-CN"/>
        </w:rPr>
        <w:sectPr>
          <w:headerReference r:id="rId43" w:type="default"/>
          <w:footerReference r:id="rId45" w:type="default"/>
          <w:headerReference r:id="rId44" w:type="even"/>
          <w:footerReference r:id="rId46" w:type="even"/>
          <w:pgSz w:w="11905" w:h="16838"/>
          <w:pgMar w:top="1417" w:right="1247" w:bottom="1247" w:left="1587" w:header="850" w:footer="850" w:gutter="0"/>
          <w:pgBorders>
            <w:top w:val="none" w:sz="0" w:space="0"/>
            <w:left w:val="none" w:sz="0" w:space="0"/>
            <w:bottom w:val="none" w:sz="0" w:space="0"/>
            <w:right w:val="none" w:sz="0" w:space="0"/>
          </w:pgBorders>
          <w:cols w:space="0" w:num="1"/>
          <w:docGrid w:type="lines" w:linePitch="383" w:charSpace="0"/>
        </w:sectPr>
      </w:pPr>
    </w:p>
    <w:p>
      <w:pPr>
        <w:pStyle w:val="6"/>
        <w:rPr>
          <w:rFonts w:hint="eastAsia" w:ascii="宋体" w:hAnsi="宋体" w:eastAsia="宋体" w:cs="宋体"/>
          <w:lang w:eastAsia="zh-CN"/>
        </w:rPr>
      </w:pPr>
      <w:bookmarkStart w:id="66" w:name="_Toc6497"/>
      <w:bookmarkStart w:id="67" w:name="_Toc24978"/>
      <w:r>
        <w:rPr>
          <w:rFonts w:hint="eastAsia" w:ascii="宋体" w:hAnsi="宋体" w:eastAsia="宋体" w:cs="宋体"/>
          <w:lang w:eastAsia="zh-CN"/>
        </w:rPr>
        <w:t>2.7 现有工程用水平衡图</w:t>
      </w:r>
      <w:bookmarkEnd w:id="66"/>
      <w:bookmarkEnd w:id="67"/>
    </w:p>
    <w:p>
      <w:pPr>
        <w:ind w:firstLine="560"/>
        <w:rPr>
          <w:rFonts w:hint="eastAsia" w:ascii="宋体" w:hAnsi="宋体" w:eastAsia="宋体" w:cs="宋体"/>
          <w:lang w:eastAsia="zh-CN"/>
        </w:rPr>
      </w:pPr>
      <w:r>
        <w:rPr>
          <w:rFonts w:hint="eastAsia" w:ascii="宋体" w:hAnsi="宋体" w:eastAsia="宋体" w:cs="宋体"/>
          <w:lang w:eastAsia="zh-CN"/>
        </w:rPr>
        <w:t>现有工程用水平衡见图2.7.1-1。</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390" w:type="dxa"/>
            <w:tcBorders>
              <w:tl2br w:val="nil"/>
              <w:tr2bl w:val="nil"/>
            </w:tcBorders>
          </w:tcPr>
          <w:p>
            <w:pPr>
              <w:pStyle w:val="6"/>
              <w:keepNext w:val="0"/>
              <w:keepLines w:val="0"/>
              <w:suppressLineNumbers w:val="0"/>
              <w:spacing w:before="0" w:beforeAutospacing="0" w:after="0" w:afterAutospacing="0" w:line="240" w:lineRule="auto"/>
              <w:ind w:left="0" w:right="0"/>
              <w:jc w:val="center"/>
              <w:outlineLvl w:val="1"/>
              <w:rPr>
                <w:rFonts w:hint="eastAsia" w:ascii="宋体" w:hAnsi="宋体" w:eastAsia="宋体" w:cs="宋体"/>
                <w:lang w:eastAsia="zh-CN"/>
              </w:rPr>
            </w:pPr>
            <w:bookmarkStart w:id="68" w:name="_Toc20948"/>
            <w:bookmarkStart w:id="69" w:name="_Toc3020"/>
            <w:r>
              <w:rPr>
                <w:rFonts w:hint="eastAsia" w:ascii="宋体" w:hAnsi="宋体" w:eastAsia="宋体" w:cs="宋体"/>
                <w:sz w:val="24"/>
                <w:lang w:eastAsia="zh-CN"/>
              </w:rPr>
              <mc:AlternateContent>
                <mc:Choice Requires="wps">
                  <w:drawing>
                    <wp:anchor distT="0" distB="0" distL="114300" distR="114300" simplePos="0" relativeHeight="251720704" behindDoc="0" locked="0" layoutInCell="1" allowOverlap="1">
                      <wp:simplePos x="0" y="0"/>
                      <wp:positionH relativeFrom="column">
                        <wp:posOffset>4777105</wp:posOffset>
                      </wp:positionH>
                      <wp:positionV relativeFrom="paragraph">
                        <wp:posOffset>47625</wp:posOffset>
                      </wp:positionV>
                      <wp:extent cx="497205" cy="33718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497205" cy="337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b/>
                                      <w:bCs/>
                                      <w:sz w:val="15"/>
                                      <w:szCs w:val="15"/>
                                      <w:lang w:eastAsia="zh-CN"/>
                                    </w:rPr>
                                  </w:pPr>
                                  <w:r>
                                    <w:rPr>
                                      <w:rFonts w:hint="eastAsia"/>
                                      <w:b/>
                                      <w:bCs/>
                                      <w:sz w:val="15"/>
                                      <w:szCs w:val="15"/>
                                      <w:lang w:eastAsia="zh-CN"/>
                                    </w:rPr>
                                    <w:t>5484.7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15pt;margin-top:3.75pt;height:26.55pt;width:39.15pt;z-index:251720704;mso-width-relative:page;mso-height-relative:page;" filled="f" stroked="f" coordsize="21600,21600" o:gfxdata="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woW5htkAAAAIAQAADwAAAAAAAAABACAAAAAiAAAAZHJz&#10;L2Rvd25yZXYueG1sUEsBAhQAFAAAAAgAh07iQFTlrv08AgAAZwQAAA4AAAAAAAAAAQAgAAAAKAEA&#10;AGRycy9lMm9Eb2MueG1sUEsFBgAAAAAGAAYAWQEAANYFAAAAAA==&#10;">
                      <v:fill on="f" focussize="0,0"/>
                      <v:stroke on="f" weight="0.5pt"/>
                      <v:imagedata o:title=""/>
                      <o:lock v:ext="edit" aspectratio="f"/>
                      <v:textbox>
                        <w:txbxContent>
                          <w:p>
                            <w:pPr>
                              <w:spacing w:line="240" w:lineRule="auto"/>
                              <w:ind w:firstLine="0" w:firstLineChars="0"/>
                              <w:rPr>
                                <w:b/>
                                <w:bCs/>
                                <w:sz w:val="15"/>
                                <w:szCs w:val="15"/>
                                <w:lang w:eastAsia="zh-CN"/>
                              </w:rPr>
                            </w:pPr>
                            <w:r>
                              <w:rPr>
                                <w:rFonts w:hint="eastAsia"/>
                                <w:b/>
                                <w:bCs/>
                                <w:sz w:val="15"/>
                                <w:szCs w:val="15"/>
                                <w:lang w:eastAsia="zh-CN"/>
                              </w:rPr>
                              <w:t>5484.7</w:t>
                            </w:r>
                          </w:p>
                        </w:txbxContent>
                      </v:textbox>
                    </v:shape>
                  </w:pict>
                </mc:Fallback>
              </mc:AlternateContent>
            </w:r>
            <w:r>
              <w:rPr>
                <w:rFonts w:hint="eastAsia" w:ascii="宋体" w:hAnsi="宋体" w:eastAsia="宋体" w:cs="宋体"/>
                <w:sz w:val="24"/>
                <w:lang w:eastAsia="zh-CN"/>
              </w:rPr>
              <mc:AlternateContent>
                <mc:Choice Requires="wps">
                  <w:drawing>
                    <wp:anchor distT="0" distB="0" distL="114300" distR="114300" simplePos="0" relativeHeight="251719680" behindDoc="0" locked="0" layoutInCell="1" allowOverlap="1">
                      <wp:simplePos x="0" y="0"/>
                      <wp:positionH relativeFrom="column">
                        <wp:posOffset>4087495</wp:posOffset>
                      </wp:positionH>
                      <wp:positionV relativeFrom="paragraph">
                        <wp:posOffset>182245</wp:posOffset>
                      </wp:positionV>
                      <wp:extent cx="490220" cy="314325"/>
                      <wp:effectExtent l="0" t="0" r="0" b="0"/>
                      <wp:wrapNone/>
                      <wp:docPr id="61" name="文本框 61"/>
                      <wp:cNvGraphicFramePr/>
                      <a:graphic xmlns:a="http://schemas.openxmlformats.org/drawingml/2006/main">
                        <a:graphicData uri="http://schemas.microsoft.com/office/word/2010/wordprocessingShape">
                          <wps:wsp>
                            <wps:cNvSpPr txBox="1"/>
                            <wps:spPr>
                              <a:xfrm>
                                <a:off x="4526915" y="1953895"/>
                                <a:ext cx="490220"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b/>
                                      <w:bCs/>
                                      <w:sz w:val="15"/>
                                      <w:szCs w:val="15"/>
                                      <w:lang w:eastAsia="zh-CN"/>
                                    </w:rPr>
                                  </w:pPr>
                                  <w:r>
                                    <w:rPr>
                                      <w:rFonts w:hint="eastAsia"/>
                                      <w:b/>
                                      <w:bCs/>
                                      <w:sz w:val="15"/>
                                      <w:szCs w:val="15"/>
                                      <w:lang w:eastAsia="zh-CN"/>
                                    </w:rPr>
                                    <w:t>1543.2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85pt;margin-top:14.35pt;height:24.75pt;width:38.6pt;z-index:251719680;mso-width-relative:page;mso-height-relative:page;" filled="f" stroked="f" coordsize="21600,21600" o:gfxdata="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sTOQhtoAAAAJAQAADwAAAAAAAAAB&#10;ACAAAAAiAAAAZHJzL2Rvd25yZXYueG1sUEsBAhQAFAAAAAgAh07iQKIbfylHAgAAcwQAAA4AAAAA&#10;AAAAAQAgAAAAKQEAAGRycy9lMm9Eb2MueG1sUEsFBgAAAAAGAAYAWQEAAOIFAAAAAA==&#10;">
                      <v:fill on="f" focussize="0,0"/>
                      <v:stroke on="f" weight="0.5pt"/>
                      <v:imagedata o:title=""/>
                      <o:lock v:ext="edit" aspectratio="f"/>
                      <v:textbox>
                        <w:txbxContent>
                          <w:p>
                            <w:pPr>
                              <w:spacing w:line="240" w:lineRule="auto"/>
                              <w:ind w:firstLine="0" w:firstLineChars="0"/>
                              <w:rPr>
                                <w:b/>
                                <w:bCs/>
                                <w:sz w:val="15"/>
                                <w:szCs w:val="15"/>
                                <w:lang w:eastAsia="zh-CN"/>
                              </w:rPr>
                            </w:pPr>
                            <w:r>
                              <w:rPr>
                                <w:rFonts w:hint="eastAsia"/>
                                <w:b/>
                                <w:bCs/>
                                <w:sz w:val="15"/>
                                <w:szCs w:val="15"/>
                                <w:lang w:eastAsia="zh-CN"/>
                              </w:rPr>
                              <w:t>1543.2</w:t>
                            </w:r>
                          </w:p>
                        </w:txbxContent>
                      </v:textbox>
                    </v:shape>
                  </w:pict>
                </mc:Fallback>
              </mc:AlternateContent>
            </w:r>
            <w:r>
              <w:rPr>
                <w:rFonts w:hint="eastAsia" w:ascii="宋体" w:hAnsi="宋体" w:eastAsia="宋体" w:cs="宋体"/>
                <w:sz w:val="24"/>
                <w:szCs w:val="24"/>
                <w:lang w:eastAsia="zh-CN"/>
              </w:rPr>
              <w:drawing>
                <wp:anchor distT="0" distB="0" distL="114300" distR="114300" simplePos="0" relativeHeight="251718656" behindDoc="0" locked="0" layoutInCell="1" allowOverlap="1">
                  <wp:simplePos x="0" y="0"/>
                  <wp:positionH relativeFrom="column">
                    <wp:posOffset>0</wp:posOffset>
                  </wp:positionH>
                  <wp:positionV relativeFrom="paragraph">
                    <wp:posOffset>-4142740</wp:posOffset>
                  </wp:positionV>
                  <wp:extent cx="8999855" cy="4569460"/>
                  <wp:effectExtent l="0" t="0" r="10795" b="2540"/>
                  <wp:wrapTopAndBottom/>
                  <wp:docPr id="60" name="图片 60" descr="1c17b75186f27e45d010fd49a59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1c17b75186f27e45d010fd49a594989"/>
                          <pic:cNvPicPr>
                            <a:picLocks noChangeAspect="1"/>
                          </pic:cNvPicPr>
                        </pic:nvPicPr>
                        <pic:blipFill>
                          <a:blip r:embed="rId98"/>
                          <a:stretch>
                            <a:fillRect/>
                          </a:stretch>
                        </pic:blipFill>
                        <pic:spPr>
                          <a:xfrm>
                            <a:off x="0" y="0"/>
                            <a:ext cx="8999855" cy="4569460"/>
                          </a:xfrm>
                          <a:prstGeom prst="rect">
                            <a:avLst/>
                          </a:prstGeom>
                        </pic:spPr>
                      </pic:pic>
                    </a:graphicData>
                  </a:graphic>
                </wp:anchor>
              </w:drawing>
            </w:r>
            <w:r>
              <w:rPr>
                <w:rFonts w:hint="eastAsia" w:ascii="宋体" w:hAnsi="宋体" w:eastAsia="宋体" w:cs="宋体"/>
                <w:sz w:val="24"/>
                <w:szCs w:val="24"/>
                <w:lang w:eastAsia="zh-CN"/>
              </w:rPr>
              <w:t>图2.7.1-1 现有工程用水平衡图</w:t>
            </w:r>
            <w:bookmarkEnd w:id="68"/>
            <w:bookmarkEnd w:id="69"/>
          </w:p>
        </w:tc>
      </w:tr>
    </w:tbl>
    <w:p>
      <w:pPr>
        <w:pStyle w:val="6"/>
        <w:outlineLvl w:val="9"/>
        <w:rPr>
          <w:rFonts w:hint="eastAsia" w:ascii="宋体" w:hAnsi="宋体" w:eastAsia="宋体" w:cs="宋体"/>
          <w:lang w:eastAsia="zh-CN"/>
        </w:rPr>
        <w:sectPr>
          <w:footerReference r:id="rId47" w:type="default"/>
          <w:footerReference r:id="rId48" w:type="even"/>
          <w:pgSz w:w="16838" w:h="11905" w:orient="landscape"/>
          <w:pgMar w:top="1587" w:right="1417" w:bottom="1247" w:left="1247" w:header="850" w:footer="850" w:gutter="0"/>
          <w:pgBorders>
            <w:top w:val="none" w:sz="0" w:space="0"/>
            <w:left w:val="none" w:sz="0" w:space="0"/>
            <w:bottom w:val="none" w:sz="0" w:space="0"/>
            <w:right w:val="none" w:sz="0" w:space="0"/>
          </w:pgBorders>
          <w:cols w:space="0" w:num="1"/>
          <w:docGrid w:type="lines" w:linePitch="383" w:charSpace="0"/>
        </w:sectPr>
      </w:pPr>
    </w:p>
    <w:p>
      <w:pPr>
        <w:pStyle w:val="6"/>
        <w:rPr>
          <w:rFonts w:hint="eastAsia" w:ascii="宋体" w:hAnsi="宋体" w:eastAsia="宋体" w:cs="宋体"/>
          <w:lang w:eastAsia="zh-CN"/>
        </w:rPr>
      </w:pPr>
      <w:bookmarkStart w:id="70" w:name="_Toc27192"/>
      <w:bookmarkStart w:id="71" w:name="_Toc6678"/>
      <w:r>
        <w:rPr>
          <w:rFonts w:hint="eastAsia" w:ascii="宋体" w:hAnsi="宋体" w:eastAsia="宋体" w:cs="宋体"/>
          <w:lang w:eastAsia="zh-CN"/>
        </w:rPr>
        <w:t>2.8 现有工程现场照片</w:t>
      </w:r>
      <w:bookmarkEnd w:id="70"/>
      <w:bookmarkEnd w:id="71"/>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01"/>
        <w:gridCol w:w="468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pStyle w:val="16"/>
              <w:keepNext w:val="0"/>
              <w:keepLines w:val="0"/>
              <w:suppressLineNumbers w:val="0"/>
              <w:spacing w:before="0" w:beforeAutospacing="0" w:after="0" w:afterAutospacing="0" w:line="240" w:lineRule="auto"/>
              <w:ind w:left="0" w:right="0"/>
              <w:jc w:val="both"/>
              <w:rPr>
                <w:rFonts w:hint="eastAsia" w:ascii="宋体" w:hAnsi="宋体" w:eastAsia="宋体" w:cs="宋体"/>
                <w:kern w:val="0"/>
                <w:sz w:val="21"/>
                <w:szCs w:val="21"/>
                <w:lang w:bidi="ar"/>
              </w:rPr>
            </w:pPr>
            <w:r>
              <w:rPr>
                <w:rFonts w:hint="eastAsia" w:ascii="宋体" w:hAnsi="宋体" w:eastAsia="宋体" w:cs="宋体"/>
                <w:kern w:val="0"/>
                <w:sz w:val="21"/>
                <w:szCs w:val="21"/>
              </w:rPr>
              <w:drawing>
                <wp:anchor distT="0" distB="0" distL="114300" distR="114300" simplePos="0" relativeHeight="251663360" behindDoc="0" locked="0" layoutInCell="1" allowOverlap="1">
                  <wp:simplePos x="0" y="0"/>
                  <wp:positionH relativeFrom="column">
                    <wp:posOffset>-34925</wp:posOffset>
                  </wp:positionH>
                  <wp:positionV relativeFrom="paragraph">
                    <wp:posOffset>6350</wp:posOffset>
                  </wp:positionV>
                  <wp:extent cx="2961005" cy="1871980"/>
                  <wp:effectExtent l="0" t="0" r="10795" b="13970"/>
                  <wp:wrapTopAndBottom/>
                  <wp:docPr id="227" name="图片 227" descr="9fcfc0e5c7076c7869d1d5a67b3df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descr="9fcfc0e5c7076c7869d1d5a67b3df35"/>
                          <pic:cNvPicPr>
                            <a:picLocks noChangeAspect="1"/>
                          </pic:cNvPicPr>
                        </pic:nvPicPr>
                        <pic:blipFill>
                          <a:blip r:embed="rId99"/>
                          <a:stretch>
                            <a:fillRect/>
                          </a:stretch>
                        </pic:blipFill>
                        <pic:spPr>
                          <a:xfrm>
                            <a:off x="0" y="0"/>
                            <a:ext cx="2961005" cy="1871980"/>
                          </a:xfrm>
                          <a:prstGeom prst="rect">
                            <a:avLst/>
                          </a:prstGeom>
                        </pic:spPr>
                      </pic:pic>
                    </a:graphicData>
                  </a:graphic>
                </wp:anchor>
              </w:drawing>
            </w:r>
            <w:r>
              <w:rPr>
                <w:rFonts w:hint="eastAsia" w:ascii="宋体" w:hAnsi="宋体" w:eastAsia="宋体" w:cs="宋体"/>
                <w:kern w:val="0"/>
                <w:sz w:val="21"/>
                <w:szCs w:val="21"/>
                <w:lang w:bidi="ar"/>
              </w:rPr>
              <w:t>主副井场地-充填站</w:t>
            </w:r>
          </w:p>
        </w:tc>
        <w:tc>
          <w:tcPr>
            <w:tcW w:w="4686"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64384" behindDoc="0" locked="0" layoutInCell="1" allowOverlap="1">
                  <wp:simplePos x="0" y="0"/>
                  <wp:positionH relativeFrom="column">
                    <wp:posOffset>-8890</wp:posOffset>
                  </wp:positionH>
                  <wp:positionV relativeFrom="paragraph">
                    <wp:posOffset>23495</wp:posOffset>
                  </wp:positionV>
                  <wp:extent cx="2981960" cy="1871980"/>
                  <wp:effectExtent l="0" t="0" r="8890" b="13970"/>
                  <wp:wrapTopAndBottom/>
                  <wp:docPr id="228" name="图片 228" descr="9ac8f8f7a1c9cb1403e1b2f2729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descr="9ac8f8f7a1c9cb1403e1b2f27296013"/>
                          <pic:cNvPicPr>
                            <a:picLocks noChangeAspect="1"/>
                          </pic:cNvPicPr>
                        </pic:nvPicPr>
                        <pic:blipFill>
                          <a:blip r:embed="rId100"/>
                          <a:stretch>
                            <a:fillRect/>
                          </a:stretch>
                        </pic:blipFill>
                        <pic:spPr>
                          <a:xfrm>
                            <a:off x="0" y="0"/>
                            <a:ext cx="2981960" cy="1871980"/>
                          </a:xfrm>
                          <a:prstGeom prst="rect">
                            <a:avLst/>
                          </a:prstGeom>
                        </pic:spPr>
                      </pic:pic>
                    </a:graphicData>
                  </a:graphic>
                </wp:anchor>
              </w:drawing>
            </w:r>
            <w:r>
              <w:rPr>
                <w:rFonts w:hint="eastAsia" w:ascii="宋体" w:hAnsi="宋体" w:eastAsia="宋体" w:cs="宋体"/>
                <w:sz w:val="21"/>
                <w:szCs w:val="21"/>
                <w:lang w:eastAsia="zh-CN" w:bidi="ar"/>
              </w:rPr>
              <w:t>尾矿库充填站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66432" behindDoc="0" locked="0" layoutInCell="1" allowOverlap="1">
                  <wp:simplePos x="0" y="0"/>
                  <wp:positionH relativeFrom="column">
                    <wp:posOffset>-24765</wp:posOffset>
                  </wp:positionH>
                  <wp:positionV relativeFrom="paragraph">
                    <wp:posOffset>15875</wp:posOffset>
                  </wp:positionV>
                  <wp:extent cx="2908935" cy="1871980"/>
                  <wp:effectExtent l="0" t="0" r="5715" b="13970"/>
                  <wp:wrapTopAndBottom/>
                  <wp:docPr id="230" name="图片 230" descr="66b2dd612b0bf22da300fa61061f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descr="66b2dd612b0bf22da300fa61061f499"/>
                          <pic:cNvPicPr>
                            <a:picLocks noChangeAspect="1"/>
                          </pic:cNvPicPr>
                        </pic:nvPicPr>
                        <pic:blipFill>
                          <a:blip r:embed="rId101"/>
                          <a:stretch>
                            <a:fillRect/>
                          </a:stretch>
                        </pic:blipFill>
                        <pic:spPr>
                          <a:xfrm>
                            <a:off x="0" y="0"/>
                            <a:ext cx="2908935" cy="1871980"/>
                          </a:xfrm>
                          <a:prstGeom prst="rect">
                            <a:avLst/>
                          </a:prstGeom>
                        </pic:spPr>
                      </pic:pic>
                    </a:graphicData>
                  </a:graphic>
                </wp:anchor>
              </w:drawing>
            </w:r>
            <w:r>
              <w:rPr>
                <w:rFonts w:hint="eastAsia" w:ascii="宋体" w:hAnsi="宋体" w:eastAsia="宋体" w:cs="宋体"/>
                <w:sz w:val="21"/>
                <w:szCs w:val="21"/>
                <w:lang w:eastAsia="zh-CN" w:bidi="ar"/>
              </w:rPr>
              <w:t>1#尾矿库</w:t>
            </w:r>
          </w:p>
        </w:tc>
        <w:tc>
          <w:tcPr>
            <w:tcW w:w="4686"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65408" behindDoc="0" locked="0" layoutInCell="1" allowOverlap="1">
                  <wp:simplePos x="0" y="0"/>
                  <wp:positionH relativeFrom="column">
                    <wp:posOffset>-27305</wp:posOffset>
                  </wp:positionH>
                  <wp:positionV relativeFrom="paragraph">
                    <wp:posOffset>11430</wp:posOffset>
                  </wp:positionV>
                  <wp:extent cx="2914015" cy="1871980"/>
                  <wp:effectExtent l="0" t="0" r="635" b="13970"/>
                  <wp:wrapTopAndBottom/>
                  <wp:docPr id="229" name="图片 229" descr="fd364bbe6db50a4a519f727dedcd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descr="fd364bbe6db50a4a519f727dedcd7c7"/>
                          <pic:cNvPicPr>
                            <a:picLocks noChangeAspect="1"/>
                          </pic:cNvPicPr>
                        </pic:nvPicPr>
                        <pic:blipFill>
                          <a:blip r:embed="rId102"/>
                          <a:stretch>
                            <a:fillRect/>
                          </a:stretch>
                        </pic:blipFill>
                        <pic:spPr>
                          <a:xfrm>
                            <a:off x="0" y="0"/>
                            <a:ext cx="2914015" cy="1871980"/>
                          </a:xfrm>
                          <a:prstGeom prst="rect">
                            <a:avLst/>
                          </a:prstGeom>
                        </pic:spPr>
                      </pic:pic>
                    </a:graphicData>
                  </a:graphic>
                </wp:anchor>
              </w:drawing>
            </w:r>
            <w:r>
              <w:rPr>
                <w:rFonts w:hint="eastAsia" w:ascii="宋体" w:hAnsi="宋体" w:eastAsia="宋体" w:cs="宋体"/>
                <w:sz w:val="21"/>
                <w:szCs w:val="21"/>
                <w:lang w:eastAsia="zh-CN" w:bidi="ar"/>
              </w:rPr>
              <w:t>2#尾矿库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67456" behindDoc="0" locked="0" layoutInCell="1" allowOverlap="1">
                  <wp:simplePos x="0" y="0"/>
                  <wp:positionH relativeFrom="column">
                    <wp:posOffset>41275</wp:posOffset>
                  </wp:positionH>
                  <wp:positionV relativeFrom="paragraph">
                    <wp:posOffset>4445</wp:posOffset>
                  </wp:positionV>
                  <wp:extent cx="2894330" cy="1871980"/>
                  <wp:effectExtent l="0" t="0" r="1270" b="13970"/>
                  <wp:wrapTopAndBottom/>
                  <wp:docPr id="231" name="图片 231" descr="f109792a3b093c784c46dbd8460f6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descr="f109792a3b093c784c46dbd8460f6e9"/>
                          <pic:cNvPicPr>
                            <a:picLocks noChangeAspect="1"/>
                          </pic:cNvPicPr>
                        </pic:nvPicPr>
                        <pic:blipFill>
                          <a:blip r:embed="rId103"/>
                          <a:stretch>
                            <a:fillRect/>
                          </a:stretch>
                        </pic:blipFill>
                        <pic:spPr>
                          <a:xfrm>
                            <a:off x="0" y="0"/>
                            <a:ext cx="2894330" cy="1871980"/>
                          </a:xfrm>
                          <a:prstGeom prst="rect">
                            <a:avLst/>
                          </a:prstGeom>
                        </pic:spPr>
                      </pic:pic>
                    </a:graphicData>
                  </a:graphic>
                </wp:anchor>
              </w:drawing>
            </w:r>
            <w:r>
              <w:rPr>
                <w:rFonts w:hint="eastAsia" w:ascii="宋体" w:hAnsi="宋体" w:eastAsia="宋体" w:cs="宋体"/>
                <w:sz w:val="21"/>
                <w:szCs w:val="21"/>
                <w:lang w:eastAsia="zh-CN" w:bidi="ar"/>
              </w:rPr>
              <w:t>排土场</w:t>
            </w:r>
          </w:p>
        </w:tc>
        <w:tc>
          <w:tcPr>
            <w:tcW w:w="4686"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lang w:eastAsia="zh-CN"/>
              </w:rPr>
            </w:pPr>
            <w:r>
              <w:rPr>
                <w:rFonts w:hint="eastAsia" w:ascii="宋体" w:hAnsi="宋体" w:eastAsia="宋体" w:cs="宋体"/>
                <w:sz w:val="21"/>
                <w:szCs w:val="21"/>
                <w:lang w:eastAsia="zh-CN" w:bidi="ar"/>
              </w:rPr>
              <w:t>地下水监测井</w:t>
            </w:r>
            <w:r>
              <w:rPr>
                <w:rFonts w:hint="eastAsia" w:ascii="宋体" w:hAnsi="宋体" w:eastAsia="宋体" w:cs="宋体"/>
                <w:sz w:val="21"/>
                <w:szCs w:val="21"/>
                <w:lang w:eastAsia="zh-CN"/>
              </w:rPr>
              <w:drawing>
                <wp:anchor distT="0" distB="0" distL="114300" distR="114300" simplePos="0" relativeHeight="251673600" behindDoc="0" locked="0" layoutInCell="1" allowOverlap="1">
                  <wp:simplePos x="0" y="0"/>
                  <wp:positionH relativeFrom="column">
                    <wp:posOffset>-65405</wp:posOffset>
                  </wp:positionH>
                  <wp:positionV relativeFrom="paragraph">
                    <wp:posOffset>6350</wp:posOffset>
                  </wp:positionV>
                  <wp:extent cx="2870835" cy="1871980"/>
                  <wp:effectExtent l="0" t="0" r="5715" b="13970"/>
                  <wp:wrapTopAndBottom/>
                  <wp:docPr id="12" name="图片 12" descr="IMG_20200902_09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200902_093908"/>
                          <pic:cNvPicPr>
                            <a:picLocks noChangeAspect="1"/>
                          </pic:cNvPicPr>
                        </pic:nvPicPr>
                        <pic:blipFill>
                          <a:blip r:embed="rId104"/>
                          <a:stretch>
                            <a:fillRect/>
                          </a:stretch>
                        </pic:blipFill>
                        <pic:spPr>
                          <a:xfrm>
                            <a:off x="0" y="0"/>
                            <a:ext cx="2870835" cy="1871980"/>
                          </a:xfrm>
                          <a:prstGeom prst="rect">
                            <a:avLst/>
                          </a:prstGeom>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王峪矿段露天采场</w:t>
            </w:r>
            <w:r>
              <w:rPr>
                <w:rFonts w:hint="eastAsia" w:ascii="宋体" w:hAnsi="宋体" w:eastAsia="宋体" w:cs="宋体"/>
                <w:sz w:val="21"/>
                <w:szCs w:val="21"/>
                <w:lang w:eastAsia="zh-CN"/>
              </w:rPr>
              <w:drawing>
                <wp:anchor distT="0" distB="0" distL="114300" distR="114300" simplePos="0" relativeHeight="251670528" behindDoc="0" locked="0" layoutInCell="1" allowOverlap="1">
                  <wp:simplePos x="0" y="0"/>
                  <wp:positionH relativeFrom="column">
                    <wp:posOffset>-42545</wp:posOffset>
                  </wp:positionH>
                  <wp:positionV relativeFrom="paragraph">
                    <wp:posOffset>-26670</wp:posOffset>
                  </wp:positionV>
                  <wp:extent cx="2879725" cy="1651635"/>
                  <wp:effectExtent l="0" t="0" r="15875" b="5715"/>
                  <wp:wrapTopAndBottom/>
                  <wp:docPr id="235" name="图片 235" descr="369aeb6dfc9cf0a4b4e9473fd958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descr="369aeb6dfc9cf0a4b4e9473fd95870f"/>
                          <pic:cNvPicPr>
                            <a:picLocks noChangeAspect="1"/>
                          </pic:cNvPicPr>
                        </pic:nvPicPr>
                        <pic:blipFill>
                          <a:blip r:embed="rId105"/>
                          <a:stretch>
                            <a:fillRect/>
                          </a:stretch>
                        </pic:blipFill>
                        <pic:spPr>
                          <a:xfrm>
                            <a:off x="0" y="0"/>
                            <a:ext cx="2879725" cy="1651635"/>
                          </a:xfrm>
                          <a:prstGeom prst="rect">
                            <a:avLst/>
                          </a:prstGeom>
                        </pic:spPr>
                      </pic:pic>
                    </a:graphicData>
                  </a:graphic>
                </wp:anchor>
              </w:drawing>
            </w:r>
          </w:p>
        </w:tc>
        <w:tc>
          <w:tcPr>
            <w:tcW w:w="4686"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71552" behindDoc="0" locked="0" layoutInCell="1" allowOverlap="1">
                  <wp:simplePos x="0" y="0"/>
                  <wp:positionH relativeFrom="column">
                    <wp:posOffset>-24765</wp:posOffset>
                  </wp:positionH>
                  <wp:positionV relativeFrom="paragraph">
                    <wp:posOffset>-6350</wp:posOffset>
                  </wp:positionV>
                  <wp:extent cx="2888615" cy="1690370"/>
                  <wp:effectExtent l="0" t="0" r="6985" b="5080"/>
                  <wp:wrapTopAndBottom/>
                  <wp:docPr id="241" name="图片 241" descr="IMG_20200902_09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descr="IMG_20200902_093347"/>
                          <pic:cNvPicPr>
                            <a:picLocks noChangeAspect="1"/>
                          </pic:cNvPicPr>
                        </pic:nvPicPr>
                        <pic:blipFill>
                          <a:blip r:embed="rId106"/>
                          <a:stretch>
                            <a:fillRect/>
                          </a:stretch>
                        </pic:blipFill>
                        <pic:spPr>
                          <a:xfrm>
                            <a:off x="0" y="0"/>
                            <a:ext cx="2888615" cy="1690370"/>
                          </a:xfrm>
                          <a:prstGeom prst="rect">
                            <a:avLst/>
                          </a:prstGeom>
                        </pic:spPr>
                      </pic:pic>
                    </a:graphicData>
                  </a:graphic>
                </wp:anchor>
              </w:drawing>
            </w:r>
            <w:r>
              <w:rPr>
                <w:rFonts w:hint="eastAsia" w:ascii="宋体" w:hAnsi="宋体" w:eastAsia="宋体" w:cs="宋体"/>
                <w:sz w:val="21"/>
                <w:szCs w:val="21"/>
                <w:lang w:eastAsia="zh-CN" w:bidi="ar"/>
              </w:rPr>
              <w:t>上河矿段露天采场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76672" behindDoc="0" locked="0" layoutInCell="1" allowOverlap="1">
                  <wp:simplePos x="0" y="0"/>
                  <wp:positionH relativeFrom="column">
                    <wp:posOffset>-56515</wp:posOffset>
                  </wp:positionH>
                  <wp:positionV relativeFrom="paragraph">
                    <wp:posOffset>68580</wp:posOffset>
                  </wp:positionV>
                  <wp:extent cx="2848610" cy="1871980"/>
                  <wp:effectExtent l="0" t="0" r="8890" b="13970"/>
                  <wp:wrapTopAndBottom/>
                  <wp:docPr id="27" name="图片 27" descr="微信图片_2020082616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微信图片_20200826161007"/>
                          <pic:cNvPicPr>
                            <a:picLocks noChangeAspect="1"/>
                          </pic:cNvPicPr>
                        </pic:nvPicPr>
                        <pic:blipFill>
                          <a:blip r:embed="rId107"/>
                          <a:stretch>
                            <a:fillRect/>
                          </a:stretch>
                        </pic:blipFill>
                        <pic:spPr>
                          <a:xfrm>
                            <a:off x="0" y="0"/>
                            <a:ext cx="2848610" cy="1871980"/>
                          </a:xfrm>
                          <a:prstGeom prst="rect">
                            <a:avLst/>
                          </a:prstGeom>
                        </pic:spPr>
                      </pic:pic>
                    </a:graphicData>
                  </a:graphic>
                </wp:anchor>
              </w:drawing>
            </w:r>
            <w:r>
              <w:rPr>
                <w:rFonts w:hint="eastAsia" w:ascii="宋体" w:hAnsi="宋体" w:eastAsia="宋体" w:cs="宋体"/>
                <w:sz w:val="21"/>
                <w:szCs w:val="21"/>
                <w:lang w:eastAsia="zh-CN" w:bidi="ar"/>
              </w:rPr>
              <w:t>上河中央回风井</w:t>
            </w:r>
          </w:p>
        </w:tc>
        <w:tc>
          <w:tcPr>
            <w:tcW w:w="4686"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61312" behindDoc="0" locked="0" layoutInCell="1" allowOverlap="1">
                  <wp:simplePos x="0" y="0"/>
                  <wp:positionH relativeFrom="column">
                    <wp:posOffset>-40005</wp:posOffset>
                  </wp:positionH>
                  <wp:positionV relativeFrom="paragraph">
                    <wp:posOffset>60325</wp:posOffset>
                  </wp:positionV>
                  <wp:extent cx="2806065" cy="1871980"/>
                  <wp:effectExtent l="0" t="0" r="13335" b="13970"/>
                  <wp:wrapTopAndBottom/>
                  <wp:docPr id="47" name="图片 47" descr="IMG_20200902_0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0200902_093201"/>
                          <pic:cNvPicPr>
                            <a:picLocks noChangeAspect="1"/>
                          </pic:cNvPicPr>
                        </pic:nvPicPr>
                        <pic:blipFill>
                          <a:blip r:embed="rId108"/>
                          <a:stretch>
                            <a:fillRect/>
                          </a:stretch>
                        </pic:blipFill>
                        <pic:spPr>
                          <a:xfrm>
                            <a:off x="0" y="0"/>
                            <a:ext cx="2806065" cy="1871980"/>
                          </a:xfrm>
                          <a:prstGeom prst="rect">
                            <a:avLst/>
                          </a:prstGeom>
                        </pic:spPr>
                      </pic:pic>
                    </a:graphicData>
                  </a:graphic>
                </wp:anchor>
              </w:drawing>
            </w:r>
            <w:r>
              <w:rPr>
                <w:rFonts w:hint="eastAsia" w:ascii="宋体" w:hAnsi="宋体" w:eastAsia="宋体" w:cs="宋体"/>
                <w:sz w:val="21"/>
                <w:szCs w:val="21"/>
                <w:lang w:eastAsia="zh-CN" w:bidi="ar"/>
              </w:rPr>
              <w:t>上河辅助斜坡道</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68480" behindDoc="0" locked="0" layoutInCell="1" allowOverlap="1">
                  <wp:simplePos x="0" y="0"/>
                  <wp:positionH relativeFrom="column">
                    <wp:posOffset>-33020</wp:posOffset>
                  </wp:positionH>
                  <wp:positionV relativeFrom="paragraph">
                    <wp:posOffset>-6350</wp:posOffset>
                  </wp:positionV>
                  <wp:extent cx="2818765" cy="1871980"/>
                  <wp:effectExtent l="0" t="0" r="635" b="13970"/>
                  <wp:wrapTopAndBottom/>
                  <wp:docPr id="236" name="图片 236" descr="f23aeab899a7646f6f432ad571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descr="f23aeab899a7646f6f432ad57102715"/>
                          <pic:cNvPicPr>
                            <a:picLocks noChangeAspect="1"/>
                          </pic:cNvPicPr>
                        </pic:nvPicPr>
                        <pic:blipFill>
                          <a:blip r:embed="rId109"/>
                          <a:stretch>
                            <a:fillRect/>
                          </a:stretch>
                        </pic:blipFill>
                        <pic:spPr>
                          <a:xfrm>
                            <a:off x="0" y="0"/>
                            <a:ext cx="2818765" cy="1871980"/>
                          </a:xfrm>
                          <a:prstGeom prst="rect">
                            <a:avLst/>
                          </a:prstGeom>
                        </pic:spPr>
                      </pic:pic>
                    </a:graphicData>
                  </a:graphic>
                </wp:anchor>
              </w:drawing>
            </w:r>
            <w:r>
              <w:rPr>
                <w:rFonts w:hint="eastAsia" w:ascii="宋体" w:hAnsi="宋体" w:eastAsia="宋体" w:cs="宋体"/>
                <w:sz w:val="21"/>
                <w:szCs w:val="21"/>
                <w:lang w:eastAsia="zh-CN" w:bidi="ar"/>
              </w:rPr>
              <w:t>球团厂、工业炉窑生产车间</w:t>
            </w:r>
          </w:p>
        </w:tc>
        <w:tc>
          <w:tcPr>
            <w:tcW w:w="4686"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72576" behindDoc="0" locked="0" layoutInCell="1" allowOverlap="1">
                  <wp:simplePos x="0" y="0"/>
                  <wp:positionH relativeFrom="column">
                    <wp:posOffset>0</wp:posOffset>
                  </wp:positionH>
                  <wp:positionV relativeFrom="paragraph">
                    <wp:posOffset>27305</wp:posOffset>
                  </wp:positionV>
                  <wp:extent cx="2881630" cy="1871980"/>
                  <wp:effectExtent l="0" t="0" r="13970" b="13970"/>
                  <wp:wrapTopAndBottom/>
                  <wp:docPr id="8" name="图片 8" descr="fb35abca278869f8152fa14947cf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b35abca278869f8152fa14947cf543"/>
                          <pic:cNvPicPr>
                            <a:picLocks noChangeAspect="1"/>
                          </pic:cNvPicPr>
                        </pic:nvPicPr>
                        <pic:blipFill>
                          <a:blip r:embed="rId110"/>
                          <a:stretch>
                            <a:fillRect/>
                          </a:stretch>
                        </pic:blipFill>
                        <pic:spPr>
                          <a:xfrm>
                            <a:off x="0" y="0"/>
                            <a:ext cx="2881630" cy="1871980"/>
                          </a:xfrm>
                          <a:prstGeom prst="rect">
                            <a:avLst/>
                          </a:prstGeom>
                        </pic:spPr>
                      </pic:pic>
                    </a:graphicData>
                  </a:graphic>
                </wp:anchor>
              </w:drawing>
            </w:r>
            <w:r>
              <w:rPr>
                <w:rFonts w:hint="eastAsia" w:ascii="宋体" w:hAnsi="宋体" w:eastAsia="宋体" w:cs="宋体"/>
                <w:sz w:val="21"/>
                <w:szCs w:val="21"/>
                <w:lang w:eastAsia="zh-CN" w:bidi="ar"/>
              </w:rPr>
              <w:t>球团厂回水池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lang w:eastAsia="zh-CN"/>
              </w:rPr>
            </w:pPr>
            <w:r>
              <w:rPr>
                <w:rFonts w:hint="eastAsia" w:ascii="宋体" w:hAnsi="宋体" w:eastAsia="宋体" w:cs="宋体"/>
                <w:sz w:val="21"/>
                <w:szCs w:val="21"/>
                <w:lang w:eastAsia="zh-CN" w:bidi="ar"/>
              </w:rPr>
              <w:t>四电场静电除尘器</w:t>
            </w:r>
            <w:r>
              <w:rPr>
                <w:rFonts w:hint="eastAsia" w:ascii="宋体" w:hAnsi="宋体" w:eastAsia="宋体" w:cs="宋体"/>
                <w:lang w:eastAsia="zh-CN"/>
              </w:rPr>
              <w:drawing>
                <wp:anchor distT="0" distB="0" distL="114300" distR="114300" simplePos="0" relativeHeight="251669504" behindDoc="0" locked="0" layoutInCell="1" allowOverlap="1">
                  <wp:simplePos x="0" y="0"/>
                  <wp:positionH relativeFrom="column">
                    <wp:posOffset>-21590</wp:posOffset>
                  </wp:positionH>
                  <wp:positionV relativeFrom="paragraph">
                    <wp:posOffset>2540</wp:posOffset>
                  </wp:positionV>
                  <wp:extent cx="2827020" cy="1871980"/>
                  <wp:effectExtent l="0" t="0" r="11430" b="13970"/>
                  <wp:wrapSquare wrapText="bothSides"/>
                  <wp:docPr id="239" name="图片 3" descr="22除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3" descr="22除尘"/>
                          <pic:cNvPicPr>
                            <a:picLocks noChangeAspect="1"/>
                          </pic:cNvPicPr>
                        </pic:nvPicPr>
                        <pic:blipFill>
                          <a:blip r:embed="rId111"/>
                          <a:stretch>
                            <a:fillRect/>
                          </a:stretch>
                        </pic:blipFill>
                        <pic:spPr>
                          <a:xfrm>
                            <a:off x="0" y="0"/>
                            <a:ext cx="2827020" cy="1871980"/>
                          </a:xfrm>
                          <a:prstGeom prst="rect">
                            <a:avLst/>
                          </a:prstGeom>
                          <a:noFill/>
                          <a:ln>
                            <a:noFill/>
                          </a:ln>
                        </pic:spPr>
                      </pic:pic>
                    </a:graphicData>
                  </a:graphic>
                </wp:anchor>
              </w:drawing>
            </w:r>
          </w:p>
        </w:tc>
        <w:tc>
          <w:tcPr>
            <w:tcW w:w="4686"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lang w:eastAsia="zh-CN"/>
              </w:rPr>
            </w:pPr>
            <w:r>
              <w:rPr>
                <w:rFonts w:hint="eastAsia" w:ascii="宋体" w:hAnsi="宋体" w:eastAsia="宋体" w:cs="宋体"/>
                <w:lang w:eastAsia="zh-CN"/>
              </w:rPr>
              <w:drawing>
                <wp:inline distT="0" distB="0" distL="114300" distR="114300">
                  <wp:extent cx="2832735" cy="1864995"/>
                  <wp:effectExtent l="0" t="0" r="5715" b="1905"/>
                  <wp:docPr id="240" name="图片 4" descr="53脱硫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4" descr="53脱硫塔"/>
                          <pic:cNvPicPr>
                            <a:picLocks noChangeAspect="1"/>
                          </pic:cNvPicPr>
                        </pic:nvPicPr>
                        <pic:blipFill>
                          <a:blip r:embed="rId112"/>
                          <a:srcRect t="5367" b="6627"/>
                          <a:stretch>
                            <a:fillRect/>
                          </a:stretch>
                        </pic:blipFill>
                        <pic:spPr>
                          <a:xfrm>
                            <a:off x="0" y="0"/>
                            <a:ext cx="2832735" cy="1864995"/>
                          </a:xfrm>
                          <a:prstGeom prst="rect">
                            <a:avLst/>
                          </a:prstGeom>
                          <a:noFill/>
                          <a:ln>
                            <a:noFill/>
                          </a:ln>
                        </pic:spPr>
                      </pic:pic>
                    </a:graphicData>
                  </a:graphic>
                </wp:inline>
              </w:drawing>
            </w:r>
          </w:p>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lang w:eastAsia="zh-CN"/>
              </w:rPr>
            </w:pPr>
            <w:r>
              <w:rPr>
                <w:rFonts w:hint="eastAsia" w:ascii="宋体" w:hAnsi="宋体" w:eastAsia="宋体" w:cs="宋体"/>
                <w:sz w:val="21"/>
                <w:szCs w:val="21"/>
                <w:lang w:eastAsia="zh-CN" w:bidi="ar"/>
              </w:rPr>
              <w:t>脱硫除尘、排气筒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721728" behindDoc="0" locked="0" layoutInCell="1" allowOverlap="1">
                  <wp:simplePos x="0" y="0"/>
                  <wp:positionH relativeFrom="column">
                    <wp:posOffset>41910</wp:posOffset>
                  </wp:positionH>
                  <wp:positionV relativeFrom="paragraph">
                    <wp:posOffset>29845</wp:posOffset>
                  </wp:positionV>
                  <wp:extent cx="2496185" cy="1871980"/>
                  <wp:effectExtent l="0" t="0" r="18415" b="13970"/>
                  <wp:wrapTopAndBottom/>
                  <wp:docPr id="67" name="图片 67" descr="IMG_20210915_11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IMG_20210915_111152"/>
                          <pic:cNvPicPr>
                            <a:picLocks noChangeAspect="1"/>
                          </pic:cNvPicPr>
                        </pic:nvPicPr>
                        <pic:blipFill>
                          <a:blip r:embed="rId113"/>
                          <a:stretch>
                            <a:fillRect/>
                          </a:stretch>
                        </pic:blipFill>
                        <pic:spPr>
                          <a:xfrm>
                            <a:off x="0" y="0"/>
                            <a:ext cx="2496185" cy="1871980"/>
                          </a:xfrm>
                          <a:prstGeom prst="rect">
                            <a:avLst/>
                          </a:prstGeom>
                        </pic:spPr>
                      </pic:pic>
                    </a:graphicData>
                  </a:graphic>
                </wp:anchor>
              </w:drawing>
            </w:r>
            <w:r>
              <w:rPr>
                <w:rFonts w:hint="eastAsia" w:ascii="宋体" w:hAnsi="宋体" w:eastAsia="宋体" w:cs="宋体"/>
                <w:sz w:val="21"/>
                <w:szCs w:val="21"/>
                <w:lang w:eastAsia="zh-CN" w:bidi="ar"/>
              </w:rPr>
              <w:t>铁精粉料棚</w:t>
            </w:r>
          </w:p>
        </w:tc>
        <w:tc>
          <w:tcPr>
            <w:tcW w:w="4686" w:type="dxa"/>
            <w:tcBorders>
              <w:tl2br w:val="nil"/>
              <w:tr2bl w:val="nil"/>
            </w:tcBorders>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inline distT="0" distB="0" distL="114300" distR="114300">
                  <wp:extent cx="2835910" cy="1871980"/>
                  <wp:effectExtent l="0" t="0" r="2540" b="13970"/>
                  <wp:docPr id="272" name="图片 272" descr="C:/Users/ADMINI~1/AppData/Local/Temp/picturecompress_20210723111338/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descr="C:/Users/ADMINI~1/AppData/Local/Temp/picturecompress_20210723111338/output_1.jpgoutput_1"/>
                          <pic:cNvPicPr>
                            <a:picLocks noChangeAspect="1"/>
                          </pic:cNvPicPr>
                        </pic:nvPicPr>
                        <pic:blipFill>
                          <a:blip r:embed="rId114"/>
                          <a:stretch>
                            <a:fillRect/>
                          </a:stretch>
                        </pic:blipFill>
                        <pic:spPr>
                          <a:xfrm>
                            <a:off x="0" y="0"/>
                            <a:ext cx="2835910" cy="1871980"/>
                          </a:xfrm>
                          <a:prstGeom prst="rect">
                            <a:avLst/>
                          </a:prstGeom>
                        </pic:spPr>
                      </pic:pic>
                    </a:graphicData>
                  </a:graphic>
                </wp:inline>
              </w:drawing>
            </w:r>
          </w:p>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选矿厂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red"/>
                <w:lang w:eastAsia="zh-CN" w:bidi="ar"/>
              </w:rPr>
            </w:pPr>
            <w:r>
              <w:rPr>
                <w:rFonts w:hint="eastAsia" w:ascii="宋体" w:hAnsi="宋体" w:eastAsia="宋体" w:cs="宋体"/>
                <w:sz w:val="21"/>
                <w:szCs w:val="21"/>
                <w:lang w:eastAsia="zh-CN"/>
              </w:rPr>
              <w:drawing>
                <wp:anchor distT="0" distB="0" distL="114300" distR="114300" simplePos="0" relativeHeight="251675648" behindDoc="0" locked="0" layoutInCell="1" allowOverlap="1">
                  <wp:simplePos x="0" y="0"/>
                  <wp:positionH relativeFrom="column">
                    <wp:posOffset>14605</wp:posOffset>
                  </wp:positionH>
                  <wp:positionV relativeFrom="paragraph">
                    <wp:posOffset>635</wp:posOffset>
                  </wp:positionV>
                  <wp:extent cx="2827655" cy="1871980"/>
                  <wp:effectExtent l="0" t="0" r="10795" b="13970"/>
                  <wp:wrapTopAndBottom/>
                  <wp:docPr id="15" name="图片 15" descr="微信图片_2020082616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00826161034"/>
                          <pic:cNvPicPr>
                            <a:picLocks noChangeAspect="1"/>
                          </pic:cNvPicPr>
                        </pic:nvPicPr>
                        <pic:blipFill>
                          <a:blip r:embed="rId115"/>
                          <a:stretch>
                            <a:fillRect/>
                          </a:stretch>
                        </pic:blipFill>
                        <pic:spPr>
                          <a:xfrm>
                            <a:off x="0" y="0"/>
                            <a:ext cx="2827655" cy="1871980"/>
                          </a:xfrm>
                          <a:prstGeom prst="rect">
                            <a:avLst/>
                          </a:prstGeom>
                        </pic:spPr>
                      </pic:pic>
                    </a:graphicData>
                  </a:graphic>
                </wp:anchor>
              </w:drawing>
            </w:r>
            <w:r>
              <w:rPr>
                <w:rFonts w:hint="eastAsia" w:ascii="宋体" w:hAnsi="宋体" w:eastAsia="宋体" w:cs="宋体"/>
                <w:sz w:val="21"/>
                <w:szCs w:val="21"/>
                <w:lang w:eastAsia="zh-CN" w:bidi="ar"/>
              </w:rPr>
              <w:t>皮带运输系统</w:t>
            </w:r>
          </w:p>
        </w:tc>
        <w:tc>
          <w:tcPr>
            <w:tcW w:w="4686"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red"/>
                <w:lang w:eastAsia="zh-CN" w:bidi="ar"/>
              </w:rPr>
            </w:pPr>
            <w:r>
              <w:rPr>
                <w:rFonts w:hint="eastAsia" w:ascii="宋体" w:hAnsi="宋体" w:eastAsia="宋体" w:cs="宋体"/>
                <w:sz w:val="21"/>
                <w:szCs w:val="21"/>
                <w:lang w:eastAsia="zh-CN"/>
              </w:rPr>
              <w:drawing>
                <wp:anchor distT="0" distB="0" distL="114300" distR="114300" simplePos="0" relativeHeight="251660288" behindDoc="0" locked="0" layoutInCell="1" allowOverlap="1">
                  <wp:simplePos x="0" y="0"/>
                  <wp:positionH relativeFrom="column">
                    <wp:posOffset>-68580</wp:posOffset>
                  </wp:positionH>
                  <wp:positionV relativeFrom="paragraph">
                    <wp:posOffset>0</wp:posOffset>
                  </wp:positionV>
                  <wp:extent cx="2785745" cy="1871980"/>
                  <wp:effectExtent l="0" t="0" r="14605" b="13970"/>
                  <wp:wrapTopAndBottom/>
                  <wp:docPr id="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
                          <pic:cNvPicPr>
                            <a:picLocks noChangeAspect="1"/>
                          </pic:cNvPicPr>
                        </pic:nvPicPr>
                        <pic:blipFill>
                          <a:blip r:embed="rId116"/>
                          <a:stretch>
                            <a:fillRect/>
                          </a:stretch>
                        </pic:blipFill>
                        <pic:spPr>
                          <a:xfrm>
                            <a:off x="0" y="0"/>
                            <a:ext cx="2785745" cy="1871980"/>
                          </a:xfrm>
                          <a:prstGeom prst="rect">
                            <a:avLst/>
                          </a:prstGeom>
                          <a:noFill/>
                          <a:ln>
                            <a:noFill/>
                          </a:ln>
                        </pic:spPr>
                      </pic:pic>
                    </a:graphicData>
                  </a:graphic>
                </wp:anchor>
              </w:drawing>
            </w:r>
            <w:r>
              <w:rPr>
                <w:rFonts w:hint="eastAsia" w:ascii="宋体" w:hAnsi="宋体" w:eastAsia="宋体" w:cs="宋体"/>
                <w:sz w:val="21"/>
                <w:szCs w:val="21"/>
                <w:lang w:eastAsia="zh-CN" w:bidi="ar"/>
              </w:rPr>
              <w:t>转运站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01" w:type="dxa"/>
            <w:tcBorders>
              <w:tl2br w:val="nil"/>
              <w:tr2bl w:val="nil"/>
            </w:tcBorders>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rPr>
              <w:drawing>
                <wp:anchor distT="0" distB="0" distL="114300" distR="114300" simplePos="0" relativeHeight="251674624" behindDoc="0" locked="0" layoutInCell="1" allowOverlap="1">
                  <wp:simplePos x="0" y="0"/>
                  <wp:positionH relativeFrom="column">
                    <wp:posOffset>-41275</wp:posOffset>
                  </wp:positionH>
                  <wp:positionV relativeFrom="paragraph">
                    <wp:posOffset>13335</wp:posOffset>
                  </wp:positionV>
                  <wp:extent cx="2870200" cy="1871980"/>
                  <wp:effectExtent l="0" t="0" r="6350" b="13970"/>
                  <wp:wrapTopAndBottom/>
                  <wp:docPr id="14" name="图片 14" descr="IMG_20210312_1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0210312_102704"/>
                          <pic:cNvPicPr>
                            <a:picLocks noChangeAspect="1"/>
                          </pic:cNvPicPr>
                        </pic:nvPicPr>
                        <pic:blipFill>
                          <a:blip r:embed="rId117"/>
                          <a:stretch>
                            <a:fillRect/>
                          </a:stretch>
                        </pic:blipFill>
                        <pic:spPr>
                          <a:xfrm>
                            <a:off x="0" y="0"/>
                            <a:ext cx="2870200" cy="1871980"/>
                          </a:xfrm>
                          <a:prstGeom prst="rect">
                            <a:avLst/>
                          </a:prstGeom>
                        </pic:spPr>
                      </pic:pic>
                    </a:graphicData>
                  </a:graphic>
                </wp:anchor>
              </w:drawing>
            </w:r>
            <w:r>
              <w:rPr>
                <w:rFonts w:hint="eastAsia" w:ascii="宋体" w:hAnsi="宋体" w:eastAsia="宋体" w:cs="宋体"/>
                <w:sz w:val="21"/>
                <w:szCs w:val="21"/>
                <w:lang w:eastAsia="zh-CN" w:bidi="ar"/>
              </w:rPr>
              <w:t>浓密池</w:t>
            </w:r>
          </w:p>
        </w:tc>
        <w:tc>
          <w:tcPr>
            <w:tcW w:w="4686" w:type="dxa"/>
            <w:tcBorders>
              <w:tl2br w:val="nil"/>
              <w:tr2bl w:val="nil"/>
            </w:tcBorders>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rPr>
            </w:pPr>
            <w:r>
              <w:rPr>
                <w:rFonts w:hint="eastAsia" w:ascii="宋体" w:hAnsi="宋体" w:eastAsia="宋体" w:cs="宋体"/>
                <w:kern w:val="0"/>
                <w:sz w:val="21"/>
                <w:szCs w:val="21"/>
                <w:lang w:bidi="ar"/>
              </w:rPr>
              <w:t>选矿车间</w:t>
            </w:r>
            <w:r>
              <w:rPr>
                <w:rFonts w:hint="eastAsia" w:ascii="宋体" w:hAnsi="宋体" w:eastAsia="宋体" w:cs="宋体"/>
                <w:szCs w:val="28"/>
              </w:rPr>
              <w:drawing>
                <wp:anchor distT="0" distB="0" distL="114300" distR="114300" simplePos="0" relativeHeight="251659264" behindDoc="0" locked="0" layoutInCell="1" allowOverlap="1">
                  <wp:simplePos x="0" y="0"/>
                  <wp:positionH relativeFrom="column">
                    <wp:posOffset>-20320</wp:posOffset>
                  </wp:positionH>
                  <wp:positionV relativeFrom="paragraph">
                    <wp:posOffset>15875</wp:posOffset>
                  </wp:positionV>
                  <wp:extent cx="2860040" cy="1871980"/>
                  <wp:effectExtent l="0" t="0" r="16510" b="13970"/>
                  <wp:wrapTopAndBottom/>
                  <wp:docPr id="286" name="图片 286" descr="C:/Users/ADMINI~1/AppData/Local/Temp/picturecompress_202107231413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descr="C:/Users/ADMINI~1/AppData/Local/Temp/picturecompress_20210723141343/output_1.jpgoutput_1"/>
                          <pic:cNvPicPr>
                            <a:picLocks noChangeAspect="1"/>
                          </pic:cNvPicPr>
                        </pic:nvPicPr>
                        <pic:blipFill>
                          <a:blip r:embed="rId118"/>
                          <a:stretch>
                            <a:fillRect/>
                          </a:stretch>
                        </pic:blipFill>
                        <pic:spPr>
                          <a:xfrm>
                            <a:off x="0" y="0"/>
                            <a:ext cx="2860040" cy="1871980"/>
                          </a:xfrm>
                          <a:prstGeom prst="rect">
                            <a:avLst/>
                          </a:prstGeom>
                        </pic:spPr>
                      </pic:pic>
                    </a:graphicData>
                  </a:graphic>
                </wp:anchor>
              </w:drawing>
            </w:r>
          </w:p>
        </w:tc>
      </w:tr>
    </w:tbl>
    <w:p>
      <w:pPr>
        <w:pStyle w:val="6"/>
        <w:rPr>
          <w:rFonts w:hint="eastAsia" w:ascii="宋体" w:hAnsi="宋体" w:eastAsia="宋体" w:cs="宋体"/>
          <w:lang w:eastAsia="zh-CN"/>
        </w:rPr>
      </w:pPr>
      <w:bookmarkStart w:id="72" w:name="_Toc16030"/>
      <w:bookmarkStart w:id="73" w:name="_Toc20395"/>
      <w:r>
        <w:rPr>
          <w:rFonts w:hint="eastAsia" w:ascii="宋体" w:hAnsi="宋体" w:eastAsia="宋体" w:cs="宋体"/>
          <w:lang w:eastAsia="zh-CN"/>
        </w:rPr>
        <w:t>2.7 现有工程存在的主要问题及整改措施</w:t>
      </w:r>
      <w:bookmarkEnd w:id="72"/>
      <w:bookmarkEnd w:id="73"/>
    </w:p>
    <w:p>
      <w:pPr>
        <w:pStyle w:val="7"/>
        <w:rPr>
          <w:rFonts w:hint="eastAsia" w:ascii="宋体" w:hAnsi="宋体" w:eastAsia="宋体" w:cs="宋体"/>
          <w:lang w:eastAsia="zh-CN"/>
        </w:rPr>
      </w:pPr>
      <w:r>
        <w:rPr>
          <w:rFonts w:hint="eastAsia" w:ascii="宋体" w:hAnsi="宋体" w:eastAsia="宋体" w:cs="宋体"/>
          <w:lang w:eastAsia="zh-CN"/>
        </w:rPr>
        <w:t>2.7.1 现有环境问题</w:t>
      </w:r>
    </w:p>
    <w:p>
      <w:pPr>
        <w:pStyle w:val="14"/>
        <w:ind w:firstLine="560"/>
        <w:rPr>
          <w:rFonts w:hint="eastAsia" w:ascii="宋体" w:hAnsi="宋体" w:eastAsia="宋体" w:cs="宋体"/>
          <w:lang w:eastAsia="zh-CN"/>
        </w:rPr>
      </w:pPr>
      <w:r>
        <w:rPr>
          <w:rFonts w:hint="eastAsia" w:ascii="宋体" w:hAnsi="宋体" w:eastAsia="宋体" w:cs="宋体"/>
          <w:lang w:eastAsia="zh-CN"/>
        </w:rPr>
        <w:t>根据对项目历史资料收集和现有工程调研勘察结果，汇总项目现有工程主要环境问题如下：</w:t>
      </w:r>
    </w:p>
    <w:p>
      <w:pPr>
        <w:pStyle w:val="14"/>
        <w:ind w:left="480" w:leftChars="200" w:firstLine="0" w:firstLineChars="0"/>
        <w:rPr>
          <w:rFonts w:hint="eastAsia" w:ascii="宋体" w:hAnsi="宋体" w:eastAsia="宋体" w:cs="宋体"/>
          <w:lang w:eastAsia="zh-CN"/>
        </w:rPr>
      </w:pPr>
      <w:r>
        <w:rPr>
          <w:rFonts w:hint="eastAsia" w:ascii="宋体" w:hAnsi="宋体" w:eastAsia="宋体" w:cs="宋体"/>
          <w:lang w:eastAsia="zh-CN"/>
        </w:rPr>
        <w:t>1、现有矿石堆场未降尘及遮盖措施，存在扬尘污染；</w:t>
      </w:r>
    </w:p>
    <w:p>
      <w:pPr>
        <w:pStyle w:val="14"/>
        <w:ind w:left="480" w:leftChars="200" w:firstLine="0" w:firstLineChars="0"/>
        <w:rPr>
          <w:rFonts w:hint="eastAsia" w:ascii="宋体" w:hAnsi="宋体" w:eastAsia="宋体" w:cs="宋体"/>
          <w:lang w:eastAsia="zh-CN"/>
        </w:rPr>
      </w:pPr>
      <w:r>
        <w:rPr>
          <w:rFonts w:hint="eastAsia" w:ascii="宋体" w:hAnsi="宋体" w:eastAsia="宋体" w:cs="宋体"/>
          <w:lang w:eastAsia="zh-CN"/>
        </w:rPr>
        <w:t>2、露天排土场未采取洒水、降尘、遮盖措施，存在扬尘污染；</w:t>
      </w:r>
    </w:p>
    <w:p>
      <w:pPr>
        <w:pStyle w:val="7"/>
        <w:rPr>
          <w:rFonts w:hint="eastAsia" w:ascii="宋体" w:hAnsi="宋体" w:eastAsia="宋体" w:cs="宋体"/>
          <w:lang w:eastAsia="zh-CN"/>
        </w:rPr>
      </w:pPr>
      <w:r>
        <w:rPr>
          <w:rFonts w:hint="eastAsia" w:ascii="宋体" w:hAnsi="宋体" w:eastAsia="宋体" w:cs="宋体"/>
          <w:lang w:eastAsia="zh-CN"/>
        </w:rPr>
        <w:t>2.7.2 整改措施</w:t>
      </w:r>
    </w:p>
    <w:p>
      <w:pPr>
        <w:pStyle w:val="14"/>
        <w:ind w:firstLine="560"/>
        <w:rPr>
          <w:rFonts w:hint="eastAsia" w:ascii="宋体" w:hAnsi="宋体" w:eastAsia="宋体" w:cs="宋体"/>
          <w:lang w:eastAsia="zh-CN"/>
        </w:rPr>
      </w:pPr>
      <w:r>
        <w:rPr>
          <w:rFonts w:hint="eastAsia" w:ascii="宋体" w:hAnsi="宋体" w:eastAsia="宋体" w:cs="宋体"/>
          <w:lang w:eastAsia="zh-CN"/>
        </w:rPr>
        <w:t>莱钢集团鲁南矿业有限公司承诺对现有环境问题整改，整改措施详见表2.7.2-1。</w:t>
      </w:r>
    </w:p>
    <w:p>
      <w:pPr>
        <w:ind w:firstLine="0" w:firstLineChars="0"/>
        <w:jc w:val="center"/>
        <w:rPr>
          <w:rFonts w:hint="eastAsia" w:ascii="宋体" w:hAnsi="宋体" w:eastAsia="宋体" w:cs="宋体"/>
          <w:b/>
          <w:bCs/>
          <w:sz w:val="24"/>
          <w:lang w:eastAsia="zh-CN"/>
        </w:rPr>
      </w:pPr>
    </w:p>
    <w:p>
      <w:pPr>
        <w:ind w:firstLine="0" w:firstLineChars="0"/>
        <w:jc w:val="center"/>
        <w:rPr>
          <w:rFonts w:hint="eastAsia" w:ascii="宋体" w:hAnsi="宋体" w:eastAsia="宋体" w:cs="宋体"/>
          <w:b/>
          <w:bCs/>
          <w:sz w:val="24"/>
          <w:lang w:eastAsia="zh-CN"/>
        </w:rPr>
      </w:pPr>
    </w:p>
    <w:p>
      <w:pPr>
        <w:ind w:firstLine="0" w:firstLineChars="0"/>
        <w:jc w:val="center"/>
        <w:rPr>
          <w:rFonts w:hint="eastAsia" w:ascii="宋体" w:hAnsi="宋体" w:eastAsia="宋体" w:cs="宋体"/>
          <w:b/>
          <w:bCs/>
          <w:sz w:val="24"/>
          <w:lang w:eastAsia="zh-CN"/>
        </w:rPr>
      </w:pPr>
    </w:p>
    <w:p>
      <w:pPr>
        <w:ind w:firstLine="0" w:firstLineChars="0"/>
        <w:jc w:val="center"/>
        <w:rPr>
          <w:rFonts w:hint="eastAsia" w:ascii="宋体" w:hAnsi="宋体" w:eastAsia="宋体" w:cs="宋体"/>
          <w:b/>
          <w:bCs/>
          <w:sz w:val="24"/>
          <w:lang w:eastAsia="zh-CN"/>
        </w:rPr>
      </w:pPr>
    </w:p>
    <w:p>
      <w:pPr>
        <w:ind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t>表2.7.2-1 现有工程环境问题及整改措施一览表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2107"/>
        <w:gridCol w:w="1327"/>
        <w:gridCol w:w="1327"/>
        <w:gridCol w:w="1327"/>
        <w:gridCol w:w="1327"/>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107"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现有工程主要问题</w:t>
            </w:r>
          </w:p>
        </w:tc>
        <w:tc>
          <w:tcPr>
            <w:tcW w:w="1327"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本次评价提出整改措施</w:t>
            </w:r>
          </w:p>
        </w:tc>
        <w:tc>
          <w:tcPr>
            <w:tcW w:w="1327"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整改时间</w:t>
            </w:r>
          </w:p>
        </w:tc>
        <w:tc>
          <w:tcPr>
            <w:tcW w:w="1327"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资金保证（万）</w:t>
            </w:r>
          </w:p>
        </w:tc>
        <w:tc>
          <w:tcPr>
            <w:tcW w:w="1327"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责任部门</w:t>
            </w:r>
          </w:p>
        </w:tc>
        <w:tc>
          <w:tcPr>
            <w:tcW w:w="1327"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预期或实际效果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10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现有矿石堆场未降尘及遮盖措施，存在扬尘污染</w:t>
            </w: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设置固定喷淋降尘装</w:t>
            </w:r>
          </w:p>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置、采用防尘网覆盖</w:t>
            </w: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20</w:t>
            </w: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安环部</w:t>
            </w: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减少扬尘无组织排放、水土流失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45"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10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露天排土场未采取洒水、降尘、遮盖措施，存在扬尘污染</w:t>
            </w: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覆土、进行生态修复</w:t>
            </w: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40</w:t>
            </w: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安环部</w:t>
            </w:r>
          </w:p>
        </w:tc>
        <w:tc>
          <w:tcPr>
            <w:tcW w:w="1327" w:type="dxa"/>
            <w:vAlign w:val="center"/>
          </w:tcPr>
          <w:p>
            <w:pPr>
              <w:pStyle w:val="16"/>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rPr>
            </w:pPr>
            <w:r>
              <w:rPr>
                <w:rFonts w:hint="eastAsia" w:ascii="宋体" w:hAnsi="宋体" w:eastAsia="宋体" w:cs="宋体"/>
                <w:sz w:val="21"/>
                <w:szCs w:val="21"/>
              </w:rPr>
              <w:t>减少扬尘无组织排放、水土流失</w:t>
            </w:r>
          </w:p>
        </w:tc>
      </w:tr>
    </w:tbl>
    <w:p>
      <w:pPr>
        <w:pStyle w:val="16"/>
        <w:ind w:firstLine="560"/>
        <w:rPr>
          <w:rFonts w:hint="eastAsia" w:ascii="宋体" w:hAnsi="宋体" w:eastAsia="宋体" w:cs="宋体"/>
        </w:rPr>
      </w:pPr>
    </w:p>
    <w:p>
      <w:pPr>
        <w:ind w:firstLine="560"/>
        <w:rPr>
          <w:rFonts w:hint="eastAsia" w:ascii="宋体" w:hAnsi="宋体" w:eastAsia="宋体" w:cs="宋体"/>
          <w:lang w:eastAsia="zh-CN"/>
        </w:rPr>
      </w:pPr>
    </w:p>
    <w:p>
      <w:pPr>
        <w:ind w:firstLine="560"/>
        <w:rPr>
          <w:rFonts w:hint="eastAsia" w:ascii="宋体" w:hAnsi="宋体" w:eastAsia="宋体" w:cs="宋体"/>
          <w:lang w:eastAsia="zh-CN"/>
        </w:rPr>
        <w:sectPr>
          <w:headerReference r:id="rId49" w:type="default"/>
          <w:footerReference r:id="rId51" w:type="default"/>
          <w:headerReference r:id="rId50" w:type="even"/>
          <w:footerReference r:id="rId52" w:type="even"/>
          <w:pgSz w:w="11905" w:h="16838"/>
          <w:pgMar w:top="1417" w:right="1247" w:bottom="1247" w:left="1587" w:header="850" w:footer="850" w:gutter="0"/>
          <w:pgBorders>
            <w:top w:val="none" w:sz="0" w:space="0"/>
            <w:left w:val="none" w:sz="0" w:space="0"/>
            <w:bottom w:val="none" w:sz="0" w:space="0"/>
            <w:right w:val="none" w:sz="0" w:space="0"/>
          </w:pgBorders>
          <w:cols w:space="0" w:num="1"/>
          <w:docGrid w:type="lines" w:linePitch="383" w:charSpace="0"/>
        </w:sectPr>
      </w:pPr>
    </w:p>
    <w:p>
      <w:pPr>
        <w:pStyle w:val="6"/>
        <w:rPr>
          <w:rFonts w:hint="eastAsia" w:ascii="宋体" w:hAnsi="宋体" w:eastAsia="宋体" w:cs="宋体"/>
          <w:lang w:eastAsia="zh-CN"/>
        </w:rPr>
      </w:pPr>
      <w:bookmarkStart w:id="74" w:name="_Toc91"/>
      <w:bookmarkStart w:id="75" w:name="_Toc14225"/>
      <w:r>
        <w:rPr>
          <w:rFonts w:hint="eastAsia" w:ascii="宋体" w:hAnsi="宋体" w:eastAsia="宋体" w:cs="宋体"/>
          <w:lang w:eastAsia="zh-CN"/>
        </w:rPr>
        <w:t>2.8 现有工程污染物产排情况汇总</w:t>
      </w:r>
      <w:bookmarkEnd w:id="74"/>
      <w:bookmarkEnd w:id="75"/>
    </w:p>
    <w:p>
      <w:pPr>
        <w:pStyle w:val="14"/>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表2.</w:t>
      </w:r>
      <w:r>
        <w:rPr>
          <w:rFonts w:hint="eastAsia" w:cs="宋体"/>
          <w:b/>
          <w:bCs/>
          <w:sz w:val="24"/>
          <w:lang w:val="en-US" w:eastAsia="zh-CN"/>
        </w:rPr>
        <w:t>8</w:t>
      </w:r>
      <w:r>
        <w:rPr>
          <w:rFonts w:hint="eastAsia" w:ascii="宋体" w:hAnsi="宋体" w:eastAsia="宋体" w:cs="宋体"/>
          <w:b/>
          <w:bCs/>
          <w:sz w:val="24"/>
          <w:lang w:eastAsia="zh-CN"/>
        </w:rPr>
        <w:t>.1-1 现有工程污染物产排情况汇总表</w:t>
      </w:r>
    </w:p>
    <w:tbl>
      <w:tblPr>
        <w:tblStyle w:val="24"/>
        <w:tblW w:w="4995" w:type="pct"/>
        <w:tblInd w:w="0" w:type="dxa"/>
        <w:tblLayout w:type="fixed"/>
        <w:tblCellMar>
          <w:top w:w="0" w:type="dxa"/>
          <w:left w:w="108" w:type="dxa"/>
          <w:bottom w:w="0" w:type="dxa"/>
          <w:right w:w="108" w:type="dxa"/>
        </w:tblCellMar>
      </w:tblPr>
      <w:tblGrid>
        <w:gridCol w:w="467"/>
        <w:gridCol w:w="592"/>
        <w:gridCol w:w="2091"/>
        <w:gridCol w:w="1285"/>
        <w:gridCol w:w="1771"/>
        <w:gridCol w:w="4643"/>
        <w:gridCol w:w="1291"/>
        <w:gridCol w:w="1153"/>
        <w:gridCol w:w="1084"/>
      </w:tblGrid>
      <w:tr>
        <w:tblPrEx>
          <w:tblCellMar>
            <w:top w:w="0" w:type="dxa"/>
            <w:left w:w="108" w:type="dxa"/>
            <w:bottom w:w="0" w:type="dxa"/>
            <w:right w:w="108" w:type="dxa"/>
          </w:tblCellMar>
        </w:tblPrEx>
        <w:trPr>
          <w:trHeight w:val="397" w:hRule="atLeast"/>
          <w:tblHeader/>
        </w:trPr>
        <w:tc>
          <w:tcPr>
            <w:tcW w:w="162" w:type="pct"/>
            <w:vMerge w:val="restart"/>
            <w:tcBorders>
              <w:top w:val="single" w:color="000000" w:sz="12"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类型</w:t>
            </w:r>
          </w:p>
        </w:tc>
        <w:tc>
          <w:tcPr>
            <w:tcW w:w="933" w:type="pct"/>
            <w:gridSpan w:val="2"/>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污染源</w:t>
            </w:r>
          </w:p>
        </w:tc>
        <w:tc>
          <w:tcPr>
            <w:tcW w:w="446"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主要</w:t>
            </w:r>
          </w:p>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污染物</w:t>
            </w:r>
          </w:p>
        </w:tc>
        <w:tc>
          <w:tcPr>
            <w:tcW w:w="615"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产生量</w:t>
            </w:r>
          </w:p>
        </w:tc>
        <w:tc>
          <w:tcPr>
            <w:tcW w:w="1614"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治理措施</w:t>
            </w:r>
          </w:p>
        </w:tc>
        <w:tc>
          <w:tcPr>
            <w:tcW w:w="1226" w:type="pct"/>
            <w:gridSpan w:val="3"/>
            <w:tcBorders>
              <w:top w:val="single" w:color="000000" w:sz="12"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污染排放情况</w:t>
            </w:r>
          </w:p>
        </w:tc>
      </w:tr>
      <w:tr>
        <w:tblPrEx>
          <w:tblCellMar>
            <w:top w:w="0" w:type="dxa"/>
            <w:left w:w="108" w:type="dxa"/>
            <w:bottom w:w="0" w:type="dxa"/>
            <w:right w:w="108" w:type="dxa"/>
          </w:tblCellMar>
        </w:tblPrEx>
        <w:trPr>
          <w:trHeight w:val="397" w:hRule="atLeast"/>
          <w:tblHeader/>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p>
        </w:tc>
        <w:tc>
          <w:tcPr>
            <w:tcW w:w="9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p>
        </w:tc>
        <w:tc>
          <w:tcPr>
            <w:tcW w:w="44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p>
        </w:tc>
        <w:tc>
          <w:tcPr>
            <w:tcW w:w="61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p>
        </w:tc>
        <w:tc>
          <w:tcPr>
            <w:tcW w:w="1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排放浓度（mg/m</w:t>
            </w:r>
            <w:r>
              <w:rPr>
                <w:rFonts w:hint="eastAsia" w:ascii="宋体" w:hAnsi="宋体" w:eastAsia="宋体" w:cs="宋体"/>
                <w:b/>
                <w:bCs/>
                <w:sz w:val="21"/>
                <w:szCs w:val="21"/>
                <w:vertAlign w:val="superscript"/>
                <w:lang w:eastAsia="zh-CN"/>
              </w:rPr>
              <w:t>3</w:t>
            </w:r>
            <w:r>
              <w:rPr>
                <w:rFonts w:hint="eastAsia" w:ascii="宋体" w:hAnsi="宋体" w:eastAsia="宋体" w:cs="宋体"/>
                <w:b/>
                <w:bCs/>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排放速率（kg/h）</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排放量（t/a）</w:t>
            </w:r>
          </w:p>
        </w:tc>
      </w:tr>
      <w:tr>
        <w:tblPrEx>
          <w:tblCellMar>
            <w:top w:w="0" w:type="dxa"/>
            <w:left w:w="108" w:type="dxa"/>
            <w:bottom w:w="0" w:type="dxa"/>
            <w:right w:w="108" w:type="dxa"/>
          </w:tblCellMar>
        </w:tblPrEx>
        <w:trPr>
          <w:trHeight w:val="397" w:hRule="atLeast"/>
        </w:trPr>
        <w:tc>
          <w:tcPr>
            <w:tcW w:w="162" w:type="pct"/>
            <w:vMerge w:val="restar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废气</w:t>
            </w: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有组织</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充填</w:t>
            </w:r>
            <w:r>
              <w:rPr>
                <w:rFonts w:hint="eastAsia" w:cs="宋体"/>
                <w:sz w:val="21"/>
                <w:szCs w:val="21"/>
                <w:lang w:eastAsia="zh-CN"/>
              </w:rPr>
              <w:t>（上河、王峪）</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18</w:t>
            </w:r>
            <w:r>
              <w:rPr>
                <w:rFonts w:hint="eastAsia" w:ascii="宋体" w:hAnsi="宋体" w:eastAsia="宋体" w:cs="宋体"/>
                <w:sz w:val="21"/>
                <w:szCs w:val="21"/>
                <w:lang w:eastAsia="zh-CN"/>
              </w:rPr>
              <w:t>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经布袋除尘处理，通过25m排气筒排放</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eastAsia="zh-CN"/>
              </w:rPr>
              <w:t>0.</w:t>
            </w:r>
            <w:r>
              <w:rPr>
                <w:rFonts w:hint="eastAsia" w:cs="宋体"/>
                <w:sz w:val="21"/>
                <w:szCs w:val="21"/>
                <w:lang w:val="en-US" w:eastAsia="zh-CN"/>
              </w:rPr>
              <w:t>02</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cs="宋体"/>
                <w:sz w:val="21"/>
                <w:szCs w:val="21"/>
                <w:lang w:val="en-US" w:eastAsia="zh-CN"/>
              </w:rPr>
              <w:t>0.99</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粗破工序</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1.22t/a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经水膜除尘器处理，通过15m高排气筒排放</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4.4</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0.081</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0.64</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中破工序</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5.07t/a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经水膜除尘器处理，通过15m高排气筒排放</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0.337</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2.67</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细破工序口</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1.16t/a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经水膜除尘器处理，通过15m高排气筒排放</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2.5</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0.077</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0.61</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筛分和干选工序</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3.76t/a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经水膜除尘器处理，通过15m高排气筒排放</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0.25</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1.98</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球团厂排气筒</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5.83t/a</w:t>
            </w:r>
          </w:p>
        </w:tc>
        <w:tc>
          <w:tcPr>
            <w:tcW w:w="16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经炉内脱硝+四电场静电除尘器+石灰-石膏湿法脱硫+湿电除尘处理，通过76m排气筒排放</w:t>
            </w: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1.7</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0.37</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2.93</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二氧化硫</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53.1t/a</w:t>
            </w:r>
          </w:p>
        </w:tc>
        <w:tc>
          <w:tcPr>
            <w:tcW w:w="1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13.6</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3.37</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26.7</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氮氧化物</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154.0t/a</w:t>
            </w:r>
          </w:p>
        </w:tc>
        <w:tc>
          <w:tcPr>
            <w:tcW w:w="1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40.9</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9.77</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77.4</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w:t>
            </w:r>
          </w:p>
        </w:tc>
        <w:tc>
          <w:tcPr>
            <w:tcW w:w="7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井下采掘</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CO</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cs="宋体"/>
                <w:sz w:val="21"/>
                <w:szCs w:val="21"/>
                <w:lang w:val="en-US" w:eastAsia="zh-CN"/>
              </w:rPr>
              <w:t>4.66t/a</w:t>
            </w:r>
          </w:p>
        </w:tc>
        <w:tc>
          <w:tcPr>
            <w:tcW w:w="16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湿式凿岩、喷雾降尘、机械通风，通过风井排放</w:t>
            </w:r>
          </w:p>
        </w:tc>
        <w:tc>
          <w:tcPr>
            <w:tcW w:w="44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ascii="宋体" w:hAnsi="宋体" w:eastAsia="宋体" w:cs="宋体"/>
                <w:sz w:val="21"/>
                <w:szCs w:val="21"/>
                <w:lang w:val="en-US" w:eastAsia="zh-CN"/>
              </w:rPr>
            </w:pPr>
            <w:r>
              <w:rPr>
                <w:rFonts w:hint="eastAsia" w:cs="宋体"/>
                <w:sz w:val="21"/>
                <w:szCs w:val="21"/>
                <w:lang w:val="en-US" w:eastAsia="zh-CN"/>
              </w:rPr>
              <w:t>/</w:t>
            </w:r>
          </w:p>
        </w:tc>
        <w:tc>
          <w:tcPr>
            <w:tcW w:w="400"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sz w:val="21"/>
                <w:szCs w:val="21"/>
                <w:lang w:eastAsia="zh-CN"/>
              </w:rPr>
            </w:pPr>
            <w:r>
              <w:rPr>
                <w:rFonts w:hint="eastAsia" w:cs="宋体"/>
                <w:sz w:val="21"/>
                <w:szCs w:val="21"/>
                <w:lang w:val="en-US"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rPr>
            </w:pPr>
            <w:r>
              <w:rPr>
                <w:rFonts w:hint="eastAsia" w:cs="宋体"/>
                <w:sz w:val="21"/>
                <w:szCs w:val="21"/>
                <w:lang w:val="en-US" w:eastAsia="zh-CN"/>
              </w:rPr>
              <w:t>4.66</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NOx</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cs="宋体"/>
                <w:sz w:val="21"/>
                <w:szCs w:val="21"/>
                <w:lang w:val="en-US" w:eastAsia="zh-CN"/>
              </w:rPr>
              <w:t>10.80t/a</w:t>
            </w:r>
          </w:p>
        </w:tc>
        <w:tc>
          <w:tcPr>
            <w:tcW w:w="1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8"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sz w:val="21"/>
                <w:szCs w:val="21"/>
                <w:lang w:eastAsia="zh-CN"/>
              </w:rPr>
            </w:pPr>
            <w:r>
              <w:rPr>
                <w:rFonts w:hint="eastAsia" w:cs="宋体"/>
                <w:sz w:val="21"/>
                <w:szCs w:val="21"/>
                <w:lang w:val="en-US" w:eastAsia="zh-CN"/>
              </w:rPr>
              <w:t>/</w:t>
            </w:r>
          </w:p>
        </w:tc>
        <w:tc>
          <w:tcPr>
            <w:tcW w:w="400"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sz w:val="21"/>
                <w:szCs w:val="21"/>
                <w:lang w:eastAsia="zh-CN"/>
              </w:rPr>
            </w:pPr>
            <w:r>
              <w:rPr>
                <w:rFonts w:hint="eastAsia" w:cs="宋体"/>
                <w:sz w:val="21"/>
                <w:szCs w:val="21"/>
                <w:lang w:val="en-US"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rPr>
            </w:pPr>
            <w:r>
              <w:rPr>
                <w:rFonts w:hint="eastAsia" w:cs="宋体"/>
                <w:sz w:val="21"/>
                <w:szCs w:val="21"/>
                <w:lang w:val="en-US" w:eastAsia="zh-CN"/>
              </w:rPr>
              <w:t>10.80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8.07</w:t>
            </w:r>
            <w:r>
              <w:rPr>
                <w:rFonts w:hint="eastAsia" w:ascii="宋体" w:hAnsi="宋体" w:eastAsia="宋体" w:cs="宋体"/>
                <w:sz w:val="21"/>
                <w:szCs w:val="21"/>
                <w:lang w:eastAsia="zh-CN"/>
              </w:rPr>
              <w:t>t/a</w:t>
            </w:r>
          </w:p>
        </w:tc>
        <w:tc>
          <w:tcPr>
            <w:tcW w:w="1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8.07</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矿石堆放、尾砂装卸</w:t>
            </w:r>
            <w:r>
              <w:rPr>
                <w:rFonts w:hint="eastAsia" w:cs="宋体"/>
                <w:sz w:val="21"/>
                <w:szCs w:val="21"/>
                <w:lang w:eastAsia="zh-CN"/>
              </w:rPr>
              <w:t>、破碎、筛分等</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密闭运输、密闭储存、原矿石堆场加遮挡、洒水等措施。</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0.509</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尾矿库扬尘</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1#尾矿库加盖防风抑尘网；2#尾矿库洒水抑尘。</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0.32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CellMar>
            <w:top w:w="0" w:type="dxa"/>
            <w:left w:w="108" w:type="dxa"/>
            <w:bottom w:w="0" w:type="dxa"/>
            <w:right w:w="108" w:type="dxa"/>
          </w:tblCellMar>
        </w:tblPrEx>
        <w:trPr>
          <w:trHeight w:val="397" w:hRule="atLeast"/>
        </w:trPr>
        <w:tc>
          <w:tcPr>
            <w:tcW w:w="162" w:type="pct"/>
            <w:vMerge w:val="restar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废水</w:t>
            </w:r>
          </w:p>
        </w:tc>
        <w:tc>
          <w:tcPr>
            <w:tcW w:w="9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矿井涌水</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3040.25m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/d</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收集到涌水池，沉淀，全部回用</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选矿厂生产废水</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9160.8m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/d</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浓缩池沉淀、溢流，全部回用</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尾矿库上清水和渗滤水</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1023.4m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/d</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通过泵打到尾矿库回水池，沉淀后，全部回用</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3"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循环冷却水</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1171.2m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/d</w:t>
            </w:r>
          </w:p>
        </w:tc>
        <w:tc>
          <w:tcPr>
            <w:tcW w:w="16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回水池沉淀后，全部回用</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生活污水</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废水量</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33.1m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/d</w:t>
            </w:r>
          </w:p>
        </w:tc>
        <w:tc>
          <w:tcPr>
            <w:tcW w:w="16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由厂区一体式生活污水处理站处理，全部回用于企业绿化和道路洒水</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COD</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9.91kg/d</w:t>
            </w:r>
          </w:p>
        </w:tc>
        <w:tc>
          <w:tcPr>
            <w:tcW w:w="1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氨氮</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1.33kg/d</w:t>
            </w:r>
          </w:p>
        </w:tc>
        <w:tc>
          <w:tcPr>
            <w:tcW w:w="1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restar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固废</w:t>
            </w: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一般工业固废</w:t>
            </w: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采矿掘进</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废石</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7.6</w:t>
            </w:r>
            <w:r>
              <w:rPr>
                <w:rFonts w:hint="eastAsia" w:ascii="宋体" w:hAnsi="宋体" w:eastAsia="宋体" w:cs="宋体"/>
                <w:sz w:val="21"/>
                <w:szCs w:val="21"/>
                <w:lang w:eastAsia="zh-CN"/>
              </w:rPr>
              <w:t>万t/a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不出坑，直接回填</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干式预选</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矿石</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6.95</w:t>
            </w:r>
            <w:r>
              <w:rPr>
                <w:rFonts w:hint="eastAsia" w:ascii="宋体" w:hAnsi="宋体" w:eastAsia="宋体" w:cs="宋体"/>
                <w:sz w:val="21"/>
                <w:szCs w:val="21"/>
                <w:lang w:eastAsia="zh-CN"/>
              </w:rPr>
              <w:t>万t/a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在废石仓贮存，外售综合利用</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湿式预选</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矿石</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10.45</w:t>
            </w:r>
            <w:r>
              <w:rPr>
                <w:rFonts w:hint="eastAsia" w:ascii="宋体" w:hAnsi="宋体" w:eastAsia="宋体" w:cs="宋体"/>
                <w:sz w:val="21"/>
                <w:szCs w:val="21"/>
                <w:lang w:eastAsia="zh-CN"/>
              </w:rPr>
              <w:t>万t/a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在废石仓贮存，外售综合利用</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磨选</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20.0</w:t>
            </w:r>
            <w:r>
              <w:rPr>
                <w:rFonts w:hint="eastAsia" w:ascii="宋体" w:hAnsi="宋体" w:eastAsia="宋体" w:cs="宋体"/>
                <w:sz w:val="21"/>
                <w:szCs w:val="21"/>
                <w:lang w:eastAsia="zh-CN"/>
              </w:rPr>
              <w:t>万t/a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分级后</w:t>
            </w:r>
            <w:r>
              <w:rPr>
                <w:rFonts w:hint="eastAsia" w:cs="宋体"/>
                <w:sz w:val="21"/>
                <w:szCs w:val="21"/>
                <w:lang w:val="en-US" w:eastAsia="zh-CN"/>
              </w:rPr>
              <w:t>12.4</w:t>
            </w:r>
            <w:r>
              <w:rPr>
                <w:rFonts w:hint="eastAsia" w:ascii="宋体" w:hAnsi="宋体" w:eastAsia="宋体" w:cs="宋体"/>
                <w:sz w:val="21"/>
                <w:szCs w:val="21"/>
                <w:lang w:eastAsia="zh-CN"/>
              </w:rPr>
              <w:t>万t/a粗砂用于采场地下采空区充填，剩余</w:t>
            </w:r>
            <w:r>
              <w:rPr>
                <w:rFonts w:hint="eastAsia" w:cs="宋体"/>
                <w:sz w:val="21"/>
                <w:szCs w:val="21"/>
                <w:lang w:val="en-US" w:eastAsia="zh-CN"/>
              </w:rPr>
              <w:t>7.6</w:t>
            </w:r>
            <w:r>
              <w:rPr>
                <w:rFonts w:hint="eastAsia" w:ascii="宋体" w:hAnsi="宋体" w:eastAsia="宋体" w:cs="宋体"/>
                <w:sz w:val="21"/>
                <w:szCs w:val="21"/>
                <w:lang w:eastAsia="zh-CN"/>
              </w:rPr>
              <w:t>万t/a细砂排入2#尾矿库堆存</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沉淀池</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污泥</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150t/a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定期清理，直接回用于生产工艺中</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烟气除尘过程</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除尘灰</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622t/a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定期清理，直接回用于生产工艺中</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烟气脱硫过程</w:t>
            </w: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脱硫石膏</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2100t/a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定期清理，用于尾矿库筑坝</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职工办公生活</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生活垃圾</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203.6t/a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定点收集，由环卫部门统一收集处理</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危废</w:t>
            </w:r>
          </w:p>
        </w:tc>
        <w:tc>
          <w:tcPr>
            <w:tcW w:w="7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设备维修过程</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废矿物油</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1.6t/a</w:t>
            </w:r>
          </w:p>
        </w:tc>
        <w:tc>
          <w:tcPr>
            <w:tcW w:w="16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暂存危废暂存间，委托有资质单位处置</w:t>
            </w: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20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废油桶</w:t>
            </w:r>
          </w:p>
        </w:tc>
        <w:tc>
          <w:tcPr>
            <w:tcW w:w="61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1.3t/a</w:t>
            </w:r>
          </w:p>
        </w:tc>
        <w:tc>
          <w:tcPr>
            <w:tcW w:w="16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44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162" w:type="pct"/>
            <w:vMerge w:val="restar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c>
        <w:tc>
          <w:tcPr>
            <w:tcW w:w="9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设备运行噪声</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90～100dB（A）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室内布置，采用减振、加装消声器等降噪措施</w:t>
            </w:r>
          </w:p>
        </w:tc>
        <w:tc>
          <w:tcPr>
            <w:tcW w:w="1226" w:type="pct"/>
            <w:gridSpan w:val="3"/>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场界噪声均能满足《工业企业厂界环境噪声排放标准》（GB12348-2008）中2类标准</w:t>
            </w:r>
          </w:p>
        </w:tc>
      </w:tr>
      <w:tr>
        <w:tblPrEx>
          <w:tblCellMar>
            <w:top w:w="0" w:type="dxa"/>
            <w:left w:w="108" w:type="dxa"/>
            <w:bottom w:w="0" w:type="dxa"/>
            <w:right w:w="108" w:type="dxa"/>
          </w:tblCellMar>
        </w:tblPrEx>
        <w:trPr>
          <w:trHeight w:val="397" w:hRule="atLeast"/>
        </w:trPr>
        <w:tc>
          <w:tcPr>
            <w:tcW w:w="162"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爆破</w:t>
            </w:r>
          </w:p>
        </w:tc>
        <w:tc>
          <w:tcPr>
            <w:tcW w:w="44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振动</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110~130dB（A）</w:t>
            </w:r>
          </w:p>
        </w:tc>
        <w:tc>
          <w:tcPr>
            <w:tcW w:w="1614"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合理安排爆破周期及爆破时间，采用微差爆破工艺。爆破前告知附近可能影响到居民</w:t>
            </w:r>
          </w:p>
        </w:tc>
        <w:tc>
          <w:tcPr>
            <w:tcW w:w="1226" w:type="pct"/>
            <w:gridSpan w:val="3"/>
            <w:tcBorders>
              <w:top w:val="single" w:color="000000" w:sz="4" w:space="0"/>
              <w:left w:val="single" w:color="000000" w:sz="4" w:space="0"/>
              <w:bottom w:val="single" w:color="000000" w:sz="4"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CellMar>
            <w:top w:w="0" w:type="dxa"/>
            <w:left w:w="108" w:type="dxa"/>
            <w:bottom w:w="0" w:type="dxa"/>
            <w:right w:w="108" w:type="dxa"/>
          </w:tblCellMar>
        </w:tblPrEx>
        <w:trPr>
          <w:trHeight w:val="397" w:hRule="atLeast"/>
        </w:trPr>
        <w:tc>
          <w:tcPr>
            <w:tcW w:w="5000" w:type="pct"/>
            <w:gridSpan w:val="9"/>
            <w:tcBorders>
              <w:top w:val="single" w:color="000000" w:sz="4" w:space="0"/>
              <w:left w:val="single" w:color="000000" w:sz="12" w:space="0"/>
              <w:bottom w:val="single" w:color="000000" w:sz="12" w:space="0"/>
              <w:right w:val="single" w:color="000000" w:sz="12"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备注：鲁南矿业还有其他</w:t>
            </w:r>
            <w:r>
              <w:rPr>
                <w:rFonts w:hint="eastAsia" w:cs="宋体"/>
                <w:sz w:val="21"/>
                <w:szCs w:val="21"/>
                <w:lang w:eastAsia="zh-CN"/>
              </w:rPr>
              <w:t>管理、服务</w:t>
            </w:r>
            <w:r>
              <w:rPr>
                <w:rFonts w:hint="eastAsia" w:ascii="宋体" w:hAnsi="宋体" w:eastAsia="宋体" w:cs="宋体"/>
                <w:sz w:val="21"/>
                <w:szCs w:val="21"/>
                <w:lang w:eastAsia="zh-CN"/>
              </w:rPr>
              <w:t>人员581人</w:t>
            </w:r>
            <w:r>
              <w:rPr>
                <w:rFonts w:hint="eastAsia" w:cs="宋体"/>
                <w:sz w:val="21"/>
                <w:szCs w:val="21"/>
                <w:lang w:eastAsia="zh-CN"/>
              </w:rPr>
              <w:t>，核算后生活污水、生活垃圾增加量分别为</w:t>
            </w:r>
            <w:r>
              <w:rPr>
                <w:rFonts w:hint="eastAsia" w:cs="宋体"/>
                <w:sz w:val="21"/>
                <w:szCs w:val="21"/>
                <w:lang w:val="en-US" w:eastAsia="zh-CN"/>
              </w:rPr>
              <w:t>14.82t/a、95.8t/a</w:t>
            </w:r>
            <w:r>
              <w:rPr>
                <w:rFonts w:hint="eastAsia" w:ascii="宋体" w:hAnsi="宋体" w:eastAsia="宋体" w:cs="宋体"/>
                <w:sz w:val="21"/>
                <w:szCs w:val="21"/>
                <w:lang w:eastAsia="zh-CN"/>
              </w:rPr>
              <w:t>。</w:t>
            </w:r>
          </w:p>
        </w:tc>
      </w:tr>
    </w:tbl>
    <w:p>
      <w:pPr>
        <w:pStyle w:val="14"/>
        <w:ind w:firstLine="560"/>
        <w:rPr>
          <w:rFonts w:hint="eastAsia" w:ascii="宋体" w:hAnsi="宋体" w:eastAsia="宋体" w:cs="宋体"/>
          <w:lang w:eastAsia="zh-CN"/>
        </w:rPr>
        <w:sectPr>
          <w:footerReference r:id="rId53" w:type="default"/>
          <w:footerReference r:id="rId54" w:type="even"/>
          <w:pgSz w:w="16838" w:h="11905" w:orient="landscape"/>
          <w:pgMar w:top="1587" w:right="1417" w:bottom="1247" w:left="1247" w:header="850" w:footer="794" w:gutter="0"/>
          <w:pgBorders>
            <w:top w:val="none" w:sz="0" w:space="0"/>
            <w:left w:val="none" w:sz="0" w:space="0"/>
            <w:bottom w:val="none" w:sz="0" w:space="0"/>
            <w:right w:val="none" w:sz="0" w:space="0"/>
          </w:pgBorders>
          <w:cols w:space="0" w:num="1"/>
          <w:docGrid w:type="lines" w:linePitch="383" w:charSpace="0"/>
        </w:sectPr>
      </w:pPr>
    </w:p>
    <w:p>
      <w:pPr>
        <w:pStyle w:val="5"/>
        <w:spacing w:before="191" w:after="191"/>
        <w:rPr>
          <w:rFonts w:hint="eastAsia" w:ascii="宋体" w:hAnsi="宋体" w:eastAsia="宋体" w:cs="宋体"/>
          <w:lang w:eastAsia="zh-CN"/>
        </w:rPr>
      </w:pPr>
      <w:bookmarkStart w:id="76" w:name="_Toc2783"/>
      <w:bookmarkStart w:id="77" w:name="_Toc5254"/>
      <w:r>
        <w:rPr>
          <w:rFonts w:hint="eastAsia" w:ascii="宋体" w:hAnsi="宋体" w:eastAsia="宋体" w:cs="宋体"/>
          <w:lang w:eastAsia="zh-CN"/>
        </w:rPr>
        <w:t>第三章 本项目分析</w:t>
      </w:r>
      <w:bookmarkEnd w:id="76"/>
      <w:bookmarkEnd w:id="77"/>
    </w:p>
    <w:p>
      <w:pPr>
        <w:pStyle w:val="6"/>
        <w:rPr>
          <w:rFonts w:hint="eastAsia" w:ascii="宋体" w:hAnsi="宋体" w:eastAsia="宋体" w:cs="宋体"/>
          <w:lang w:eastAsia="zh-CN"/>
        </w:rPr>
      </w:pPr>
      <w:bookmarkStart w:id="78" w:name="_Toc18769"/>
      <w:bookmarkStart w:id="79" w:name="_Toc16670"/>
      <w:r>
        <w:rPr>
          <w:rFonts w:hint="eastAsia" w:ascii="宋体" w:hAnsi="宋体" w:eastAsia="宋体" w:cs="宋体"/>
          <w:lang w:eastAsia="zh-CN"/>
        </w:rPr>
        <w:t>3.1 项目由来</w:t>
      </w:r>
      <w:bookmarkEnd w:id="78"/>
      <w:bookmarkEnd w:id="79"/>
    </w:p>
    <w:p>
      <w:pPr>
        <w:ind w:firstLine="560"/>
        <w:rPr>
          <w:rFonts w:hint="eastAsia" w:ascii="宋体" w:hAnsi="宋体" w:eastAsia="宋体" w:cs="宋体"/>
          <w:lang w:eastAsia="zh-CN"/>
        </w:rPr>
      </w:pPr>
      <w:r>
        <w:rPr>
          <w:rFonts w:hint="eastAsia" w:ascii="宋体" w:hAnsi="宋体" w:eastAsia="宋体" w:cs="宋体"/>
          <w:lang w:eastAsia="zh-CN"/>
        </w:rPr>
        <w:t>矿山建矿之初建有上河和王峪两矿区，分别具有独立的采矿许可证，以露天方式开采，开采标高分别为+100m和+157m以上。经过多年开采，鲁南矿业的露天采场可采产量急剧下降，鲁南矿业开采方式由露天开采转为地下开采。</w:t>
      </w:r>
    </w:p>
    <w:p>
      <w:pPr>
        <w:ind w:firstLine="560"/>
        <w:rPr>
          <w:rFonts w:hint="eastAsia" w:ascii="宋体" w:hAnsi="宋体" w:eastAsia="宋体" w:cs="宋体"/>
          <w:lang w:eastAsia="zh-CN"/>
        </w:rPr>
      </w:pPr>
      <w:r>
        <w:rPr>
          <w:rFonts w:hint="eastAsia" w:ascii="宋体" w:hAnsi="宋体" w:eastAsia="宋体" w:cs="宋体"/>
          <w:lang w:eastAsia="zh-CN"/>
        </w:rPr>
        <w:t>2003年11月，原山东省国土资源厅批准了矿山扩界和变更开采方式，并重新核发了王峪矿区采矿许可证，改为露天/地下开采方式，开采上河和王峪矿段。自此，矿山开始了露天转地下的建设工作。</w:t>
      </w:r>
    </w:p>
    <w:p>
      <w:pPr>
        <w:ind w:firstLine="560"/>
        <w:rPr>
          <w:rFonts w:hint="eastAsia" w:ascii="宋体" w:hAnsi="宋体" w:eastAsia="宋体" w:cs="宋体"/>
          <w:lang w:eastAsia="zh-CN"/>
        </w:rPr>
      </w:pPr>
      <w:r>
        <w:rPr>
          <w:rFonts w:hint="eastAsia" w:ascii="宋体" w:hAnsi="宋体" w:eastAsia="宋体" w:cs="宋体"/>
          <w:lang w:eastAsia="zh-CN"/>
        </w:rPr>
        <w:t>2004年，鲁南矿业委托山东省冶金设计院编制《莱钢集团鲁南矿业有限公司露天转地下开采工程项目环境影响报告书》，报告书中明确“鲁南矿业露天转地下开采工程王峪矿区包括上河矿段（45～57线、-50m~+100m）和王峪矿段（63～75线、+50m~+158m），年产铁矿石100万t，采用上向水平分层充填、分段、爆力运搬采矿法，分两期建设”。上河矿段（一期工程）于2006年开工、2011年竣工，2012年11月完成竣工环境保护验收（批复：鲁环验[2012]201号）。上河矿段开采范围为45～57线、-50m~+100m，年产50万吨。</w:t>
      </w:r>
    </w:p>
    <w:p>
      <w:pPr>
        <w:ind w:firstLine="560"/>
        <w:rPr>
          <w:rFonts w:hint="eastAsia" w:ascii="宋体" w:hAnsi="宋体" w:eastAsia="宋体" w:cs="宋体"/>
          <w:lang w:eastAsia="zh-CN"/>
        </w:rPr>
      </w:pPr>
      <w:r>
        <w:rPr>
          <w:rFonts w:hint="eastAsia" w:ascii="宋体" w:hAnsi="宋体" w:eastAsia="宋体" w:cs="宋体"/>
          <w:lang w:eastAsia="zh-CN"/>
        </w:rPr>
        <w:t>鲁南矿业为进一步了解王峪矿段（二期工程）矿石储量，于2011年6月委托山东正元地质资源勘查有限责任公司对此矿段进行地质勘探，勘探结果：王峪矿段（61线～75线、+157～-50m）保有铁矿石资源储量1394.6万t，TFe34.94%。此次勘探结果相比于2005年勘探结果（王峪矿段（61线～75线）保有铁矿石资源储量716.2万t，TFe34.45%）而言，铁矿石资源储量显著增加，增加的矿石储量主要分布在-50m～+50m之间，故二期工程王峪矿段开采深度</w:t>
      </w:r>
      <w:r>
        <w:rPr>
          <w:rFonts w:hint="eastAsia" w:cs="宋体"/>
          <w:lang w:eastAsia="zh-CN"/>
        </w:rPr>
        <w:t>拟</w:t>
      </w:r>
      <w:r>
        <w:rPr>
          <w:rFonts w:hint="eastAsia" w:ascii="宋体" w:hAnsi="宋体" w:eastAsia="宋体" w:cs="宋体"/>
          <w:lang w:eastAsia="zh-CN"/>
        </w:rPr>
        <w:t>由原来的+50m~+158m变更为-50m~+157m。</w:t>
      </w:r>
    </w:p>
    <w:p>
      <w:pPr>
        <w:ind w:firstLine="560"/>
        <w:rPr>
          <w:rFonts w:hint="eastAsia" w:ascii="宋体" w:hAnsi="宋体" w:eastAsia="宋体" w:cs="宋体"/>
          <w:lang w:eastAsia="zh-CN"/>
        </w:rPr>
      </w:pPr>
      <w:r>
        <w:rPr>
          <w:rFonts w:hint="eastAsia" w:ascii="宋体" w:hAnsi="宋体" w:eastAsia="宋体" w:cs="宋体"/>
          <w:lang w:eastAsia="zh-CN"/>
        </w:rPr>
        <w:t>根据《国务院关于修改&lt;建设项目环境保护管理条例&gt;的决定》（国务院令 第682号，2017年10月1日实施）中第十二条“建设项目环境影响报告书、环境影响报告表经批准后，建设项目的性质、规模、地点、采用的生产工艺或者防治污染、防止生态破坏的措施发生重大变动的，建设单位应当重新报批建设项目环境影响报告书、环境影响报告表”，鲁南矿业露天转地下开采工程（二期/扩界）王峪矿段采矿开采深度由原来的+50m~+158m变更为-50m~+157m，属于重大变动，须重新报批建设项目环境影响报告书。为满足国家和山东省环境保护相关法律法规的要求，莱钢集团鲁南矿业有限公司委托济南浩宏伟业技术咨询有限公司针对露天转地下开采工程（二期/扩界）项目进行环境影响评价。</w:t>
      </w:r>
    </w:p>
    <w:p>
      <w:pPr>
        <w:pStyle w:val="6"/>
        <w:rPr>
          <w:rFonts w:hint="eastAsia" w:ascii="宋体" w:hAnsi="宋体" w:eastAsia="宋体" w:cs="宋体"/>
          <w:lang w:eastAsia="zh-CN"/>
        </w:rPr>
      </w:pPr>
      <w:bookmarkStart w:id="80" w:name="_Toc7862"/>
      <w:bookmarkStart w:id="81" w:name="_Toc23129"/>
      <w:r>
        <w:rPr>
          <w:rFonts w:hint="eastAsia" w:ascii="宋体" w:hAnsi="宋体" w:eastAsia="宋体" w:cs="宋体"/>
          <w:lang w:eastAsia="zh-CN"/>
        </w:rPr>
        <w:t>3.2 项目基本情况</w:t>
      </w:r>
      <w:bookmarkEnd w:id="80"/>
      <w:bookmarkEnd w:id="81"/>
    </w:p>
    <w:p>
      <w:pPr>
        <w:bidi w:val="0"/>
        <w:rPr>
          <w:rFonts w:hint="eastAsia"/>
          <w:lang w:eastAsia="zh-CN"/>
        </w:rPr>
      </w:pPr>
      <w:r>
        <w:rPr>
          <w:rFonts w:hint="eastAsia"/>
          <w:lang w:eastAsia="zh-CN"/>
        </w:rPr>
        <w:t>项目名称：莱钢集团鲁南矿业有限公司露天转地下开采工程（二期/扩界）</w:t>
      </w:r>
    </w:p>
    <w:p>
      <w:pPr>
        <w:bidi w:val="0"/>
        <w:rPr>
          <w:rFonts w:hint="eastAsia"/>
          <w:lang w:eastAsia="zh-CN"/>
        </w:rPr>
      </w:pPr>
      <w:r>
        <w:rPr>
          <w:rFonts w:hint="eastAsia"/>
          <w:lang w:eastAsia="zh-CN"/>
        </w:rPr>
        <w:t>建设性质：扩界，开采矿种为铁</w:t>
      </w:r>
    </w:p>
    <w:p>
      <w:pPr>
        <w:bidi w:val="0"/>
        <w:rPr>
          <w:rFonts w:hint="eastAsia"/>
          <w:lang w:eastAsia="zh-CN"/>
        </w:rPr>
      </w:pPr>
      <w:r>
        <w:rPr>
          <w:rFonts w:hint="eastAsia"/>
          <w:lang w:eastAsia="zh-CN"/>
        </w:rPr>
        <w:t>建设单位：莱钢集团鲁南矿业有限公司</w:t>
      </w:r>
    </w:p>
    <w:p>
      <w:pPr>
        <w:bidi w:val="0"/>
        <w:rPr>
          <w:rFonts w:hint="eastAsia"/>
          <w:lang w:eastAsia="zh-CN"/>
        </w:rPr>
      </w:pPr>
      <w:r>
        <w:rPr>
          <w:rFonts w:hint="eastAsia"/>
          <w:lang w:eastAsia="zh-CN"/>
        </w:rPr>
        <w:t>建设地点：山东省临沂市沂水县和淄博市沂源县交界处沂蒙山区腹地</w:t>
      </w:r>
    </w:p>
    <w:p>
      <w:pPr>
        <w:bidi w:val="0"/>
        <w:rPr>
          <w:rFonts w:hint="eastAsia"/>
          <w:lang w:eastAsia="zh-CN"/>
        </w:rPr>
      </w:pPr>
      <w:r>
        <w:rPr>
          <w:rFonts w:hint="eastAsia"/>
          <w:lang w:eastAsia="zh-CN"/>
        </w:rPr>
        <w:t>行业类别：铁矿采选B081</w:t>
      </w:r>
    </w:p>
    <w:p>
      <w:pPr>
        <w:bidi w:val="0"/>
        <w:rPr>
          <w:rFonts w:hint="eastAsia"/>
          <w:lang w:eastAsia="zh-CN"/>
        </w:rPr>
      </w:pPr>
      <w:r>
        <w:rPr>
          <w:rFonts w:hint="eastAsia"/>
          <w:lang w:eastAsia="zh-CN"/>
        </w:rPr>
        <w:t>产品方案：原矿石50万t/a</w:t>
      </w:r>
    </w:p>
    <w:p>
      <w:pPr>
        <w:bidi w:val="0"/>
        <w:rPr>
          <w:rFonts w:hint="eastAsia"/>
          <w:lang w:eastAsia="zh-CN"/>
        </w:rPr>
      </w:pPr>
      <w:r>
        <w:rPr>
          <w:rFonts w:hint="eastAsia"/>
          <w:lang w:eastAsia="zh-CN"/>
        </w:rPr>
        <w:t>服务年限：矿山服务年限为43年。其中稳产期31年，后期减产期12年（主要为开采露天保护层的矿体）</w:t>
      </w:r>
    </w:p>
    <w:p>
      <w:pPr>
        <w:bidi w:val="0"/>
        <w:rPr>
          <w:rFonts w:hint="eastAsia"/>
          <w:lang w:eastAsia="zh-CN"/>
        </w:rPr>
      </w:pPr>
      <w:r>
        <w:rPr>
          <w:rFonts w:hint="eastAsia"/>
          <w:lang w:eastAsia="zh-CN"/>
        </w:rPr>
        <w:t>总投资：投资19397.48万元</w:t>
      </w:r>
    </w:p>
    <w:p>
      <w:pPr>
        <w:bidi w:val="0"/>
        <w:rPr>
          <w:rFonts w:hint="eastAsia"/>
          <w:lang w:eastAsia="zh-CN"/>
        </w:rPr>
      </w:pPr>
      <w:r>
        <w:rPr>
          <w:rFonts w:hint="eastAsia"/>
          <w:lang w:eastAsia="zh-CN"/>
        </w:rPr>
        <w:t>劳动定员：本工程不新增劳动人员，充分利用现有员工，具体人员安排由公司内部进行调控</w:t>
      </w:r>
    </w:p>
    <w:p>
      <w:pPr>
        <w:bidi w:val="0"/>
        <w:rPr>
          <w:rFonts w:hint="eastAsia"/>
          <w:lang w:eastAsia="zh-CN"/>
        </w:rPr>
      </w:pPr>
      <w:r>
        <w:rPr>
          <w:rFonts w:hint="eastAsia"/>
          <w:lang w:eastAsia="zh-CN"/>
        </w:rPr>
        <w:t>工作制度：矿山采用连续工作制，年工作日330天，每天3班，每班8小时</w:t>
      </w:r>
    </w:p>
    <w:p>
      <w:pPr>
        <w:bidi w:val="0"/>
        <w:rPr>
          <w:rFonts w:hint="eastAsia"/>
          <w:lang w:eastAsia="zh-CN"/>
        </w:rPr>
      </w:pPr>
      <w:r>
        <w:rPr>
          <w:rFonts w:hint="eastAsia"/>
          <w:lang w:eastAsia="zh-CN"/>
        </w:rPr>
        <w:t>主要工程内容：王峪矿段，采矿范围为63线~75线、-50m~+157m。主要建设地下采矿设施、2个风井、1个中央回风井、破碎系统、皮带运输系统等。</w:t>
      </w:r>
    </w:p>
    <w:p>
      <w:pPr>
        <w:pStyle w:val="14"/>
        <w:ind w:firstLine="560"/>
        <w:rPr>
          <w:rFonts w:hint="eastAsia" w:ascii="宋体" w:hAnsi="宋体" w:eastAsia="宋体" w:cs="宋体"/>
          <w:sz w:val="24"/>
          <w:szCs w:val="24"/>
          <w:lang w:val="en-US" w:eastAsia="zh-CN" w:bidi="ar-SA"/>
        </w:rPr>
      </w:pPr>
      <w:r>
        <w:rPr>
          <w:rFonts w:hint="eastAsia" w:ascii="宋体" w:hAnsi="宋体" w:eastAsia="宋体" w:cs="宋体"/>
          <w:sz w:val="24"/>
          <w:szCs w:val="24"/>
          <w:lang w:val="en-US" w:eastAsia="zh-CN" w:bidi="ar-SA"/>
        </w:rPr>
        <w:t>建设现状：本项目处于基建期。</w:t>
      </w:r>
      <w:bookmarkStart w:id="82" w:name="_Toc13685"/>
    </w:p>
    <w:p>
      <w:pPr>
        <w:pStyle w:val="6"/>
        <w:rPr>
          <w:rFonts w:hint="eastAsia" w:ascii="宋体" w:hAnsi="宋体" w:eastAsia="宋体" w:cs="宋体"/>
          <w:lang w:eastAsia="zh-CN"/>
        </w:rPr>
      </w:pPr>
      <w:bookmarkStart w:id="83" w:name="_Toc11303"/>
      <w:r>
        <w:rPr>
          <w:rFonts w:hint="eastAsia" w:ascii="宋体" w:hAnsi="宋体" w:eastAsia="宋体" w:cs="宋体"/>
          <w:lang w:eastAsia="zh-CN"/>
        </w:rPr>
        <w:t>3.3 项目组成</w:t>
      </w:r>
      <w:bookmarkEnd w:id="82"/>
      <w:bookmarkEnd w:id="83"/>
    </w:p>
    <w:p>
      <w:pPr>
        <w:pStyle w:val="14"/>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项目组成情况见表3.3-1。</w:t>
      </w:r>
    </w:p>
    <w:p>
      <w:pPr>
        <w:pStyle w:val="14"/>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表3.3-1 项目组成一览表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808"/>
        <w:gridCol w:w="6393"/>
        <w:gridCol w:w="1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3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名称</w:t>
            </w: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工程</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本工程建设内容</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主体工程</w:t>
            </w: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开采方式</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矿井开采方式为地下开采，采用的主要采矿方法主要有四种，分别为上向水平分层充填采矿法、浅孔留矿法（嗣后充填）、分段空场（嗣后充填）采矿法、阶段空场（嗣后充填）采矿法。</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开采范围</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王峪矿段，采矿范围为：63线~75线、-50m~+157m。</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王峪矿段的开采顺序为：－50m～±0m→±0m～＋70m→＋70m～＋122m→＋122m～＋157m（露天坑底保护层）</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开采规模</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50万t/a</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cs="宋体"/>
                <w:sz w:val="21"/>
                <w:szCs w:val="21"/>
                <w:lang w:eastAsia="zh-CN"/>
              </w:rPr>
              <w:t>目前</w:t>
            </w:r>
            <w:r>
              <w:rPr>
                <w:rFonts w:hint="eastAsia" w:ascii="宋体" w:hAnsi="宋体" w:eastAsia="宋体" w:cs="宋体"/>
                <w:sz w:val="21"/>
                <w:szCs w:val="21"/>
                <w:lang w:eastAsia="zh-CN"/>
              </w:rPr>
              <w:t>上河矿段为50万t/a，合计100万t/a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开拓提升系统</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b/>
                <w:bCs/>
                <w:sz w:val="21"/>
                <w:szCs w:val="21"/>
                <w:lang w:eastAsia="zh-CN"/>
              </w:rPr>
              <w:t>①、王峪南风井</w:t>
            </w:r>
            <w:r>
              <w:rPr>
                <w:rFonts w:hint="eastAsia" w:ascii="宋体" w:hAnsi="宋体" w:eastAsia="宋体" w:cs="宋体"/>
                <w:sz w:val="21"/>
                <w:szCs w:val="21"/>
                <w:lang w:eastAsia="zh-CN"/>
              </w:rPr>
              <w:t>：布置在75～76之间的南部工业场地、矿体下盘岩石移动界线之外30m处。井筒净直径5.0m，净断面19.63m</w:t>
            </w:r>
            <w:r>
              <w:rPr>
                <w:rFonts w:hint="eastAsia" w:ascii="宋体" w:hAnsi="宋体" w:eastAsia="宋体" w:cs="宋体"/>
                <w:sz w:val="21"/>
                <w:szCs w:val="21"/>
                <w:vertAlign w:val="superscript"/>
                <w:lang w:eastAsia="zh-CN"/>
              </w:rPr>
              <w:t>2</w:t>
            </w:r>
            <w:r>
              <w:rPr>
                <w:rFonts w:hint="eastAsia" w:ascii="宋体" w:hAnsi="宋体" w:eastAsia="宋体" w:cs="宋体"/>
                <w:sz w:val="21"/>
                <w:szCs w:val="21"/>
                <w:lang w:eastAsia="zh-CN"/>
              </w:rPr>
              <w:t>，采用砌筑砼支护，支护厚度350mm（井筒段）。主要担负王峪矿段进风任务，同时兼作井下安全出口。井口标高为+209.5m，井底标高为-50m，井深259.5m。</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b/>
                <w:bCs/>
                <w:sz w:val="21"/>
                <w:szCs w:val="21"/>
                <w:lang w:eastAsia="zh-CN"/>
              </w:rPr>
              <w:t>②、王峪中央回风井：</w:t>
            </w:r>
            <w:r>
              <w:rPr>
                <w:rFonts w:hint="eastAsia" w:ascii="宋体" w:hAnsi="宋体" w:eastAsia="宋体" w:cs="宋体"/>
                <w:sz w:val="21"/>
                <w:szCs w:val="21"/>
                <w:lang w:eastAsia="zh-CN"/>
              </w:rPr>
              <w:t>布置在69线东侧的中央工业场地、矿体下盘岩石移动界线之外20m处。井筒净直径4.0m，净断面12.57m</w:t>
            </w:r>
            <w:r>
              <w:rPr>
                <w:rFonts w:hint="eastAsia" w:ascii="宋体" w:hAnsi="宋体" w:eastAsia="宋体" w:cs="宋体"/>
                <w:sz w:val="21"/>
                <w:szCs w:val="21"/>
                <w:vertAlign w:val="superscript"/>
                <w:lang w:eastAsia="zh-CN"/>
              </w:rPr>
              <w:t>2</w:t>
            </w:r>
            <w:r>
              <w:rPr>
                <w:rFonts w:hint="eastAsia" w:ascii="宋体" w:hAnsi="宋体" w:eastAsia="宋体" w:cs="宋体"/>
                <w:sz w:val="21"/>
                <w:szCs w:val="21"/>
                <w:lang w:eastAsia="zh-CN"/>
              </w:rPr>
              <w:t>，采用砌筑砼支护，支护厚度250mm（井筒段）。主要担负王峪矿段回风任务，同时兼作井下安全出口。井口标高为+220m，井底标高为±0m，井深220m。</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b/>
                <w:bCs/>
                <w:sz w:val="21"/>
                <w:szCs w:val="21"/>
                <w:lang w:eastAsia="zh-CN"/>
              </w:rPr>
              <w:t>③、王峪北风井：</w:t>
            </w:r>
            <w:r>
              <w:rPr>
                <w:rFonts w:hint="eastAsia" w:ascii="宋体" w:hAnsi="宋体" w:eastAsia="宋体" w:cs="宋体"/>
                <w:sz w:val="21"/>
                <w:szCs w:val="21"/>
                <w:lang w:eastAsia="zh-CN"/>
              </w:rPr>
              <w:t>布置在65线东侧的北部工业场地矿体下盘岩石移动界线之外20m处。井筒净直径4.0m，净断面12.57m</w:t>
            </w:r>
            <w:r>
              <w:rPr>
                <w:rFonts w:hint="eastAsia" w:ascii="宋体" w:hAnsi="宋体" w:eastAsia="宋体" w:cs="宋体"/>
                <w:sz w:val="21"/>
                <w:szCs w:val="21"/>
                <w:vertAlign w:val="superscript"/>
                <w:lang w:eastAsia="zh-CN"/>
              </w:rPr>
              <w:t>2</w:t>
            </w:r>
            <w:r>
              <w:rPr>
                <w:rFonts w:hint="eastAsia" w:ascii="宋体" w:hAnsi="宋体" w:eastAsia="宋体" w:cs="宋体"/>
                <w:sz w:val="21"/>
                <w:szCs w:val="21"/>
                <w:lang w:eastAsia="zh-CN"/>
              </w:rPr>
              <w:t>，采用砌筑砼支护，支护厚度250mm（井筒段）。主要担负王峪矿段进风任务。井口标高为+218.38m，井底标高为-50m，井深268.38m。</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b/>
                <w:bCs/>
                <w:sz w:val="21"/>
                <w:szCs w:val="21"/>
                <w:lang w:eastAsia="zh-CN"/>
              </w:rPr>
              <w:t>④、皮带运输斜井：</w:t>
            </w:r>
            <w:r>
              <w:rPr>
                <w:rFonts w:hint="eastAsia" w:ascii="宋体" w:hAnsi="宋体" w:eastAsia="宋体" w:cs="宋体"/>
                <w:sz w:val="21"/>
                <w:szCs w:val="21"/>
                <w:lang w:eastAsia="zh-CN"/>
              </w:rPr>
              <w:t>井口布置在鲁南矿业选矿厂附近，井口中心坐标为X=3980488.774，Y=39631821.826，Z=187m；井底标高为-50m。斜井净宽4.2m，高3.2m，皮带宽度1.0m，运量350t/h。主要担负上河矿段及王峪矿段±0m以上水平矿石提升任务。</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粗碎系统</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bidi="ar"/>
              </w:rPr>
            </w:pPr>
            <w:r>
              <w:rPr>
                <w:rFonts w:hint="eastAsia" w:ascii="宋体" w:hAnsi="宋体" w:eastAsia="宋体" w:cs="宋体"/>
                <w:kern w:val="2"/>
                <w:sz w:val="21"/>
                <w:szCs w:val="21"/>
                <w:lang w:eastAsia="zh-CN" w:bidi="ar"/>
              </w:rPr>
              <w:t>矿山井下-30m处设置粗碎站，粗碎站上部设1个贮矿仓，下部设1个成品料仓贮存破碎后矿石。用于破碎原矿，破碎后矿石粒度≤250mm，通过皮带运输井直接输送至选矿厂。</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bidi="ar"/>
              </w:rPr>
            </w:pPr>
            <w:r>
              <w:rPr>
                <w:rFonts w:hint="eastAsia" w:ascii="宋体" w:hAnsi="宋体" w:eastAsia="宋体" w:cs="宋体"/>
                <w:kern w:val="2"/>
                <w:sz w:val="21"/>
                <w:szCs w:val="21"/>
                <w:lang w:eastAsia="zh-CN" w:bidi="ar"/>
              </w:rPr>
              <w:t>破碎机运行时间为6小时/班,，3班/天。</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运输系统</w:t>
            </w:r>
          </w:p>
        </w:tc>
        <w:tc>
          <w:tcPr>
            <w:tcW w:w="332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bidi="ar"/>
              </w:rPr>
              <w:t>井下运输采用电机车窄轨铁路运输，轨距762mm，轨重30、38kg/m，线路坡度3‰。</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bidi="ar"/>
              </w:rPr>
            </w:pPr>
            <w:r>
              <w:rPr>
                <w:rFonts w:hint="eastAsia" w:ascii="宋体" w:hAnsi="宋体" w:eastAsia="宋体" w:cs="宋体"/>
                <w:kern w:val="2"/>
                <w:sz w:val="21"/>
                <w:szCs w:val="21"/>
                <w:lang w:eastAsia="zh-CN" w:bidi="ar"/>
              </w:rPr>
              <w:t>坑内</w:t>
            </w:r>
            <w:r>
              <w:rPr>
                <w:rFonts w:hint="eastAsia" w:ascii="宋体" w:hAnsi="宋体" w:eastAsia="宋体" w:cs="宋体"/>
                <w:spacing w:val="20"/>
                <w:kern w:val="2"/>
                <w:sz w:val="21"/>
                <w:szCs w:val="21"/>
                <w:lang w:eastAsia="zh-CN" w:bidi="ar"/>
              </w:rPr>
              <w:t>运输主要有原矿</w:t>
            </w:r>
            <w:r>
              <w:rPr>
                <w:rFonts w:hint="eastAsia" w:ascii="宋体" w:hAnsi="宋体" w:eastAsia="宋体" w:cs="宋体"/>
                <w:kern w:val="2"/>
                <w:sz w:val="21"/>
                <w:szCs w:val="21"/>
                <w:lang w:eastAsia="zh-CN" w:bidi="ar"/>
              </w:rPr>
              <w:t>运输、掘进废</w:t>
            </w:r>
            <w:r>
              <w:rPr>
                <w:rFonts w:hint="eastAsia" w:ascii="宋体" w:hAnsi="宋体" w:eastAsia="宋体" w:cs="宋体"/>
                <w:spacing w:val="20"/>
                <w:kern w:val="2"/>
                <w:sz w:val="21"/>
                <w:szCs w:val="21"/>
                <w:lang w:eastAsia="zh-CN" w:bidi="ar"/>
              </w:rPr>
              <w:t>石运输</w:t>
            </w:r>
            <w:r>
              <w:rPr>
                <w:rFonts w:hint="eastAsia" w:ascii="宋体" w:hAnsi="宋体" w:eastAsia="宋体" w:cs="宋体"/>
                <w:kern w:val="2"/>
                <w:sz w:val="21"/>
                <w:szCs w:val="21"/>
                <w:lang w:eastAsia="zh-CN" w:bidi="ar"/>
              </w:rPr>
              <w:t>。原矿采用14t和10t电机车牵引2m</w:t>
            </w:r>
            <w:r>
              <w:rPr>
                <w:rFonts w:hint="eastAsia" w:ascii="宋体" w:hAnsi="宋体" w:eastAsia="宋体" w:cs="宋体"/>
                <w:kern w:val="2"/>
                <w:sz w:val="21"/>
                <w:szCs w:val="21"/>
                <w:vertAlign w:val="superscript"/>
                <w:lang w:eastAsia="zh-CN" w:bidi="ar"/>
              </w:rPr>
              <w:t>3</w:t>
            </w:r>
            <w:r>
              <w:rPr>
                <w:rFonts w:hint="eastAsia" w:ascii="宋体" w:hAnsi="宋体" w:eastAsia="宋体" w:cs="宋体"/>
                <w:kern w:val="2"/>
                <w:sz w:val="21"/>
                <w:szCs w:val="21"/>
                <w:lang w:eastAsia="zh-CN" w:bidi="ar"/>
              </w:rPr>
              <w:t>曲</w:t>
            </w:r>
            <w:r>
              <w:rPr>
                <w:rFonts w:hint="eastAsia" w:ascii="宋体" w:hAnsi="宋体" w:eastAsia="宋体" w:cs="宋体"/>
                <w:spacing w:val="20"/>
                <w:kern w:val="2"/>
                <w:sz w:val="21"/>
                <w:szCs w:val="21"/>
                <w:lang w:eastAsia="zh-CN" w:bidi="ar"/>
              </w:rPr>
              <w:t>轨侧卸式矿车和</w:t>
            </w:r>
            <w:r>
              <w:rPr>
                <w:rFonts w:hint="eastAsia" w:ascii="宋体" w:hAnsi="宋体" w:eastAsia="宋体" w:cs="宋体"/>
                <w:kern w:val="2"/>
                <w:sz w:val="21"/>
                <w:szCs w:val="21"/>
                <w:lang w:eastAsia="zh-CN" w:bidi="ar"/>
              </w:rPr>
              <w:t>4m</w:t>
            </w:r>
            <w:r>
              <w:rPr>
                <w:rFonts w:hint="eastAsia" w:ascii="宋体" w:hAnsi="宋体" w:eastAsia="宋体" w:cs="宋体"/>
                <w:kern w:val="2"/>
                <w:sz w:val="21"/>
                <w:szCs w:val="21"/>
                <w:vertAlign w:val="superscript"/>
                <w:lang w:eastAsia="zh-CN" w:bidi="ar"/>
              </w:rPr>
              <w:t>3</w:t>
            </w:r>
            <w:r>
              <w:rPr>
                <w:rFonts w:hint="eastAsia" w:ascii="宋体" w:hAnsi="宋体" w:eastAsia="宋体" w:cs="宋体"/>
                <w:kern w:val="2"/>
                <w:sz w:val="21"/>
                <w:szCs w:val="21"/>
                <w:lang w:eastAsia="zh-CN" w:bidi="ar"/>
              </w:rPr>
              <w:t>底</w:t>
            </w:r>
            <w:r>
              <w:rPr>
                <w:rFonts w:hint="eastAsia" w:ascii="宋体" w:hAnsi="宋体" w:eastAsia="宋体" w:cs="宋体"/>
                <w:spacing w:val="20"/>
                <w:kern w:val="2"/>
                <w:sz w:val="21"/>
                <w:szCs w:val="21"/>
                <w:lang w:eastAsia="zh-CN" w:bidi="ar"/>
              </w:rPr>
              <w:t>侧卸式矿车运输；废石</w:t>
            </w:r>
            <w:r>
              <w:rPr>
                <w:rFonts w:hint="eastAsia" w:ascii="宋体" w:hAnsi="宋体" w:eastAsia="宋体" w:cs="宋体"/>
                <w:kern w:val="2"/>
                <w:sz w:val="21"/>
                <w:szCs w:val="21"/>
                <w:lang w:eastAsia="zh-CN" w:bidi="ar"/>
              </w:rPr>
              <w:t>采用10t电机车牵引1.1m</w:t>
            </w:r>
            <w:r>
              <w:rPr>
                <w:rFonts w:hint="eastAsia" w:ascii="宋体" w:hAnsi="宋体" w:eastAsia="宋体" w:cs="宋体"/>
                <w:kern w:val="2"/>
                <w:sz w:val="21"/>
                <w:szCs w:val="21"/>
                <w:vertAlign w:val="superscript"/>
                <w:lang w:eastAsia="zh-CN" w:bidi="ar"/>
              </w:rPr>
              <w:t>3</w:t>
            </w:r>
            <w:r>
              <w:rPr>
                <w:rFonts w:hint="eastAsia" w:ascii="宋体" w:hAnsi="宋体" w:eastAsia="宋体" w:cs="宋体"/>
                <w:kern w:val="2"/>
                <w:sz w:val="21"/>
                <w:szCs w:val="21"/>
                <w:lang w:eastAsia="zh-CN" w:bidi="ar"/>
              </w:rPr>
              <w:t>翻转式矿车运输。</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bidi="ar"/>
              </w:rPr>
            </w:pPr>
            <w:r>
              <w:rPr>
                <w:rFonts w:hint="eastAsia" w:ascii="宋体" w:hAnsi="宋体" w:eastAsia="宋体" w:cs="宋体"/>
                <w:kern w:val="2"/>
                <w:sz w:val="21"/>
                <w:szCs w:val="21"/>
                <w:lang w:eastAsia="zh-CN" w:bidi="ar"/>
              </w:rPr>
              <w:t>矿石通过皮带运输斜井运输至选矿厂。</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新建井下运输设备及运输管道。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排水系统</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王峪矿段设置3座排水泵站，分别为－50m水平泵站、+100m水平泵站和露天坑排水泵站。</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通风系统</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王峪矿段通风系统为中央对角式通风系统，采用抽出式通风方式。新鲜风流分别由王峪南、北进风井进入井下，经井下各中段运输巷、水平联络巷、通风联络巷进入采场，后经采场通风天井、回风联络巷进入王峪中央回风井排出地表。风机安装于王峪中央回风井地表井口。</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压气系统</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在地表王峪矿段中央回风井附近设1座集中压气站，压气站内有SA132A型空压机4台（排气量24m</w:t>
            </w:r>
            <w:r>
              <w:rPr>
                <w:rFonts w:hint="eastAsia" w:ascii="宋体" w:hAnsi="宋体" w:eastAsia="宋体" w:cs="宋体"/>
                <w:sz w:val="21"/>
                <w:szCs w:val="21"/>
                <w:vertAlign w:val="superscript"/>
                <w:lang w:eastAsia="zh-CN"/>
              </w:rPr>
              <w:t>3</w:t>
            </w:r>
            <w:r>
              <w:rPr>
                <w:rFonts w:hint="eastAsia" w:ascii="宋体" w:hAnsi="宋体" w:eastAsia="宋体" w:cs="宋体"/>
                <w:sz w:val="21"/>
                <w:szCs w:val="21"/>
                <w:lang w:eastAsia="zh-CN"/>
              </w:rPr>
              <w:t>/min，排气压力0.8MPa，电机功率132kW，3用一备）。</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充填系统</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依托现有主副井充填站和尾矿库内充填站</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辅助系统</w:t>
            </w: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采矿废石运输</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基建期废石提升至地表，采用汽车运至排土场；生产期废石不出井，充填采空区。</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公用工程</w:t>
            </w: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供水</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生活用水由鲁南矿业供水系统供给，水源为王峪采场蓄水；采矿生产用水来自矿井涌水。</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供热</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冬季采暖利用空气源热泵供暖。</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供电</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上河矿段矿区井口附近新建35kV地面变电站一座。主工业场地布置</w:t>
            </w:r>
            <w:r>
              <w:rPr>
                <w:rFonts w:hint="eastAsia" w:cs="宋体"/>
                <w:sz w:val="21"/>
                <w:szCs w:val="21"/>
                <w:lang w:val="en-US" w:eastAsia="zh-CN"/>
              </w:rPr>
              <w:t>6kV</w:t>
            </w:r>
            <w:r>
              <w:rPr>
                <w:rFonts w:hint="eastAsia" w:ascii="宋体" w:hAnsi="宋体" w:eastAsia="宋体" w:cs="宋体"/>
                <w:sz w:val="21"/>
                <w:szCs w:val="21"/>
                <w:lang w:eastAsia="zh-CN"/>
              </w:rPr>
              <w:t>高配室一座，-50m 和±0m 中段采区硐室内变电所、空压机。</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依托现有工程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储运工程</w:t>
            </w: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原矿</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井下矿石通过皮带运输至选矿厂进行生产，部分矿石堆存在矿石堆场。</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油类</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油类储存于厂区内油库</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爆破器材</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矿山目前在上河矿段-50m水平建有井下爆破器材分库一个</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危废</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危废储存于厂区内危废间。</w:t>
            </w:r>
          </w:p>
        </w:tc>
        <w:tc>
          <w:tcPr>
            <w:tcW w:w="91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依托现有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环保工程</w:t>
            </w: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废水</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矿井涌水收集至涌水池后，全部回用于选矿厂，不外排。</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生活污水集中处理后，回用于厂区绿化。</w:t>
            </w:r>
          </w:p>
        </w:tc>
        <w:tc>
          <w:tcPr>
            <w:tcW w:w="91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废气</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井下开采废气：合理建设炸药用量、洒水、通风；</w:t>
            </w:r>
          </w:p>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矿石通过皮带密闭运输，减少扬尘产生。</w:t>
            </w:r>
          </w:p>
        </w:tc>
        <w:tc>
          <w:tcPr>
            <w:tcW w:w="91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主要设备位于井下、减振、隔声、消声</w:t>
            </w:r>
          </w:p>
        </w:tc>
        <w:tc>
          <w:tcPr>
            <w:tcW w:w="91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8"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p>
        </w:tc>
        <w:tc>
          <w:tcPr>
            <w:tcW w:w="420"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固废</w:t>
            </w:r>
          </w:p>
        </w:tc>
        <w:tc>
          <w:tcPr>
            <w:tcW w:w="3322"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废石不出坑，直接充填采空区；废机油及废润滑油等危废暂存危废间，并委托有资质单位处理；生活垃圾集中收集后，委托环卫部门处置。</w:t>
            </w:r>
          </w:p>
        </w:tc>
        <w:tc>
          <w:tcPr>
            <w:tcW w:w="91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bl>
    <w:p>
      <w:pPr>
        <w:pStyle w:val="6"/>
        <w:rPr>
          <w:rFonts w:hint="eastAsia" w:ascii="宋体" w:hAnsi="宋体" w:eastAsia="宋体" w:cs="宋体"/>
          <w:lang w:eastAsia="zh-CN"/>
        </w:rPr>
      </w:pPr>
      <w:bookmarkStart w:id="84" w:name="_Toc24614"/>
      <w:bookmarkStart w:id="85" w:name="_Toc24495"/>
      <w:r>
        <w:rPr>
          <w:rFonts w:hint="eastAsia" w:ascii="宋体" w:hAnsi="宋体" w:eastAsia="宋体" w:cs="宋体"/>
          <w:lang w:eastAsia="zh-CN"/>
        </w:rPr>
        <w:t>3.4 主要经济技术指标</w:t>
      </w:r>
      <w:bookmarkEnd w:id="84"/>
      <w:bookmarkEnd w:id="85"/>
    </w:p>
    <w:p>
      <w:pPr>
        <w:pStyle w:val="14"/>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表3.4-1 主要经济技术指标一览表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3551"/>
        <w:gridCol w:w="1299"/>
        <w:gridCol w:w="1786"/>
        <w:gridCol w:w="21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指标名称</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单位</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数量</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一</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矿山地质</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矿区保有资源储量</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万t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4300.1</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设计不利用资源储量</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万t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100</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设计利用资源储量</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万t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4200.1</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矿石地质品位：</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TFe平均品位</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35.19</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二</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采矿</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矿山生产能力（原矿）</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万t/a</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cs="宋体"/>
                <w:sz w:val="21"/>
                <w:szCs w:val="21"/>
                <w:lang w:val="en-US" w:eastAsia="zh-CN"/>
              </w:rPr>
              <w:t>50</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矿山服务年限</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a</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43</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矿山基建工程量</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30965.58</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基建掘进工程量</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w:t>
            </w:r>
            <w:r>
              <w:rPr>
                <w:rFonts w:hint="eastAsia" w:ascii="宋体" w:hAnsi="宋体" w:eastAsia="宋体" w:cs="宋体"/>
                <w:sz w:val="21"/>
                <w:szCs w:val="21"/>
                <w:vertAlign w:val="superscript"/>
                <w:lang w:eastAsia="zh-CN"/>
              </w:rPr>
              <w:t>3</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339208.76</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开拓方式：</w:t>
            </w:r>
          </w:p>
        </w:tc>
        <w:tc>
          <w:tcPr>
            <w:tcW w:w="2727" w:type="pct"/>
            <w:gridSpan w:val="3"/>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竖井+辅助斜坡道+皮带运输系统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阶段段高</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m</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50~75</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7</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矿块矿石回采率</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88.65</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加权平均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8</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采出矿石贫化率</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15.92</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加权平均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9</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设计采出资源量</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万t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3260.83</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10</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采出原矿总量</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万t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3878.24</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restar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11</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采出原矿品位：</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vMerge w:val="continue"/>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TFe平均品位</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29.82</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12</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矿山回采率</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90.2</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三</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选矿</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选矿金属回收率</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铁精矿回收率</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95</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精矿品位</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TFe；</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65</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成品矿</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万/a</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27"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84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铁精矿量：</w:t>
            </w:r>
          </w:p>
        </w:tc>
        <w:tc>
          <w:tcPr>
            <w:tcW w:w="675"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万t/a</w:t>
            </w:r>
          </w:p>
        </w:tc>
        <w:tc>
          <w:tcPr>
            <w:tcW w:w="928"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26.04</w:t>
            </w:r>
          </w:p>
        </w:tc>
        <w:tc>
          <w:tcPr>
            <w:tcW w:w="1123" w:type="pct"/>
            <w:tcBorders>
              <w:tl2br w:val="nil"/>
              <w:tr2bl w:val="nil"/>
            </w:tcBorders>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bl>
    <w:p>
      <w:pPr>
        <w:pStyle w:val="6"/>
        <w:rPr>
          <w:rFonts w:hint="eastAsia" w:ascii="宋体" w:hAnsi="宋体" w:eastAsia="宋体" w:cs="宋体"/>
          <w:lang w:eastAsia="zh-CN"/>
        </w:rPr>
      </w:pPr>
      <w:bookmarkStart w:id="86" w:name="_Toc24485"/>
      <w:bookmarkStart w:id="87" w:name="_Toc24198"/>
      <w:r>
        <w:rPr>
          <w:rFonts w:hint="eastAsia" w:ascii="宋体" w:hAnsi="宋体" w:eastAsia="宋体" w:cs="宋体"/>
          <w:lang w:eastAsia="zh-CN"/>
        </w:rPr>
        <w:t>3.5 总平面布置图</w:t>
      </w:r>
      <w:bookmarkEnd w:id="86"/>
      <w:bookmarkEnd w:id="87"/>
    </w:p>
    <w:p>
      <w:pPr>
        <w:bidi w:val="0"/>
        <w:rPr>
          <w:rFonts w:hint="eastAsia"/>
          <w:lang w:eastAsia="zh-CN"/>
        </w:rPr>
      </w:pPr>
      <w:r>
        <w:rPr>
          <w:rFonts w:hint="eastAsia"/>
          <w:lang w:eastAsia="zh-CN"/>
        </w:rPr>
        <w:t>本工程地表工业场地主要有王峪矿段南风井、王峪矿段北风井、王峪矿段中央回风井、皮带运输系统等。王峪矿段从西北向东南依次布设北风井、中央回风井、南风井，其中南风井的东侧设置地下涌水池，皮带运输系统从王峪矿段东南边缘地下引出至选矿厂。王峪矿段地面场地平面布置图详见图3.5-1。</w:t>
      </w:r>
    </w:p>
    <w:p>
      <w:pPr>
        <w:pStyle w:val="6"/>
        <w:rPr>
          <w:rFonts w:hint="eastAsia" w:ascii="宋体" w:hAnsi="宋体" w:eastAsia="宋体" w:cs="宋体"/>
          <w:lang w:eastAsia="zh-CN"/>
        </w:rPr>
      </w:pPr>
      <w:bookmarkStart w:id="88" w:name="_Toc15716"/>
      <w:bookmarkStart w:id="89" w:name="_Toc6369"/>
      <w:r>
        <w:rPr>
          <w:rFonts w:hint="eastAsia" w:ascii="宋体" w:hAnsi="宋体" w:eastAsia="宋体" w:cs="宋体"/>
          <w:lang w:eastAsia="zh-CN"/>
        </w:rPr>
        <w:t>3.6 主要设备</w:t>
      </w:r>
      <w:bookmarkEnd w:id="88"/>
      <w:bookmarkEnd w:id="89"/>
    </w:p>
    <w:p>
      <w:pPr>
        <w:pStyle w:val="14"/>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表3.6-1 主要设备一览表</w:t>
      </w:r>
    </w:p>
    <w:tbl>
      <w:tblPr>
        <w:tblStyle w:val="2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2629"/>
        <w:gridCol w:w="1923"/>
        <w:gridCol w:w="1923"/>
        <w:gridCol w:w="19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bidi="ar"/>
              </w:rPr>
              <w:t>序号</w:t>
            </w:r>
          </w:p>
        </w:tc>
        <w:tc>
          <w:tcPr>
            <w:tcW w:w="136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bidi="ar"/>
              </w:rPr>
              <w:t>设备规格及名称</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bidi="ar"/>
              </w:rPr>
              <w:t>规格型号</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bidi="ar"/>
              </w:rPr>
              <w:t>数量（台）</w:t>
            </w:r>
          </w:p>
        </w:tc>
        <w:tc>
          <w:tcPr>
            <w:tcW w:w="10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潜孔钻机</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KQG-150</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电动铲运机</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2m³</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4台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3</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山特维克凿岩台车</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DD210</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4</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柴油铲运机</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2m³</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移动破碎锤</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GT60</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矿车</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2m³</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50</w:t>
            </w:r>
            <w:r>
              <w:rPr>
                <w:rFonts w:hint="eastAsia" w:ascii="宋体" w:hAnsi="宋体" w:eastAsia="宋体" w:cs="宋体"/>
                <w:sz w:val="21"/>
                <w:szCs w:val="21"/>
              </w:rPr>
              <w:t>辆</w:t>
            </w:r>
          </w:p>
        </w:tc>
        <w:tc>
          <w:tcPr>
            <w:tcW w:w="10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6辆备用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7</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电机车</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10t</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4辆</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1辆备用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8</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浅孔凿岩机</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YT28型</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9</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多级离心泵</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MD200-50×6(P)</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10</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螺杆空气压缩机</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SA132A-10G-C</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11</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轴流风机</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FKCDZno28×160</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12</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变压器</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SCB10-800</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3台</w:t>
            </w:r>
          </w:p>
        </w:tc>
        <w:tc>
          <w:tcPr>
            <w:tcW w:w="1000"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13</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颚式破碎机</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CJ412</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1台</w:t>
            </w:r>
          </w:p>
        </w:tc>
        <w:tc>
          <w:tcPr>
            <w:tcW w:w="1000" w:type="pct"/>
            <w:vMerge w:val="restar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井下粗碎装置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14</w:t>
            </w:r>
          </w:p>
        </w:tc>
        <w:tc>
          <w:tcPr>
            <w:tcW w:w="1366"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棒条给料机</w:t>
            </w:r>
          </w:p>
        </w:tc>
        <w:tc>
          <w:tcPr>
            <w:tcW w:w="99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SV1262型</w:t>
            </w:r>
          </w:p>
        </w:tc>
        <w:tc>
          <w:tcPr>
            <w:tcW w:w="999" w:type="pct"/>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1台</w:t>
            </w:r>
          </w:p>
        </w:tc>
        <w:tc>
          <w:tcPr>
            <w:tcW w:w="1000" w:type="pct"/>
            <w:vMerge w:val="continue"/>
            <w:tcBorders>
              <w:tl2br w:val="nil"/>
              <w:tr2bl w:val="nil"/>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p>
        </w:tc>
      </w:tr>
    </w:tbl>
    <w:p>
      <w:pPr>
        <w:pStyle w:val="6"/>
        <w:rPr>
          <w:rFonts w:hint="eastAsia" w:ascii="宋体" w:hAnsi="宋体" w:eastAsia="宋体" w:cs="宋体"/>
          <w:lang w:eastAsia="zh-CN"/>
        </w:rPr>
      </w:pPr>
      <w:bookmarkStart w:id="90" w:name="_Toc30429"/>
      <w:bookmarkStart w:id="91" w:name="_Toc17250"/>
      <w:r>
        <w:rPr>
          <w:rFonts w:hint="eastAsia" w:ascii="宋体" w:hAnsi="宋体" w:eastAsia="宋体" w:cs="宋体"/>
          <w:lang w:eastAsia="zh-CN"/>
        </w:rPr>
        <w:t>3.7 主要原辅材料</w:t>
      </w:r>
      <w:bookmarkEnd w:id="90"/>
      <w:bookmarkEnd w:id="91"/>
    </w:p>
    <w:p>
      <w:pPr>
        <w:ind w:firstLine="560"/>
        <w:rPr>
          <w:rFonts w:hint="eastAsia" w:ascii="宋体" w:hAnsi="宋体" w:eastAsia="宋体" w:cs="宋体"/>
          <w:lang w:eastAsia="zh-CN"/>
        </w:rPr>
      </w:pPr>
      <w:r>
        <w:rPr>
          <w:rFonts w:hint="eastAsia" w:ascii="宋体" w:hAnsi="宋体" w:eastAsia="宋体" w:cs="宋体"/>
          <w:lang w:eastAsia="zh-CN"/>
        </w:rPr>
        <w:t>井下矿石开采主要消耗原辅料为炸药和导爆管，原辅材料消耗量见表3.7-1。</w:t>
      </w:r>
    </w:p>
    <w:p>
      <w:pPr>
        <w:pStyle w:val="16"/>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表3.7-1 本工程采矿原辅材料消耗一览表</w:t>
      </w:r>
    </w:p>
    <w:tbl>
      <w:tblPr>
        <w:tblStyle w:val="25"/>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346"/>
        <w:gridCol w:w="1517"/>
        <w:gridCol w:w="1517"/>
        <w:gridCol w:w="2201"/>
        <w:gridCol w:w="2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序号</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名称</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单位</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用量</w:t>
            </w:r>
          </w:p>
        </w:tc>
        <w:tc>
          <w:tcPr>
            <w:tcW w:w="11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储运方式</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乳化炸药</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kg/a</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1251158</w:t>
            </w:r>
          </w:p>
        </w:tc>
        <w:tc>
          <w:tcPr>
            <w:tcW w:w="1145" w:type="pct"/>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专车运输，并存放于上河矿段-50m水平的井下爆破器材分库</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雷管发</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发/a</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675714</w:t>
            </w:r>
          </w:p>
        </w:tc>
        <w:tc>
          <w:tcPr>
            <w:tcW w:w="1145"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3</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导爆索</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m/a</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1131852</w:t>
            </w:r>
          </w:p>
        </w:tc>
        <w:tc>
          <w:tcPr>
            <w:tcW w:w="1145"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柴油</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kg/a</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305996</w:t>
            </w:r>
          </w:p>
        </w:tc>
        <w:tc>
          <w:tcPr>
            <w:tcW w:w="114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储存位置：加油站</w:t>
            </w:r>
          </w:p>
        </w:tc>
        <w:tc>
          <w:tcPr>
            <w:tcW w:w="116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50m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柴油罐4个；最大储存量40t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机油</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kg/a</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61199</w:t>
            </w:r>
          </w:p>
        </w:tc>
        <w:tc>
          <w:tcPr>
            <w:tcW w:w="1145"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储存位置：北仓库</w:t>
            </w:r>
          </w:p>
        </w:tc>
        <w:tc>
          <w:tcPr>
            <w:tcW w:w="116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规格100kg/桶；最大储存量1t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液压油</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kg/a</w:t>
            </w:r>
          </w:p>
        </w:tc>
        <w:tc>
          <w:tcPr>
            <w:tcW w:w="78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6120</w:t>
            </w:r>
          </w:p>
        </w:tc>
        <w:tc>
          <w:tcPr>
            <w:tcW w:w="1145"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16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r>
    </w:tbl>
    <w:p>
      <w:pPr>
        <w:pStyle w:val="6"/>
        <w:rPr>
          <w:rFonts w:hint="eastAsia" w:ascii="宋体" w:hAnsi="宋体" w:eastAsia="宋体" w:cs="宋体"/>
          <w:lang w:eastAsia="zh-CN"/>
        </w:rPr>
      </w:pPr>
      <w:bookmarkStart w:id="92" w:name="_Toc24753"/>
      <w:bookmarkStart w:id="93" w:name="_Toc30694"/>
      <w:r>
        <w:rPr>
          <w:rFonts w:hint="eastAsia" w:ascii="宋体" w:hAnsi="宋体" w:eastAsia="宋体" w:cs="宋体"/>
          <w:lang w:eastAsia="zh-CN"/>
        </w:rPr>
        <w:t>3.8 产品方案</w:t>
      </w:r>
      <w:bookmarkEnd w:id="92"/>
      <w:bookmarkEnd w:id="93"/>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年生产（采、选）铁矿石原矿50万t/a。</w:t>
      </w:r>
    </w:p>
    <w:p>
      <w:pPr>
        <w:pStyle w:val="7"/>
        <w:rPr>
          <w:rFonts w:hint="eastAsia" w:ascii="宋体" w:hAnsi="宋体" w:eastAsia="宋体" w:cs="宋体"/>
          <w:lang w:eastAsia="zh-CN"/>
        </w:rPr>
      </w:pPr>
      <w:r>
        <w:rPr>
          <w:rFonts w:hint="eastAsia" w:ascii="宋体" w:hAnsi="宋体" w:eastAsia="宋体" w:cs="宋体"/>
          <w:lang w:eastAsia="zh-CN"/>
        </w:rPr>
        <w:t>3.8.1 矿石矿物组分</w:t>
      </w:r>
    </w:p>
    <w:p>
      <w:pPr>
        <w:ind w:firstLine="560"/>
        <w:rPr>
          <w:rFonts w:hint="eastAsia" w:ascii="宋体" w:hAnsi="宋体" w:eastAsia="宋体" w:cs="宋体"/>
          <w:lang w:eastAsia="zh-CN"/>
        </w:rPr>
      </w:pPr>
      <w:r>
        <w:rPr>
          <w:rFonts w:hint="eastAsia" w:ascii="宋体" w:hAnsi="宋体" w:eastAsia="宋体" w:cs="宋体"/>
          <w:lang w:eastAsia="zh-CN"/>
        </w:rPr>
        <w:t>本矿区矿石主要为磁铁矿石，地表氧化带和深部断裂带附近出现部分赤铁矿石。矿石中金属矿物以磁铁矿为主，其次是赤铁矿、褐铁矿、少量黄铁矿、黄铜矿，极少量的磁黄铁矿、铜蓝、辉钼矿等。脉石矿物中含铁硅酸盐矿物为铁闪石、普通角闪石、黑云母、绿泥石等，不含铁矿物为石英、次为长石、碳酸盐岩，还有少量的磷灰石、锆石、榍石等。</w:t>
      </w:r>
    </w:p>
    <w:p>
      <w:pPr>
        <w:pStyle w:val="7"/>
        <w:rPr>
          <w:rFonts w:hint="eastAsia" w:ascii="宋体" w:hAnsi="宋体" w:eastAsia="宋体" w:cs="宋体"/>
          <w:lang w:eastAsia="zh-CN"/>
        </w:rPr>
      </w:pPr>
      <w:r>
        <w:rPr>
          <w:rFonts w:hint="eastAsia" w:ascii="宋体" w:hAnsi="宋体" w:eastAsia="宋体" w:cs="宋体"/>
          <w:lang w:eastAsia="zh-CN"/>
        </w:rPr>
        <w:t>3.8.2 矿石结构、构造</w:t>
      </w:r>
    </w:p>
    <w:p>
      <w:pPr>
        <w:ind w:firstLine="560"/>
        <w:rPr>
          <w:rFonts w:hint="eastAsia" w:ascii="宋体" w:hAnsi="宋体" w:eastAsia="宋体" w:cs="宋体"/>
          <w:lang w:eastAsia="zh-CN"/>
        </w:rPr>
      </w:pPr>
      <w:r>
        <w:rPr>
          <w:rFonts w:hint="eastAsia" w:ascii="宋体" w:hAnsi="宋体" w:eastAsia="宋体" w:cs="宋体"/>
          <w:lang w:eastAsia="zh-CN"/>
        </w:rPr>
        <w:t>（1）矿石结构</w:t>
      </w:r>
    </w:p>
    <w:p>
      <w:pPr>
        <w:ind w:firstLine="560"/>
        <w:rPr>
          <w:rFonts w:hint="eastAsia" w:ascii="宋体" w:hAnsi="宋体" w:eastAsia="宋体" w:cs="宋体"/>
          <w:lang w:eastAsia="zh-CN"/>
        </w:rPr>
      </w:pPr>
      <w:r>
        <w:rPr>
          <w:rFonts w:hint="eastAsia" w:ascii="宋体" w:hAnsi="宋体" w:eastAsia="宋体" w:cs="宋体"/>
          <w:lang w:eastAsia="zh-CN"/>
        </w:rPr>
        <w:t>矿石主要为纤状变晶结构、纤状花岗变晶结构和花岗变晶结构三种。少量为变斑结构或不等粒交代残余结构。</w:t>
      </w:r>
    </w:p>
    <w:p>
      <w:pPr>
        <w:ind w:firstLine="560"/>
        <w:rPr>
          <w:rFonts w:hint="eastAsia" w:ascii="宋体" w:hAnsi="宋体" w:eastAsia="宋体" w:cs="宋体"/>
          <w:lang w:eastAsia="zh-CN"/>
        </w:rPr>
      </w:pPr>
      <w:r>
        <w:rPr>
          <w:rFonts w:hint="eastAsia" w:ascii="宋体" w:hAnsi="宋体" w:eastAsia="宋体" w:cs="宋体"/>
          <w:lang w:eastAsia="zh-CN"/>
        </w:rPr>
        <w:t>（2）矿石构造</w:t>
      </w:r>
    </w:p>
    <w:p>
      <w:pPr>
        <w:ind w:firstLine="560"/>
        <w:rPr>
          <w:rFonts w:hint="eastAsia" w:ascii="宋体" w:hAnsi="宋体" w:eastAsia="宋体" w:cs="宋体"/>
          <w:lang w:eastAsia="zh-CN"/>
        </w:rPr>
      </w:pPr>
      <w:r>
        <w:rPr>
          <w:rFonts w:hint="eastAsia" w:ascii="宋体" w:hAnsi="宋体" w:eastAsia="宋体" w:cs="宋体"/>
          <w:lang w:eastAsia="zh-CN"/>
        </w:rPr>
        <w:t>矿石构造以磁（赤）铁矿和其它含铁硅酸盐岩等暗色矿物与石英等组成黑白相间、平行排列的条带状构造为特征。按条带的粗细和形态可分为：条带状、条纹状、片状、波纹状、条痕状等。石英条带粗细变化较大，条带较细者矿石品位较高，反之矿石品位较低，直至过渡为含铁石英片岩。矿区以条纹状和条带状矿石为主。</w:t>
      </w:r>
    </w:p>
    <w:p>
      <w:pPr>
        <w:pStyle w:val="7"/>
        <w:rPr>
          <w:rFonts w:hint="eastAsia" w:ascii="宋体" w:hAnsi="宋体" w:eastAsia="宋体" w:cs="宋体"/>
          <w:lang w:eastAsia="zh-CN"/>
        </w:rPr>
      </w:pPr>
      <w:r>
        <w:rPr>
          <w:rFonts w:hint="eastAsia" w:ascii="宋体" w:hAnsi="宋体" w:eastAsia="宋体" w:cs="宋体"/>
          <w:lang w:eastAsia="zh-CN"/>
        </w:rPr>
        <w:t>3.8.3 矿石化学成分</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矿石化学成分见本报告</w:t>
      </w:r>
      <w:r>
        <w:rPr>
          <w:rFonts w:hint="eastAsia" w:cs="宋体"/>
          <w:lang w:eastAsia="zh-CN"/>
        </w:rPr>
        <w:t>“</w:t>
      </w:r>
      <w:r>
        <w:rPr>
          <w:rFonts w:hint="eastAsia" w:ascii="宋体" w:hAnsi="宋体" w:eastAsia="宋体" w:cs="宋体"/>
          <w:lang w:eastAsia="zh-CN"/>
        </w:rPr>
        <w:t>2.3.5</w:t>
      </w:r>
      <w:r>
        <w:rPr>
          <w:rFonts w:hint="eastAsia" w:cs="宋体"/>
          <w:lang w:val="en-US" w:eastAsia="zh-CN"/>
        </w:rPr>
        <w:t xml:space="preserve"> 矿石化学成分</w:t>
      </w:r>
      <w:r>
        <w:rPr>
          <w:rFonts w:hint="eastAsia" w:cs="宋体"/>
          <w:lang w:eastAsia="zh-CN"/>
        </w:rPr>
        <w:t>”</w:t>
      </w:r>
      <w:r>
        <w:rPr>
          <w:rFonts w:hint="eastAsia" w:ascii="宋体" w:hAnsi="宋体" w:eastAsia="宋体" w:cs="宋体"/>
          <w:lang w:eastAsia="zh-CN"/>
        </w:rPr>
        <w:t>。</w:t>
      </w:r>
    </w:p>
    <w:p>
      <w:pPr>
        <w:pStyle w:val="6"/>
        <w:rPr>
          <w:rFonts w:hint="eastAsia" w:ascii="宋体" w:hAnsi="宋体" w:eastAsia="宋体" w:cs="宋体"/>
          <w:lang w:eastAsia="zh-CN"/>
        </w:rPr>
      </w:pPr>
      <w:bookmarkStart w:id="94" w:name="_Toc22290"/>
      <w:bookmarkStart w:id="95" w:name="_Toc23119"/>
      <w:r>
        <w:rPr>
          <w:rFonts w:hint="eastAsia" w:ascii="宋体" w:hAnsi="宋体" w:eastAsia="宋体" w:cs="宋体"/>
          <w:lang w:eastAsia="zh-CN"/>
        </w:rPr>
        <w:t>3.9 工艺流程及产排污</w:t>
      </w:r>
      <w:bookmarkEnd w:id="94"/>
      <w:bookmarkEnd w:id="95"/>
    </w:p>
    <w:p>
      <w:pPr>
        <w:pStyle w:val="16"/>
        <w:ind w:firstLine="560"/>
        <w:jc w:val="both"/>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工艺流程及产排污见“2.2.5</w:t>
      </w:r>
      <w:r>
        <w:rPr>
          <w:rFonts w:hint="eastAsia" w:ascii="宋体" w:hAnsi="宋体" w:eastAsia="宋体" w:cs="宋体"/>
          <w:lang w:val="en-US" w:eastAsia="zh-CN"/>
        </w:rPr>
        <w:t>.1</w:t>
      </w:r>
      <w:r>
        <w:rPr>
          <w:rFonts w:hint="eastAsia" w:ascii="宋体" w:hAnsi="宋体" w:eastAsia="宋体" w:cs="宋体"/>
        </w:rPr>
        <w:t xml:space="preserve"> </w:t>
      </w:r>
      <w:r>
        <w:rPr>
          <w:rFonts w:hint="eastAsia" w:ascii="宋体" w:hAnsi="宋体" w:eastAsia="宋体" w:cs="宋体"/>
          <w:lang w:eastAsia="zh-CN"/>
        </w:rPr>
        <w:t>采矿工程</w:t>
      </w:r>
      <w:r>
        <w:rPr>
          <w:rFonts w:hint="eastAsia" w:ascii="宋体" w:hAnsi="宋体" w:eastAsia="宋体" w:cs="宋体"/>
        </w:rPr>
        <w:t>”。</w:t>
      </w:r>
    </w:p>
    <w:p>
      <w:pPr>
        <w:pStyle w:val="6"/>
        <w:rPr>
          <w:rFonts w:hint="eastAsia" w:ascii="宋体" w:hAnsi="宋体" w:eastAsia="宋体" w:cs="宋体"/>
          <w:lang w:eastAsia="zh-CN"/>
        </w:rPr>
      </w:pPr>
      <w:bookmarkStart w:id="96" w:name="_Toc23237"/>
      <w:bookmarkStart w:id="97" w:name="_Toc30948"/>
      <w:r>
        <w:rPr>
          <w:rFonts w:hint="eastAsia" w:ascii="宋体" w:hAnsi="宋体" w:eastAsia="宋体" w:cs="宋体"/>
          <w:lang w:eastAsia="zh-CN"/>
        </w:rPr>
        <w:t>3.10 公辅系统</w:t>
      </w:r>
      <w:bookmarkEnd w:id="96"/>
      <w:bookmarkEnd w:id="97"/>
    </w:p>
    <w:p>
      <w:pPr>
        <w:pStyle w:val="7"/>
        <w:rPr>
          <w:rFonts w:hint="eastAsia" w:ascii="宋体" w:hAnsi="宋体" w:eastAsia="宋体" w:cs="宋体"/>
          <w:lang w:eastAsia="zh-CN"/>
        </w:rPr>
      </w:pPr>
      <w:r>
        <w:rPr>
          <w:rFonts w:hint="eastAsia" w:ascii="宋体" w:hAnsi="宋体" w:eastAsia="宋体" w:cs="宋体"/>
          <w:lang w:eastAsia="zh-CN"/>
        </w:rPr>
        <w:t>3.10.1 排水系统</w:t>
      </w:r>
    </w:p>
    <w:p>
      <w:pPr>
        <w:pStyle w:val="16"/>
        <w:ind w:firstLine="560"/>
        <w:jc w:val="both"/>
        <w:rPr>
          <w:rFonts w:hint="eastAsia" w:ascii="宋体" w:hAnsi="宋体" w:eastAsia="宋体" w:cs="宋体"/>
        </w:rPr>
      </w:pPr>
      <w:r>
        <w:rPr>
          <w:rFonts w:hint="eastAsia" w:ascii="宋体" w:hAnsi="宋体" w:eastAsia="宋体" w:cs="宋体"/>
        </w:rPr>
        <w:t>根据矿山开采方案，设计王峪矿段设置3座排水泵站，分别为－50m水平泵站、+100m水平泵站和露天坑排水泵站。</w:t>
      </w:r>
    </w:p>
    <w:p>
      <w:pPr>
        <w:pStyle w:val="16"/>
        <w:ind w:firstLine="560"/>
        <w:jc w:val="both"/>
        <w:rPr>
          <w:rFonts w:hint="eastAsia" w:ascii="宋体" w:hAnsi="宋体" w:eastAsia="宋体" w:cs="宋体"/>
        </w:rPr>
      </w:pPr>
      <w:r>
        <w:rPr>
          <w:rFonts w:hint="eastAsia" w:ascii="宋体" w:hAnsi="宋体" w:eastAsia="宋体" w:cs="宋体"/>
        </w:rPr>
        <w:t>① －50m水平泵站</w:t>
      </w:r>
    </w:p>
    <w:p>
      <w:pPr>
        <w:pStyle w:val="16"/>
        <w:ind w:firstLine="560"/>
        <w:jc w:val="both"/>
        <w:rPr>
          <w:rFonts w:hint="eastAsia" w:ascii="宋体" w:hAnsi="宋体" w:eastAsia="宋体" w:cs="宋体"/>
        </w:rPr>
      </w:pPr>
      <w:r>
        <w:rPr>
          <w:rFonts w:hint="eastAsia" w:ascii="宋体" w:hAnsi="宋体" w:eastAsia="宋体" w:cs="宋体"/>
        </w:rPr>
        <w:t>基建期于王峪南风井（原主井）－50m水平附近设1座排水泵站，担负井下－50m、±0m、+50m三个水平生产时排水任务，井下涌水经水仓沉淀后由该泵站直排至地表。</w:t>
      </w:r>
    </w:p>
    <w:p>
      <w:pPr>
        <w:pStyle w:val="16"/>
        <w:ind w:firstLine="560"/>
        <w:jc w:val="both"/>
        <w:rPr>
          <w:rFonts w:hint="eastAsia" w:ascii="宋体" w:hAnsi="宋体" w:eastAsia="宋体" w:cs="宋体"/>
        </w:rPr>
      </w:pPr>
      <w:r>
        <w:rPr>
          <w:rFonts w:hint="eastAsia" w:ascii="宋体" w:hAnsi="宋体" w:eastAsia="宋体" w:cs="宋体"/>
        </w:rPr>
        <w:t>选用MD200－50×6型多级离心泵4台（2用2备），水泵工况点技术参数：流量210m</w:t>
      </w:r>
      <w:r>
        <w:rPr>
          <w:rFonts w:hint="eastAsia" w:ascii="宋体" w:hAnsi="宋体" w:eastAsia="宋体" w:cs="宋体"/>
          <w:vertAlign w:val="superscript"/>
        </w:rPr>
        <w:t>3</w:t>
      </w:r>
      <w:r>
        <w:rPr>
          <w:rFonts w:hint="eastAsia" w:ascii="宋体" w:hAnsi="宋体" w:eastAsia="宋体" w:cs="宋体"/>
        </w:rPr>
        <w:t>/h，扬程292m，电机功率280kW，电压6000V。</w:t>
      </w:r>
    </w:p>
    <w:p>
      <w:pPr>
        <w:pStyle w:val="16"/>
        <w:ind w:firstLine="560"/>
        <w:jc w:val="both"/>
        <w:rPr>
          <w:rFonts w:hint="eastAsia" w:ascii="宋体" w:hAnsi="宋体" w:eastAsia="宋体" w:cs="宋体"/>
        </w:rPr>
      </w:pPr>
      <w:r>
        <w:rPr>
          <w:rFonts w:hint="eastAsia" w:ascii="宋体" w:hAnsi="宋体" w:eastAsia="宋体" w:cs="宋体"/>
        </w:rPr>
        <w:t>② +100m水平泵站</w:t>
      </w:r>
    </w:p>
    <w:p>
      <w:pPr>
        <w:pStyle w:val="16"/>
        <w:ind w:firstLine="560"/>
        <w:jc w:val="both"/>
        <w:rPr>
          <w:rFonts w:hint="eastAsia" w:ascii="宋体" w:hAnsi="宋体" w:eastAsia="宋体" w:cs="宋体"/>
        </w:rPr>
      </w:pPr>
      <w:r>
        <w:rPr>
          <w:rFonts w:hint="eastAsia" w:ascii="宋体" w:hAnsi="宋体" w:eastAsia="宋体" w:cs="宋体"/>
        </w:rPr>
        <w:t>矿山后期+100m水平生产时，该水平井下涌水主要为露天坑底裂隙沟通水，水量较大，故设计待+100m水平生产时，在王峪中央回风井+100m水平附近增设1座排水泵站（－50m、±0m、+70m中段开采时暂不施工），负责+100m水平生产时排水任务。该水平涌水经水仓沉淀后由该泵站直排至地表。</w:t>
      </w:r>
    </w:p>
    <w:p>
      <w:pPr>
        <w:pStyle w:val="16"/>
        <w:ind w:firstLine="560"/>
        <w:jc w:val="both"/>
        <w:rPr>
          <w:rFonts w:hint="eastAsia" w:ascii="宋体" w:hAnsi="宋体" w:eastAsia="宋体" w:cs="宋体"/>
        </w:rPr>
      </w:pPr>
      <w:r>
        <w:rPr>
          <w:rFonts w:hint="eastAsia" w:ascii="宋体" w:hAnsi="宋体" w:eastAsia="宋体" w:cs="宋体"/>
        </w:rPr>
        <w:t>选用6130B－6型潜水泵4台（2用2备），水泵工况点技术参数：流量760m</w:t>
      </w:r>
      <w:r>
        <w:rPr>
          <w:rFonts w:hint="eastAsia" w:ascii="宋体" w:hAnsi="宋体" w:eastAsia="宋体" w:cs="宋体"/>
          <w:vertAlign w:val="superscript"/>
        </w:rPr>
        <w:t>3</w:t>
      </w:r>
      <w:r>
        <w:rPr>
          <w:rFonts w:hint="eastAsia" w:ascii="宋体" w:hAnsi="宋体" w:eastAsia="宋体" w:cs="宋体"/>
        </w:rPr>
        <w:t>/h，扬程139m，电机功率420kW，电压6000V。</w:t>
      </w:r>
    </w:p>
    <w:p>
      <w:pPr>
        <w:pStyle w:val="16"/>
        <w:ind w:firstLine="560"/>
        <w:jc w:val="both"/>
        <w:rPr>
          <w:rFonts w:hint="eastAsia" w:ascii="宋体" w:hAnsi="宋体" w:eastAsia="宋体" w:cs="宋体"/>
        </w:rPr>
      </w:pPr>
      <w:r>
        <w:rPr>
          <w:rFonts w:hint="eastAsia" w:ascii="宋体" w:hAnsi="宋体" w:eastAsia="宋体" w:cs="宋体"/>
        </w:rPr>
        <w:t>③ 露天坑排水泵站</w:t>
      </w:r>
    </w:p>
    <w:p>
      <w:pPr>
        <w:pStyle w:val="16"/>
        <w:ind w:firstLine="560"/>
        <w:jc w:val="both"/>
        <w:rPr>
          <w:rFonts w:hint="eastAsia" w:ascii="宋体" w:hAnsi="宋体" w:eastAsia="宋体" w:cs="宋体"/>
        </w:rPr>
      </w:pPr>
      <w:r>
        <w:rPr>
          <w:rFonts w:hint="eastAsia" w:ascii="宋体" w:hAnsi="宋体" w:eastAsia="宋体" w:cs="宋体"/>
        </w:rPr>
        <w:t>本矿段为露天转地下开采，为了消除露天坑内的涌、积水对井下开采的影响，设计在王峪矿段露天坑底设潜水泵站，坑内涌、积水由潜水泵直接排出。</w:t>
      </w:r>
    </w:p>
    <w:p>
      <w:pPr>
        <w:pStyle w:val="16"/>
        <w:ind w:firstLine="560"/>
        <w:jc w:val="both"/>
        <w:rPr>
          <w:rFonts w:hint="eastAsia" w:ascii="宋体" w:hAnsi="宋体" w:eastAsia="宋体" w:cs="宋体"/>
        </w:rPr>
      </w:pPr>
      <w:r>
        <w:rPr>
          <w:rFonts w:hint="eastAsia" w:ascii="宋体" w:hAnsi="宋体" w:eastAsia="宋体" w:cs="宋体"/>
        </w:rPr>
        <w:t>选用6130－2型潜水泵7台（2用5备），工况点流量760m</w:t>
      </w:r>
      <w:r>
        <w:rPr>
          <w:rFonts w:hint="eastAsia" w:ascii="宋体" w:hAnsi="宋体" w:eastAsia="宋体" w:cs="宋体"/>
          <w:vertAlign w:val="superscript"/>
        </w:rPr>
        <w:t>3</w:t>
      </w:r>
      <w:r>
        <w:rPr>
          <w:rFonts w:hint="eastAsia" w:ascii="宋体" w:hAnsi="宋体" w:eastAsia="宋体" w:cs="宋体"/>
        </w:rPr>
        <w:t>/h，扬程55m，电机功率185kW。</w:t>
      </w:r>
    </w:p>
    <w:p>
      <w:pPr>
        <w:pStyle w:val="7"/>
        <w:rPr>
          <w:rFonts w:hint="eastAsia" w:ascii="宋体" w:hAnsi="宋体" w:eastAsia="宋体" w:cs="宋体"/>
          <w:lang w:eastAsia="zh-CN"/>
        </w:rPr>
      </w:pPr>
      <w:r>
        <w:rPr>
          <w:rFonts w:hint="eastAsia" w:ascii="宋体" w:hAnsi="宋体" w:eastAsia="宋体" w:cs="宋体"/>
          <w:lang w:eastAsia="zh-CN"/>
        </w:rPr>
        <w:t>3.10.2 通风系统</w:t>
      </w:r>
    </w:p>
    <w:p>
      <w:pPr>
        <w:pStyle w:val="16"/>
        <w:ind w:firstLine="560"/>
        <w:jc w:val="both"/>
        <w:rPr>
          <w:rFonts w:hint="eastAsia" w:ascii="宋体" w:hAnsi="宋体" w:eastAsia="宋体" w:cs="宋体"/>
        </w:rPr>
      </w:pPr>
      <w:r>
        <w:rPr>
          <w:rFonts w:hint="eastAsia" w:ascii="宋体" w:hAnsi="宋体" w:eastAsia="宋体" w:cs="宋体"/>
        </w:rPr>
        <w:t>王峪矿段通风系统为中央对角式通风系统，采用抽出式通风方式。新鲜风流分别由王峪南风井（原主井）及王峪北进风井进入井下，经井下各中段运输巷、水平联络巷、通风联络巷进入采场，后经采场通风天井、回风联络巷进入王峪中央回风井排出地表。</w:t>
      </w:r>
    </w:p>
    <w:p>
      <w:pPr>
        <w:pStyle w:val="16"/>
        <w:ind w:firstLine="560"/>
        <w:jc w:val="both"/>
        <w:rPr>
          <w:rFonts w:hint="eastAsia" w:ascii="宋体" w:hAnsi="宋体" w:eastAsia="宋体" w:cs="宋体"/>
        </w:rPr>
      </w:pPr>
      <w:r>
        <w:rPr>
          <w:rFonts w:hint="eastAsia" w:ascii="宋体" w:hAnsi="宋体" w:eastAsia="宋体" w:cs="宋体"/>
        </w:rPr>
        <w:t>选择DK62（B）—12—No28型矿用节能型通风机，通风机设备参数：风量47.1～119.1m</w:t>
      </w:r>
      <w:r>
        <w:rPr>
          <w:rFonts w:hint="eastAsia" w:ascii="宋体" w:hAnsi="宋体" w:eastAsia="宋体" w:cs="宋体"/>
          <w:vertAlign w:val="superscript"/>
        </w:rPr>
        <w:t>3</w:t>
      </w:r>
      <w:r>
        <w:rPr>
          <w:rFonts w:hint="eastAsia" w:ascii="宋体" w:hAnsi="宋体" w:eastAsia="宋体" w:cs="宋体"/>
        </w:rPr>
        <w:t>/s，风压702～2034Pa，电机功率2×160kW，电压380V，工况点风机效率大于80%。风机安装于王峪中央回风井地表井口。</w:t>
      </w:r>
    </w:p>
    <w:p>
      <w:pPr>
        <w:pStyle w:val="7"/>
        <w:rPr>
          <w:rFonts w:hint="eastAsia" w:ascii="宋体" w:hAnsi="宋体" w:eastAsia="宋体" w:cs="宋体"/>
          <w:lang w:eastAsia="zh-CN"/>
        </w:rPr>
      </w:pPr>
      <w:r>
        <w:rPr>
          <w:rFonts w:hint="eastAsia" w:ascii="宋体" w:hAnsi="宋体" w:eastAsia="宋体" w:cs="宋体"/>
          <w:lang w:eastAsia="zh-CN"/>
        </w:rPr>
        <w:t>3.10.3 压气系统</w:t>
      </w:r>
    </w:p>
    <w:p>
      <w:pPr>
        <w:pStyle w:val="16"/>
        <w:ind w:firstLine="560"/>
        <w:jc w:val="both"/>
        <w:rPr>
          <w:rFonts w:hint="eastAsia" w:ascii="宋体" w:hAnsi="宋体" w:eastAsia="宋体" w:cs="宋体"/>
        </w:rPr>
      </w:pPr>
      <w:r>
        <w:rPr>
          <w:rFonts w:hint="eastAsia" w:ascii="宋体" w:hAnsi="宋体" w:eastAsia="宋体" w:cs="宋体"/>
        </w:rPr>
        <w:t>王峪矿段压气系统结合开拓系统布置，在地表中央回风井附近设1座集中压气站，将供气距离在沿矿体走向长度上大致等分为2段，以缩短供气距离，降低供气阻力，减少漏气量，提高空压机供气效率。地表空压机站担负本矿段井下生产供气任务。</w:t>
      </w:r>
    </w:p>
    <w:p>
      <w:pPr>
        <w:pStyle w:val="16"/>
        <w:ind w:firstLine="560"/>
        <w:jc w:val="both"/>
        <w:rPr>
          <w:rFonts w:hint="eastAsia" w:ascii="宋体" w:hAnsi="宋体" w:eastAsia="宋体" w:cs="宋体"/>
        </w:rPr>
      </w:pPr>
      <w:r>
        <w:rPr>
          <w:rFonts w:hint="eastAsia" w:ascii="宋体" w:hAnsi="宋体" w:eastAsia="宋体" w:cs="宋体"/>
        </w:rPr>
        <w:t>王峪矿段地表空压机站选择SA132A型空压机4台（3用1备，排气量24m</w:t>
      </w:r>
      <w:r>
        <w:rPr>
          <w:rFonts w:hint="eastAsia" w:ascii="宋体" w:hAnsi="宋体" w:eastAsia="宋体" w:cs="宋体"/>
          <w:vertAlign w:val="superscript"/>
        </w:rPr>
        <w:t>3</w:t>
      </w:r>
      <w:r>
        <w:rPr>
          <w:rFonts w:hint="eastAsia" w:ascii="宋体" w:hAnsi="宋体" w:eastAsia="宋体" w:cs="宋体"/>
        </w:rPr>
        <w:t>/min，排气压力0.8MPa，电机功率132kW）。</w:t>
      </w:r>
    </w:p>
    <w:p>
      <w:pPr>
        <w:pStyle w:val="16"/>
        <w:ind w:firstLine="560"/>
        <w:jc w:val="both"/>
        <w:rPr>
          <w:rFonts w:hint="eastAsia" w:ascii="宋体" w:hAnsi="宋体" w:eastAsia="宋体" w:cs="宋体"/>
        </w:rPr>
      </w:pPr>
      <w:r>
        <w:rPr>
          <w:rFonts w:hint="eastAsia" w:ascii="宋体" w:hAnsi="宋体" w:eastAsia="宋体" w:cs="宋体"/>
        </w:rPr>
        <w:t>压气管道选用为Ø159×5mm型无缝钢管，管道自地表空压机站引出，沿管道王峪矿段中央回风井敷设至井下各水平，后沿各水平大巷敷设至各用气点，压气管道覆盖主要巷道及避灾线路。</w:t>
      </w:r>
    </w:p>
    <w:p>
      <w:pPr>
        <w:pStyle w:val="7"/>
        <w:rPr>
          <w:rFonts w:hint="eastAsia" w:ascii="宋体" w:hAnsi="宋体" w:eastAsia="宋体" w:cs="宋体"/>
          <w:lang w:eastAsia="zh-CN"/>
        </w:rPr>
      </w:pPr>
      <w:r>
        <w:rPr>
          <w:rFonts w:hint="eastAsia" w:ascii="宋体" w:hAnsi="宋体" w:eastAsia="宋体" w:cs="宋体"/>
          <w:lang w:eastAsia="zh-CN"/>
        </w:rPr>
        <w:t>3.10.4 供配电</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在王峪南风井附近及中央回风井附近各新建一座6kV变配电所。6kV供电系统采用双干线树干式结线。井下－50m设6kV井下中央变配电所。电源经两路电缆回路引自王峪南风井6kV变配电所两段母线。</w:t>
      </w:r>
    </w:p>
    <w:p>
      <w:pPr>
        <w:ind w:firstLine="560"/>
        <w:rPr>
          <w:rFonts w:hint="eastAsia" w:ascii="宋体" w:hAnsi="宋体" w:eastAsia="宋体" w:cs="宋体"/>
          <w:lang w:eastAsia="zh-CN"/>
        </w:rPr>
      </w:pPr>
      <w:r>
        <w:rPr>
          <w:rFonts w:hint="eastAsia" w:ascii="宋体" w:hAnsi="宋体" w:eastAsia="宋体" w:cs="宋体"/>
          <w:lang w:eastAsia="zh-CN"/>
        </w:rPr>
        <w:t>各变（配）电所具体情况如下：</w:t>
      </w:r>
    </w:p>
    <w:p>
      <w:pPr>
        <w:ind w:firstLine="560"/>
        <w:rPr>
          <w:rFonts w:hint="eastAsia" w:ascii="宋体" w:hAnsi="宋体" w:eastAsia="宋体" w:cs="宋体"/>
          <w:lang w:eastAsia="zh-CN"/>
        </w:rPr>
      </w:pPr>
      <w:r>
        <w:rPr>
          <w:rFonts w:hint="eastAsia" w:ascii="宋体" w:hAnsi="宋体" w:eastAsia="宋体" w:cs="宋体"/>
          <w:lang w:eastAsia="zh-CN"/>
        </w:rPr>
        <w:t>（1）王峪南风井6kV变配电所</w:t>
      </w:r>
    </w:p>
    <w:p>
      <w:pPr>
        <w:ind w:firstLine="560"/>
        <w:rPr>
          <w:rFonts w:hint="eastAsia" w:ascii="宋体" w:hAnsi="宋体" w:eastAsia="宋体" w:cs="宋体"/>
          <w:lang w:eastAsia="zh-CN"/>
        </w:rPr>
      </w:pPr>
      <w:r>
        <w:rPr>
          <w:rFonts w:hint="eastAsia" w:ascii="宋体" w:hAnsi="宋体" w:eastAsia="宋体" w:cs="宋体"/>
          <w:lang w:eastAsia="zh-CN"/>
        </w:rPr>
        <w:t>王峪南风井6kV变配电所设置在主井口工业场地处。两路进线分别引自上河35kV变电站6kV王峪线和110kV变电站采II线。6kV侧主接线采用单母线分段运行方式。担负所内变压器、露天排水泵及井下中央变电所用电负荷。其供电方式采用单回路或双回路放射式馈出。</w:t>
      </w:r>
    </w:p>
    <w:p>
      <w:pPr>
        <w:ind w:firstLine="560"/>
        <w:rPr>
          <w:rFonts w:hint="eastAsia" w:ascii="宋体" w:hAnsi="宋体" w:eastAsia="宋体" w:cs="宋体"/>
          <w:lang w:eastAsia="zh-CN"/>
        </w:rPr>
      </w:pPr>
      <w:r>
        <w:rPr>
          <w:rFonts w:hint="eastAsia" w:ascii="宋体" w:hAnsi="宋体" w:eastAsia="宋体" w:cs="宋体"/>
          <w:lang w:eastAsia="zh-CN"/>
        </w:rPr>
        <w:t>所内设两台S10－315/10，6/0.4kV 315kVA变压器，担负所内低压用电负荷。</w:t>
      </w:r>
    </w:p>
    <w:p>
      <w:pPr>
        <w:ind w:firstLine="560"/>
        <w:rPr>
          <w:rFonts w:hint="eastAsia" w:ascii="宋体" w:hAnsi="宋体" w:eastAsia="宋体" w:cs="宋体"/>
          <w:lang w:eastAsia="zh-CN"/>
        </w:rPr>
      </w:pPr>
      <w:r>
        <w:rPr>
          <w:rFonts w:hint="eastAsia" w:ascii="宋体" w:hAnsi="宋体" w:eastAsia="宋体" w:cs="宋体"/>
          <w:lang w:eastAsia="zh-CN"/>
        </w:rPr>
        <w:t>（2）中央回风井6kV变配电所</w:t>
      </w:r>
    </w:p>
    <w:p>
      <w:pPr>
        <w:ind w:firstLine="560"/>
        <w:rPr>
          <w:rFonts w:hint="eastAsia" w:ascii="宋体" w:hAnsi="宋体" w:eastAsia="宋体" w:cs="宋体"/>
          <w:lang w:eastAsia="zh-CN"/>
        </w:rPr>
      </w:pPr>
      <w:r>
        <w:rPr>
          <w:rFonts w:hint="eastAsia" w:ascii="宋体" w:hAnsi="宋体" w:eastAsia="宋体" w:cs="宋体"/>
          <w:lang w:eastAsia="zh-CN"/>
        </w:rPr>
        <w:t>中央回风井6kV变配电所设置在中央回风井口工业场地处。两路进线分别引自上河35kV变电站6kV王峪线和110kV变电站采II线。6kV侧主接线采用单母线分段运行方式。担负井下+100m泵站变电所、±0m水平1#采区变电所、2#采区变电所及所内变压器用电负荷。其供电方式采用单回路放射式馈出。</w:t>
      </w:r>
    </w:p>
    <w:p>
      <w:pPr>
        <w:ind w:firstLine="560"/>
        <w:rPr>
          <w:rFonts w:hint="eastAsia" w:ascii="宋体" w:hAnsi="宋体" w:eastAsia="宋体" w:cs="宋体"/>
          <w:lang w:eastAsia="zh-CN"/>
        </w:rPr>
      </w:pPr>
      <w:r>
        <w:rPr>
          <w:rFonts w:hint="eastAsia" w:ascii="宋体" w:hAnsi="宋体" w:eastAsia="宋体" w:cs="宋体"/>
          <w:lang w:eastAsia="zh-CN"/>
        </w:rPr>
        <w:t>所内设两台S10－1600/10，6/0.4kV 1600kVA变压器，担负地面空压机、通风机房、充填、等低压用电负荷。低压配电系统采用单母线分段运行方式。其供电方式采用单回路或双回路放射式馈出。</w:t>
      </w:r>
    </w:p>
    <w:p>
      <w:pPr>
        <w:ind w:firstLine="560"/>
        <w:rPr>
          <w:rFonts w:hint="eastAsia" w:ascii="宋体" w:hAnsi="宋体" w:eastAsia="宋体" w:cs="宋体"/>
          <w:lang w:eastAsia="zh-CN"/>
        </w:rPr>
      </w:pPr>
      <w:r>
        <w:rPr>
          <w:rFonts w:hint="eastAsia" w:ascii="宋体" w:hAnsi="宋体" w:eastAsia="宋体" w:cs="宋体"/>
          <w:lang w:eastAsia="zh-CN"/>
        </w:rPr>
        <w:t>（3）井下中央变电所</w:t>
      </w:r>
    </w:p>
    <w:p>
      <w:pPr>
        <w:ind w:firstLine="560"/>
        <w:rPr>
          <w:rFonts w:hint="eastAsia" w:ascii="宋体" w:hAnsi="宋体" w:eastAsia="宋体" w:cs="宋体"/>
          <w:lang w:eastAsia="zh-CN"/>
        </w:rPr>
      </w:pPr>
      <w:r>
        <w:rPr>
          <w:rFonts w:hint="eastAsia" w:ascii="宋体" w:hAnsi="宋体" w:eastAsia="宋体" w:cs="宋体"/>
          <w:lang w:eastAsia="zh-CN"/>
        </w:rPr>
        <w:t>井下中央变电所设置在主井－50m水泵房相毗邻，给四台6kV主水泵电机供电。</w:t>
      </w:r>
    </w:p>
    <w:p>
      <w:pPr>
        <w:ind w:firstLine="560"/>
        <w:rPr>
          <w:rFonts w:hint="eastAsia" w:ascii="宋体" w:hAnsi="宋体" w:eastAsia="宋体" w:cs="宋体"/>
          <w:lang w:eastAsia="zh-CN"/>
        </w:rPr>
      </w:pPr>
      <w:r>
        <w:rPr>
          <w:rFonts w:hint="eastAsia" w:ascii="宋体" w:hAnsi="宋体" w:eastAsia="宋体" w:cs="宋体"/>
          <w:lang w:eastAsia="zh-CN"/>
        </w:rPr>
        <w:t>（4）井下±0m水平1#、2#采区变电所</w:t>
      </w:r>
    </w:p>
    <w:p>
      <w:pPr>
        <w:ind w:firstLine="560"/>
        <w:rPr>
          <w:rFonts w:hint="eastAsia" w:ascii="宋体" w:hAnsi="宋体" w:eastAsia="宋体" w:cs="宋体"/>
          <w:lang w:eastAsia="zh-CN"/>
        </w:rPr>
      </w:pPr>
      <w:r>
        <w:rPr>
          <w:rFonts w:hint="eastAsia" w:ascii="宋体" w:hAnsi="宋体" w:eastAsia="宋体" w:cs="宋体"/>
          <w:lang w:eastAsia="zh-CN"/>
        </w:rPr>
        <w:t>在井下±0m水平设采区变电所两座，每座变电所内均设有一台SCB10－800/10，6/0.4，800kVA变压器，担负本采区内低压采矿设备用电负荷。变电所6kV电源均引自地面中央回风井6kV变配电所。</w:t>
      </w:r>
    </w:p>
    <w:p>
      <w:pPr>
        <w:ind w:firstLine="560"/>
        <w:rPr>
          <w:rFonts w:hint="eastAsia" w:ascii="宋体" w:hAnsi="宋体" w:eastAsia="宋体" w:cs="宋体"/>
          <w:lang w:eastAsia="zh-CN"/>
        </w:rPr>
      </w:pPr>
      <w:r>
        <w:rPr>
          <w:rFonts w:hint="eastAsia" w:ascii="宋体" w:hAnsi="宋体" w:eastAsia="宋体" w:cs="宋体"/>
          <w:lang w:eastAsia="zh-CN"/>
        </w:rPr>
        <w:t>（5）井下+100m泵站变电所（后期有需要时建设）</w:t>
      </w:r>
    </w:p>
    <w:p>
      <w:pPr>
        <w:ind w:firstLine="560"/>
        <w:rPr>
          <w:rFonts w:hint="eastAsia" w:ascii="宋体" w:hAnsi="宋体" w:eastAsia="宋体" w:cs="宋体"/>
          <w:lang w:eastAsia="zh-CN"/>
        </w:rPr>
      </w:pPr>
      <w:r>
        <w:rPr>
          <w:rFonts w:hint="eastAsia" w:ascii="宋体" w:hAnsi="宋体" w:eastAsia="宋体" w:cs="宋体"/>
          <w:lang w:eastAsia="zh-CN"/>
        </w:rPr>
        <w:t>设置在主井+100m水泵房相毗邻，供给四台6kV主水泵电机。</w:t>
      </w:r>
    </w:p>
    <w:p>
      <w:pPr>
        <w:pStyle w:val="7"/>
        <w:rPr>
          <w:rFonts w:hint="eastAsia" w:ascii="宋体" w:hAnsi="宋体" w:eastAsia="宋体" w:cs="宋体"/>
          <w:lang w:eastAsia="zh-CN"/>
        </w:rPr>
      </w:pPr>
      <w:r>
        <w:rPr>
          <w:rFonts w:hint="eastAsia" w:ascii="宋体" w:hAnsi="宋体" w:eastAsia="宋体" w:cs="宋体"/>
          <w:lang w:eastAsia="zh-CN"/>
        </w:rPr>
        <w:t>3.10.5 供水</w:t>
      </w:r>
    </w:p>
    <w:p>
      <w:pPr>
        <w:ind w:firstLine="560"/>
        <w:rPr>
          <w:rFonts w:hint="eastAsia" w:ascii="宋体" w:hAnsi="宋体" w:eastAsia="宋体" w:cs="宋体"/>
          <w:lang w:eastAsia="zh-CN"/>
        </w:rPr>
      </w:pPr>
      <w:r>
        <w:rPr>
          <w:rFonts w:hint="eastAsia" w:ascii="宋体" w:hAnsi="宋体" w:eastAsia="宋体" w:cs="宋体"/>
          <w:lang w:eastAsia="zh-CN"/>
        </w:rPr>
        <w:t>王峪矿区上河矿段和王峪矿段分别设置供水系统，供水管路于井下连通，共同担负全矿区井下生产、消防及生活的供水任务。</w:t>
      </w:r>
    </w:p>
    <w:p>
      <w:pPr>
        <w:ind w:firstLine="560"/>
        <w:rPr>
          <w:rFonts w:hint="eastAsia" w:ascii="宋体" w:hAnsi="宋体" w:eastAsia="宋体" w:cs="宋体"/>
          <w:lang w:eastAsia="zh-CN"/>
        </w:rPr>
      </w:pPr>
      <w:r>
        <w:rPr>
          <w:rFonts w:hint="eastAsia" w:ascii="宋体" w:hAnsi="宋体" w:eastAsia="宋体" w:cs="宋体"/>
          <w:lang w:eastAsia="zh-CN"/>
        </w:rPr>
        <w:t>（1）井下生产及消防供水</w:t>
      </w:r>
      <w:r>
        <w:rPr>
          <w:rFonts w:hint="eastAsia" w:cs="宋体"/>
          <w:lang w:eastAsia="zh-CN"/>
        </w:rPr>
        <w:t>：</w:t>
      </w:r>
      <w:r>
        <w:rPr>
          <w:rFonts w:hint="eastAsia" w:ascii="宋体" w:hAnsi="宋体" w:eastAsia="宋体" w:cs="宋体"/>
          <w:lang w:eastAsia="zh-CN"/>
        </w:rPr>
        <w:t>矿山分别于上河矿段副井附近和王峪矿段中央回风井附近地表设置生产及消防蓄水池。其中，上河矿段蓄水池容积200m</w:t>
      </w:r>
      <w:r>
        <w:rPr>
          <w:rFonts w:hint="eastAsia" w:ascii="宋体" w:hAnsi="宋体" w:eastAsia="宋体" w:cs="宋体"/>
          <w:vertAlign w:val="superscript"/>
          <w:lang w:eastAsia="zh-CN"/>
        </w:rPr>
        <w:t>3</w:t>
      </w:r>
      <w:r>
        <w:rPr>
          <w:rFonts w:hint="eastAsia" w:ascii="宋体" w:hAnsi="宋体" w:eastAsia="宋体" w:cs="宋体"/>
          <w:lang w:eastAsia="zh-CN"/>
        </w:rPr>
        <w:t>，水源来自井下涌水；王峪矿段蓄水池容积300m</w:t>
      </w:r>
      <w:r>
        <w:rPr>
          <w:rFonts w:hint="eastAsia" w:ascii="宋体" w:hAnsi="宋体" w:eastAsia="宋体" w:cs="宋体"/>
          <w:vertAlign w:val="superscript"/>
          <w:lang w:eastAsia="zh-CN"/>
        </w:rPr>
        <w:t>3</w:t>
      </w:r>
      <w:r>
        <w:rPr>
          <w:rFonts w:hint="eastAsia" w:ascii="宋体" w:hAnsi="宋体" w:eastAsia="宋体" w:cs="宋体"/>
          <w:lang w:eastAsia="zh-CN"/>
        </w:rPr>
        <w:t>，水源来自井下涌水。</w:t>
      </w:r>
    </w:p>
    <w:p>
      <w:pPr>
        <w:ind w:firstLine="560"/>
        <w:rPr>
          <w:rFonts w:hint="eastAsia" w:ascii="宋体" w:hAnsi="宋体" w:eastAsia="宋体" w:cs="宋体"/>
          <w:lang w:eastAsia="zh-CN"/>
        </w:rPr>
      </w:pPr>
      <w:r>
        <w:rPr>
          <w:rFonts w:hint="eastAsia" w:ascii="宋体" w:hAnsi="宋体" w:eastAsia="宋体" w:cs="宋体"/>
          <w:lang w:eastAsia="zh-CN"/>
        </w:rPr>
        <w:t>（2）井下生活供水</w:t>
      </w:r>
      <w:r>
        <w:rPr>
          <w:rFonts w:hint="eastAsia" w:cs="宋体"/>
          <w:lang w:eastAsia="zh-CN"/>
        </w:rPr>
        <w:t>：</w:t>
      </w:r>
      <w:r>
        <w:rPr>
          <w:rFonts w:hint="eastAsia" w:ascii="宋体" w:hAnsi="宋体" w:eastAsia="宋体" w:cs="宋体"/>
          <w:lang w:eastAsia="zh-CN"/>
        </w:rPr>
        <w:t>矿山分别于上河矿段副井附近和王峪矿段中央回风井附近地表设置生活水池，供水管道于地表接入生产供水管路，在管路上加装转换阀门，正常情况下，生活用水管道关闭，在紧急情况下切换阀门，切断生产供水而改由生活水池向井下供水。</w:t>
      </w:r>
    </w:p>
    <w:p>
      <w:pPr>
        <w:pStyle w:val="16"/>
        <w:ind w:firstLine="560"/>
        <w:jc w:val="both"/>
        <w:rPr>
          <w:rFonts w:hint="eastAsia" w:ascii="宋体" w:hAnsi="宋体" w:eastAsia="宋体" w:cs="宋体"/>
        </w:rPr>
      </w:pPr>
      <w:r>
        <w:rPr>
          <w:rFonts w:hint="eastAsia" w:ascii="宋体" w:hAnsi="宋体" w:eastAsia="宋体" w:cs="宋体"/>
        </w:rPr>
        <w:t>（3）供水管道井下生产、消防、避灾供水共用1套供水管路。供水主管道采用Ø108×5mm型无缝钢管，自地表供水水池分别沿上河矿段副井、上河矿段管道钻孔（地表空压机房附近）和王峪矿段中央回风井敷设至井下各水平；井下各水平车场及主要运输大巷、井下内燃自行设备通行频繁的斜坡道和巷道、井下无轨设备维修硐室安装Ø108×5mm型无缝钢管，管道每隔100m设消火栓，每隔300m设供水接头；井下其他巷道及硐室安装供水支管，供水支管可根据用水量需求选择Ø89×5mm、Ø76×5mm或Ø57×5mm等型管道，管道每隔300m设供水接头；供水管道及供水接头之间采用三通连接，连接处设有减压阀、闸阀，以满足井下用水要求。</w:t>
      </w:r>
    </w:p>
    <w:p>
      <w:pPr>
        <w:pStyle w:val="6"/>
        <w:rPr>
          <w:rFonts w:hint="eastAsia" w:ascii="宋体" w:hAnsi="宋体" w:eastAsia="宋体" w:cs="宋体"/>
          <w:lang w:eastAsia="zh-CN"/>
        </w:rPr>
      </w:pPr>
      <w:bookmarkStart w:id="98" w:name="_Toc21464"/>
      <w:bookmarkStart w:id="99" w:name="_Toc15017"/>
      <w:r>
        <w:rPr>
          <w:rFonts w:hint="eastAsia" w:ascii="宋体" w:hAnsi="宋体" w:eastAsia="宋体" w:cs="宋体"/>
          <w:lang w:eastAsia="zh-CN"/>
        </w:rPr>
        <w:t>3.11 采空区处理</w:t>
      </w:r>
      <w:bookmarkEnd w:id="98"/>
      <w:bookmarkEnd w:id="99"/>
    </w:p>
    <w:p>
      <w:pPr>
        <w:bidi w:val="0"/>
        <w:rPr>
          <w:rFonts w:hint="eastAsia"/>
          <w:lang w:eastAsia="zh-CN"/>
        </w:rPr>
      </w:pPr>
      <w:r>
        <w:rPr>
          <w:rFonts w:hint="eastAsia"/>
          <w:lang w:eastAsia="zh-CN"/>
        </w:rPr>
        <w:t>本矿采用了采空区保护最有效的方法——即全尾砂＋胶固粉胶结充填采空区，确保采后地表不致塌落和危害性变形。</w:t>
      </w:r>
    </w:p>
    <w:p>
      <w:pPr>
        <w:bidi w:val="0"/>
        <w:rPr>
          <w:rFonts w:hint="eastAsia"/>
          <w:lang w:eastAsia="zh-CN"/>
        </w:rPr>
      </w:pPr>
      <w:r>
        <w:rPr>
          <w:rFonts w:hint="eastAsia"/>
          <w:lang w:eastAsia="zh-CN"/>
        </w:rPr>
        <w:t>每个矿块的回采作业全部完成后，分多次对矿块的下部的空区用全尾砂充填料充填，充填体经过泄水、沉降、密实后。再高压输送灰砂比1：8（或1：10）的胶结充填料对其上部5m进行密实接顶。经过充填后的采空区有较高的稳定性，岩体发生错动和位移的值很小，对井下生产和地面活动基本上没有影响。</w:t>
      </w:r>
    </w:p>
    <w:p>
      <w:pPr>
        <w:bidi w:val="0"/>
        <w:rPr>
          <w:rFonts w:hint="eastAsia"/>
          <w:lang w:eastAsia="zh-CN"/>
        </w:rPr>
      </w:pPr>
      <w:r>
        <w:rPr>
          <w:rFonts w:hint="eastAsia"/>
          <w:lang w:eastAsia="zh-CN"/>
        </w:rPr>
        <w:t>为防止不可预知的地质灾害对井下井巷工程造成危害，矿山在生产过程中，应在相关巷道内设置一定的观测仪器，以观察上下盘围岩的位移及应力变化情况，及时采取相关数据进行分析，对可能发生的采空区错动和岩移，采取必要的预警方案和防范措施。采取了以上措施后，加上本矿矿岩稳固性良好、设计的矿房暴露面积较小，充填后的采空区在采矿作业期间具有较好稳定性，完全可以保障采矿作业的安全性。</w:t>
      </w:r>
    </w:p>
    <w:p>
      <w:pPr>
        <w:pStyle w:val="6"/>
        <w:rPr>
          <w:rFonts w:hint="eastAsia" w:ascii="宋体" w:hAnsi="宋体" w:eastAsia="宋体" w:cs="宋体"/>
          <w:lang w:eastAsia="zh-CN"/>
        </w:rPr>
      </w:pPr>
      <w:bookmarkStart w:id="100" w:name="_Toc29193"/>
      <w:bookmarkStart w:id="101" w:name="_Toc4096"/>
      <w:r>
        <w:rPr>
          <w:rFonts w:hint="eastAsia" w:ascii="宋体" w:hAnsi="宋体" w:eastAsia="宋体" w:cs="宋体"/>
          <w:lang w:eastAsia="zh-CN"/>
        </w:rPr>
        <w:t xml:space="preserve">3.12 </w:t>
      </w:r>
      <w:bookmarkStart w:id="102" w:name="_Toc516743860"/>
      <w:r>
        <w:rPr>
          <w:rFonts w:hint="eastAsia" w:ascii="宋体" w:hAnsi="宋体" w:eastAsia="宋体" w:cs="宋体"/>
          <w:lang w:eastAsia="zh-CN"/>
        </w:rPr>
        <w:t>井下防治水</w:t>
      </w:r>
      <w:bookmarkEnd w:id="100"/>
      <w:bookmarkEnd w:id="101"/>
      <w:bookmarkEnd w:id="102"/>
    </w:p>
    <w:p>
      <w:pPr>
        <w:ind w:firstLine="560"/>
        <w:rPr>
          <w:rFonts w:hint="eastAsia" w:ascii="宋体" w:hAnsi="宋体" w:eastAsia="宋体" w:cs="宋体"/>
          <w:lang w:eastAsia="zh-CN"/>
        </w:rPr>
      </w:pPr>
      <w:r>
        <w:rPr>
          <w:rFonts w:hint="eastAsia" w:ascii="宋体" w:hAnsi="宋体" w:eastAsia="宋体" w:cs="宋体"/>
          <w:lang w:eastAsia="zh-CN"/>
        </w:rPr>
        <w:t>该矿地下水赋存形式为裂隙潜水，补勘中偶见局部承压水，未见岩溶和构造导水通道。但补勘报告和浅部露天开采揭露表明矿体及顶、底板围岩岩性完整，裂隙不发育，连通性较差，只要地下采场不与地表沟通，则不会产生大规模的涌水。</w:t>
      </w:r>
    </w:p>
    <w:p>
      <w:pPr>
        <w:ind w:firstLine="560"/>
        <w:rPr>
          <w:rFonts w:hint="eastAsia" w:ascii="宋体" w:hAnsi="宋体" w:eastAsia="宋体" w:cs="宋体"/>
          <w:lang w:eastAsia="zh-CN"/>
        </w:rPr>
      </w:pPr>
      <w:r>
        <w:rPr>
          <w:rFonts w:hint="eastAsia" w:ascii="宋体" w:hAnsi="宋体" w:eastAsia="宋体" w:cs="宋体"/>
          <w:lang w:eastAsia="zh-CN"/>
        </w:rPr>
        <w:t>由于补勘工作中对深部的控制网度较稀疏，也不排能除深部有未发现或控制的由F1断裂派生的小型导水通道，矿山基建与生产中的防治水重点为：首先查明并控制矿体上盘可能存在的次生断裂构造的导、透水性；其二，补勘报告说明钻孔孔深小于100m的未封孔，孔深大于100m的仅作黄泥封孔，所封钻孔均未做透孔试验等封孔质量检验。因此，这些钻孔可能成为导通地表浅层水下泄采场的通道，故发现和寻找并封堵这些钻孔是防治水的另一项重要工作。</w:t>
      </w:r>
    </w:p>
    <w:p>
      <w:pPr>
        <w:ind w:firstLine="560"/>
        <w:rPr>
          <w:rFonts w:hint="eastAsia" w:ascii="宋体" w:hAnsi="宋体" w:eastAsia="宋体" w:cs="宋体"/>
          <w:lang w:eastAsia="zh-CN"/>
        </w:rPr>
      </w:pPr>
      <w:r>
        <w:rPr>
          <w:rFonts w:hint="eastAsia" w:ascii="宋体" w:hAnsi="宋体" w:eastAsia="宋体" w:cs="宋体"/>
          <w:lang w:eastAsia="zh-CN"/>
        </w:rPr>
        <w:t>防治水措施：对于次生断裂导水性问题，重点在上盘，可在下盘阶段平巷形成后与采准工程和探矿工作相结合垂直走向向上盘方向打水平或斜上向钻孔，穿透矿体顶板界线30m后停钻，控制顶板岩性，探寻构造带和钻孔水量变化，为上盘采矿工程的布置提供依据；对于未封钻孔应力求通过原勘探资料进行井下定位，对定位困难的应圈定其可能出现的范围。对于导水构造和透水钻孔必须采取封堵措施，采用井下高压预注浆的手段阻断进水通道。</w:t>
      </w:r>
    </w:p>
    <w:p>
      <w:pPr>
        <w:pStyle w:val="6"/>
        <w:rPr>
          <w:rFonts w:hint="eastAsia" w:ascii="宋体" w:hAnsi="宋体" w:eastAsia="宋体" w:cs="宋体"/>
          <w:lang w:eastAsia="zh-CN"/>
        </w:rPr>
      </w:pPr>
      <w:bookmarkStart w:id="103" w:name="_Toc31080"/>
      <w:bookmarkStart w:id="104" w:name="_Toc9847"/>
      <w:r>
        <w:rPr>
          <w:rFonts w:hint="eastAsia" w:ascii="宋体" w:hAnsi="宋体" w:eastAsia="宋体" w:cs="宋体"/>
          <w:lang w:eastAsia="zh-CN"/>
        </w:rPr>
        <w:t>3.13 污染物控制措施及产排污情况</w:t>
      </w:r>
      <w:bookmarkEnd w:id="103"/>
      <w:bookmarkEnd w:id="104"/>
    </w:p>
    <w:p>
      <w:pPr>
        <w:pStyle w:val="7"/>
        <w:rPr>
          <w:rFonts w:hint="eastAsia" w:ascii="宋体" w:hAnsi="宋体" w:eastAsia="宋体" w:cs="宋体"/>
          <w:lang w:eastAsia="zh-CN"/>
        </w:rPr>
      </w:pPr>
      <w:r>
        <w:rPr>
          <w:rFonts w:hint="eastAsia" w:ascii="宋体" w:hAnsi="宋体" w:eastAsia="宋体" w:cs="宋体"/>
          <w:lang w:eastAsia="zh-CN"/>
        </w:rPr>
        <w:t>3.13.1 施工期污染源分析</w:t>
      </w:r>
    </w:p>
    <w:p>
      <w:pPr>
        <w:ind w:firstLine="560"/>
        <w:rPr>
          <w:rFonts w:hint="eastAsia" w:ascii="宋体" w:hAnsi="宋体" w:eastAsia="宋体" w:cs="宋体"/>
          <w:lang w:eastAsia="zh-CN"/>
        </w:rPr>
      </w:pPr>
      <w:r>
        <w:rPr>
          <w:rFonts w:hint="eastAsia" w:ascii="宋体" w:hAnsi="宋体" w:eastAsia="宋体" w:cs="宋体"/>
          <w:lang w:eastAsia="zh-CN"/>
        </w:rPr>
        <w:t>王峪矿段于2013年开始基建施工，截至2021年8月，已经施工并安装完成的工程主要包括：王峪南进风井、王峪北进风井、王峪中央回风井，-50m、±0m水平运输巷道，井下硐室、部分采切工程、上河矿段辅助斜坡道工程，王峪矿段皮带运输斜井安装工程和附属工程（含配套的井下破碎系统），王峪矿段排水系统设备安装、王峪矿段供电系统设备安装，王峪矿段压气系统设备安装等。施工期主要污染因素包括废水、废气、固废、噪声。</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3.13.1.1 废气</w:t>
      </w:r>
    </w:p>
    <w:p>
      <w:pPr>
        <w:ind w:firstLine="562"/>
        <w:rPr>
          <w:rFonts w:hint="eastAsia" w:ascii="宋体" w:hAnsi="宋体" w:eastAsia="宋体" w:cs="宋体"/>
          <w:b/>
          <w:bCs/>
          <w:lang w:eastAsia="zh-CN"/>
        </w:rPr>
      </w:pPr>
      <w:r>
        <w:rPr>
          <w:rFonts w:hint="eastAsia" w:ascii="宋体" w:hAnsi="宋体" w:eastAsia="宋体" w:cs="宋体"/>
          <w:b/>
          <w:bCs/>
          <w:lang w:eastAsia="zh-CN"/>
        </w:rPr>
        <w:t>1、主要来源</w:t>
      </w:r>
    </w:p>
    <w:p>
      <w:pPr>
        <w:ind w:firstLine="560"/>
        <w:rPr>
          <w:rFonts w:hint="eastAsia" w:ascii="宋体" w:hAnsi="宋体" w:eastAsia="宋体" w:cs="宋体"/>
          <w:lang w:eastAsia="zh-CN"/>
        </w:rPr>
      </w:pPr>
      <w:r>
        <w:rPr>
          <w:rFonts w:hint="eastAsia" w:ascii="宋体" w:hAnsi="宋体" w:eastAsia="宋体" w:cs="宋体"/>
          <w:lang w:eastAsia="zh-CN"/>
        </w:rPr>
        <w:t>施工期大气污染源主要是井筒延深、废石装卸车时粉尘以及交通运输引起的扬尘等，主要来源如下：</w:t>
      </w:r>
    </w:p>
    <w:p>
      <w:pPr>
        <w:ind w:firstLine="560"/>
        <w:rPr>
          <w:rFonts w:hint="eastAsia" w:ascii="宋体" w:hAnsi="宋体" w:eastAsia="宋体" w:cs="宋体"/>
          <w:lang w:eastAsia="zh-CN"/>
        </w:rPr>
      </w:pPr>
      <w:r>
        <w:rPr>
          <w:rFonts w:hint="eastAsia" w:ascii="宋体" w:hAnsi="宋体" w:eastAsia="宋体" w:cs="宋体"/>
          <w:lang w:eastAsia="zh-CN"/>
        </w:rPr>
        <w:t>（1）运输车辆往来将造成地面扬尘；</w:t>
      </w:r>
    </w:p>
    <w:p>
      <w:pPr>
        <w:ind w:firstLine="560"/>
        <w:rPr>
          <w:rFonts w:hint="eastAsia" w:ascii="宋体" w:hAnsi="宋体" w:eastAsia="宋体" w:cs="宋体"/>
          <w:lang w:eastAsia="zh-CN"/>
        </w:rPr>
      </w:pPr>
      <w:r>
        <w:rPr>
          <w:rFonts w:hint="eastAsia" w:ascii="宋体" w:hAnsi="宋体" w:eastAsia="宋体" w:cs="宋体"/>
          <w:lang w:eastAsia="zh-CN"/>
        </w:rPr>
        <w:t>（2）施工期废石装卸车时将产生扬尘；</w:t>
      </w:r>
    </w:p>
    <w:p>
      <w:pPr>
        <w:ind w:firstLine="560"/>
        <w:rPr>
          <w:rFonts w:hint="eastAsia" w:ascii="宋体" w:hAnsi="宋体" w:eastAsia="宋体" w:cs="宋体"/>
          <w:lang w:eastAsia="zh-CN"/>
        </w:rPr>
      </w:pPr>
      <w:r>
        <w:rPr>
          <w:rFonts w:hint="eastAsia" w:ascii="宋体" w:hAnsi="宋体" w:eastAsia="宋体" w:cs="宋体"/>
          <w:lang w:eastAsia="zh-CN"/>
        </w:rPr>
        <w:t>（3）车辆运输废气。</w:t>
      </w:r>
    </w:p>
    <w:p>
      <w:pPr>
        <w:ind w:firstLine="562"/>
        <w:rPr>
          <w:rFonts w:hint="eastAsia" w:ascii="宋体" w:hAnsi="宋体" w:eastAsia="宋体" w:cs="宋体"/>
          <w:b/>
          <w:bCs/>
          <w:lang w:eastAsia="zh-CN"/>
        </w:rPr>
      </w:pPr>
      <w:r>
        <w:rPr>
          <w:rFonts w:hint="eastAsia" w:ascii="宋体" w:hAnsi="宋体" w:eastAsia="宋体" w:cs="宋体"/>
          <w:b/>
          <w:bCs/>
          <w:lang w:eastAsia="zh-CN"/>
        </w:rPr>
        <w:t>2、扬尘控制措施</w:t>
      </w:r>
    </w:p>
    <w:p>
      <w:pPr>
        <w:ind w:firstLine="560"/>
        <w:rPr>
          <w:rFonts w:hint="eastAsia" w:ascii="宋体" w:hAnsi="宋体" w:eastAsia="宋体" w:cs="宋体"/>
          <w:lang w:eastAsia="zh-CN"/>
        </w:rPr>
      </w:pPr>
      <w:r>
        <w:rPr>
          <w:rFonts w:hint="eastAsia" w:ascii="宋体" w:hAnsi="宋体" w:eastAsia="宋体" w:cs="宋体"/>
          <w:lang w:eastAsia="zh-CN"/>
        </w:rPr>
        <w:t>根据《山东省扬尘污染综合整治方案》（鲁政发〔2019〕112号）、《临沂市人民政府关于印发临沂市大气污染防治2018年攻坚行动方案的通知》（临政发[2018]19号）及《关于印发《淄博市2021年工业企业扬尘整治方案》的通知》（淄环发〔2021〕19号）等的要求，为减轻施工期扬尘对大气环境的影响，拟提出以下具体措施：</w:t>
      </w:r>
    </w:p>
    <w:p>
      <w:pPr>
        <w:ind w:firstLine="560"/>
        <w:rPr>
          <w:rFonts w:hint="eastAsia" w:ascii="宋体" w:hAnsi="宋体" w:eastAsia="宋体" w:cs="宋体"/>
          <w:lang w:eastAsia="zh-CN"/>
        </w:rPr>
      </w:pPr>
      <w:r>
        <w:rPr>
          <w:rFonts w:hint="eastAsia" w:ascii="宋体" w:hAnsi="宋体" w:eastAsia="宋体" w:cs="宋体"/>
          <w:lang w:eastAsia="zh-CN"/>
        </w:rPr>
        <w:t>（1）施工单位在施工工地周围应设置连续、密闭的硬质围挡，设置的施工标志牌中应包括环境保护牌、管理人员名单及监督电话牌等，并在醒目位置予以公示。</w:t>
      </w:r>
    </w:p>
    <w:p>
      <w:pPr>
        <w:ind w:firstLine="560"/>
        <w:rPr>
          <w:rFonts w:hint="eastAsia" w:ascii="宋体" w:hAnsi="宋体" w:eastAsia="宋体" w:cs="宋体"/>
          <w:lang w:eastAsia="zh-CN"/>
        </w:rPr>
      </w:pPr>
      <w:r>
        <w:rPr>
          <w:rFonts w:hint="eastAsia" w:ascii="宋体" w:hAnsi="宋体" w:eastAsia="宋体" w:cs="宋体"/>
          <w:lang w:eastAsia="zh-CN"/>
        </w:rPr>
        <w:t>（2）施工工地出入口及内部车行道路应进行硬化处理，工地出口内侧必须设置洗车平台及配套的排水、泥浆沉淀等设施；运输车辆应当在除泥、冲洗干净后方可驶出作业场所，不得带泥上路。</w:t>
      </w:r>
    </w:p>
    <w:p>
      <w:pPr>
        <w:pStyle w:val="16"/>
        <w:ind w:firstLine="560"/>
        <w:rPr>
          <w:rFonts w:hint="eastAsia" w:ascii="宋体" w:hAnsi="宋体" w:eastAsia="宋体" w:cs="宋体"/>
        </w:rPr>
      </w:pPr>
      <w:r>
        <w:rPr>
          <w:rFonts w:hint="eastAsia" w:ascii="宋体" w:hAnsi="宋体" w:eastAsia="宋体" w:cs="宋体"/>
        </w:rPr>
        <w:t>（3）对于废石装卸，由于废石、矿石粒度较大，比重较大，颗粒沉降速度也较快，装卸时需洒水降尘。</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3.13.1.2 废水</w:t>
      </w:r>
    </w:p>
    <w:p>
      <w:pPr>
        <w:ind w:firstLine="560"/>
        <w:rPr>
          <w:rFonts w:hint="eastAsia" w:ascii="宋体" w:hAnsi="宋体" w:eastAsia="宋体" w:cs="宋体"/>
          <w:lang w:eastAsia="zh-CN"/>
        </w:rPr>
      </w:pPr>
      <w:r>
        <w:rPr>
          <w:rFonts w:hint="eastAsia" w:ascii="宋体" w:hAnsi="宋体" w:eastAsia="宋体" w:cs="宋体"/>
          <w:lang w:eastAsia="zh-CN"/>
        </w:rPr>
        <w:t>施工期废水主要为井下涌水、生活污水。</w:t>
      </w:r>
    </w:p>
    <w:p>
      <w:pPr>
        <w:numPr>
          <w:ilvl w:val="0"/>
          <w:numId w:val="14"/>
        </w:numPr>
        <w:ind w:firstLineChars="0"/>
        <w:rPr>
          <w:rFonts w:hint="eastAsia" w:ascii="宋体" w:hAnsi="宋体" w:eastAsia="宋体" w:cs="宋体"/>
          <w:b/>
          <w:bCs/>
          <w:lang w:eastAsia="zh-CN"/>
        </w:rPr>
      </w:pPr>
      <w:r>
        <w:rPr>
          <w:rFonts w:hint="eastAsia" w:ascii="宋体" w:hAnsi="宋体" w:eastAsia="宋体" w:cs="宋体"/>
          <w:b/>
          <w:bCs/>
          <w:lang w:eastAsia="zh-CN"/>
        </w:rPr>
        <w:t>井下涌水</w:t>
      </w:r>
    </w:p>
    <w:p>
      <w:pPr>
        <w:ind w:firstLine="560"/>
        <w:rPr>
          <w:rFonts w:hint="eastAsia" w:ascii="宋体" w:hAnsi="宋体" w:eastAsia="宋体" w:cs="宋体"/>
          <w:lang w:eastAsia="zh-CN"/>
        </w:rPr>
      </w:pPr>
      <w:r>
        <w:rPr>
          <w:rFonts w:hint="eastAsia" w:ascii="宋体" w:hAnsi="宋体" w:eastAsia="宋体" w:cs="宋体"/>
          <w:lang w:eastAsia="zh-CN"/>
        </w:rPr>
        <w:t>施工期井下涌水主要是井下巷道掘进时形成的基岩渗水和井下施工涌水。施工期矿井排水中的主要污染物为SS。SS浓度一般在200mg/L左右，经沉淀处理后可以回用于生产中。</w:t>
      </w:r>
    </w:p>
    <w:p>
      <w:pPr>
        <w:pStyle w:val="16"/>
        <w:ind w:firstLine="560"/>
        <w:rPr>
          <w:rFonts w:hint="eastAsia" w:ascii="宋体" w:hAnsi="宋体" w:eastAsia="宋体" w:cs="宋体"/>
        </w:rPr>
      </w:pPr>
      <w:r>
        <w:rPr>
          <w:rFonts w:hint="eastAsia" w:ascii="宋体" w:hAnsi="宋体" w:eastAsia="宋体" w:cs="宋体"/>
        </w:rPr>
        <w:t>井下涌水化学成分见表2.2.6-2，满足要求，可回用。</w:t>
      </w:r>
    </w:p>
    <w:p>
      <w:pPr>
        <w:numPr>
          <w:ilvl w:val="0"/>
          <w:numId w:val="14"/>
        </w:numPr>
        <w:ind w:firstLineChars="0"/>
        <w:rPr>
          <w:rFonts w:hint="eastAsia" w:ascii="宋体" w:hAnsi="宋体" w:eastAsia="宋体" w:cs="宋体"/>
          <w:b/>
          <w:bCs/>
          <w:lang w:eastAsia="zh-CN"/>
        </w:rPr>
      </w:pPr>
      <w:r>
        <w:rPr>
          <w:rFonts w:hint="eastAsia" w:ascii="宋体" w:hAnsi="宋体" w:eastAsia="宋体" w:cs="宋体"/>
          <w:b/>
          <w:bCs/>
          <w:lang w:eastAsia="zh-CN"/>
        </w:rPr>
        <w:t>生活污水</w:t>
      </w:r>
    </w:p>
    <w:p>
      <w:pPr>
        <w:ind w:firstLine="560"/>
        <w:rPr>
          <w:rFonts w:hint="eastAsia" w:ascii="宋体" w:hAnsi="宋体" w:eastAsia="宋体" w:cs="宋体"/>
          <w:lang w:eastAsia="zh-CN"/>
        </w:rPr>
      </w:pPr>
      <w:r>
        <w:rPr>
          <w:rFonts w:hint="eastAsia" w:ascii="宋体" w:hAnsi="宋体" w:eastAsia="宋体" w:cs="宋体"/>
          <w:lang w:eastAsia="zh-CN"/>
        </w:rPr>
        <w:t>施工人员生活污水中含有CODcr、BOD</w:t>
      </w:r>
      <w:r>
        <w:rPr>
          <w:rFonts w:hint="eastAsia" w:ascii="宋体" w:hAnsi="宋体" w:eastAsia="宋体" w:cs="宋体"/>
          <w:vertAlign w:val="subscript"/>
          <w:lang w:eastAsia="zh-CN"/>
        </w:rPr>
        <w:t>5</w:t>
      </w:r>
      <w:r>
        <w:rPr>
          <w:rFonts w:hint="eastAsia" w:ascii="宋体" w:hAnsi="宋体" w:eastAsia="宋体" w:cs="宋体"/>
          <w:lang w:eastAsia="zh-CN"/>
        </w:rPr>
        <w:t>、NH</w:t>
      </w:r>
      <w:r>
        <w:rPr>
          <w:rFonts w:hint="eastAsia" w:ascii="宋体" w:hAnsi="宋体" w:eastAsia="宋体" w:cs="宋体"/>
          <w:vertAlign w:val="subscript"/>
          <w:lang w:eastAsia="zh-CN"/>
        </w:rPr>
        <w:t>3</w:t>
      </w:r>
      <w:r>
        <w:rPr>
          <w:rFonts w:hint="eastAsia" w:ascii="宋体" w:hAnsi="宋体" w:eastAsia="宋体" w:cs="宋体"/>
          <w:lang w:eastAsia="zh-CN"/>
        </w:rPr>
        <w:t>-N及油类，依托现有污水管网排入企业生活污水处理站处理，处理达标后回用，不外排。</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3.13.1.3 固废</w:t>
      </w:r>
    </w:p>
    <w:p>
      <w:pPr>
        <w:ind w:firstLine="560"/>
        <w:rPr>
          <w:rFonts w:hint="eastAsia" w:ascii="宋体" w:hAnsi="宋体" w:eastAsia="宋体" w:cs="宋体"/>
          <w:lang w:eastAsia="zh-CN"/>
        </w:rPr>
      </w:pPr>
      <w:r>
        <w:rPr>
          <w:rFonts w:hint="eastAsia" w:ascii="宋体" w:hAnsi="宋体" w:eastAsia="宋体" w:cs="宋体"/>
          <w:lang w:eastAsia="zh-CN"/>
        </w:rPr>
        <w:t>施工期固体废物主要是井下掘进废石，施工人员的生活垃圾。</w:t>
      </w:r>
    </w:p>
    <w:p>
      <w:pPr>
        <w:numPr>
          <w:ilvl w:val="0"/>
          <w:numId w:val="15"/>
        </w:numPr>
        <w:ind w:firstLineChars="0"/>
        <w:rPr>
          <w:rFonts w:hint="eastAsia" w:ascii="宋体" w:hAnsi="宋体" w:eastAsia="宋体" w:cs="宋体"/>
          <w:lang w:eastAsia="zh-CN"/>
        </w:rPr>
      </w:pPr>
      <w:r>
        <w:rPr>
          <w:rFonts w:hint="eastAsia" w:ascii="宋体" w:hAnsi="宋体" w:eastAsia="宋体" w:cs="宋体"/>
          <w:lang w:eastAsia="zh-CN"/>
        </w:rPr>
        <w:t>井下掘进废石</w:t>
      </w:r>
    </w:p>
    <w:p>
      <w:pPr>
        <w:ind w:firstLine="560"/>
        <w:rPr>
          <w:rFonts w:hint="eastAsia" w:ascii="宋体" w:hAnsi="宋体" w:eastAsia="宋体" w:cs="宋体"/>
          <w:lang w:eastAsia="zh-CN"/>
        </w:rPr>
      </w:pPr>
      <w:r>
        <w:rPr>
          <w:rFonts w:hint="eastAsia" w:ascii="宋体" w:hAnsi="宋体" w:eastAsia="宋体" w:cs="宋体"/>
          <w:lang w:eastAsia="zh-CN"/>
        </w:rPr>
        <w:t>施工期废石主要为风井、巷道掘进开拓而产生的废石，施工期间共产生废石84万t，运至尾矿库，作为筑坝材料。</w:t>
      </w:r>
    </w:p>
    <w:p>
      <w:pPr>
        <w:numPr>
          <w:ilvl w:val="0"/>
          <w:numId w:val="15"/>
        </w:numPr>
        <w:ind w:firstLine="560" w:firstLineChars="0"/>
        <w:rPr>
          <w:rFonts w:hint="eastAsia" w:ascii="宋体" w:hAnsi="宋体" w:eastAsia="宋体" w:cs="宋体"/>
          <w:lang w:eastAsia="zh-CN"/>
        </w:rPr>
      </w:pPr>
      <w:r>
        <w:rPr>
          <w:rFonts w:hint="eastAsia" w:ascii="宋体" w:hAnsi="宋体" w:eastAsia="宋体" w:cs="宋体"/>
          <w:lang w:eastAsia="zh-CN"/>
        </w:rPr>
        <w:t>生活垃圾</w:t>
      </w:r>
    </w:p>
    <w:p>
      <w:pPr>
        <w:ind w:firstLine="560"/>
        <w:rPr>
          <w:rFonts w:hint="eastAsia" w:ascii="宋体" w:hAnsi="宋体" w:eastAsia="宋体" w:cs="宋体"/>
          <w:lang w:eastAsia="zh-CN"/>
        </w:rPr>
      </w:pPr>
      <w:r>
        <w:rPr>
          <w:rFonts w:hint="eastAsia" w:ascii="宋体" w:hAnsi="宋体" w:eastAsia="宋体" w:cs="宋体"/>
          <w:lang w:eastAsia="zh-CN"/>
        </w:rPr>
        <w:t>施工期产生的生活垃圾按0.5kg/人•d，施工人员按100人计，则施工期共产生生活垃圾16.5t/a，经垃圾桶收集，由当地环卫部门负责定期清运。</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3.13.1.4 噪声</w:t>
      </w:r>
    </w:p>
    <w:p>
      <w:pPr>
        <w:ind w:firstLine="560"/>
        <w:rPr>
          <w:rFonts w:hint="eastAsia" w:ascii="宋体" w:hAnsi="宋体" w:eastAsia="宋体" w:cs="宋体"/>
          <w:lang w:eastAsia="zh-CN"/>
        </w:rPr>
      </w:pPr>
      <w:r>
        <w:rPr>
          <w:rFonts w:hint="eastAsia" w:ascii="宋体" w:hAnsi="宋体" w:eastAsia="宋体" w:cs="宋体"/>
          <w:lang w:eastAsia="zh-CN"/>
        </w:rPr>
        <w:t>（1）施工期噪声特征</w:t>
      </w:r>
    </w:p>
    <w:p>
      <w:pPr>
        <w:ind w:firstLine="560"/>
        <w:rPr>
          <w:rFonts w:hint="eastAsia" w:ascii="宋体" w:hAnsi="宋体" w:eastAsia="宋体" w:cs="宋体"/>
          <w:lang w:eastAsia="zh-CN"/>
        </w:rPr>
      </w:pPr>
      <w:r>
        <w:rPr>
          <w:rFonts w:hint="eastAsia" w:ascii="宋体" w:hAnsi="宋体" w:eastAsia="宋体" w:cs="宋体"/>
          <w:lang w:eastAsia="zh-CN"/>
        </w:rPr>
        <w:t>施工期噪声主要是施工机械和运输车辆的影响，由于施工期施工项目较少，施工机械简单，其噪声源声级在75-95dB(A)，且施工期噪声为间歇性噪声，因此施工噪声对周围环境的影响很小，这种污染也是局部的、短期的，工程完成之后这种影响就会消失。</w:t>
      </w:r>
    </w:p>
    <w:p>
      <w:pPr>
        <w:ind w:left="560" w:firstLine="0" w:firstLineChars="0"/>
        <w:rPr>
          <w:rFonts w:hint="eastAsia" w:ascii="宋体" w:hAnsi="宋体" w:eastAsia="宋体" w:cs="宋体"/>
          <w:lang w:eastAsia="zh-CN"/>
        </w:rPr>
      </w:pPr>
      <w:r>
        <w:rPr>
          <w:rFonts w:hint="eastAsia" w:ascii="宋体" w:hAnsi="宋体" w:eastAsia="宋体" w:cs="宋体"/>
          <w:lang w:eastAsia="zh-CN"/>
        </w:rPr>
        <w:t>（2）施工期主要噪声源</w:t>
      </w:r>
    </w:p>
    <w:p>
      <w:pPr>
        <w:ind w:left="480" w:leftChars="200" w:firstLine="0" w:firstLineChars="0"/>
        <w:rPr>
          <w:rFonts w:hint="eastAsia" w:ascii="宋体" w:hAnsi="宋体" w:eastAsia="宋体" w:cs="宋体"/>
          <w:lang w:eastAsia="zh-CN"/>
        </w:rPr>
      </w:pPr>
      <w:r>
        <w:rPr>
          <w:rFonts w:hint="eastAsia" w:ascii="宋体" w:hAnsi="宋体" w:eastAsia="宋体" w:cs="宋体"/>
          <w:lang w:eastAsia="zh-CN"/>
        </w:rPr>
        <w:t>经类比调查，确定施工期产噪设备噪声级见表3.13.1-1。</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表3.13.1-1 施工期主要噪声源强度值</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121"/>
        <w:gridCol w:w="1318"/>
        <w:gridCol w:w="1379"/>
        <w:gridCol w:w="1997"/>
        <w:gridCol w:w="1375"/>
        <w:gridCol w:w="13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设备</w:t>
            </w:r>
          </w:p>
        </w:tc>
        <w:tc>
          <w:tcPr>
            <w:tcW w:w="1121"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噪声源源强dB(A)</w:t>
            </w:r>
          </w:p>
        </w:tc>
        <w:tc>
          <w:tcPr>
            <w:tcW w:w="1318"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位置</w:t>
            </w:r>
          </w:p>
        </w:tc>
        <w:tc>
          <w:tcPr>
            <w:tcW w:w="1379"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运行情况</w:t>
            </w:r>
          </w:p>
        </w:tc>
        <w:tc>
          <w:tcPr>
            <w:tcW w:w="1997"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采取措施</w:t>
            </w:r>
          </w:p>
        </w:tc>
        <w:tc>
          <w:tcPr>
            <w:tcW w:w="1375"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治理后源强dB(A)</w:t>
            </w:r>
          </w:p>
        </w:tc>
        <w:tc>
          <w:tcPr>
            <w:tcW w:w="1375" w:type="dxa"/>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空压机</w:t>
            </w:r>
          </w:p>
        </w:tc>
        <w:tc>
          <w:tcPr>
            <w:tcW w:w="1121"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95</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空压机房</w:t>
            </w:r>
          </w:p>
        </w:tc>
        <w:tc>
          <w:tcPr>
            <w:tcW w:w="1379"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连续</w:t>
            </w:r>
          </w:p>
        </w:tc>
        <w:tc>
          <w:tcPr>
            <w:tcW w:w="1997"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隔音、消声减振</w:t>
            </w:r>
          </w:p>
        </w:tc>
        <w:tc>
          <w:tcPr>
            <w:tcW w:w="1375"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70</w:t>
            </w:r>
          </w:p>
        </w:tc>
        <w:tc>
          <w:tcPr>
            <w:tcW w:w="1375" w:type="dxa"/>
            <w:vMerge w:val="restart"/>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距声源 1m，固定稳定源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提升机</w:t>
            </w:r>
          </w:p>
        </w:tc>
        <w:tc>
          <w:tcPr>
            <w:tcW w:w="1121"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80</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提升机机房</w:t>
            </w:r>
          </w:p>
        </w:tc>
        <w:tc>
          <w:tcPr>
            <w:tcW w:w="1379"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间断</w:t>
            </w:r>
          </w:p>
        </w:tc>
        <w:tc>
          <w:tcPr>
            <w:tcW w:w="1997"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75"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62</w:t>
            </w:r>
          </w:p>
        </w:tc>
        <w:tc>
          <w:tcPr>
            <w:tcW w:w="1375" w:type="dxa"/>
            <w:vMerge w:val="continue"/>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57" w:type="dxa"/>
            <w:tcBorders>
              <w:left w:val="single" w:color="auto" w:sz="12" w:space="0"/>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运输车辆</w:t>
            </w:r>
          </w:p>
        </w:tc>
        <w:tc>
          <w:tcPr>
            <w:tcW w:w="1121"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75</w:t>
            </w:r>
          </w:p>
        </w:tc>
        <w:tc>
          <w:tcPr>
            <w:tcW w:w="1318"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运输道路</w:t>
            </w:r>
          </w:p>
        </w:tc>
        <w:tc>
          <w:tcPr>
            <w:tcW w:w="1379"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间断</w:t>
            </w:r>
          </w:p>
        </w:tc>
        <w:tc>
          <w:tcPr>
            <w:tcW w:w="1997"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1375"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75</w:t>
            </w:r>
          </w:p>
        </w:tc>
        <w:tc>
          <w:tcPr>
            <w:tcW w:w="1375" w:type="dxa"/>
            <w:tcBorders>
              <w:bottom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距声源 5m，不稳定源</w:t>
            </w:r>
          </w:p>
        </w:tc>
      </w:tr>
    </w:tbl>
    <w:p>
      <w:pPr>
        <w:ind w:firstLine="560"/>
        <w:rPr>
          <w:rFonts w:hint="eastAsia" w:ascii="宋体" w:hAnsi="宋体" w:eastAsia="宋体" w:cs="宋体"/>
          <w:lang w:eastAsia="zh-CN"/>
        </w:rPr>
      </w:pPr>
      <w:r>
        <w:rPr>
          <w:rFonts w:hint="eastAsia" w:ascii="宋体" w:hAnsi="宋体" w:eastAsia="宋体" w:cs="宋体"/>
          <w:lang w:eastAsia="zh-CN"/>
        </w:rPr>
        <w:t>为将施工期的噪声影响降到尽可能低的程度，本次环评提出：合理安排施工时间，夜间禁止施工；合理布局施工现场，避免对周围村庄居民造成严重影响；车辆进场安排在白天进行，避免夜间进场影响周边村民休息。</w:t>
      </w:r>
    </w:p>
    <w:p>
      <w:pPr>
        <w:pStyle w:val="7"/>
        <w:rPr>
          <w:rFonts w:hint="eastAsia" w:ascii="宋体" w:hAnsi="宋体" w:eastAsia="宋体" w:cs="宋体"/>
          <w:lang w:eastAsia="zh-CN"/>
        </w:rPr>
      </w:pPr>
      <w:r>
        <w:rPr>
          <w:rFonts w:hint="eastAsia" w:ascii="宋体" w:hAnsi="宋体" w:eastAsia="宋体" w:cs="宋体"/>
          <w:lang w:eastAsia="zh-CN"/>
        </w:rPr>
        <w:t>3.13.2 营运期污染源分析</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3.13.2.1 废气</w:t>
      </w:r>
    </w:p>
    <w:p>
      <w:pPr>
        <w:ind w:firstLine="560"/>
        <w:rPr>
          <w:rFonts w:hint="eastAsia" w:ascii="宋体" w:hAnsi="宋体" w:eastAsia="宋体" w:cs="宋体"/>
          <w:lang w:eastAsia="zh-CN"/>
        </w:rPr>
      </w:pPr>
      <w:r>
        <w:rPr>
          <w:rFonts w:hint="eastAsia" w:cs="宋体"/>
          <w:lang w:eastAsia="zh-CN"/>
        </w:rPr>
        <w:t>本项目废气主要来源于</w:t>
      </w:r>
      <w:r>
        <w:rPr>
          <w:rFonts w:hint="eastAsia" w:ascii="宋体" w:hAnsi="宋体" w:eastAsia="宋体" w:cs="宋体"/>
          <w:lang w:eastAsia="zh-CN"/>
        </w:rPr>
        <w:t>井下开采、井下矿石破碎、</w:t>
      </w:r>
      <w:r>
        <w:rPr>
          <w:rFonts w:hint="eastAsia" w:cs="宋体"/>
          <w:lang w:eastAsia="zh-CN"/>
        </w:rPr>
        <w:t>运输、</w:t>
      </w:r>
      <w:r>
        <w:rPr>
          <w:rFonts w:hint="eastAsia" w:ascii="宋体" w:hAnsi="宋体" w:eastAsia="宋体" w:cs="宋体"/>
          <w:lang w:eastAsia="zh-CN"/>
        </w:rPr>
        <w:t>密闭皮带廊运输</w:t>
      </w:r>
      <w:r>
        <w:rPr>
          <w:rFonts w:hint="eastAsia" w:cs="宋体"/>
          <w:lang w:eastAsia="zh-CN"/>
        </w:rPr>
        <w:t>等产生的无组织粉尘和爆破产生的间歇性爆破废气</w:t>
      </w:r>
      <w:r>
        <w:rPr>
          <w:rFonts w:hint="eastAsia" w:ascii="宋体" w:hAnsi="宋体" w:eastAsia="宋体" w:cs="宋体"/>
          <w:lang w:eastAsia="zh-CN"/>
        </w:rPr>
        <w:t>。</w:t>
      </w:r>
    </w:p>
    <w:p>
      <w:pPr>
        <w:ind w:left="480" w:leftChars="200" w:firstLine="0" w:firstLineChars="0"/>
        <w:rPr>
          <w:rFonts w:hint="eastAsia" w:ascii="宋体" w:hAnsi="宋体" w:eastAsia="宋体" w:cs="宋体"/>
          <w:lang w:eastAsia="zh-CN"/>
        </w:rPr>
      </w:pPr>
      <w:r>
        <w:rPr>
          <w:rFonts w:hint="eastAsia" w:ascii="宋体" w:hAnsi="宋体" w:eastAsia="宋体" w:cs="宋体"/>
          <w:lang w:eastAsia="zh-CN"/>
        </w:rPr>
        <w:t>（1）爆破气体</w:t>
      </w:r>
    </w:p>
    <w:p>
      <w:pPr>
        <w:ind w:firstLine="560"/>
        <w:rPr>
          <w:rFonts w:hint="eastAsia" w:ascii="宋体" w:hAnsi="宋体" w:eastAsia="宋体" w:cs="宋体"/>
          <w:lang w:eastAsia="zh-CN"/>
        </w:rPr>
      </w:pPr>
      <w:r>
        <w:rPr>
          <w:rFonts w:hint="eastAsia" w:ascii="宋体" w:hAnsi="宋体" w:eastAsia="宋体" w:cs="宋体"/>
          <w:lang w:eastAsia="zh-CN"/>
        </w:rPr>
        <w:t>井下爆破采用乳化炸药、导爆管爆破等，爆破过程中产生气体的主要成分为NOx、CO等，通过风井间歇排放。</w:t>
      </w:r>
    </w:p>
    <w:p>
      <w:pPr>
        <w:autoSpaceDE/>
        <w:autoSpaceDN/>
        <w:ind w:firstLine="480"/>
        <w:rPr>
          <w:rFonts w:hint="eastAsia" w:ascii="宋体" w:hAnsi="宋体" w:eastAsia="宋体" w:cs="宋体"/>
          <w:kern w:val="2"/>
          <w:szCs w:val="22"/>
          <w:lang w:eastAsia="zh-CN"/>
        </w:rPr>
      </w:pPr>
      <w:r>
        <w:rPr>
          <w:rFonts w:hint="eastAsia" w:ascii="宋体" w:hAnsi="宋体" w:eastAsia="宋体" w:cs="宋体"/>
          <w:kern w:val="2"/>
          <w:szCs w:val="22"/>
          <w:lang w:eastAsia="zh-CN"/>
        </w:rPr>
        <w:t>爆破作业采用乳化类、硝铵类炸药，炸药爆破时产生的气体其中有害气体主要是：CO、NOx。根据《工程爆破中的灾害及其控制》（黄忆龙，西部探矿工程，2002年第2期），岩石炸药爆炸产污系数为CO6.3g/kg，NOx14.6g/kg。本项目炸药使用量为1251</w:t>
      </w:r>
      <w:r>
        <w:rPr>
          <w:rFonts w:hint="eastAsia" w:ascii="宋体" w:hAnsi="宋体" w:eastAsia="宋体" w:cs="宋体"/>
          <w:kern w:val="2"/>
          <w:szCs w:val="22"/>
          <w:lang w:val="en-US" w:eastAsia="zh-CN"/>
        </w:rPr>
        <w:t>.</w:t>
      </w:r>
      <w:r>
        <w:rPr>
          <w:rFonts w:hint="eastAsia" w:ascii="宋体" w:hAnsi="宋体" w:eastAsia="宋体" w:cs="宋体"/>
          <w:kern w:val="2"/>
          <w:szCs w:val="22"/>
          <w:lang w:eastAsia="zh-CN"/>
        </w:rPr>
        <w:t>158t/a（</w:t>
      </w:r>
      <w:r>
        <w:rPr>
          <w:rFonts w:hint="eastAsia" w:ascii="宋体" w:hAnsi="宋体" w:eastAsia="宋体" w:cs="宋体"/>
          <w:bCs/>
          <w:kern w:val="2"/>
          <w:szCs w:val="22"/>
          <w:lang w:eastAsia="zh-CN"/>
        </w:rPr>
        <w:t>炸药单位消耗量为0.44kg/m³</w:t>
      </w:r>
      <w:r>
        <w:rPr>
          <w:rFonts w:hint="eastAsia" w:ascii="宋体" w:hAnsi="宋体" w:eastAsia="宋体" w:cs="宋体"/>
          <w:kern w:val="2"/>
          <w:szCs w:val="22"/>
          <w:lang w:eastAsia="zh-CN"/>
        </w:rPr>
        <w:t>），则爆破CO产生量</w:t>
      </w:r>
      <w:r>
        <w:rPr>
          <w:rFonts w:hint="eastAsia" w:ascii="宋体" w:hAnsi="宋体" w:eastAsia="宋体" w:cs="宋体"/>
          <w:kern w:val="2"/>
          <w:szCs w:val="22"/>
          <w:lang w:val="en-US" w:eastAsia="zh-CN"/>
        </w:rPr>
        <w:t>7.88</w:t>
      </w:r>
      <w:r>
        <w:rPr>
          <w:rFonts w:hint="eastAsia" w:ascii="宋体" w:hAnsi="宋体" w:eastAsia="宋体" w:cs="宋体"/>
          <w:kern w:val="2"/>
          <w:szCs w:val="22"/>
          <w:lang w:eastAsia="zh-CN"/>
        </w:rPr>
        <w:t>t/a、NOx产生量</w:t>
      </w:r>
      <w:r>
        <w:rPr>
          <w:rFonts w:hint="eastAsia" w:ascii="宋体" w:hAnsi="宋体" w:eastAsia="宋体" w:cs="宋体"/>
          <w:kern w:val="2"/>
          <w:szCs w:val="22"/>
          <w:lang w:val="en-US" w:eastAsia="zh-CN"/>
        </w:rPr>
        <w:t>18.27</w:t>
      </w:r>
      <w:r>
        <w:rPr>
          <w:rFonts w:hint="eastAsia" w:ascii="宋体" w:hAnsi="宋体" w:eastAsia="宋体" w:cs="宋体"/>
          <w:kern w:val="2"/>
          <w:szCs w:val="22"/>
          <w:lang w:eastAsia="zh-CN"/>
        </w:rPr>
        <w:t>t/a。</w:t>
      </w:r>
    </w:p>
    <w:p>
      <w:pPr>
        <w:ind w:firstLine="560"/>
        <w:rPr>
          <w:rFonts w:hint="eastAsia" w:ascii="宋体" w:hAnsi="宋体" w:eastAsia="宋体" w:cs="宋体"/>
          <w:lang w:eastAsia="zh-CN"/>
        </w:rPr>
      </w:pPr>
      <w:r>
        <w:rPr>
          <w:rFonts w:hint="eastAsia" w:ascii="宋体" w:hAnsi="宋体" w:eastAsia="宋体" w:cs="宋体"/>
          <w:lang w:eastAsia="zh-CN"/>
        </w:rPr>
        <w:t>治理措施：爆破废气为间歇性排放，建设单位应合理减少乳化炸药用量，调整爆破次数，少量多次爆破，使爆破废气初始产生浓度降低，尽量避免同一时间多个地点同时爆破，爆破后立即采取洒水通风等措施，及时控制疏散大气污染物，减轻爆破后无组织排放对环境空气影响较小。</w:t>
      </w:r>
    </w:p>
    <w:p>
      <w:pPr>
        <w:ind w:firstLine="560"/>
        <w:rPr>
          <w:rFonts w:hint="eastAsia" w:ascii="宋体" w:hAnsi="宋体" w:eastAsia="宋体" w:cs="宋体"/>
          <w:lang w:eastAsia="zh-CN"/>
        </w:rPr>
      </w:pPr>
      <w:r>
        <w:rPr>
          <w:rFonts w:hint="eastAsia" w:ascii="宋体" w:hAnsi="宋体" w:eastAsia="宋体" w:cs="宋体"/>
          <w:lang w:eastAsia="zh-CN"/>
        </w:rPr>
        <w:t>（2）</w:t>
      </w:r>
      <w:r>
        <w:rPr>
          <w:rFonts w:hint="eastAsia" w:cs="宋体"/>
          <w:lang w:eastAsia="zh-CN"/>
        </w:rPr>
        <w:t>井下开采</w:t>
      </w:r>
    </w:p>
    <w:p>
      <w:pPr>
        <w:ind w:firstLine="560"/>
        <w:rPr>
          <w:rFonts w:hint="eastAsia" w:ascii="宋体" w:hAnsi="宋体" w:eastAsia="宋体" w:cs="宋体"/>
          <w:lang w:eastAsia="zh-CN"/>
        </w:rPr>
      </w:pPr>
      <w:r>
        <w:rPr>
          <w:rFonts w:hint="eastAsia" w:ascii="宋体" w:hAnsi="宋体" w:eastAsia="宋体" w:cs="宋体"/>
          <w:lang w:eastAsia="zh-CN"/>
        </w:rPr>
        <w:t>井下开采凿岩、爆破、装载、运输产生的矿井粉尘，其特点为间歇性和瞬时性，即瞬时产生量较大，污染物瞬时排放，浓度高峰值持续时间短，其产生的粉尘影响范围小。</w:t>
      </w:r>
    </w:p>
    <w:p>
      <w:pPr>
        <w:ind w:firstLine="560"/>
        <w:rPr>
          <w:rFonts w:hint="eastAsia" w:ascii="宋体" w:hAnsi="宋体" w:eastAsia="宋体" w:cs="宋体"/>
          <w:lang w:eastAsia="zh-CN"/>
        </w:rPr>
      </w:pPr>
      <w:r>
        <w:rPr>
          <w:rFonts w:hint="eastAsia" w:ascii="宋体" w:hAnsi="宋体" w:eastAsia="宋体" w:cs="宋体"/>
          <w:lang w:eastAsia="zh-CN"/>
        </w:rPr>
        <w:t>治理措施：通过采取湿式凿岩、并在矿岩爆堆铲装前，采用喷雾洒水进行湿式装载。对于矿坑内产生的粉尘和烟气，尽量加湿矿石，在易产生粉尘的地点设喷雾除尘，加强通风，井下含粉尘污风经长距离的回风水平的流动，在风流稀释和重力作用沉降后，到达回风井井口的粉尘浓度较低。据国内矿山经验资料，井下粉尘初始排放浓度为10mg/m</w:t>
      </w:r>
      <w:r>
        <w:rPr>
          <w:rFonts w:hint="eastAsia" w:ascii="宋体" w:hAnsi="宋体" w:eastAsia="宋体" w:cs="宋体"/>
          <w:vertAlign w:val="superscript"/>
          <w:lang w:eastAsia="zh-CN"/>
        </w:rPr>
        <w:t>3</w:t>
      </w:r>
      <w:r>
        <w:rPr>
          <w:rFonts w:hint="eastAsia" w:ascii="宋体" w:hAnsi="宋体" w:eastAsia="宋体" w:cs="宋体"/>
          <w:lang w:eastAsia="zh-CN"/>
        </w:rPr>
        <w:t>，采用湿式凿岩，采矿和掘进工作面在爆破后，先通风洒水，后装矿(岩)，在各采掘工作面、转载点等易产生粉尘处设置喷头或水幕，以净化风流等措施、井下破碎系统采用喷淋降尘，加以喷淋降尘并设置专用回风道的情况下，粉尘产生量可减少90%以上，可降至1mg/m</w:t>
      </w:r>
      <w:r>
        <w:rPr>
          <w:rFonts w:hint="eastAsia" w:ascii="宋体" w:hAnsi="宋体" w:eastAsia="宋体" w:cs="宋体"/>
          <w:vertAlign w:val="superscript"/>
          <w:lang w:eastAsia="zh-CN"/>
        </w:rPr>
        <w:t>3</w:t>
      </w:r>
      <w:r>
        <w:rPr>
          <w:rFonts w:hint="eastAsia" w:ascii="宋体" w:hAnsi="宋体" w:eastAsia="宋体" w:cs="宋体"/>
          <w:lang w:eastAsia="zh-CN"/>
        </w:rPr>
        <w:t>，建设单位巷道内设置喷雾除尘，含尘废气经进一步净化、沉降后由排风井排至地表，地表排风含尘浓度小于0.25mg/m</w:t>
      </w:r>
      <w:r>
        <w:rPr>
          <w:rFonts w:hint="eastAsia" w:ascii="宋体" w:hAnsi="宋体" w:eastAsia="宋体" w:cs="宋体"/>
          <w:vertAlign w:val="superscript"/>
          <w:lang w:eastAsia="zh-CN"/>
        </w:rPr>
        <w:t>3</w:t>
      </w:r>
      <w:r>
        <w:rPr>
          <w:rFonts w:hint="eastAsia" w:ascii="宋体" w:hAnsi="宋体" w:eastAsia="宋体" w:cs="宋体"/>
          <w:lang w:eastAsia="zh-CN"/>
        </w:rPr>
        <w:t>。</w:t>
      </w:r>
    </w:p>
    <w:p>
      <w:pPr>
        <w:ind w:firstLine="560"/>
        <w:rPr>
          <w:rFonts w:hint="eastAsia" w:ascii="宋体" w:hAnsi="宋体" w:eastAsia="宋体" w:cs="宋体"/>
          <w:lang w:eastAsia="zh-CN"/>
        </w:rPr>
      </w:pPr>
      <w:r>
        <w:rPr>
          <w:rFonts w:hint="eastAsia"/>
          <w:lang w:eastAsia="zh-CN"/>
        </w:rPr>
        <w:t>根据《关于发布</w:t>
      </w:r>
      <w:r>
        <w:rPr>
          <w:rFonts w:hint="eastAsia"/>
          <w:lang w:val="en-US" w:eastAsia="zh-CN"/>
        </w:rPr>
        <w:t>&lt;</w:t>
      </w:r>
      <w:r>
        <w:rPr>
          <w:rFonts w:hint="eastAsia"/>
          <w:lang w:eastAsia="zh-CN"/>
        </w:rPr>
        <w:t>排放源统计调查产排污核算方法和系数手册</w:t>
      </w:r>
      <w:r>
        <w:rPr>
          <w:rFonts w:hint="eastAsia"/>
          <w:lang w:val="en-US" w:eastAsia="zh-CN"/>
        </w:rPr>
        <w:t>&gt;</w:t>
      </w:r>
      <w:r>
        <w:rPr>
          <w:rFonts w:hint="eastAsia"/>
          <w:lang w:eastAsia="zh-CN"/>
        </w:rPr>
        <w:t>的公告》（环境部公告 2021 年 第24号）中《</w:t>
      </w:r>
      <w:r>
        <w:rPr>
          <w:rFonts w:hint="eastAsia"/>
          <w:lang w:val="en-US" w:eastAsia="zh-CN"/>
        </w:rPr>
        <w:t>0810</w:t>
      </w:r>
      <w:r>
        <w:rPr>
          <w:rFonts w:hint="eastAsia"/>
          <w:lang w:eastAsia="zh-CN"/>
        </w:rPr>
        <w:t>铁矿采选行业系数手册》可知，颗粒物产污系数为</w:t>
      </w:r>
      <w:r>
        <w:rPr>
          <w:rFonts w:hint="eastAsia"/>
          <w:lang w:val="en-US" w:eastAsia="zh-CN"/>
        </w:rPr>
        <w:t>1.10</w:t>
      </w:r>
      <w:r>
        <w:rPr>
          <w:rFonts w:hint="default" w:ascii="Arial" w:hAnsi="Arial" w:eastAsia="宋体" w:cs="Arial"/>
          <w:lang w:val="en-US" w:eastAsia="zh-CN"/>
        </w:rPr>
        <w:t>×</w:t>
      </w:r>
      <w:r>
        <w:rPr>
          <w:rFonts w:hint="eastAsia"/>
          <w:lang w:val="en-US" w:eastAsia="zh-CN"/>
        </w:rPr>
        <w:t>10</w:t>
      </w:r>
      <w:r>
        <w:rPr>
          <w:rFonts w:hint="eastAsia"/>
          <w:vertAlign w:val="superscript"/>
          <w:lang w:val="en-US" w:eastAsia="zh-CN"/>
        </w:rPr>
        <w:t>-3</w:t>
      </w:r>
      <w:r>
        <w:rPr>
          <w:rFonts w:hint="eastAsia"/>
          <w:lang w:val="en-US" w:eastAsia="zh-CN"/>
        </w:rPr>
        <w:t>kg/t。根据开发利用方案可知，本项目废气量为306000m</w:t>
      </w:r>
      <w:r>
        <w:rPr>
          <w:rFonts w:hint="eastAsia"/>
          <w:vertAlign w:val="superscript"/>
          <w:lang w:val="en-US" w:eastAsia="zh-CN"/>
        </w:rPr>
        <w:t>3</w:t>
      </w:r>
      <w:r>
        <w:rPr>
          <w:rFonts w:hint="eastAsia"/>
          <w:lang w:val="en-US" w:eastAsia="zh-CN"/>
        </w:rPr>
        <w:t>/h。计算可得颗粒物年产生量0.55t/a，根据粉尘处理效率</w:t>
      </w:r>
      <w:r>
        <w:rPr>
          <w:rFonts w:hint="eastAsia" w:ascii="宋体" w:hAnsi="宋体" w:eastAsia="宋体" w:cs="宋体"/>
          <w:lang w:eastAsia="zh-CN"/>
        </w:rPr>
        <w:t>表3.13.2-1。</w:t>
      </w:r>
    </w:p>
    <w:p>
      <w:pPr>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表3.13.2-1 </w:t>
      </w:r>
      <w:r>
        <w:rPr>
          <w:rFonts w:hint="eastAsia" w:cs="宋体"/>
          <w:b/>
          <w:bCs/>
          <w:sz w:val="24"/>
          <w:lang w:eastAsia="zh-CN"/>
        </w:rPr>
        <w:t>本项目</w:t>
      </w:r>
      <w:r>
        <w:rPr>
          <w:rFonts w:hint="eastAsia" w:ascii="宋体" w:hAnsi="宋体" w:eastAsia="宋体" w:cs="宋体"/>
          <w:b/>
          <w:bCs/>
          <w:sz w:val="24"/>
          <w:lang w:eastAsia="zh-CN"/>
        </w:rPr>
        <w:t>井下开采粉尘的排放情况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1011"/>
        <w:gridCol w:w="741"/>
        <w:gridCol w:w="1110"/>
        <w:gridCol w:w="975"/>
        <w:gridCol w:w="855"/>
        <w:gridCol w:w="1107"/>
        <w:gridCol w:w="1053"/>
        <w:gridCol w:w="960"/>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dxa"/>
            <w:vMerge w:val="restart"/>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排放源</w:t>
            </w:r>
          </w:p>
        </w:tc>
        <w:tc>
          <w:tcPr>
            <w:tcW w:w="1011" w:type="dxa"/>
            <w:vMerge w:val="restar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废气量（m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/h）</w:t>
            </w:r>
          </w:p>
        </w:tc>
        <w:tc>
          <w:tcPr>
            <w:tcW w:w="741" w:type="dxa"/>
            <w:vMerge w:val="restar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污染物</w:t>
            </w:r>
          </w:p>
        </w:tc>
        <w:tc>
          <w:tcPr>
            <w:tcW w:w="2940" w:type="dxa"/>
            <w:gridSpan w:val="3"/>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产生情况</w:t>
            </w:r>
          </w:p>
        </w:tc>
        <w:tc>
          <w:tcPr>
            <w:tcW w:w="1107" w:type="dxa"/>
            <w:vMerge w:val="restar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治理措施</w:t>
            </w:r>
          </w:p>
        </w:tc>
        <w:tc>
          <w:tcPr>
            <w:tcW w:w="2927" w:type="dxa"/>
            <w:gridSpan w:val="3"/>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dxa"/>
            <w:vMerge w:val="continue"/>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011"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741"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110"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浓度（</w:t>
            </w:r>
            <w:r>
              <w:rPr>
                <w:rFonts w:hint="eastAsia" w:ascii="宋体" w:hAnsi="宋体" w:eastAsia="宋体" w:cs="宋体"/>
                <w:b/>
                <w:bCs/>
                <w:sz w:val="21"/>
                <w:szCs w:val="21"/>
                <w:lang w:val="en-US" w:eastAsia="zh-CN"/>
              </w:rPr>
              <w:t>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rPr>
              <w:t>）</w:t>
            </w:r>
          </w:p>
        </w:tc>
        <w:tc>
          <w:tcPr>
            <w:tcW w:w="975"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速率（kg/h）</w:t>
            </w:r>
          </w:p>
        </w:tc>
        <w:tc>
          <w:tcPr>
            <w:tcW w:w="855"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量（t/a）</w:t>
            </w:r>
          </w:p>
        </w:tc>
        <w:tc>
          <w:tcPr>
            <w:tcW w:w="1107"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053"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浓度（</w:t>
            </w:r>
            <w:r>
              <w:rPr>
                <w:rFonts w:hint="eastAsia" w:ascii="宋体" w:hAnsi="宋体" w:eastAsia="宋体" w:cs="宋体"/>
                <w:b/>
                <w:bCs/>
                <w:sz w:val="21"/>
                <w:szCs w:val="21"/>
                <w:lang w:val="en-US" w:eastAsia="zh-CN"/>
              </w:rPr>
              <w:t>mg/m</w:t>
            </w:r>
            <w:r>
              <w:rPr>
                <w:rFonts w:hint="eastAsia" w:ascii="宋体" w:hAnsi="宋体" w:eastAsia="宋体" w:cs="宋体"/>
                <w:b/>
                <w:bCs/>
                <w:sz w:val="21"/>
                <w:szCs w:val="21"/>
                <w:vertAlign w:val="superscript"/>
                <w:lang w:val="en-US" w:eastAsia="zh-CN"/>
              </w:rPr>
              <w:t>3</w:t>
            </w:r>
            <w:r>
              <w:rPr>
                <w:rFonts w:hint="eastAsia" w:ascii="宋体" w:hAnsi="宋体" w:eastAsia="宋体" w:cs="宋体"/>
                <w:b/>
                <w:bCs/>
                <w:sz w:val="21"/>
                <w:szCs w:val="21"/>
              </w:rPr>
              <w:t>）</w:t>
            </w:r>
          </w:p>
        </w:tc>
        <w:tc>
          <w:tcPr>
            <w:tcW w:w="960"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速率（kg/h）</w:t>
            </w:r>
          </w:p>
        </w:tc>
        <w:tc>
          <w:tcPr>
            <w:tcW w:w="914"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dxa"/>
            <w:tcBorders>
              <w:left w:val="single" w:color="auto" w:sz="12" w:space="0"/>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王峪</w:t>
            </w:r>
            <w:r>
              <w:rPr>
                <w:rFonts w:hint="eastAsia" w:ascii="宋体" w:hAnsi="宋体" w:cs="宋体"/>
                <w:sz w:val="21"/>
                <w:szCs w:val="21"/>
                <w:lang w:eastAsia="zh-CN"/>
              </w:rPr>
              <w:t>中央</w:t>
            </w:r>
            <w:r>
              <w:rPr>
                <w:rFonts w:hint="eastAsia" w:ascii="宋体" w:hAnsi="宋体" w:eastAsia="宋体" w:cs="宋体"/>
                <w:sz w:val="21"/>
                <w:szCs w:val="21"/>
              </w:rPr>
              <w:t>回风井</w:t>
            </w:r>
          </w:p>
        </w:tc>
        <w:tc>
          <w:tcPr>
            <w:tcW w:w="1011"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306000</w:t>
            </w:r>
          </w:p>
        </w:tc>
        <w:tc>
          <w:tcPr>
            <w:tcW w:w="741"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颗粒物</w:t>
            </w:r>
          </w:p>
        </w:tc>
        <w:tc>
          <w:tcPr>
            <w:tcW w:w="1110"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w:t>
            </w:r>
          </w:p>
        </w:tc>
        <w:tc>
          <w:tcPr>
            <w:tcW w:w="975"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rPr>
            </w:pPr>
            <w:r>
              <w:rPr>
                <w:rFonts w:hint="eastAsia" w:ascii="宋体" w:hAnsi="宋体" w:eastAsia="宋体" w:cs="宋体"/>
                <w:sz w:val="21"/>
                <w:szCs w:val="21"/>
                <w:lang w:val="en-US" w:eastAsia="zh-CN"/>
              </w:rPr>
              <w:t>0.069</w:t>
            </w:r>
          </w:p>
        </w:tc>
        <w:tc>
          <w:tcPr>
            <w:tcW w:w="855"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0.55</w:t>
            </w:r>
          </w:p>
        </w:tc>
        <w:tc>
          <w:tcPr>
            <w:tcW w:w="1107"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湿式作业、喷雾洒水除尘、通风</w:t>
            </w:r>
          </w:p>
        </w:tc>
        <w:tc>
          <w:tcPr>
            <w:tcW w:w="1053"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w:t>
            </w:r>
          </w:p>
        </w:tc>
        <w:tc>
          <w:tcPr>
            <w:tcW w:w="960"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0.013</w:t>
            </w:r>
          </w:p>
        </w:tc>
        <w:tc>
          <w:tcPr>
            <w:tcW w:w="914" w:type="dxa"/>
            <w:tcBorders>
              <w:bottom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0.10</w:t>
            </w:r>
          </w:p>
        </w:tc>
      </w:tr>
    </w:tbl>
    <w:p>
      <w:pPr>
        <w:ind w:firstLine="560"/>
        <w:rPr>
          <w:rFonts w:hint="eastAsia" w:ascii="宋体" w:hAnsi="宋体" w:eastAsia="宋体" w:cs="宋体"/>
          <w:lang w:eastAsia="zh-CN"/>
        </w:rPr>
      </w:pPr>
      <w:r>
        <w:rPr>
          <w:rFonts w:hint="eastAsia" w:ascii="宋体" w:hAnsi="宋体" w:eastAsia="宋体" w:cs="宋体"/>
          <w:lang w:eastAsia="zh-CN"/>
        </w:rPr>
        <w:t>（3）皮带运输粉尘</w:t>
      </w:r>
    </w:p>
    <w:p>
      <w:pPr>
        <w:ind w:firstLine="560"/>
        <w:rPr>
          <w:rFonts w:hint="eastAsia" w:ascii="宋体" w:hAnsi="宋体" w:eastAsia="宋体" w:cs="宋体"/>
          <w:lang w:eastAsia="zh-CN"/>
        </w:rPr>
      </w:pPr>
      <w:r>
        <w:rPr>
          <w:rFonts w:hint="eastAsia" w:ascii="宋体" w:hAnsi="宋体" w:eastAsia="宋体" w:cs="宋体"/>
          <w:lang w:eastAsia="zh-CN"/>
        </w:rPr>
        <w:t>矿石在井下通过粗碎后通过皮带斜井运输至选矿厂，在运输的过程中产生废气。</w:t>
      </w:r>
    </w:p>
    <w:p>
      <w:pPr>
        <w:pStyle w:val="2"/>
        <w:ind w:firstLine="560"/>
        <w:rPr>
          <w:rFonts w:hint="eastAsia" w:ascii="宋体" w:hAnsi="宋体" w:eastAsia="宋体" w:cs="宋体"/>
          <w:lang w:eastAsia="zh-CN"/>
        </w:rPr>
      </w:pPr>
      <w:r>
        <w:rPr>
          <w:rFonts w:hint="eastAsia" w:ascii="宋体" w:hAnsi="宋体" w:eastAsia="宋体" w:cs="宋体"/>
          <w:lang w:eastAsia="zh-CN"/>
        </w:rPr>
        <w:t>治理措施：皮带运输斜井全部密封；皮带运输斜井中间设置洒水抑尘设施。能够有效减低污染物产生及排放，粉尘产生量极少。</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3.13.2.2 废水</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lang w:eastAsia="zh-CN"/>
        </w:rPr>
      </w:pPr>
      <w:r>
        <w:rPr>
          <w:rFonts w:hint="eastAsia"/>
          <w:lang w:eastAsia="zh-CN"/>
        </w:rPr>
        <w:t>本项目无新增员工，无新增生活污水。本项目主要废水为矿井涌水。</w:t>
      </w:r>
    </w:p>
    <w:p>
      <w:pPr>
        <w:keepNext w:val="0"/>
        <w:keepLines w:val="0"/>
        <w:pageBreakBefore w:val="0"/>
        <w:widowControl w:val="0"/>
        <w:kinsoku/>
        <w:wordWrap/>
        <w:overflowPunct/>
        <w:topLinePunct w:val="0"/>
        <w:autoSpaceDE w:val="0"/>
        <w:autoSpaceDN w:val="0"/>
        <w:bidi w:val="0"/>
        <w:adjustRightInd w:val="0"/>
        <w:snapToGrid/>
        <w:ind w:firstLine="480" w:firstLineChars="200"/>
        <w:textAlignment w:val="auto"/>
        <w:rPr>
          <w:rFonts w:hint="eastAsia" w:ascii="宋体" w:hAnsi="宋体" w:eastAsia="宋体" w:cs="宋体"/>
          <w:lang w:eastAsia="zh-CN"/>
        </w:rPr>
      </w:pPr>
      <w:r>
        <w:rPr>
          <w:rFonts w:hint="eastAsia"/>
          <w:lang w:eastAsia="zh-CN"/>
        </w:rPr>
        <w:t>根据《莱钢集团鲁南矿业有限公司王峪矿区（100万t/a）露天转地下开采工程资源开发利用方案（变更）》可知，上河矿段涌水量为</w:t>
      </w:r>
      <w:r>
        <w:rPr>
          <w:rFonts w:hint="eastAsia" w:ascii="宋体" w:hAnsi="宋体" w:eastAsia="宋体" w:cs="宋体"/>
          <w:lang w:eastAsia="zh-CN"/>
        </w:rPr>
        <w:t>3040.25m</w:t>
      </w:r>
      <w:r>
        <w:rPr>
          <w:rFonts w:hint="eastAsia" w:ascii="宋体" w:hAnsi="宋体" w:eastAsia="宋体" w:cs="宋体"/>
          <w:vertAlign w:val="superscript"/>
          <w:lang w:eastAsia="zh-CN"/>
        </w:rPr>
        <w:t>3</w:t>
      </w:r>
      <w:r>
        <w:rPr>
          <w:rFonts w:hint="eastAsia" w:ascii="宋体" w:hAnsi="宋体" w:eastAsia="宋体" w:cs="宋体"/>
          <w:lang w:eastAsia="zh-CN"/>
        </w:rPr>
        <w:t>/d</w:t>
      </w:r>
      <w:r>
        <w:rPr>
          <w:rFonts w:hint="eastAsia" w:cs="宋体"/>
          <w:lang w:eastAsia="zh-CN"/>
        </w:rPr>
        <w:t>，王峪矿段涌水量为</w:t>
      </w:r>
      <w:r>
        <w:rPr>
          <w:rFonts w:hint="eastAsia" w:ascii="宋体" w:hAnsi="宋体" w:eastAsia="宋体" w:cs="宋体"/>
          <w:lang w:eastAsia="zh-CN"/>
        </w:rPr>
        <w:t>4088.6m</w:t>
      </w:r>
      <w:r>
        <w:rPr>
          <w:rFonts w:hint="eastAsia" w:ascii="宋体" w:hAnsi="宋体" w:eastAsia="宋体" w:cs="宋体"/>
          <w:vertAlign w:val="superscript"/>
          <w:lang w:eastAsia="zh-CN"/>
        </w:rPr>
        <w:t>3</w:t>
      </w:r>
      <w:r>
        <w:rPr>
          <w:rFonts w:hint="eastAsia" w:ascii="宋体" w:hAnsi="宋体" w:eastAsia="宋体" w:cs="宋体"/>
          <w:lang w:eastAsia="zh-CN"/>
        </w:rPr>
        <w:t>/d</w:t>
      </w:r>
      <w:r>
        <w:rPr>
          <w:rFonts w:hint="eastAsia" w:cs="宋体"/>
          <w:lang w:eastAsia="zh-CN"/>
        </w:rPr>
        <w:t>，合计</w:t>
      </w:r>
      <w:r>
        <w:rPr>
          <w:rFonts w:hint="eastAsia" w:ascii="宋体" w:hAnsi="宋体" w:eastAsia="宋体" w:cs="宋体"/>
          <w:lang w:eastAsia="zh-CN"/>
        </w:rPr>
        <w:t>7128.85m</w:t>
      </w:r>
      <w:r>
        <w:rPr>
          <w:rFonts w:hint="eastAsia" w:ascii="宋体" w:hAnsi="宋体" w:eastAsia="宋体" w:cs="宋体"/>
          <w:vertAlign w:val="superscript"/>
          <w:lang w:eastAsia="zh-CN"/>
        </w:rPr>
        <w:t>3</w:t>
      </w:r>
      <w:r>
        <w:rPr>
          <w:rFonts w:hint="eastAsia" w:ascii="宋体" w:hAnsi="宋体" w:eastAsia="宋体" w:cs="宋体"/>
          <w:lang w:eastAsia="zh-CN"/>
        </w:rPr>
        <w:t>/d</w:t>
      </w:r>
      <w:r>
        <w:rPr>
          <w:rFonts w:hint="eastAsia" w:cs="宋体"/>
          <w:lang w:eastAsia="zh-CN"/>
        </w:rPr>
        <w:t>。井下涌水</w:t>
      </w:r>
      <w:r>
        <w:rPr>
          <w:rFonts w:hint="eastAsia" w:ascii="宋体" w:hAnsi="宋体" w:eastAsia="宋体" w:cs="宋体"/>
          <w:lang w:eastAsia="zh-CN"/>
        </w:rPr>
        <w:t>经排水系统排至上河矿段-50m两条水仓（容积：2900m</w:t>
      </w:r>
      <w:r>
        <w:rPr>
          <w:rFonts w:hint="eastAsia" w:ascii="宋体" w:hAnsi="宋体" w:eastAsia="宋体" w:cs="宋体"/>
          <w:vertAlign w:val="superscript"/>
          <w:lang w:eastAsia="zh-CN"/>
        </w:rPr>
        <w:t>3</w:t>
      </w:r>
      <w:r>
        <w:rPr>
          <w:rFonts w:hint="eastAsia" w:ascii="宋体" w:hAnsi="宋体" w:eastAsia="宋体" w:cs="宋体"/>
          <w:lang w:eastAsia="zh-CN"/>
        </w:rPr>
        <w:t>）和王峪矿段-50m两条水仓（容积：2280m</w:t>
      </w:r>
      <w:r>
        <w:rPr>
          <w:rFonts w:hint="eastAsia" w:ascii="宋体" w:hAnsi="宋体" w:eastAsia="宋体" w:cs="宋体"/>
          <w:vertAlign w:val="superscript"/>
          <w:lang w:eastAsia="zh-CN"/>
        </w:rPr>
        <w:t>3</w:t>
      </w:r>
      <w:r>
        <w:rPr>
          <w:rFonts w:hint="eastAsia" w:ascii="宋体" w:hAnsi="宋体" w:eastAsia="宋体" w:cs="宋体"/>
          <w:lang w:eastAsia="zh-CN"/>
        </w:rPr>
        <w:t>），沉淀后通过泵排至王峪矿段南风井地表涌水池（容积：20000m</w:t>
      </w:r>
      <w:r>
        <w:rPr>
          <w:rFonts w:hint="eastAsia" w:ascii="宋体" w:hAnsi="宋体" w:eastAsia="宋体" w:cs="宋体"/>
          <w:vertAlign w:val="superscript"/>
          <w:lang w:eastAsia="zh-CN"/>
        </w:rPr>
        <w:t>3</w:t>
      </w:r>
      <w:r>
        <w:rPr>
          <w:rFonts w:hint="eastAsia" w:ascii="宋体" w:hAnsi="宋体" w:eastAsia="宋体" w:cs="宋体"/>
          <w:lang w:eastAsia="zh-CN"/>
        </w:rPr>
        <w:t>）。涌水水质详见本报告表2.2.6-</w:t>
      </w:r>
      <w:r>
        <w:rPr>
          <w:rFonts w:hint="eastAsia" w:cs="宋体"/>
          <w:lang w:val="en-US" w:eastAsia="zh-CN"/>
        </w:rPr>
        <w:t>3</w:t>
      </w:r>
      <w:r>
        <w:rPr>
          <w:rFonts w:hint="eastAsia" w:ascii="宋体" w:hAnsi="宋体" w:eastAsia="宋体" w:cs="宋体"/>
          <w:lang w:eastAsia="zh-CN"/>
        </w:rPr>
        <w:t>，全部回用于生产，不外排。</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3.13.2.3 固废</w:t>
      </w:r>
    </w:p>
    <w:p>
      <w:pPr>
        <w:ind w:firstLine="560"/>
        <w:rPr>
          <w:rFonts w:hint="eastAsia" w:ascii="宋体" w:hAnsi="宋体" w:eastAsia="宋体" w:cs="宋体"/>
          <w:lang w:eastAsia="zh-CN"/>
        </w:rPr>
      </w:pPr>
      <w:r>
        <w:rPr>
          <w:rFonts w:hint="eastAsia" w:cs="宋体"/>
          <w:lang w:eastAsia="zh-CN"/>
        </w:rPr>
        <w:t>本项目无新增员工，无新增生活垃圾。本项目</w:t>
      </w:r>
      <w:r>
        <w:rPr>
          <w:rFonts w:hint="eastAsia" w:ascii="宋体" w:hAnsi="宋体" w:eastAsia="宋体" w:cs="宋体"/>
          <w:lang w:eastAsia="zh-CN"/>
        </w:rPr>
        <w:t>固体废物主要是采矿废石、污泥及设备维修产生的危废。</w:t>
      </w:r>
    </w:p>
    <w:p>
      <w:pPr>
        <w:ind w:firstLine="560"/>
        <w:rPr>
          <w:rFonts w:hint="eastAsia" w:ascii="宋体" w:hAnsi="宋体" w:eastAsia="宋体" w:cs="宋体"/>
          <w:lang w:eastAsia="zh-CN"/>
        </w:rPr>
      </w:pPr>
      <w:r>
        <w:rPr>
          <w:rFonts w:hint="eastAsia" w:ascii="宋体" w:hAnsi="宋体" w:eastAsia="宋体" w:cs="宋体"/>
          <w:lang w:eastAsia="zh-CN"/>
        </w:rPr>
        <w:t>（1）采矿废石</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生产期间井下掘进废石（取矿石体积的20%，按年产50万吨矿石计算）约</w:t>
      </w:r>
      <w:r>
        <w:rPr>
          <w:rFonts w:hint="eastAsia" w:cs="宋体"/>
          <w:lang w:val="en-US" w:eastAsia="zh-CN"/>
        </w:rPr>
        <w:t>2.8</w:t>
      </w:r>
      <w:r>
        <w:rPr>
          <w:rFonts w:hint="eastAsia" w:ascii="宋体" w:hAnsi="宋体" w:eastAsia="宋体" w:cs="宋体"/>
          <w:lang w:eastAsia="zh-CN"/>
        </w:rPr>
        <w:t>万m</w:t>
      </w:r>
      <w:r>
        <w:rPr>
          <w:rFonts w:hint="eastAsia" w:ascii="宋体" w:hAnsi="宋体" w:eastAsia="宋体" w:cs="宋体"/>
          <w:vertAlign w:val="superscript"/>
          <w:lang w:eastAsia="zh-CN"/>
        </w:rPr>
        <w:t>3</w:t>
      </w:r>
      <w:r>
        <w:rPr>
          <w:rFonts w:hint="eastAsia" w:ascii="宋体" w:hAnsi="宋体" w:eastAsia="宋体" w:cs="宋体"/>
          <w:lang w:eastAsia="zh-CN"/>
        </w:rPr>
        <w:t>/a，折合约</w:t>
      </w:r>
      <w:r>
        <w:rPr>
          <w:rFonts w:hint="eastAsia" w:cs="宋体"/>
          <w:lang w:val="en-US" w:eastAsia="zh-CN"/>
        </w:rPr>
        <w:t>7.6</w:t>
      </w:r>
      <w:r>
        <w:rPr>
          <w:rFonts w:hint="eastAsia" w:ascii="宋体" w:hAnsi="宋体" w:eastAsia="宋体" w:cs="宋体"/>
          <w:lang w:eastAsia="zh-CN"/>
        </w:rPr>
        <w:t>万t/a（矿石体重3.51t/m</w:t>
      </w:r>
      <w:r>
        <w:rPr>
          <w:rFonts w:hint="eastAsia" w:ascii="宋体" w:hAnsi="宋体" w:eastAsia="宋体" w:cs="宋体"/>
          <w:vertAlign w:val="superscript"/>
          <w:lang w:eastAsia="zh-CN"/>
        </w:rPr>
        <w:t>3</w:t>
      </w:r>
      <w:r>
        <w:rPr>
          <w:rFonts w:hint="eastAsia" w:ascii="宋体" w:hAnsi="宋体" w:eastAsia="宋体" w:cs="宋体"/>
          <w:lang w:eastAsia="zh-CN"/>
        </w:rPr>
        <w:t>，废石体重2.68t/m</w:t>
      </w:r>
      <w:r>
        <w:rPr>
          <w:rFonts w:hint="eastAsia" w:ascii="宋体" w:hAnsi="宋体" w:eastAsia="宋体" w:cs="宋体"/>
          <w:vertAlign w:val="superscript"/>
          <w:lang w:eastAsia="zh-CN"/>
        </w:rPr>
        <w:t>3</w:t>
      </w:r>
      <w:r>
        <w:rPr>
          <w:rFonts w:hint="eastAsia" w:ascii="宋体" w:hAnsi="宋体" w:eastAsia="宋体" w:cs="宋体"/>
          <w:lang w:eastAsia="zh-CN"/>
        </w:rPr>
        <w:t>），全部用于回填采空区，废石不出坑。</w:t>
      </w:r>
    </w:p>
    <w:p>
      <w:pPr>
        <w:ind w:firstLine="560"/>
        <w:rPr>
          <w:rFonts w:hint="eastAsia" w:ascii="宋体" w:hAnsi="宋体" w:eastAsia="宋体" w:cs="宋体"/>
          <w:lang w:eastAsia="zh-CN"/>
        </w:rPr>
      </w:pPr>
      <w:r>
        <w:rPr>
          <w:rFonts w:hint="eastAsia" w:ascii="宋体" w:hAnsi="宋体" w:eastAsia="宋体" w:cs="宋体"/>
          <w:lang w:eastAsia="zh-CN"/>
        </w:rPr>
        <w:t>（2）污泥</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污泥主要包括井下水仓污泥和南风井处涌水池污泥。其中井下水仓污泥产生量约为85t/a，污泥不出井，直接回填采空区；涌水池污泥产生量约为115t/a，定期清理，清理出污泥直接运输至选矿厂进行磁选。</w:t>
      </w:r>
    </w:p>
    <w:p>
      <w:pPr>
        <w:ind w:firstLine="560"/>
        <w:rPr>
          <w:rFonts w:hint="eastAsia" w:ascii="宋体" w:hAnsi="宋体" w:eastAsia="宋体" w:cs="宋体"/>
          <w:lang w:eastAsia="zh-CN"/>
        </w:rPr>
      </w:pPr>
      <w:r>
        <w:rPr>
          <w:rFonts w:hint="eastAsia" w:ascii="宋体" w:hAnsi="宋体" w:eastAsia="宋体" w:cs="宋体"/>
          <w:lang w:eastAsia="zh-CN"/>
        </w:rPr>
        <w:t>（3）设备维修</w:t>
      </w:r>
    </w:p>
    <w:p>
      <w:pPr>
        <w:ind w:firstLine="560"/>
        <w:rPr>
          <w:rFonts w:hint="eastAsia" w:ascii="宋体" w:hAnsi="宋体" w:eastAsia="宋体" w:cs="宋体"/>
          <w:lang w:eastAsia="zh-CN"/>
        </w:rPr>
      </w:pPr>
      <w:r>
        <w:rPr>
          <w:rFonts w:hint="eastAsia" w:ascii="宋体" w:hAnsi="宋体" w:eastAsia="宋体" w:cs="宋体"/>
          <w:lang w:eastAsia="zh-CN"/>
        </w:rPr>
        <w:t>设备维护所产生的危废主要是废矿物油和废油桶，其中废矿物油（HW08废矿物油与含矿物油废物900-249-08）产生量约0.5t/年；废油桶（HW49其他废物900-041-49）产生量约0.4t/a。废矿物油及废油桶收集后暂存公司危废暂存间，委托有资质单位统一处理。</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3.13.2.4 噪声</w:t>
      </w:r>
    </w:p>
    <w:p>
      <w:pPr>
        <w:pStyle w:val="14"/>
        <w:ind w:firstLine="560"/>
        <w:rPr>
          <w:rFonts w:hint="eastAsia" w:ascii="宋体" w:hAnsi="宋体" w:eastAsia="宋体" w:cs="宋体"/>
          <w:lang w:eastAsia="zh-CN"/>
        </w:rPr>
      </w:pPr>
      <w:r>
        <w:rPr>
          <w:rFonts w:hint="eastAsia" w:ascii="宋体" w:hAnsi="宋体" w:eastAsia="宋体" w:cs="宋体"/>
          <w:lang w:eastAsia="zh-CN"/>
        </w:rPr>
        <w:t>本工程地表新增的噪声设备主要有：王峪矿段中央回风井场地1台风机、1台空压机、皮带运输。井下工程新增的噪声设备主要为：浅孔钻机、移动空压机、电动铲运机、天井钻机、矿用液压锚杆钻车、振动放矿机、风机、粗碎机等，噪声级一般在70～130dB（A）左右。本工程噪声污染源基本情况见表3.13.2-2。</w:t>
      </w:r>
    </w:p>
    <w:p>
      <w:pPr>
        <w:pStyle w:val="14"/>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表3.13.2-2 本工程噪声污染源基本情况</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913"/>
        <w:gridCol w:w="1505"/>
        <w:gridCol w:w="1598"/>
        <w:gridCol w:w="3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725" w:type="dxa"/>
            <w:tcBorders>
              <w:top w:val="single" w:color="auto" w:sz="12" w:space="0"/>
              <w:lef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1913" w:type="dxa"/>
            <w:tcBorders>
              <w:top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设备名称</w:t>
            </w:r>
          </w:p>
        </w:tc>
        <w:tc>
          <w:tcPr>
            <w:tcW w:w="1505" w:type="dxa"/>
            <w:tcBorders>
              <w:top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台（套）数</w:t>
            </w:r>
          </w:p>
        </w:tc>
        <w:tc>
          <w:tcPr>
            <w:tcW w:w="1598" w:type="dxa"/>
            <w:tcBorders>
              <w:top w:val="single" w:color="auto" w:sz="12" w:space="0"/>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噪声值dB（A）</w:t>
            </w:r>
          </w:p>
        </w:tc>
        <w:tc>
          <w:tcPr>
            <w:tcW w:w="3877" w:type="dxa"/>
            <w:tcBorders>
              <w:top w:val="single" w:color="auto" w:sz="12" w:space="0"/>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潜孔钻机</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80</w:t>
            </w:r>
          </w:p>
        </w:tc>
        <w:tc>
          <w:tcPr>
            <w:tcW w:w="3877" w:type="dxa"/>
            <w:vMerge w:val="restart"/>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井下布设、减振、隔声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电动铲运机</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4台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70</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3</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山特维克凿岩台车</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70</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4</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柴油铲运机</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1台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70</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移动破碎锤</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85</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矿车</w:t>
            </w:r>
          </w:p>
        </w:tc>
        <w:tc>
          <w:tcPr>
            <w:tcW w:w="1505"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50</w:t>
            </w:r>
            <w:r>
              <w:rPr>
                <w:rFonts w:hint="eastAsia" w:ascii="宋体" w:hAnsi="宋体" w:eastAsia="宋体" w:cs="宋体"/>
                <w:sz w:val="21"/>
                <w:szCs w:val="21"/>
              </w:rPr>
              <w:t>辆</w:t>
            </w:r>
          </w:p>
        </w:tc>
        <w:tc>
          <w:tcPr>
            <w:tcW w:w="1598" w:type="dxa"/>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70</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7</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电机车</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4辆</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70</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8</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rPr>
            </w:pPr>
            <w:r>
              <w:rPr>
                <w:rFonts w:hint="eastAsia" w:ascii="宋体" w:hAnsi="宋体" w:eastAsia="宋体" w:cs="宋体"/>
                <w:sz w:val="21"/>
                <w:szCs w:val="21"/>
                <w:lang w:eastAsia="zh-CN" w:bidi="ar"/>
              </w:rPr>
              <w:t>浅孔凿岩机</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2台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9</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多级离心泵</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75</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10</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螺杆空气压缩机</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85</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11</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轴流风机</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80</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12</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变压器</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70</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13</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颚式破碎机</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85</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14</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棒条给料机</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1台</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70</w:t>
            </w:r>
          </w:p>
        </w:tc>
        <w:tc>
          <w:tcPr>
            <w:tcW w:w="3877" w:type="dxa"/>
            <w:vMerge w:val="continue"/>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25"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15</w:t>
            </w:r>
          </w:p>
        </w:tc>
        <w:tc>
          <w:tcPr>
            <w:tcW w:w="1913"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井下爆破</w:t>
            </w:r>
          </w:p>
        </w:tc>
        <w:tc>
          <w:tcPr>
            <w:tcW w:w="1505" w:type="dxa"/>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w:t>
            </w:r>
          </w:p>
        </w:tc>
        <w:tc>
          <w:tcPr>
            <w:tcW w:w="1598" w:type="dxa"/>
            <w:tcBorders>
              <w:right w:val="single" w:color="auto" w:sz="12" w:space="0"/>
            </w:tcBorders>
            <w:vAlign w:val="center"/>
          </w:tcPr>
          <w:p>
            <w:pPr>
              <w:keepNext w:val="0"/>
              <w:keepLines w:val="0"/>
              <w:suppressLineNumbers w:val="0"/>
              <w:wordWrap w:val="0"/>
              <w:spacing w:before="0" w:beforeAutospacing="0" w:after="0" w:afterAutospacing="0" w:line="240" w:lineRule="auto"/>
              <w:ind w:left="0" w:right="0" w:firstLine="0" w:firstLineChars="0"/>
              <w:jc w:val="center"/>
              <w:textAlignment w:val="bottom"/>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110~130</w:t>
            </w:r>
          </w:p>
        </w:tc>
        <w:tc>
          <w:tcPr>
            <w:tcW w:w="3877" w:type="dxa"/>
            <w:tcBorders>
              <w:right w:val="single" w:color="auto" w:sz="12" w:space="0"/>
            </w:tcBorders>
            <w:vAlign w:val="center"/>
          </w:tcPr>
          <w:p>
            <w:pPr>
              <w:pStyle w:val="14"/>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要求禁止晚间爆破，只允许白天爆破，并且合理布置爆孔，尽量减少一次使用乳化炸药量，爆破前告知附近可能影响到的居民，尽最大努力减轻对地面民宅的不利影响。</w:t>
            </w:r>
          </w:p>
        </w:tc>
      </w:tr>
    </w:tbl>
    <w:p>
      <w:pPr>
        <w:pStyle w:val="6"/>
        <w:rPr>
          <w:rFonts w:hint="eastAsia" w:ascii="宋体" w:hAnsi="宋体" w:eastAsia="宋体" w:cs="宋体"/>
          <w:lang w:eastAsia="zh-CN"/>
        </w:rPr>
      </w:pPr>
      <w:bookmarkStart w:id="105" w:name="_Toc740"/>
      <w:bookmarkStart w:id="106" w:name="_Toc11343"/>
      <w:r>
        <w:rPr>
          <w:rFonts w:hint="eastAsia" w:ascii="宋体" w:hAnsi="宋体" w:eastAsia="宋体" w:cs="宋体"/>
          <w:lang w:eastAsia="zh-CN"/>
        </w:rPr>
        <w:t>3.14 本工程污染物产排情况</w:t>
      </w:r>
      <w:bookmarkEnd w:id="105"/>
      <w:bookmarkEnd w:id="106"/>
    </w:p>
    <w:p>
      <w:pPr>
        <w:pStyle w:val="14"/>
        <w:ind w:firstLine="560"/>
        <w:rPr>
          <w:rFonts w:hint="eastAsia" w:ascii="宋体" w:hAnsi="宋体" w:eastAsia="宋体" w:cs="宋体"/>
          <w:lang w:eastAsia="zh-CN"/>
        </w:rPr>
      </w:pPr>
      <w:r>
        <w:rPr>
          <w:rFonts w:hint="eastAsia" w:ascii="宋体" w:hAnsi="宋体" w:eastAsia="宋体" w:cs="宋体"/>
          <w:lang w:eastAsia="zh-CN"/>
        </w:rPr>
        <w:t>本工程污染物产排情况见表3.14.1-1。</w:t>
      </w:r>
    </w:p>
    <w:p>
      <w:pPr>
        <w:pStyle w:val="14"/>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表3.14.1-1 本工程污染物产排情况一览表</w:t>
      </w:r>
    </w:p>
    <w:tbl>
      <w:tblPr>
        <w:tblStyle w:val="24"/>
        <w:tblW w:w="4993" w:type="pct"/>
        <w:tblInd w:w="0" w:type="dxa"/>
        <w:tblLayout w:type="fixed"/>
        <w:tblCellMar>
          <w:top w:w="0" w:type="dxa"/>
          <w:left w:w="108" w:type="dxa"/>
          <w:bottom w:w="0" w:type="dxa"/>
          <w:right w:w="108" w:type="dxa"/>
        </w:tblCellMar>
      </w:tblPr>
      <w:tblGrid>
        <w:gridCol w:w="378"/>
        <w:gridCol w:w="1078"/>
        <w:gridCol w:w="1515"/>
        <w:gridCol w:w="1255"/>
        <w:gridCol w:w="4244"/>
        <w:gridCol w:w="1140"/>
      </w:tblGrid>
      <w:tr>
        <w:tblPrEx>
          <w:tblCellMar>
            <w:top w:w="0" w:type="dxa"/>
            <w:left w:w="108" w:type="dxa"/>
            <w:bottom w:w="0" w:type="dxa"/>
            <w:right w:w="108" w:type="dxa"/>
          </w:tblCellMar>
        </w:tblPrEx>
        <w:trPr>
          <w:trHeight w:val="397" w:hRule="atLeast"/>
          <w:tblHeader/>
        </w:trPr>
        <w:tc>
          <w:tcPr>
            <w:tcW w:w="757" w:type="pct"/>
            <w:gridSpan w:val="2"/>
            <w:tcBorders>
              <w:top w:val="single" w:color="000000" w:sz="12" w:space="0"/>
              <w:left w:val="single" w:color="000000" w:sz="12"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污染源</w:t>
            </w:r>
          </w:p>
        </w:tc>
        <w:tc>
          <w:tcPr>
            <w:tcW w:w="788" w:type="pct"/>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污染物</w:t>
            </w:r>
          </w:p>
        </w:tc>
        <w:tc>
          <w:tcPr>
            <w:tcW w:w="652" w:type="pct"/>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产生情况</w:t>
            </w:r>
          </w:p>
        </w:tc>
        <w:tc>
          <w:tcPr>
            <w:tcW w:w="2208" w:type="pct"/>
            <w:tcBorders>
              <w:top w:val="single" w:color="000000" w:sz="12"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治理措施</w:t>
            </w:r>
          </w:p>
        </w:tc>
        <w:tc>
          <w:tcPr>
            <w:tcW w:w="593" w:type="pct"/>
            <w:tcBorders>
              <w:top w:val="single" w:color="000000" w:sz="12"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eastAsia="zh-CN" w:bidi="ar"/>
              </w:rPr>
              <w:t>排放情况</w:t>
            </w:r>
          </w:p>
        </w:tc>
      </w:tr>
      <w:tr>
        <w:tblPrEx>
          <w:tblCellMar>
            <w:top w:w="0" w:type="dxa"/>
            <w:left w:w="108" w:type="dxa"/>
            <w:bottom w:w="0" w:type="dxa"/>
            <w:right w:w="108" w:type="dxa"/>
          </w:tblCellMar>
        </w:tblPrEx>
        <w:trPr>
          <w:trHeight w:val="397" w:hRule="atLeast"/>
        </w:trPr>
        <w:tc>
          <w:tcPr>
            <w:tcW w:w="196" w:type="pct"/>
            <w:vMerge w:val="restart"/>
            <w:tcBorders>
              <w:top w:val="single" w:color="000000" w:sz="4" w:space="0"/>
              <w:left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废气</w:t>
            </w:r>
          </w:p>
        </w:tc>
        <w:tc>
          <w:tcPr>
            <w:tcW w:w="56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爆破废气</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NOx</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sz w:val="21"/>
                <w:szCs w:val="21"/>
                <w:lang w:val="en-US" w:eastAsia="zh-CN"/>
              </w:rPr>
            </w:pPr>
            <w:r>
              <w:rPr>
                <w:rFonts w:hint="eastAsia" w:cs="宋体"/>
                <w:color w:val="000000"/>
                <w:sz w:val="21"/>
                <w:szCs w:val="21"/>
                <w:lang w:val="en-US" w:eastAsia="zh-CN"/>
              </w:rPr>
              <w:t>18.27t/a</w:t>
            </w:r>
          </w:p>
        </w:tc>
        <w:tc>
          <w:tcPr>
            <w:tcW w:w="22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合理减少乳化炸药用量，少量多次爆破，洒水，通风</w:t>
            </w: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sz w:val="21"/>
                <w:szCs w:val="21"/>
                <w:lang w:val="en-US" w:eastAsia="zh-CN"/>
              </w:rPr>
            </w:pPr>
            <w:r>
              <w:rPr>
                <w:rFonts w:hint="eastAsia" w:cs="宋体"/>
                <w:color w:val="000000"/>
                <w:sz w:val="21"/>
                <w:szCs w:val="21"/>
                <w:lang w:val="en-US" w:eastAsia="zh-CN"/>
              </w:rPr>
              <w:t>18.27t/a</w:t>
            </w:r>
          </w:p>
        </w:tc>
      </w:tr>
      <w:tr>
        <w:tblPrEx>
          <w:tblCellMar>
            <w:top w:w="0" w:type="dxa"/>
            <w:left w:w="108" w:type="dxa"/>
            <w:bottom w:w="0" w:type="dxa"/>
            <w:right w:w="108" w:type="dxa"/>
          </w:tblCellMar>
        </w:tblPrEx>
        <w:trPr>
          <w:trHeight w:val="397" w:hRule="atLeast"/>
        </w:trPr>
        <w:tc>
          <w:tcPr>
            <w:tcW w:w="196" w:type="pct"/>
            <w:vMerge w:val="continue"/>
            <w:tcBorders>
              <w:left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rPr>
            </w:pPr>
          </w:p>
        </w:tc>
        <w:tc>
          <w:tcPr>
            <w:tcW w:w="56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rPr>
            </w:pP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CO</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sz w:val="21"/>
                <w:szCs w:val="21"/>
                <w:lang w:val="en-US" w:eastAsia="zh-CN"/>
              </w:rPr>
            </w:pPr>
            <w:r>
              <w:rPr>
                <w:rFonts w:hint="eastAsia" w:cs="宋体"/>
                <w:color w:val="000000"/>
                <w:sz w:val="21"/>
                <w:szCs w:val="21"/>
                <w:lang w:val="en-US" w:eastAsia="zh-CN"/>
              </w:rPr>
              <w:t>7.88t/a</w:t>
            </w:r>
          </w:p>
        </w:tc>
        <w:tc>
          <w:tcPr>
            <w:tcW w:w="22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rPr>
            </w:pP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default" w:ascii="宋体" w:hAnsi="宋体" w:eastAsia="宋体" w:cs="宋体"/>
                <w:color w:val="000000"/>
                <w:sz w:val="21"/>
                <w:szCs w:val="21"/>
                <w:lang w:val="en-US" w:eastAsia="zh-CN"/>
              </w:rPr>
            </w:pPr>
            <w:r>
              <w:rPr>
                <w:rFonts w:hint="eastAsia" w:cs="宋体"/>
                <w:color w:val="000000"/>
                <w:sz w:val="21"/>
                <w:szCs w:val="21"/>
                <w:lang w:val="en-US" w:eastAsia="zh-CN"/>
              </w:rPr>
              <w:t>7.88t/a</w:t>
            </w:r>
          </w:p>
        </w:tc>
      </w:tr>
      <w:tr>
        <w:tblPrEx>
          <w:tblCellMar>
            <w:top w:w="0" w:type="dxa"/>
            <w:left w:w="108" w:type="dxa"/>
            <w:bottom w:w="0" w:type="dxa"/>
            <w:right w:w="108" w:type="dxa"/>
          </w:tblCellMar>
        </w:tblPrEx>
        <w:trPr>
          <w:trHeight w:val="397" w:hRule="atLeast"/>
        </w:trPr>
        <w:tc>
          <w:tcPr>
            <w:tcW w:w="196" w:type="pct"/>
            <w:vMerge w:val="continue"/>
            <w:tcBorders>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rPr>
            </w:pP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开采</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粉尘</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27.9t/a</w:t>
            </w:r>
          </w:p>
        </w:tc>
        <w:tc>
          <w:tcPr>
            <w:tcW w:w="2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湿式作业、喷雾洒水除尘、通风</w:t>
            </w: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w:t>
            </w:r>
            <w:r>
              <w:rPr>
                <w:rFonts w:hint="eastAsia" w:cs="宋体"/>
                <w:color w:val="000000"/>
                <w:sz w:val="21"/>
                <w:szCs w:val="21"/>
                <w:lang w:val="en-US" w:eastAsia="zh-CN" w:bidi="ar"/>
              </w:rPr>
              <w:t>10</w:t>
            </w:r>
            <w:r>
              <w:rPr>
                <w:rFonts w:hint="eastAsia" w:ascii="宋体" w:hAnsi="宋体" w:eastAsia="宋体" w:cs="宋体"/>
                <w:color w:val="000000"/>
                <w:sz w:val="21"/>
                <w:szCs w:val="21"/>
                <w:lang w:eastAsia="zh-CN" w:bidi="ar"/>
              </w:rPr>
              <w:t>t/a</w:t>
            </w:r>
          </w:p>
        </w:tc>
      </w:tr>
      <w:tr>
        <w:tblPrEx>
          <w:tblCellMar>
            <w:top w:w="0" w:type="dxa"/>
            <w:left w:w="108" w:type="dxa"/>
            <w:bottom w:w="0" w:type="dxa"/>
            <w:right w:w="108" w:type="dxa"/>
          </w:tblCellMar>
        </w:tblPrEx>
        <w:trPr>
          <w:trHeight w:val="397" w:hRule="atLeast"/>
        </w:trPr>
        <w:tc>
          <w:tcPr>
            <w:tcW w:w="196" w:type="pc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lang w:eastAsia="zh-CN"/>
              </w:rPr>
            </w:pPr>
            <w:r>
              <w:rPr>
                <w:rFonts w:hint="eastAsia" w:cs="宋体"/>
                <w:color w:val="000000"/>
                <w:sz w:val="21"/>
                <w:szCs w:val="21"/>
                <w:lang w:eastAsia="zh-CN"/>
              </w:rPr>
              <w:t>废水</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矿井涌水</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SS等</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4088.6m</w:t>
            </w:r>
            <w:r>
              <w:rPr>
                <w:rFonts w:hint="eastAsia" w:ascii="宋体" w:hAnsi="宋体" w:eastAsia="宋体" w:cs="宋体"/>
                <w:color w:val="000000"/>
                <w:sz w:val="21"/>
                <w:szCs w:val="21"/>
                <w:vertAlign w:val="superscript"/>
                <w:lang w:eastAsia="zh-CN" w:bidi="ar"/>
              </w:rPr>
              <w:t>3</w:t>
            </w:r>
            <w:r>
              <w:rPr>
                <w:rFonts w:hint="eastAsia" w:ascii="宋体" w:hAnsi="宋体" w:eastAsia="宋体" w:cs="宋体"/>
                <w:color w:val="000000"/>
                <w:sz w:val="21"/>
                <w:szCs w:val="21"/>
                <w:lang w:eastAsia="zh-CN" w:bidi="ar"/>
              </w:rPr>
              <w:t>/d</w:t>
            </w:r>
          </w:p>
        </w:tc>
        <w:tc>
          <w:tcPr>
            <w:tcW w:w="2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全部回用，不外排</w:t>
            </w: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w:t>
            </w:r>
          </w:p>
        </w:tc>
      </w:tr>
      <w:tr>
        <w:tblPrEx>
          <w:tblCellMar>
            <w:top w:w="0" w:type="dxa"/>
            <w:left w:w="108" w:type="dxa"/>
            <w:bottom w:w="0" w:type="dxa"/>
            <w:right w:w="108" w:type="dxa"/>
          </w:tblCellMar>
        </w:tblPrEx>
        <w:trPr>
          <w:trHeight w:val="397" w:hRule="atLeast"/>
        </w:trPr>
        <w:tc>
          <w:tcPr>
            <w:tcW w:w="196" w:type="pct"/>
            <w:vMerge w:val="restart"/>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固废</w:t>
            </w:r>
          </w:p>
        </w:tc>
        <w:tc>
          <w:tcPr>
            <w:tcW w:w="13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掘进废石</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rPr>
            </w:pPr>
            <w:r>
              <w:rPr>
                <w:rFonts w:hint="eastAsia" w:cs="宋体"/>
                <w:color w:val="000000"/>
                <w:sz w:val="21"/>
                <w:szCs w:val="21"/>
                <w:lang w:val="en-US" w:eastAsia="zh-CN"/>
              </w:rPr>
              <w:t>7.6</w:t>
            </w:r>
            <w:r>
              <w:rPr>
                <w:rFonts w:hint="eastAsia" w:ascii="宋体" w:hAnsi="宋体" w:eastAsia="宋体" w:cs="宋体"/>
                <w:color w:val="000000"/>
                <w:sz w:val="21"/>
                <w:szCs w:val="21"/>
                <w:lang w:eastAsia="zh-CN"/>
              </w:rPr>
              <w:t>万t/a</w:t>
            </w:r>
          </w:p>
        </w:tc>
        <w:tc>
          <w:tcPr>
            <w:tcW w:w="2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直接回填采空区</w:t>
            </w: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w:t>
            </w:r>
          </w:p>
        </w:tc>
      </w:tr>
      <w:tr>
        <w:tblPrEx>
          <w:tblCellMar>
            <w:top w:w="0" w:type="dxa"/>
            <w:left w:w="108" w:type="dxa"/>
            <w:bottom w:w="0" w:type="dxa"/>
            <w:right w:w="108" w:type="dxa"/>
          </w:tblCellMar>
        </w:tblPrEx>
        <w:trPr>
          <w:trHeight w:val="397" w:hRule="atLeast"/>
        </w:trPr>
        <w:tc>
          <w:tcPr>
            <w:tcW w:w="196"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rPr>
            </w:pPr>
          </w:p>
        </w:tc>
        <w:tc>
          <w:tcPr>
            <w:tcW w:w="13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水仓污泥</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115t/a</w:t>
            </w:r>
          </w:p>
        </w:tc>
        <w:tc>
          <w:tcPr>
            <w:tcW w:w="2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直接回用于生产</w:t>
            </w: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w:t>
            </w:r>
          </w:p>
        </w:tc>
      </w:tr>
      <w:tr>
        <w:tblPrEx>
          <w:tblCellMar>
            <w:top w:w="0" w:type="dxa"/>
            <w:left w:w="108" w:type="dxa"/>
            <w:bottom w:w="0" w:type="dxa"/>
            <w:right w:w="108" w:type="dxa"/>
          </w:tblCellMar>
        </w:tblPrEx>
        <w:trPr>
          <w:trHeight w:val="397" w:hRule="atLeast"/>
        </w:trPr>
        <w:tc>
          <w:tcPr>
            <w:tcW w:w="196"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rPr>
            </w:pPr>
          </w:p>
        </w:tc>
        <w:tc>
          <w:tcPr>
            <w:tcW w:w="13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废矿物油</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0.5t/a</w:t>
            </w:r>
          </w:p>
        </w:tc>
        <w:tc>
          <w:tcPr>
            <w:tcW w:w="220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委托有资质单位处理</w:t>
            </w: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w:t>
            </w:r>
          </w:p>
        </w:tc>
      </w:tr>
      <w:tr>
        <w:tblPrEx>
          <w:tblCellMar>
            <w:top w:w="0" w:type="dxa"/>
            <w:left w:w="108" w:type="dxa"/>
            <w:bottom w:w="0" w:type="dxa"/>
            <w:right w:w="108" w:type="dxa"/>
          </w:tblCellMar>
        </w:tblPrEx>
        <w:trPr>
          <w:trHeight w:val="397" w:hRule="atLeast"/>
        </w:trPr>
        <w:tc>
          <w:tcPr>
            <w:tcW w:w="196" w:type="pct"/>
            <w:vMerge w:val="continue"/>
            <w:tcBorders>
              <w:top w:val="single" w:color="000000" w:sz="4" w:space="0"/>
              <w:left w:val="single" w:color="000000" w:sz="12"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rPr>
            </w:pPr>
          </w:p>
        </w:tc>
        <w:tc>
          <w:tcPr>
            <w:tcW w:w="134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废油桶</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0.4t/a</w:t>
            </w:r>
          </w:p>
        </w:tc>
        <w:tc>
          <w:tcPr>
            <w:tcW w:w="22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rPr>
            </w:pP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rPr>
            </w:pPr>
            <w:r>
              <w:rPr>
                <w:rFonts w:hint="eastAsia" w:ascii="宋体" w:hAnsi="宋体" w:eastAsia="宋体" w:cs="宋体"/>
                <w:color w:val="000000"/>
                <w:sz w:val="21"/>
                <w:szCs w:val="21"/>
                <w:lang w:eastAsia="zh-CN" w:bidi="ar"/>
              </w:rPr>
              <w:t>0</w:t>
            </w:r>
          </w:p>
        </w:tc>
      </w:tr>
      <w:tr>
        <w:tblPrEx>
          <w:tblCellMar>
            <w:top w:w="0" w:type="dxa"/>
            <w:left w:w="108" w:type="dxa"/>
            <w:bottom w:w="0" w:type="dxa"/>
            <w:right w:w="108" w:type="dxa"/>
          </w:tblCellMar>
        </w:tblPrEx>
        <w:trPr>
          <w:trHeight w:val="397" w:hRule="atLeast"/>
        </w:trPr>
        <w:tc>
          <w:tcPr>
            <w:tcW w:w="196" w:type="pct"/>
            <w:vMerge w:val="restart"/>
            <w:tcBorders>
              <w:top w:val="single" w:color="000000" w:sz="4" w:space="0"/>
              <w:left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噪声</w:t>
            </w:r>
          </w:p>
        </w:tc>
        <w:tc>
          <w:tcPr>
            <w:tcW w:w="56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设备运行噪声</w:t>
            </w:r>
          </w:p>
        </w:tc>
        <w:tc>
          <w:tcPr>
            <w:tcW w:w="78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噪声</w:t>
            </w:r>
          </w:p>
        </w:tc>
        <w:tc>
          <w:tcPr>
            <w:tcW w:w="65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90～100dB（A）</w:t>
            </w:r>
          </w:p>
        </w:tc>
        <w:tc>
          <w:tcPr>
            <w:tcW w:w="22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室内布置，采用减振、加装消声器等降噪措施</w:t>
            </w:r>
          </w:p>
        </w:tc>
        <w:tc>
          <w:tcPr>
            <w:tcW w:w="593"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w:t>
            </w:r>
          </w:p>
        </w:tc>
      </w:tr>
      <w:tr>
        <w:tblPrEx>
          <w:tblCellMar>
            <w:top w:w="0" w:type="dxa"/>
            <w:left w:w="108" w:type="dxa"/>
            <w:bottom w:w="0" w:type="dxa"/>
            <w:right w:w="108" w:type="dxa"/>
          </w:tblCellMar>
        </w:tblPrEx>
        <w:trPr>
          <w:trHeight w:val="397" w:hRule="atLeast"/>
        </w:trPr>
        <w:tc>
          <w:tcPr>
            <w:tcW w:w="196" w:type="pct"/>
            <w:vMerge w:val="continue"/>
            <w:tcBorders>
              <w:left w:val="single" w:color="000000" w:sz="12"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both"/>
              <w:rPr>
                <w:rFonts w:hint="eastAsia" w:ascii="宋体" w:hAnsi="宋体" w:eastAsia="宋体" w:cs="宋体"/>
                <w:color w:val="000000"/>
                <w:sz w:val="21"/>
                <w:szCs w:val="21"/>
              </w:rPr>
            </w:pPr>
          </w:p>
        </w:tc>
        <w:tc>
          <w:tcPr>
            <w:tcW w:w="560"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爆破</w:t>
            </w:r>
          </w:p>
        </w:tc>
        <w:tc>
          <w:tcPr>
            <w:tcW w:w="788"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振动</w:t>
            </w:r>
          </w:p>
        </w:tc>
        <w:tc>
          <w:tcPr>
            <w:tcW w:w="652"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110~130dB（A）</w:t>
            </w:r>
          </w:p>
        </w:tc>
        <w:tc>
          <w:tcPr>
            <w:tcW w:w="2208" w:type="pct"/>
            <w:tcBorders>
              <w:top w:val="single" w:color="000000" w:sz="4" w:space="0"/>
              <w:left w:val="single" w:color="000000" w:sz="4" w:space="0"/>
              <w:bottom w:val="single" w:color="000000" w:sz="12" w:space="0"/>
              <w:right w:val="single" w:color="000000" w:sz="4"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textAlignment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bidi="ar"/>
              </w:rPr>
              <w:t>合理安排爆破周期及爆破时间，采用微差爆破工艺。爆破前告知附近可能影响到居民</w:t>
            </w:r>
          </w:p>
        </w:tc>
        <w:tc>
          <w:tcPr>
            <w:tcW w:w="593" w:type="pct"/>
            <w:tcBorders>
              <w:top w:val="single" w:color="000000" w:sz="4" w:space="0"/>
              <w:left w:val="single" w:color="000000" w:sz="4" w:space="0"/>
              <w:bottom w:val="single" w:color="000000" w:sz="12" w:space="0"/>
              <w:right w:val="single" w:color="000000" w:sz="12" w:space="0"/>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w:t>
            </w:r>
          </w:p>
        </w:tc>
      </w:tr>
    </w:tbl>
    <w:p>
      <w:pPr>
        <w:pStyle w:val="6"/>
        <w:rPr>
          <w:rFonts w:hint="default" w:ascii="宋体" w:hAnsi="宋体" w:eastAsia="宋体" w:cs="宋体"/>
          <w:lang w:val="en-US" w:eastAsia="zh-CN"/>
        </w:rPr>
      </w:pPr>
      <w:bookmarkStart w:id="107" w:name="_Toc22783"/>
      <w:bookmarkStart w:id="108" w:name="_Toc30552"/>
      <w:r>
        <w:rPr>
          <w:rFonts w:hint="eastAsia" w:ascii="宋体" w:hAnsi="宋体" w:eastAsia="宋体" w:cs="宋体"/>
          <w:lang w:val="en-US" w:eastAsia="zh-CN"/>
        </w:rPr>
        <w:t>3.15 物料平衡</w:t>
      </w:r>
      <w:bookmarkEnd w:id="107"/>
    </w:p>
    <w:p>
      <w:pPr>
        <w:rPr>
          <w:rFonts w:hint="eastAsia" w:ascii="宋体" w:hAnsi="宋体" w:eastAsia="宋体" w:cs="宋体"/>
          <w:lang w:eastAsia="zh-CN"/>
        </w:rPr>
      </w:pPr>
      <w:r>
        <w:rPr>
          <w:rFonts w:hint="eastAsia" w:cs="宋体"/>
          <w:lang w:eastAsia="zh-CN"/>
        </w:rPr>
        <w:t>本项目建成后，鲁南矿业物料平衡如下：</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62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622" w:type="dxa"/>
            <w:tcBorders>
              <w:tl2br w:val="nil"/>
              <w:tr2bl w:val="nil"/>
            </w:tcBorders>
          </w:tcPr>
          <w:p>
            <w:pPr>
              <w:pStyle w:val="2"/>
              <w:keepNext w:val="0"/>
              <w:keepLines w:val="0"/>
              <w:suppressLineNumbers w:val="0"/>
              <w:spacing w:before="0" w:beforeAutospacing="0" w:afterAutospacing="0" w:line="240" w:lineRule="auto"/>
              <w:ind w:left="0" w:leftChars="0" w:right="0" w:rightChars="0" w:firstLine="0" w:firstLineChars="0"/>
              <w:jc w:val="center"/>
              <w:rPr>
                <w:rFonts w:hint="default"/>
                <w:vertAlign w:val="baseline"/>
                <w:lang w:val="en-US" w:eastAsia="zh-CN"/>
              </w:rPr>
            </w:pPr>
            <w:r>
              <w:rPr>
                <w:rFonts w:hint="eastAsia"/>
                <w:b/>
                <w:bCs/>
                <w:vertAlign w:val="baseline"/>
                <w:lang w:eastAsia="zh-CN"/>
              </w:rPr>
              <w:drawing>
                <wp:anchor distT="0" distB="0" distL="114300" distR="114300" simplePos="0" relativeHeight="251723776" behindDoc="0" locked="0" layoutInCell="1" allowOverlap="1">
                  <wp:simplePos x="0" y="0"/>
                  <wp:positionH relativeFrom="column">
                    <wp:posOffset>582930</wp:posOffset>
                  </wp:positionH>
                  <wp:positionV relativeFrom="paragraph">
                    <wp:posOffset>31750</wp:posOffset>
                  </wp:positionV>
                  <wp:extent cx="4819650" cy="3448050"/>
                  <wp:effectExtent l="0" t="0" r="0" b="0"/>
                  <wp:wrapTopAndBottom/>
                  <wp:docPr id="2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pic:cNvPicPr>
                            <a:picLocks noChangeAspect="1"/>
                          </pic:cNvPicPr>
                        </pic:nvPicPr>
                        <pic:blipFill>
                          <a:blip r:embed="rId119"/>
                          <a:stretch>
                            <a:fillRect/>
                          </a:stretch>
                        </pic:blipFill>
                        <pic:spPr>
                          <a:xfrm>
                            <a:off x="0" y="0"/>
                            <a:ext cx="4819650" cy="3448050"/>
                          </a:xfrm>
                          <a:prstGeom prst="rect">
                            <a:avLst/>
                          </a:prstGeom>
                          <a:noFill/>
                          <a:ln>
                            <a:noFill/>
                          </a:ln>
                        </pic:spPr>
                      </pic:pic>
                    </a:graphicData>
                  </a:graphic>
                </wp:anchor>
              </w:drawing>
            </w:r>
            <w:r>
              <w:rPr>
                <w:rFonts w:hint="eastAsia"/>
                <w:b/>
                <w:bCs/>
                <w:vertAlign w:val="baseline"/>
                <w:lang w:eastAsia="zh-CN"/>
              </w:rPr>
              <w:t>图</w:t>
            </w:r>
            <w:r>
              <w:rPr>
                <w:rFonts w:hint="eastAsia"/>
                <w:b/>
                <w:bCs/>
                <w:vertAlign w:val="baseline"/>
                <w:lang w:val="en-US" w:eastAsia="zh-CN"/>
              </w:rPr>
              <w:t>3.15.1-1 本项目建成后企业物料平衡图</w:t>
            </w:r>
          </w:p>
        </w:tc>
      </w:tr>
    </w:tbl>
    <w:p>
      <w:pPr>
        <w:pStyle w:val="2"/>
        <w:rPr>
          <w:rFonts w:hint="eastAsia"/>
          <w:lang w:eastAsia="zh-CN"/>
        </w:rPr>
        <w:sectPr>
          <w:footerReference r:id="rId55" w:type="default"/>
          <w:footerReference r:id="rId56" w:type="even"/>
          <w:pgSz w:w="12240" w:h="15840"/>
          <w:pgMar w:top="1417" w:right="1247" w:bottom="1247" w:left="1587" w:header="850" w:footer="850" w:gutter="0"/>
          <w:pgBorders>
            <w:top w:val="none" w:sz="0" w:space="0"/>
            <w:left w:val="none" w:sz="0" w:space="0"/>
            <w:bottom w:val="none" w:sz="0" w:space="0"/>
            <w:right w:val="none" w:sz="0" w:space="0"/>
          </w:pgBorders>
          <w:cols w:space="720" w:num="1"/>
          <w:docGrid w:type="lines" w:linePitch="383" w:charSpace="0"/>
        </w:sectPr>
      </w:pPr>
    </w:p>
    <w:p>
      <w:pPr>
        <w:pStyle w:val="6"/>
        <w:rPr>
          <w:rFonts w:hint="eastAsia" w:ascii="宋体" w:hAnsi="宋体" w:eastAsia="宋体" w:cs="宋体"/>
          <w:lang w:eastAsia="zh-CN"/>
        </w:rPr>
      </w:pPr>
      <w:bookmarkStart w:id="109" w:name="_Toc2683"/>
      <w:r>
        <w:rPr>
          <w:rFonts w:hint="eastAsia" w:ascii="宋体" w:hAnsi="宋体" w:eastAsia="宋体" w:cs="宋体"/>
          <w:lang w:val="en-US" w:eastAsia="zh-CN"/>
        </w:rPr>
        <w:t>3.16</w:t>
      </w:r>
      <w:r>
        <w:rPr>
          <w:rFonts w:hint="eastAsia" w:ascii="宋体" w:hAnsi="宋体" w:eastAsia="宋体" w:cs="宋体"/>
          <w:lang w:eastAsia="zh-CN"/>
        </w:rPr>
        <w:t xml:space="preserve"> 企业水平衡图</w:t>
      </w:r>
      <w:bookmarkEnd w:id="109"/>
    </w:p>
    <w:p>
      <w:pPr>
        <w:ind w:firstLine="560"/>
        <w:rPr>
          <w:rFonts w:hint="eastAsia" w:ascii="宋体" w:hAnsi="宋体" w:eastAsia="宋体" w:cs="宋体"/>
          <w:lang w:eastAsia="zh-CN"/>
        </w:rPr>
      </w:pPr>
      <w:r>
        <w:rPr>
          <w:rFonts w:hint="eastAsia" w:cs="宋体"/>
          <w:lang w:eastAsia="zh-CN"/>
        </w:rPr>
        <w:t>本项目建成后，鲁南矿业用水</w:t>
      </w:r>
      <w:r>
        <w:rPr>
          <w:rFonts w:hint="eastAsia" w:ascii="宋体" w:hAnsi="宋体" w:eastAsia="宋体" w:cs="宋体"/>
          <w:lang w:eastAsia="zh-CN"/>
        </w:rPr>
        <w:t>水平衡见图</w:t>
      </w:r>
      <w:r>
        <w:rPr>
          <w:rFonts w:hint="eastAsia" w:cs="宋体"/>
          <w:lang w:val="en-US" w:eastAsia="zh-CN"/>
        </w:rPr>
        <w:t>3.16.1-1</w:t>
      </w:r>
      <w:r>
        <w:rPr>
          <w:rFonts w:hint="eastAsia" w:ascii="宋体" w:hAnsi="宋体" w:eastAsia="宋体" w:cs="宋体"/>
          <w:lang w:eastAsia="zh-CN"/>
        </w:rPr>
        <w:t>。</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39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4390" w:type="dxa"/>
            <w:tcBorders>
              <w:tl2br w:val="nil"/>
              <w:tr2bl w:val="nil"/>
            </w:tcBorders>
          </w:tcPr>
          <w:p>
            <w:pPr>
              <w:pStyle w:val="6"/>
              <w:keepNext w:val="0"/>
              <w:keepLines w:val="0"/>
              <w:suppressLineNumbers w:val="0"/>
              <w:spacing w:before="0" w:beforeAutospacing="0" w:after="0" w:afterAutospacing="0" w:line="240" w:lineRule="auto"/>
              <w:ind w:left="0" w:right="0"/>
              <w:jc w:val="center"/>
              <w:outlineLvl w:val="1"/>
              <w:rPr>
                <w:rFonts w:hint="eastAsia" w:ascii="宋体" w:hAnsi="宋体" w:eastAsia="宋体" w:cs="宋体"/>
                <w:lang w:eastAsia="zh-CN"/>
              </w:rPr>
            </w:pPr>
            <w:bookmarkStart w:id="110" w:name="_Toc14548"/>
            <w:r>
              <w:rPr>
                <w:rFonts w:hint="eastAsia" w:ascii="宋体" w:hAnsi="宋体" w:eastAsia="宋体" w:cs="宋体"/>
                <w:sz w:val="24"/>
                <w:lang w:eastAsia="zh-CN"/>
              </w:rPr>
              <mc:AlternateContent>
                <mc:Choice Requires="wps">
                  <w:drawing>
                    <wp:anchor distT="0" distB="0" distL="114300" distR="114300" simplePos="0" relativeHeight="251792384" behindDoc="0" locked="0" layoutInCell="1" allowOverlap="1">
                      <wp:simplePos x="0" y="0"/>
                      <wp:positionH relativeFrom="column">
                        <wp:posOffset>4777105</wp:posOffset>
                      </wp:positionH>
                      <wp:positionV relativeFrom="paragraph">
                        <wp:posOffset>47625</wp:posOffset>
                      </wp:positionV>
                      <wp:extent cx="497205" cy="33718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49720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b/>
                                      <w:bCs/>
                                      <w:sz w:val="15"/>
                                      <w:szCs w:val="15"/>
                                      <w:lang w:eastAsia="zh-CN"/>
                                    </w:rPr>
                                  </w:pPr>
                                  <w:r>
                                    <w:rPr>
                                      <w:rFonts w:hint="eastAsia" w:eastAsia="宋体"/>
                                      <w:b/>
                                      <w:bCs/>
                                      <w:sz w:val="15"/>
                                      <w:szCs w:val="15"/>
                                      <w:lang w:eastAsia="zh-CN"/>
                                    </w:rPr>
                                    <w:t>5484.7</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6.15pt;margin-top:3.75pt;height:26.55pt;width:39.15pt;z-index:251792384;mso-width-relative:page;mso-height-relative:page;" filled="f" stroked="f" coordsize="21600,21600" o:gfxdata="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woW5htkAAAAIAQAADwAAAAAAAAABACAAAAAi&#10;AAAAZHJzL2Rvd25yZXYueG1sUEsBAhQAFAAAAAgAh07iQBd5uQJCAgAAdQQAAA4AAAAAAAAAAQAg&#10;AAAAKAEAAGRycy9lMm9Eb2MueG1sUEsFBgAAAAAGAAYAWQEAANwFAAAAAA==&#10;">
                      <v:fill on="f" focussize="0,0"/>
                      <v:stroke on="f" weight="0.5pt"/>
                      <v:imagedata o:title=""/>
                      <o:lock v:ext="edit" aspectratio="f"/>
                      <v:textbox>
                        <w:txbxContent>
                          <w:p>
                            <w:pPr>
                              <w:spacing w:line="240" w:lineRule="auto"/>
                              <w:ind w:firstLine="0" w:firstLineChars="0"/>
                              <w:rPr>
                                <w:b/>
                                <w:bCs/>
                                <w:sz w:val="15"/>
                                <w:szCs w:val="15"/>
                                <w:lang w:eastAsia="zh-CN"/>
                              </w:rPr>
                            </w:pPr>
                            <w:r>
                              <w:rPr>
                                <w:rFonts w:hint="eastAsia" w:eastAsia="宋体"/>
                                <w:b/>
                                <w:bCs/>
                                <w:sz w:val="15"/>
                                <w:szCs w:val="15"/>
                                <w:lang w:eastAsia="zh-CN"/>
                              </w:rPr>
                              <w:t>5484.7</w:t>
                            </w:r>
                          </w:p>
                        </w:txbxContent>
                      </v:textbox>
                    </v:shape>
                  </w:pict>
                </mc:Fallback>
              </mc:AlternateContent>
            </w:r>
            <w:r>
              <w:rPr>
                <w:rFonts w:hint="eastAsia" w:ascii="宋体" w:hAnsi="宋体" w:eastAsia="宋体" w:cs="宋体"/>
                <w:sz w:val="24"/>
                <w:lang w:eastAsia="zh-CN"/>
              </w:rPr>
              <mc:AlternateContent>
                <mc:Choice Requires="wps">
                  <w:drawing>
                    <wp:anchor distT="0" distB="0" distL="114300" distR="114300" simplePos="0" relativeHeight="251791360" behindDoc="0" locked="0" layoutInCell="1" allowOverlap="1">
                      <wp:simplePos x="0" y="0"/>
                      <wp:positionH relativeFrom="column">
                        <wp:posOffset>4087495</wp:posOffset>
                      </wp:positionH>
                      <wp:positionV relativeFrom="paragraph">
                        <wp:posOffset>182245</wp:posOffset>
                      </wp:positionV>
                      <wp:extent cx="490220" cy="314325"/>
                      <wp:effectExtent l="0" t="0" r="0" b="0"/>
                      <wp:wrapNone/>
                      <wp:docPr id="59" name="文本框 59"/>
                      <wp:cNvGraphicFramePr/>
                      <a:graphic xmlns:a="http://schemas.openxmlformats.org/drawingml/2006/main">
                        <a:graphicData uri="http://schemas.microsoft.com/office/word/2010/wordprocessingShape">
                          <wps:wsp>
                            <wps:cNvSpPr txBox="1"/>
                            <wps:spPr>
                              <a:xfrm>
                                <a:off x="4526915" y="1953895"/>
                                <a:ext cx="490220"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line="240" w:lineRule="auto"/>
                                    <w:ind w:firstLine="0" w:firstLineChars="0"/>
                                    <w:rPr>
                                      <w:b/>
                                      <w:bCs/>
                                      <w:sz w:val="15"/>
                                      <w:szCs w:val="15"/>
                                      <w:lang w:eastAsia="zh-CN"/>
                                    </w:rPr>
                                  </w:pPr>
                                  <w:r>
                                    <w:rPr>
                                      <w:rFonts w:hint="eastAsia" w:eastAsia="宋体"/>
                                      <w:b/>
                                      <w:bCs/>
                                      <w:sz w:val="15"/>
                                      <w:szCs w:val="15"/>
                                      <w:lang w:eastAsia="zh-CN"/>
                                    </w:rPr>
                                    <w:t>1543.2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1.85pt;margin-top:14.35pt;height:24.75pt;width:38.6pt;z-index:251791360;mso-width-relative:page;mso-height-relative:page;" filled="f" stroked="f" coordsize="21600,21600" o:gfxdata="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LEzkIbaAAAACQEAAA8A&#10;AAAAAAAAAQAgAAAAIgAAAGRycy9kb3ducmV2LnhtbFBLAQIUABQAAAAIAIdO4kDt8C2nTgIAAIEE&#10;AAAOAAAAAAAAAAEAIAAAACkBAABkcnMvZTJvRG9jLnhtbFBLBQYAAAAABgAGAFkBAADpBQAAAAA=&#10;">
                      <v:fill on="f" focussize="0,0"/>
                      <v:stroke on="f" weight="0.5pt"/>
                      <v:imagedata o:title=""/>
                      <o:lock v:ext="edit" aspectratio="f"/>
                      <v:textbox>
                        <w:txbxContent>
                          <w:p>
                            <w:pPr>
                              <w:spacing w:line="240" w:lineRule="auto"/>
                              <w:ind w:firstLine="0" w:firstLineChars="0"/>
                              <w:rPr>
                                <w:b/>
                                <w:bCs/>
                                <w:sz w:val="15"/>
                                <w:szCs w:val="15"/>
                                <w:lang w:eastAsia="zh-CN"/>
                              </w:rPr>
                            </w:pPr>
                            <w:r>
                              <w:rPr>
                                <w:rFonts w:hint="eastAsia" w:eastAsia="宋体"/>
                                <w:b/>
                                <w:bCs/>
                                <w:sz w:val="15"/>
                                <w:szCs w:val="15"/>
                                <w:lang w:eastAsia="zh-CN"/>
                              </w:rPr>
                              <w:t>1543.2</w:t>
                            </w:r>
                          </w:p>
                        </w:txbxContent>
                      </v:textbox>
                    </v:shape>
                  </w:pict>
                </mc:Fallback>
              </mc:AlternateContent>
            </w:r>
            <w:r>
              <w:rPr>
                <w:rFonts w:hint="eastAsia" w:ascii="宋体" w:hAnsi="宋体" w:eastAsia="宋体" w:cs="宋体"/>
                <w:sz w:val="24"/>
                <w:szCs w:val="24"/>
                <w:lang w:eastAsia="zh-CN"/>
              </w:rPr>
              <w:drawing>
                <wp:anchor distT="0" distB="0" distL="114300" distR="114300" simplePos="0" relativeHeight="251790336" behindDoc="0" locked="0" layoutInCell="1" allowOverlap="1">
                  <wp:simplePos x="0" y="0"/>
                  <wp:positionH relativeFrom="column">
                    <wp:posOffset>0</wp:posOffset>
                  </wp:positionH>
                  <wp:positionV relativeFrom="paragraph">
                    <wp:posOffset>-4142740</wp:posOffset>
                  </wp:positionV>
                  <wp:extent cx="8418830" cy="4569460"/>
                  <wp:effectExtent l="0" t="0" r="1270" b="2540"/>
                  <wp:wrapTopAndBottom/>
                  <wp:docPr id="73" name="图片 73" descr="1c17b75186f27e45d010fd49a59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c17b75186f27e45d010fd49a594989"/>
                          <pic:cNvPicPr>
                            <a:picLocks noChangeAspect="1"/>
                          </pic:cNvPicPr>
                        </pic:nvPicPr>
                        <pic:blipFill>
                          <a:blip r:embed="rId98"/>
                          <a:stretch>
                            <a:fillRect/>
                          </a:stretch>
                        </pic:blipFill>
                        <pic:spPr>
                          <a:xfrm>
                            <a:off x="0" y="0"/>
                            <a:ext cx="8418830" cy="4569460"/>
                          </a:xfrm>
                          <a:prstGeom prst="rect">
                            <a:avLst/>
                          </a:prstGeom>
                        </pic:spPr>
                      </pic:pic>
                    </a:graphicData>
                  </a:graphic>
                </wp:anchor>
              </w:drawing>
            </w:r>
            <w:r>
              <w:rPr>
                <w:rFonts w:hint="eastAsia" w:ascii="宋体" w:hAnsi="宋体" w:eastAsia="宋体" w:cs="宋体"/>
                <w:sz w:val="24"/>
                <w:szCs w:val="24"/>
                <w:lang w:eastAsia="zh-CN"/>
              </w:rPr>
              <w:t>图</w:t>
            </w:r>
            <w:r>
              <w:rPr>
                <w:rFonts w:hint="eastAsia" w:ascii="宋体" w:hAnsi="宋体" w:eastAsia="宋体" w:cs="宋体"/>
                <w:sz w:val="24"/>
                <w:szCs w:val="24"/>
                <w:lang w:val="en-US" w:eastAsia="zh-CN"/>
              </w:rPr>
              <w:t>3.16.1-1</w:t>
            </w:r>
            <w:r>
              <w:rPr>
                <w:rFonts w:hint="eastAsia" w:ascii="宋体" w:hAnsi="宋体" w:eastAsia="宋体" w:cs="宋体"/>
                <w:sz w:val="24"/>
                <w:szCs w:val="24"/>
                <w:lang w:eastAsia="zh-CN"/>
              </w:rPr>
              <w:t xml:space="preserve"> 本项目建成后企业用水水平衡图</w:t>
            </w:r>
            <w:bookmarkEnd w:id="110"/>
          </w:p>
        </w:tc>
      </w:tr>
    </w:tbl>
    <w:p>
      <w:pPr>
        <w:rPr>
          <w:rFonts w:hint="eastAsia"/>
          <w:lang w:eastAsia="zh-CN"/>
        </w:rPr>
        <w:sectPr>
          <w:footerReference r:id="rId57" w:type="even"/>
          <w:pgSz w:w="15840" w:h="12240" w:orient="landscape"/>
          <w:pgMar w:top="1587" w:right="1417" w:bottom="1247" w:left="1247" w:header="850" w:footer="850" w:gutter="0"/>
          <w:pgBorders>
            <w:top w:val="none" w:sz="0" w:space="0"/>
            <w:left w:val="none" w:sz="0" w:space="0"/>
            <w:bottom w:val="none" w:sz="0" w:space="0"/>
            <w:right w:val="none" w:sz="0" w:space="0"/>
          </w:pgBorders>
          <w:cols w:space="720" w:num="1"/>
          <w:docGrid w:type="lines" w:linePitch="383" w:charSpace="0"/>
        </w:sectPr>
      </w:pPr>
    </w:p>
    <w:p>
      <w:pPr>
        <w:pStyle w:val="6"/>
        <w:rPr>
          <w:rFonts w:hint="eastAsia" w:ascii="宋体" w:hAnsi="宋体" w:eastAsia="宋体" w:cs="宋体"/>
          <w:lang w:eastAsia="zh-CN"/>
        </w:rPr>
      </w:pPr>
      <w:bookmarkStart w:id="111" w:name="_Toc26897"/>
      <w:r>
        <w:rPr>
          <w:rFonts w:hint="eastAsia" w:ascii="宋体" w:hAnsi="宋体" w:eastAsia="宋体" w:cs="宋体"/>
          <w:lang w:eastAsia="zh-CN"/>
        </w:rPr>
        <w:t>3.</w:t>
      </w:r>
      <w:r>
        <w:rPr>
          <w:rFonts w:hint="eastAsia" w:ascii="宋体" w:hAnsi="宋体" w:eastAsia="宋体" w:cs="宋体"/>
          <w:lang w:val="en-US" w:eastAsia="zh-CN"/>
        </w:rPr>
        <w:t>17</w:t>
      </w:r>
      <w:r>
        <w:rPr>
          <w:rFonts w:hint="eastAsia" w:ascii="宋体" w:hAnsi="宋体" w:eastAsia="宋体" w:cs="宋体"/>
          <w:lang w:eastAsia="zh-CN"/>
        </w:rPr>
        <w:t xml:space="preserve"> “三本账”</w:t>
      </w:r>
      <w:bookmarkEnd w:id="108"/>
      <w:bookmarkEnd w:id="111"/>
    </w:p>
    <w:p>
      <w:pPr>
        <w:pStyle w:val="14"/>
        <w:ind w:firstLine="560"/>
        <w:rPr>
          <w:rFonts w:hint="eastAsia" w:ascii="宋体" w:hAnsi="宋体" w:eastAsia="宋体" w:cs="宋体"/>
          <w:lang w:eastAsia="zh-CN"/>
        </w:rPr>
      </w:pPr>
      <w:r>
        <w:rPr>
          <w:rFonts w:hint="eastAsia" w:ascii="宋体" w:hAnsi="宋体" w:eastAsia="宋体" w:cs="宋体"/>
          <w:lang w:eastAsia="zh-CN"/>
        </w:rPr>
        <w:t>“三本账”见表3.</w:t>
      </w:r>
      <w:r>
        <w:rPr>
          <w:rFonts w:hint="eastAsia" w:cs="宋体"/>
          <w:lang w:val="en-US" w:eastAsia="zh-CN"/>
        </w:rPr>
        <w:t>17</w:t>
      </w:r>
      <w:r>
        <w:rPr>
          <w:rFonts w:hint="eastAsia" w:ascii="宋体" w:hAnsi="宋体" w:eastAsia="宋体" w:cs="宋体"/>
          <w:lang w:eastAsia="zh-CN"/>
        </w:rPr>
        <w:t>.1-1。</w:t>
      </w:r>
    </w:p>
    <w:p>
      <w:pPr>
        <w:pStyle w:val="14"/>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表3.15.1-1  全矿区污染物“三本账”情况表</w:t>
      </w:r>
    </w:p>
    <w:tbl>
      <w:tblPr>
        <w:tblStyle w:val="24"/>
        <w:tblW w:w="4996" w:type="pct"/>
        <w:tblInd w:w="0" w:type="dxa"/>
        <w:tblLayout w:type="fixed"/>
        <w:tblCellMar>
          <w:top w:w="0" w:type="dxa"/>
          <w:left w:w="108" w:type="dxa"/>
          <w:bottom w:w="0" w:type="dxa"/>
          <w:right w:w="108" w:type="dxa"/>
        </w:tblCellMar>
      </w:tblPr>
      <w:tblGrid>
        <w:gridCol w:w="397"/>
        <w:gridCol w:w="670"/>
        <w:gridCol w:w="1802"/>
        <w:gridCol w:w="1402"/>
        <w:gridCol w:w="1069"/>
        <w:gridCol w:w="1069"/>
        <w:gridCol w:w="1069"/>
        <w:gridCol w:w="1072"/>
        <w:gridCol w:w="1066"/>
      </w:tblGrid>
      <w:tr>
        <w:tblPrEx>
          <w:tblCellMar>
            <w:top w:w="0" w:type="dxa"/>
            <w:left w:w="108" w:type="dxa"/>
            <w:bottom w:w="0" w:type="dxa"/>
            <w:right w:w="108" w:type="dxa"/>
          </w:tblCellMar>
        </w:tblPrEx>
        <w:trPr>
          <w:trHeight w:val="397" w:hRule="atLeast"/>
          <w:tblHeader/>
        </w:trPr>
        <w:tc>
          <w:tcPr>
            <w:tcW w:w="206" w:type="pct"/>
            <w:vMerge w:val="restart"/>
            <w:tcBorders>
              <w:top w:val="single" w:color="000000" w:sz="12"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类型</w:t>
            </w:r>
          </w:p>
        </w:tc>
        <w:tc>
          <w:tcPr>
            <w:tcW w:w="1285" w:type="pct"/>
            <w:gridSpan w:val="2"/>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污染源</w:t>
            </w:r>
          </w:p>
        </w:tc>
        <w:tc>
          <w:tcPr>
            <w:tcW w:w="728"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主要</w:t>
            </w:r>
          </w:p>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污染物</w:t>
            </w:r>
          </w:p>
        </w:tc>
        <w:tc>
          <w:tcPr>
            <w:tcW w:w="555"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现有工程排放量</w:t>
            </w:r>
          </w:p>
        </w:tc>
        <w:tc>
          <w:tcPr>
            <w:tcW w:w="555"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以新带老消减量</w:t>
            </w:r>
          </w:p>
        </w:tc>
        <w:tc>
          <w:tcPr>
            <w:tcW w:w="555"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排放量</w:t>
            </w:r>
          </w:p>
        </w:tc>
        <w:tc>
          <w:tcPr>
            <w:tcW w:w="557" w:type="pct"/>
            <w:vMerge w:val="restart"/>
            <w:tcBorders>
              <w:top w:val="single" w:color="000000" w:sz="12"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排放总量</w:t>
            </w:r>
          </w:p>
        </w:tc>
        <w:tc>
          <w:tcPr>
            <w:tcW w:w="554" w:type="pct"/>
            <w:vMerge w:val="restart"/>
            <w:tcBorders>
              <w:top w:val="single" w:color="000000" w:sz="12"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w:t>
            </w:r>
          </w:p>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增减量</w:t>
            </w:r>
          </w:p>
        </w:tc>
      </w:tr>
      <w:tr>
        <w:tblPrEx>
          <w:tblCellMar>
            <w:top w:w="0" w:type="dxa"/>
            <w:left w:w="108" w:type="dxa"/>
            <w:bottom w:w="0" w:type="dxa"/>
            <w:right w:w="108" w:type="dxa"/>
          </w:tblCellMar>
        </w:tblPrEx>
        <w:trPr>
          <w:trHeight w:val="397" w:hRule="atLeast"/>
          <w:tblHeader/>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28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7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55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5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554" w:type="pct"/>
            <w:vMerge w:val="continue"/>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CellMar>
            <w:top w:w="0" w:type="dxa"/>
            <w:left w:w="108" w:type="dxa"/>
            <w:bottom w:w="0" w:type="dxa"/>
            <w:right w:w="108" w:type="dxa"/>
          </w:tblCellMar>
        </w:tblPrEx>
        <w:trPr>
          <w:trHeight w:val="397" w:hRule="atLeast"/>
        </w:trPr>
        <w:tc>
          <w:tcPr>
            <w:tcW w:w="206" w:type="pct"/>
            <w:vMerge w:val="restart"/>
            <w:tcBorders>
              <w:top w:val="single" w:color="000000" w:sz="4" w:space="0"/>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废气</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有组织</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充填</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0.99</w:t>
            </w:r>
            <w:r>
              <w:rPr>
                <w:rFonts w:hint="eastAsia" w:ascii="宋体" w:hAnsi="宋体" w:eastAsia="宋体" w:cs="宋体"/>
                <w:sz w:val="21"/>
                <w:szCs w:val="21"/>
                <w:lang w:eastAsia="zh-CN"/>
              </w:rPr>
              <w:t>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0.43t/a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粗破工序</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0.64t/a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0.64t/a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中破工序</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2.67t/a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2.67t/a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细破工序口</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0.61t/a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0.61t/a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筛分和干选工序</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1.98t/a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1.98t/a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球团厂排气筒</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2.93t/a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2.93t/a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二氧化硫</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26.7t/a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26.7t/a</w:t>
            </w:r>
          </w:p>
        </w:tc>
        <w:tc>
          <w:tcPr>
            <w:tcW w:w="55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氮氧化物</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77.4t/a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77.4t/a</w:t>
            </w:r>
          </w:p>
        </w:tc>
        <w:tc>
          <w:tcPr>
            <w:tcW w:w="554" w:type="pct"/>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restart"/>
            <w:tcBorders>
              <w:top w:val="single" w:color="000000" w:sz="4" w:space="0"/>
              <w:left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无组织</w:t>
            </w:r>
          </w:p>
        </w:tc>
        <w:tc>
          <w:tcPr>
            <w:tcW w:w="936" w:type="pct"/>
            <w:vMerge w:val="restart"/>
            <w:tcBorders>
              <w:top w:val="single" w:color="000000" w:sz="4" w:space="0"/>
              <w:left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井下采掘</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粉尘</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8.07</w:t>
            </w:r>
            <w:r>
              <w:rPr>
                <w:rFonts w:hint="eastAsia" w:ascii="宋体" w:hAnsi="宋体" w:eastAsia="宋体" w:cs="宋体"/>
                <w:sz w:val="21"/>
                <w:szCs w:val="21"/>
                <w:lang w:eastAsia="zh-CN"/>
              </w:rPr>
              <w:t>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r>
              <w:rPr>
                <w:rFonts w:hint="eastAsia" w:cs="宋体"/>
                <w:sz w:val="21"/>
                <w:szCs w:val="21"/>
                <w:lang w:val="en-US" w:eastAsia="zh-CN"/>
              </w:rPr>
              <w:t>1</w:t>
            </w:r>
            <w:r>
              <w:rPr>
                <w:rFonts w:hint="eastAsia" w:ascii="宋体" w:hAnsi="宋体" w:eastAsia="宋体" w:cs="宋体"/>
                <w:sz w:val="21"/>
                <w:szCs w:val="21"/>
                <w:lang w:eastAsia="zh-CN"/>
              </w:rPr>
              <w:t>0t/a</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cs="宋体"/>
                <w:sz w:val="21"/>
                <w:szCs w:val="21"/>
                <w:lang w:val="en-US" w:eastAsia="zh-CN"/>
              </w:rPr>
              <w:t>8.17</w:t>
            </w:r>
            <w:r>
              <w:rPr>
                <w:rFonts w:hint="eastAsia" w:ascii="宋体" w:hAnsi="宋体" w:eastAsia="宋体" w:cs="宋体"/>
                <w:sz w:val="21"/>
                <w:szCs w:val="21"/>
                <w:lang w:eastAsia="zh-CN"/>
              </w:rPr>
              <w:t>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r>
              <w:rPr>
                <w:rFonts w:hint="eastAsia" w:cs="宋体"/>
                <w:sz w:val="21"/>
                <w:szCs w:val="21"/>
                <w:lang w:val="en-US" w:eastAsia="zh-CN"/>
              </w:rPr>
              <w:t>1</w:t>
            </w:r>
            <w:r>
              <w:rPr>
                <w:rFonts w:hint="eastAsia" w:ascii="宋体" w:hAnsi="宋体" w:eastAsia="宋体" w:cs="宋体"/>
                <w:sz w:val="21"/>
                <w:szCs w:val="21"/>
                <w:lang w:eastAsia="zh-CN"/>
              </w:rPr>
              <w:t>0t/a</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left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vMerge w:val="continue"/>
            <w:tcBorders>
              <w:left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CO</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s="宋体"/>
                <w:sz w:val="21"/>
                <w:szCs w:val="21"/>
                <w:highlight w:val="none"/>
                <w:lang w:val="en-US" w:eastAsia="zh-CN"/>
              </w:rPr>
            </w:pPr>
            <w:r>
              <w:rPr>
                <w:rFonts w:hint="eastAsia" w:cs="宋体"/>
                <w:sz w:val="21"/>
                <w:szCs w:val="21"/>
                <w:highlight w:val="none"/>
                <w:lang w:val="en-US" w:eastAsia="zh-CN"/>
              </w:rPr>
              <w:t>4.66t/a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rPr>
            </w:pPr>
            <w:r>
              <w:rPr>
                <w:rFonts w:hint="eastAsia" w:cs="宋体"/>
                <w:sz w:val="21"/>
                <w:szCs w:val="21"/>
                <w:lang w:val="en-US" w:eastAsia="zh-CN"/>
              </w:rPr>
              <w:t>7.88t/a</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default" w:cs="宋体"/>
                <w:sz w:val="21"/>
                <w:szCs w:val="21"/>
                <w:lang w:val="en-US" w:eastAsia="zh-CN"/>
              </w:rPr>
            </w:pPr>
            <w:r>
              <w:rPr>
                <w:rFonts w:hint="eastAsia" w:cs="宋体"/>
                <w:sz w:val="21"/>
                <w:szCs w:val="21"/>
                <w:lang w:val="en-US" w:eastAsia="zh-CN"/>
              </w:rPr>
              <w:t>12.54t/a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rPr>
            </w:pPr>
            <w:r>
              <w:rPr>
                <w:rFonts w:hint="eastAsia" w:cs="宋体"/>
                <w:sz w:val="21"/>
                <w:szCs w:val="21"/>
                <w:lang w:val="en-US" w:eastAsia="zh-CN"/>
              </w:rPr>
              <w:t>+7.88t/a</w:t>
            </w:r>
          </w:p>
        </w:tc>
      </w:tr>
      <w:tr>
        <w:tblPrEx>
          <w:tblCellMar>
            <w:top w:w="0" w:type="dxa"/>
            <w:left w:w="108" w:type="dxa"/>
            <w:bottom w:w="0" w:type="dxa"/>
            <w:right w:w="108" w:type="dxa"/>
          </w:tblCellMar>
        </w:tblPrEx>
        <w:trPr>
          <w:trHeight w:val="397" w:hRule="atLeast"/>
        </w:trPr>
        <w:tc>
          <w:tcPr>
            <w:tcW w:w="206" w:type="pct"/>
            <w:vMerge w:val="continue"/>
            <w:tcBorders>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vMerge w:val="continue"/>
            <w:tcBorders>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NOx</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default" w:cs="宋体"/>
                <w:sz w:val="21"/>
                <w:szCs w:val="21"/>
                <w:highlight w:val="none"/>
                <w:lang w:val="en-US" w:eastAsia="zh-CN"/>
              </w:rPr>
            </w:pPr>
            <w:r>
              <w:rPr>
                <w:rFonts w:hint="eastAsia" w:cs="宋体"/>
                <w:sz w:val="21"/>
                <w:szCs w:val="21"/>
                <w:highlight w:val="none"/>
                <w:lang w:val="en-US" w:eastAsia="zh-CN"/>
              </w:rPr>
              <w:t>10.80t/a</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rPr>
            </w:pPr>
            <w:r>
              <w:rPr>
                <w:rFonts w:hint="eastAsia" w:cs="宋体"/>
                <w:sz w:val="21"/>
                <w:szCs w:val="21"/>
                <w:lang w:val="en-US" w:eastAsia="zh-CN"/>
              </w:rPr>
              <w:t>18.27t/a</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default" w:cs="宋体"/>
                <w:sz w:val="21"/>
                <w:szCs w:val="21"/>
                <w:lang w:val="en-US" w:eastAsia="zh-CN"/>
              </w:rPr>
            </w:pPr>
            <w:r>
              <w:rPr>
                <w:rFonts w:hint="eastAsia" w:cs="宋体"/>
                <w:sz w:val="21"/>
                <w:szCs w:val="21"/>
                <w:lang w:val="en-US" w:eastAsia="zh-CN"/>
              </w:rPr>
              <w:t>29.07t/a</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宋体" w:hAnsi="宋体" w:eastAsia="宋体" w:cs="宋体"/>
                <w:sz w:val="21"/>
                <w:szCs w:val="21"/>
                <w:lang w:eastAsia="zh-CN"/>
              </w:rPr>
            </w:pPr>
            <w:r>
              <w:rPr>
                <w:rFonts w:hint="eastAsia" w:cs="宋体"/>
                <w:sz w:val="18"/>
                <w:szCs w:val="18"/>
                <w:lang w:val="en-US" w:eastAsia="zh-CN"/>
              </w:rPr>
              <w:t>+18.27t/a</w:t>
            </w:r>
          </w:p>
        </w:tc>
      </w:tr>
      <w:tr>
        <w:tblPrEx>
          <w:tblCellMar>
            <w:top w:w="0" w:type="dxa"/>
            <w:left w:w="108" w:type="dxa"/>
            <w:bottom w:w="0" w:type="dxa"/>
            <w:right w:w="108" w:type="dxa"/>
          </w:tblCellMar>
        </w:tblPrEx>
        <w:trPr>
          <w:trHeight w:val="397" w:hRule="atLeast"/>
        </w:trPr>
        <w:tc>
          <w:tcPr>
            <w:tcW w:w="206" w:type="pct"/>
            <w:vMerge w:val="restar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废水</w:t>
            </w:r>
          </w:p>
        </w:tc>
        <w:tc>
          <w:tcPr>
            <w:tcW w:w="1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矿井涌水</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选矿厂生产废水</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尾矿库上清水和渗滤水</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285"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循环冷却水</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1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生活污水</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COD、氨氮等</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restart"/>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固废</w:t>
            </w: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一般工业固废</w:t>
            </w: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采矿掘进</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废石</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干式预选</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矿石</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湿式预选</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矿石</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磨选</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沉淀池</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污泥</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烟气除尘过程中</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除尘灰</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烟气脱硫过程中</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脱硫石膏</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职工办公生活</w:t>
            </w:r>
          </w:p>
        </w:tc>
        <w:tc>
          <w:tcPr>
            <w:tcW w:w="7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生活垃圾</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4"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危废</w:t>
            </w:r>
          </w:p>
        </w:tc>
        <w:tc>
          <w:tcPr>
            <w:tcW w:w="9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设备维修过程</w:t>
            </w:r>
          </w:p>
        </w:tc>
        <w:tc>
          <w:tcPr>
            <w:tcW w:w="728"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废矿物油</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4"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4"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r>
        <w:tblPrEx>
          <w:tblCellMar>
            <w:top w:w="0" w:type="dxa"/>
            <w:left w:w="108" w:type="dxa"/>
            <w:bottom w:w="0" w:type="dxa"/>
            <w:right w:w="108" w:type="dxa"/>
          </w:tblCellMar>
        </w:tblPrEx>
        <w:trPr>
          <w:trHeight w:val="397" w:hRule="atLeast"/>
        </w:trPr>
        <w:tc>
          <w:tcPr>
            <w:tcW w:w="206" w:type="pct"/>
            <w:vMerge w:val="continue"/>
            <w:tcBorders>
              <w:top w:val="single" w:color="000000" w:sz="4" w:space="0"/>
              <w:left w:val="single" w:color="000000" w:sz="12" w:space="0"/>
              <w:bottom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348" w:type="pct"/>
            <w:vMerge w:val="continue"/>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36" w:type="pct"/>
            <w:vMerge w:val="continue"/>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28"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废油桶</w:t>
            </w:r>
          </w:p>
        </w:tc>
        <w:tc>
          <w:tcPr>
            <w:tcW w:w="555" w:type="pct"/>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5" w:type="pct"/>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7" w:type="pct"/>
            <w:tcBorders>
              <w:top w:val="single" w:color="000000" w:sz="4" w:space="0"/>
              <w:left w:val="single" w:color="000000" w:sz="4" w:space="0"/>
              <w:bottom w:val="single" w:color="000000" w:sz="12" w:space="0"/>
              <w:right w:val="single" w:color="000000" w:sz="4" w:space="0"/>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c>
          <w:tcPr>
            <w:tcW w:w="554" w:type="pct"/>
            <w:tcBorders>
              <w:top w:val="single" w:color="000000" w:sz="4" w:space="0"/>
              <w:left w:val="single" w:color="000000" w:sz="4" w:space="0"/>
              <w:bottom w:val="single" w:color="000000" w:sz="12" w:space="0"/>
              <w:right w:val="single" w:color="000000" w:sz="12" w:space="0"/>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w:t>
            </w:r>
          </w:p>
        </w:tc>
      </w:tr>
    </w:tbl>
    <w:p>
      <w:pPr>
        <w:pStyle w:val="14"/>
        <w:spacing w:line="240" w:lineRule="auto"/>
        <w:ind w:firstLine="420"/>
        <w:rPr>
          <w:rFonts w:hint="eastAsia" w:ascii="宋体" w:hAnsi="宋体" w:eastAsia="宋体" w:cs="宋体"/>
          <w:sz w:val="21"/>
          <w:szCs w:val="21"/>
          <w:lang w:eastAsia="zh-CN"/>
        </w:rPr>
        <w:sectPr>
          <w:footerReference r:id="rId58" w:type="default"/>
          <w:footerReference r:id="rId59" w:type="even"/>
          <w:pgSz w:w="12240" w:h="15840"/>
          <w:pgMar w:top="1417" w:right="1247" w:bottom="1247" w:left="1587" w:header="850" w:footer="850" w:gutter="0"/>
          <w:pgBorders>
            <w:top w:val="none" w:sz="0" w:space="0"/>
            <w:left w:val="none" w:sz="0" w:space="0"/>
            <w:bottom w:val="none" w:sz="0" w:space="0"/>
            <w:right w:val="none" w:sz="0" w:space="0"/>
          </w:pgBorders>
          <w:cols w:space="720" w:num="1"/>
          <w:docGrid w:type="lines" w:linePitch="383" w:charSpace="0"/>
        </w:sectPr>
      </w:pPr>
      <w:r>
        <w:rPr>
          <w:rFonts w:hint="eastAsia" w:ascii="宋体" w:hAnsi="宋体" w:eastAsia="宋体" w:cs="宋体"/>
          <w:sz w:val="21"/>
          <w:szCs w:val="21"/>
          <w:lang w:eastAsia="zh-CN"/>
        </w:rPr>
        <w:t>备注：</w:t>
      </w:r>
      <w:r>
        <w:rPr>
          <w:rFonts w:hint="eastAsia" w:cs="宋体"/>
          <w:sz w:val="21"/>
          <w:szCs w:val="21"/>
          <w:lang w:eastAsia="zh-CN"/>
        </w:rPr>
        <w:t>本项目</w:t>
      </w:r>
      <w:r>
        <w:rPr>
          <w:rFonts w:hint="eastAsia" w:ascii="宋体" w:hAnsi="宋体" w:eastAsia="宋体" w:cs="宋体"/>
          <w:sz w:val="21"/>
          <w:szCs w:val="21"/>
          <w:lang w:eastAsia="zh-CN"/>
        </w:rPr>
        <w:t>仅涉及扩界，不涉及扩能。</w:t>
      </w:r>
    </w:p>
    <w:p>
      <w:pPr>
        <w:pStyle w:val="5"/>
        <w:spacing w:before="156" w:after="156"/>
        <w:rPr>
          <w:rFonts w:hint="eastAsia" w:ascii="宋体" w:hAnsi="宋体" w:eastAsia="宋体" w:cs="宋体"/>
          <w:lang w:eastAsia="zh-CN"/>
        </w:rPr>
      </w:pPr>
      <w:bookmarkStart w:id="112" w:name="_Toc23406"/>
      <w:bookmarkStart w:id="113" w:name="_Toc22581"/>
      <w:r>
        <w:rPr>
          <w:rFonts w:hint="eastAsia" w:ascii="宋体" w:hAnsi="宋体" w:eastAsia="宋体" w:cs="宋体"/>
          <w:lang w:eastAsia="zh-CN"/>
        </w:rPr>
        <w:t>第四章 区域环境概况</w:t>
      </w:r>
      <w:bookmarkEnd w:id="112"/>
      <w:bookmarkEnd w:id="113"/>
    </w:p>
    <w:p>
      <w:pPr>
        <w:pStyle w:val="6"/>
        <w:rPr>
          <w:rFonts w:hint="eastAsia" w:ascii="宋体" w:hAnsi="宋体" w:eastAsia="宋体" w:cs="宋体"/>
          <w:lang w:eastAsia="zh-CN"/>
        </w:rPr>
      </w:pPr>
      <w:bookmarkStart w:id="114" w:name="_Toc7236"/>
      <w:bookmarkStart w:id="115" w:name="_Toc26658"/>
      <w:r>
        <w:rPr>
          <w:rFonts w:hint="eastAsia" w:ascii="宋体" w:hAnsi="宋体" w:eastAsia="宋体" w:cs="宋体"/>
          <w:lang w:eastAsia="zh-CN"/>
        </w:rPr>
        <w:t>4.1 自然环境概况</w:t>
      </w:r>
      <w:bookmarkEnd w:id="114"/>
      <w:bookmarkEnd w:id="115"/>
    </w:p>
    <w:p>
      <w:pPr>
        <w:pStyle w:val="7"/>
        <w:rPr>
          <w:rFonts w:hint="eastAsia" w:ascii="宋体" w:hAnsi="宋体" w:eastAsia="宋体" w:cs="宋体"/>
          <w:lang w:eastAsia="zh-CN"/>
        </w:rPr>
      </w:pPr>
      <w:r>
        <w:rPr>
          <w:rFonts w:hint="eastAsia" w:ascii="宋体" w:hAnsi="宋体" w:eastAsia="宋体" w:cs="宋体"/>
          <w:lang w:eastAsia="zh-CN"/>
        </w:rPr>
        <w:t>4.1.1 地理位置概况</w:t>
      </w:r>
    </w:p>
    <w:p>
      <w:pPr>
        <w:ind w:firstLine="560"/>
        <w:rPr>
          <w:rFonts w:hint="eastAsia" w:ascii="宋体" w:hAnsi="宋体" w:eastAsia="宋体" w:cs="宋体"/>
          <w:lang w:eastAsia="zh-CN"/>
        </w:rPr>
      </w:pPr>
      <w:r>
        <w:rPr>
          <w:rFonts w:hint="eastAsia" w:ascii="宋体" w:hAnsi="宋体" w:eastAsia="宋体" w:cs="宋体"/>
          <w:lang w:eastAsia="zh-CN"/>
        </w:rPr>
        <w:t>临沂市位于山东省东南部，地近黄海，东连日照，西接枣庄、济宁、泰安，北靠淄博、潍坊，南邻江苏。地跨北纬34°22′～36°13′，东经117°24′～119°11′，南北最大长距228km，东西最大宽度161km，总面积17191.2km</w:t>
      </w:r>
      <w:r>
        <w:rPr>
          <w:rFonts w:hint="eastAsia" w:ascii="宋体" w:hAnsi="宋体" w:eastAsia="宋体" w:cs="宋体"/>
          <w:vertAlign w:val="superscript"/>
          <w:lang w:eastAsia="zh-CN"/>
        </w:rPr>
        <w:t>2</w:t>
      </w:r>
      <w:r>
        <w:rPr>
          <w:rFonts w:hint="eastAsia" w:ascii="宋体" w:hAnsi="宋体" w:eastAsia="宋体" w:cs="宋体"/>
          <w:lang w:eastAsia="zh-CN"/>
        </w:rPr>
        <w:t>，是山东省人口最多、面积最大的市。</w:t>
      </w:r>
    </w:p>
    <w:p>
      <w:pPr>
        <w:ind w:firstLine="560"/>
        <w:rPr>
          <w:rFonts w:hint="eastAsia" w:ascii="宋体" w:hAnsi="宋体" w:eastAsia="宋体" w:cs="宋体"/>
          <w:lang w:eastAsia="zh-CN"/>
        </w:rPr>
      </w:pPr>
      <w:r>
        <w:rPr>
          <w:rFonts w:hint="eastAsia" w:ascii="宋体" w:hAnsi="宋体" w:eastAsia="宋体" w:cs="宋体"/>
          <w:lang w:eastAsia="zh-CN"/>
        </w:rPr>
        <w:t>沂水县位于山东省东南部沂山南麓，临沂市北部，隶属于临沂市。北纬35°36′～36°13′，东经118°13′～119°03′。东邻莒县，西与沂源、蒙阴两县交界，南与沂南县毗连，北与安丘、临朐两县接壤，居沂、沭河上游。沂水县东西最大横距78km，南北最大纵距67.5km，总面积2434.8km</w:t>
      </w:r>
      <w:r>
        <w:rPr>
          <w:rFonts w:hint="eastAsia" w:ascii="宋体" w:hAnsi="宋体" w:eastAsia="宋体" w:cs="宋体"/>
          <w:vertAlign w:val="superscript"/>
          <w:lang w:eastAsia="zh-CN"/>
        </w:rPr>
        <w:t>2</w:t>
      </w:r>
      <w:r>
        <w:rPr>
          <w:rFonts w:hint="eastAsia" w:ascii="宋体" w:hAnsi="宋体" w:eastAsia="宋体" w:cs="宋体"/>
          <w:lang w:eastAsia="zh-CN"/>
        </w:rPr>
        <w:t>，辖19个乡镇，1225个行政村，1558个自然村。</w:t>
      </w:r>
    </w:p>
    <w:p>
      <w:pPr>
        <w:pStyle w:val="16"/>
        <w:ind w:firstLine="560"/>
        <w:rPr>
          <w:rFonts w:hint="eastAsia" w:ascii="宋体" w:hAnsi="宋体" w:eastAsia="宋体" w:cs="宋体"/>
        </w:rPr>
      </w:pPr>
      <w:r>
        <w:rPr>
          <w:rFonts w:hint="eastAsia" w:ascii="宋体" w:hAnsi="宋体" w:eastAsia="宋体" w:cs="宋体"/>
        </w:rPr>
        <w:t>淄博市位于北纬35°56'~37°18'，东经117°32'~118°31'之间，地处山东省中部，南依泰沂山麓，北濒九曲黄河，东距青岛200多公里，西与山东省省会济南接壤。地域形态南北狭长，南北最大纵距151公里，东西最大横距87公里，地理位置适中，交通发达，是沟通中原地区和山东半岛的咽喉要道，是山东省重要的交通枢纽城市。全市总面积5938平方公里，占山东省面积的3.79%，其中市区面积2961平方公里。</w:t>
      </w:r>
    </w:p>
    <w:p>
      <w:pPr>
        <w:pStyle w:val="16"/>
        <w:ind w:firstLine="560"/>
        <w:rPr>
          <w:rFonts w:hint="eastAsia" w:ascii="宋体" w:hAnsi="宋体" w:eastAsia="宋体" w:cs="宋体"/>
        </w:rPr>
      </w:pPr>
      <w:r>
        <w:rPr>
          <w:rFonts w:hint="eastAsia" w:ascii="宋体" w:hAnsi="宋体" w:eastAsia="宋体" w:cs="宋体"/>
        </w:rPr>
        <w:t>沂源县地处鲁中腹地，隶属于淄博市，是淄博、泰安、莱芜、临沂、潍坊五个市的结合部，因内陆河沂河发源于此而得名。沂源县东靠临朐，西依莱芜，南邻蒙阴，北连博山，东面与沂水毗邻，西南和新泰接壤。沂源县地处东经117°54'～118°31'，北纬35°55'～36°23'，位于淄博市最南端，属沂蒙山区，是典型的山区县。</w:t>
      </w:r>
    </w:p>
    <w:p>
      <w:pPr>
        <w:ind w:firstLine="560"/>
        <w:rPr>
          <w:rFonts w:hint="eastAsia" w:ascii="宋体" w:hAnsi="宋体" w:eastAsia="宋体" w:cs="宋体"/>
          <w:lang w:eastAsia="zh-CN"/>
        </w:rPr>
      </w:pPr>
      <w:r>
        <w:rPr>
          <w:rFonts w:hint="eastAsia" w:ascii="宋体" w:hAnsi="宋体" w:eastAsia="宋体" w:cs="宋体"/>
          <w:lang w:eastAsia="zh-CN"/>
        </w:rPr>
        <w:t>莱钢集团鲁南矿业有限公司位于山东省泰沂山区沂蒙山腹地鲁、沂、蒙三大山之间的沂河流域内。地理坐标为：东经118º26′03″～118º27′46″，北纬35º56′32″～35º58′14″。行政区划位于临沂市沂水县和淄博市沂源县交界处。区内交通以公路为主，S322省道纵贯矿区。北西至沂源县城50km，东南至沂水县城45km，西至莱钢集团驻地76km，交通便利。</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地理位置见图4.1.1-1，交通位置见图4.1.1-2。</w:t>
      </w:r>
    </w:p>
    <w:p>
      <w:pPr>
        <w:pStyle w:val="7"/>
        <w:rPr>
          <w:rFonts w:hint="eastAsia" w:ascii="宋体" w:hAnsi="宋体" w:eastAsia="宋体" w:cs="宋体"/>
          <w:lang w:eastAsia="zh-CN"/>
        </w:rPr>
      </w:pPr>
      <w:r>
        <w:rPr>
          <w:rFonts w:hint="eastAsia" w:ascii="宋体" w:hAnsi="宋体" w:eastAsia="宋体" w:cs="宋体"/>
          <w:lang w:eastAsia="zh-CN"/>
        </w:rPr>
        <w:t>4.1.2 地形、地貌</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 xml:space="preserve">沂水全县地形为低山丘陵区，西部、北部为低山区，东部、东北部为丘陵，中部、南部为沂水。最高点为县境北部的沂山南侧的泰薄顶山，海拔916.1m；最低点为县境东北部的朱双村东，海拔101.1m。全境地势自西北向东南倾斜。 </w:t>
      </w:r>
    </w:p>
    <w:p>
      <w:pPr>
        <w:pStyle w:val="16"/>
        <w:ind w:firstLine="560"/>
        <w:rPr>
          <w:rFonts w:hint="eastAsia" w:ascii="宋体" w:hAnsi="宋体" w:eastAsia="宋体" w:cs="宋体"/>
        </w:rPr>
      </w:pPr>
      <w:r>
        <w:rPr>
          <w:rFonts w:hint="eastAsia" w:ascii="宋体" w:hAnsi="宋体" w:eastAsia="宋体" w:cs="宋体"/>
        </w:rPr>
        <w:t>沂源县处于鲁西台背斜鲁中隆起区中部，地跨鲁山断裂凸起，沂山断裂凸起，金星头断块凸起3个五级构造单元。 县内地层较全，构造复杂，岩浆活动较弱，岩浆岩不甚发肓。境内地貌，因受地质构造、岩性、河流、气候等内外营力作用的控制和影响，山峦起伏、沟壑纵横，地势自西北向东南倾斜。西北部鲁山主峰</w:t>
      </w:r>
      <w:r>
        <w:rPr>
          <w:rFonts w:hint="eastAsia" w:ascii="宋体" w:hAnsi="宋体" w:cs="宋体"/>
          <w:lang w:eastAsia="zh-CN"/>
        </w:rPr>
        <w:t>海拔</w:t>
      </w:r>
      <w:r>
        <w:rPr>
          <w:rFonts w:hint="eastAsia" w:ascii="宋体" w:hAnsi="宋体" w:eastAsia="宋体" w:cs="宋体"/>
        </w:rPr>
        <w:t>1108.3米，东南沂河谷地</w:t>
      </w:r>
      <w:r>
        <w:rPr>
          <w:rFonts w:hint="eastAsia" w:ascii="宋体" w:hAnsi="宋体" w:cs="宋体"/>
          <w:lang w:eastAsia="zh-CN"/>
        </w:rPr>
        <w:t>海拔</w:t>
      </w:r>
      <w:r>
        <w:rPr>
          <w:rFonts w:hint="eastAsia" w:ascii="宋体" w:hAnsi="宋体" w:eastAsia="宋体" w:cs="宋体"/>
        </w:rPr>
        <w:t>180米，  中、低山和丘陵面积占99.3%，系纯山区。</w:t>
      </w:r>
    </w:p>
    <w:p>
      <w:pPr>
        <w:autoSpaceDE/>
        <w:autoSpaceDN/>
        <w:ind w:firstLine="560"/>
        <w:rPr>
          <w:rFonts w:hint="eastAsia" w:ascii="宋体" w:hAnsi="宋体" w:eastAsia="宋体" w:cs="宋体"/>
          <w:kern w:val="2"/>
          <w:lang w:eastAsia="zh-CN"/>
        </w:rPr>
      </w:pPr>
      <w:r>
        <w:rPr>
          <w:rFonts w:hint="eastAsia" w:cs="宋体"/>
          <w:kern w:val="2"/>
          <w:lang w:eastAsia="zh-CN"/>
        </w:rPr>
        <w:t>本项目</w:t>
      </w:r>
      <w:r>
        <w:rPr>
          <w:rFonts w:hint="eastAsia" w:ascii="宋体" w:hAnsi="宋体" w:eastAsia="宋体" w:cs="宋体"/>
          <w:kern w:val="2"/>
          <w:lang w:eastAsia="zh-CN"/>
        </w:rPr>
        <w:t>所在区域地形以低山丘陵为主，其次是较平坦的河漫滩和阶地。地势起伏不大，北部较高，向南逐渐平缓，西北部最高山顶为鲁山，海拔标高为1080m。东北部为青山，海拔标高350m，南侧为沂河，呈西北东南走向。</w:t>
      </w:r>
    </w:p>
    <w:p>
      <w:pPr>
        <w:autoSpaceDE/>
        <w:autoSpaceDN/>
        <w:ind w:firstLine="560"/>
        <w:rPr>
          <w:rFonts w:hint="eastAsia" w:ascii="宋体" w:hAnsi="宋体" w:eastAsia="宋体" w:cs="宋体"/>
          <w:kern w:val="2"/>
          <w:lang w:eastAsia="zh-CN"/>
        </w:rPr>
      </w:pPr>
      <w:r>
        <w:rPr>
          <w:rFonts w:hint="eastAsia" w:cs="宋体"/>
          <w:kern w:val="2"/>
          <w:lang w:eastAsia="zh-CN"/>
        </w:rPr>
        <w:t>本项目</w:t>
      </w:r>
      <w:r>
        <w:rPr>
          <w:rFonts w:hint="eastAsia" w:ascii="宋体" w:hAnsi="宋体" w:eastAsia="宋体" w:cs="宋体"/>
          <w:kern w:val="2"/>
          <w:lang w:eastAsia="zh-CN"/>
        </w:rPr>
        <w:t xml:space="preserve">地形见图4.1.2-1，地貌见图4.1.2-2。 </w:t>
      </w:r>
    </w:p>
    <w:p>
      <w:pPr>
        <w:pStyle w:val="7"/>
        <w:rPr>
          <w:rFonts w:hint="eastAsia" w:ascii="宋体" w:hAnsi="宋体" w:eastAsia="宋体" w:cs="宋体"/>
          <w:lang w:eastAsia="zh-CN"/>
        </w:rPr>
      </w:pPr>
      <w:bookmarkStart w:id="116" w:name="_Toc81184723"/>
      <w:r>
        <w:rPr>
          <w:rFonts w:hint="eastAsia" w:ascii="宋体" w:hAnsi="宋体" w:eastAsia="宋体" w:cs="宋体"/>
          <w:lang w:eastAsia="zh-CN"/>
        </w:rPr>
        <w:t>4.1.3 地质</w:t>
      </w:r>
    </w:p>
    <w:p>
      <w:pPr>
        <w:autoSpaceDE/>
        <w:autoSpaceDN/>
        <w:ind w:firstLine="560"/>
        <w:jc w:val="both"/>
        <w:rPr>
          <w:rFonts w:hint="eastAsia" w:ascii="宋体" w:hAnsi="宋体" w:eastAsia="宋体" w:cs="宋体"/>
          <w:kern w:val="2"/>
          <w:lang w:eastAsia="zh-CN"/>
        </w:rPr>
      </w:pPr>
      <w:bookmarkStart w:id="117" w:name="_Toc176061491"/>
      <w:r>
        <w:rPr>
          <w:rFonts w:hint="eastAsia" w:ascii="宋体" w:hAnsi="宋体" w:eastAsia="宋体" w:cs="宋体"/>
          <w:kern w:val="2"/>
          <w:lang w:eastAsia="zh-CN"/>
        </w:rPr>
        <w:t xml:space="preserve">本区域位于华北板块（Ⅰ）鲁西隆起区（Ⅱ）鲁中隆起（Ⅲ）马牧池-沂源断隆（Ⅳ）马牧池凸起（Ⅴ）的东部，详见附图一。区内地层的展布、构造线方向、岩浆活动特点等均与马牧池凸起区域地质特点一致。以斜贯矿区呈北西向分布的韩旺—石桥断裂为界，北部广泛裸露古老的结晶基底，南部分布大片的古生代沉积盖层。韩旺变质铁矿床即赋存于断裂北侧的基底变质岩系中，属泰山岩群雁翎关组的一部分。 </w:t>
      </w:r>
    </w:p>
    <w:p>
      <w:pPr>
        <w:pStyle w:val="8"/>
        <w:rPr>
          <w:rFonts w:hint="eastAsia" w:ascii="宋体" w:hAnsi="宋体" w:eastAsia="宋体" w:cs="宋体"/>
          <w:lang w:eastAsia="zh-CN"/>
        </w:rPr>
      </w:pPr>
      <w:r>
        <w:rPr>
          <w:rFonts w:hint="eastAsia" w:ascii="宋体" w:hAnsi="宋体" w:eastAsia="宋体" w:cs="宋体"/>
          <w:lang w:eastAsia="zh-CN"/>
        </w:rPr>
        <w:t>4.1.3.1 地层</w:t>
      </w:r>
      <w:bookmarkEnd w:id="117"/>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地层属华北地层大区，鲁西地层分区，出露地层有新太古界泰山岩群（Ar3T.），寒武系长清群（∈2-3Ĉ）、寒武系九龙群（∈3-O1J）及第四系（Q）。</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（1）新太古界泰山岩群（Ar3T.）</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区内新太古界地层为泰山岩群，总体呈走向北西，倾向南西，与上覆寒武系长清群馒头组呈角度不整合接触。主要岩性为角闪片岩及斜长角闪岩、角闪斜长片麻岩、黑云斜长片麻岩、含铁角闪石英片岩。</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（2）寒武系长清群（∈2-3Ĉ）</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与下伏泰山岩群呈角度不整合接触。岩性主要为薄层灰质白云岩、白云质灰岩、云泥岩、紫红色砂质页岩、黄绿色钙质页岩、中薄层细砂岩、长石石英砂岩等。</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（3）寒武系九龙群（∈3-O1J）</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岩性主要为厚层鲕粒灰岩、碎屑灰岩、黄绿色页岩、灰色薄层泥质条带灰岩、生物碎屑灰岩、中厚层竹叶状灰岩、中厚层白云岩等。</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（4）第四系（Q）</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第四系冲积、残坡积层分布于沂河两岸及冲沟。岩性主要由松散砾石层、砂层及含碎屑砂土层组成。</w:t>
      </w:r>
    </w:p>
    <w:p>
      <w:pPr>
        <w:pStyle w:val="8"/>
        <w:rPr>
          <w:rFonts w:hint="eastAsia" w:ascii="宋体" w:hAnsi="宋体" w:eastAsia="宋体" w:cs="宋体"/>
          <w:lang w:eastAsia="zh-CN"/>
        </w:rPr>
      </w:pPr>
      <w:r>
        <w:rPr>
          <w:rFonts w:hint="eastAsia" w:ascii="宋体" w:hAnsi="宋体" w:eastAsia="宋体" w:cs="宋体"/>
          <w:lang w:eastAsia="zh-CN"/>
        </w:rPr>
        <w:t>4.1.3.2 构造</w:t>
      </w:r>
    </w:p>
    <w:p>
      <w:pPr>
        <w:autoSpaceDE/>
        <w:autoSpaceDN/>
        <w:ind w:firstLine="560"/>
        <w:jc w:val="both"/>
        <w:rPr>
          <w:rFonts w:hint="eastAsia" w:ascii="宋体" w:hAnsi="宋体" w:eastAsia="宋体" w:cs="宋体"/>
          <w:kern w:val="2"/>
          <w:lang w:eastAsia="zh-CN"/>
        </w:rPr>
      </w:pPr>
      <w:bookmarkStart w:id="118" w:name="_Toc80002466"/>
      <w:r>
        <w:rPr>
          <w:rFonts w:hint="eastAsia" w:ascii="宋体" w:hAnsi="宋体" w:eastAsia="宋体" w:cs="宋体"/>
          <w:kern w:val="2"/>
          <w:lang w:eastAsia="zh-CN"/>
        </w:rPr>
        <w:t>区域基底总体构造线走向为NW～NNW向，以断裂构造为主，褶皱构造不明显。构造以断层形式呈现，共分为NW向、近SN向及近EW向三组，其中NW向断层规模较大。</w:t>
      </w:r>
    </w:p>
    <w:p>
      <w:pPr>
        <w:pStyle w:val="8"/>
        <w:rPr>
          <w:rFonts w:hint="eastAsia" w:ascii="宋体" w:hAnsi="宋体" w:eastAsia="宋体" w:cs="宋体"/>
          <w:lang w:eastAsia="zh-CN"/>
        </w:rPr>
      </w:pPr>
      <w:r>
        <w:rPr>
          <w:rFonts w:hint="eastAsia" w:ascii="宋体" w:hAnsi="宋体" w:eastAsia="宋体" w:cs="宋体"/>
          <w:lang w:eastAsia="zh-CN"/>
        </w:rPr>
        <w:t>4.1.3.3 岩浆岩</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区内的岩浆岩分布广泛，以伟晶花岗岩为主，其次分布少量闪长玢岩。按其规模分述如下：</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（1）伟晶花岗岩（</w:t>
      </w:r>
      <m:oMath>
        <m:sSubSup>
          <m:sSubSupPr>
            <m:ctrlPr>
              <w:rPr>
                <w:rFonts w:hint="eastAsia" w:ascii="Cambria Math" w:hAnsi="Cambria Math" w:eastAsia="宋体" w:cs="宋体"/>
                <w:szCs w:val="28"/>
              </w:rPr>
            </m:ctrlPr>
          </m:sSubSupPr>
          <m:e>
            <m:r>
              <m:rPr>
                <m:sty m:val="p"/>
              </m:rPr>
              <w:rPr>
                <w:rFonts w:hint="eastAsia" w:ascii="Cambria Math" w:hAnsi="Cambria Math" w:eastAsia="宋体" w:cs="宋体"/>
                <w:szCs w:val="28"/>
              </w:rPr>
              <m:t>ρ</m:t>
            </m:r>
            <m:ctrlPr>
              <w:rPr>
                <w:rFonts w:hint="eastAsia" w:ascii="Cambria Math" w:hAnsi="Cambria Math" w:eastAsia="宋体" w:cs="宋体"/>
                <w:szCs w:val="28"/>
              </w:rPr>
            </m:ctrlPr>
          </m:e>
          <m:sub>
            <m:r>
              <m:rPr>
                <m:sty m:val="p"/>
              </m:rPr>
              <w:rPr>
                <w:rFonts w:hint="eastAsia" w:ascii="Cambria Math" w:hAnsi="Cambria Math" w:eastAsia="宋体" w:cs="宋体"/>
                <w:szCs w:val="28"/>
                <w:lang w:eastAsia="zh-CN"/>
              </w:rPr>
              <m:t>2</m:t>
            </m:r>
            <m:ctrlPr>
              <w:rPr>
                <w:rFonts w:hint="eastAsia" w:ascii="Cambria Math" w:hAnsi="Cambria Math" w:eastAsia="宋体" w:cs="宋体"/>
                <w:szCs w:val="28"/>
              </w:rPr>
            </m:ctrlPr>
          </m:sub>
          <m:sup>
            <m:r>
              <m:rPr>
                <m:sty m:val="p"/>
              </m:rPr>
              <w:rPr>
                <w:rFonts w:hint="eastAsia" w:ascii="Cambria Math" w:hAnsi="Cambria Math" w:eastAsia="宋体" w:cs="宋体"/>
                <w:szCs w:val="28"/>
                <w:lang w:eastAsia="zh-CN"/>
              </w:rPr>
              <m:t>1</m:t>
            </m:r>
            <m:ctrlPr>
              <w:rPr>
                <w:rFonts w:hint="eastAsia" w:ascii="Cambria Math" w:hAnsi="Cambria Math" w:eastAsia="宋体" w:cs="宋体"/>
                <w:szCs w:val="28"/>
              </w:rPr>
            </m:ctrlPr>
          </m:sup>
        </m:sSubSup>
      </m:oMath>
      <w:r>
        <w:rPr>
          <w:rFonts w:hint="eastAsia" w:ascii="宋体" w:hAnsi="宋体" w:eastAsia="宋体" w:cs="宋体"/>
          <w:b/>
          <w:bCs/>
          <w:kern w:val="2"/>
          <w:lang w:eastAsia="zh-CN"/>
        </w:rPr>
        <w:t>）</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伟晶花岗岩分布广泛，多呈岩枝和不规则状侵入于太古代泰山岩群变质岩地层中，其走向多与片理方向一致。靠近大断层时则平行断层走向延伸。主要岩性为钠长花岗岩，花岗结构。长石、石英具动力压碎现象。</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（2）闪长玢岩（</w:t>
      </w:r>
      <m:oMath>
        <m:sSubSup>
          <m:sSubSupPr>
            <m:ctrlPr>
              <w:rPr>
                <w:rFonts w:hint="eastAsia" w:ascii="Cambria Math" w:hAnsi="Cambria Math" w:eastAsia="宋体" w:cs="宋体"/>
                <w:szCs w:val="28"/>
              </w:rPr>
            </m:ctrlPr>
          </m:sSubSupPr>
          <m:e>
            <m:r>
              <m:rPr>
                <m:sty m:val="p"/>
              </m:rPr>
              <w:rPr>
                <w:rFonts w:hint="eastAsia" w:ascii="Cambria Math" w:hAnsi="Cambria Math" w:eastAsia="宋体" w:cs="宋体"/>
                <w:szCs w:val="28"/>
              </w:rPr>
              <m:t>δμ</m:t>
            </m:r>
            <m:ctrlPr>
              <w:rPr>
                <w:rFonts w:hint="eastAsia" w:ascii="Cambria Math" w:hAnsi="Cambria Math" w:eastAsia="宋体" w:cs="宋体"/>
                <w:szCs w:val="28"/>
              </w:rPr>
            </m:ctrlPr>
          </m:e>
          <m:sub>
            <m:r>
              <m:rPr>
                <m:sty m:val="p"/>
              </m:rPr>
              <w:rPr>
                <w:rFonts w:hint="eastAsia" w:ascii="Cambria Math" w:hAnsi="Cambria Math" w:eastAsia="宋体" w:cs="宋体"/>
                <w:szCs w:val="28"/>
                <w:lang w:eastAsia="zh-CN"/>
              </w:rPr>
              <m:t>5</m:t>
            </m:r>
            <m:ctrlPr>
              <w:rPr>
                <w:rFonts w:hint="eastAsia" w:ascii="Cambria Math" w:hAnsi="Cambria Math" w:eastAsia="宋体" w:cs="宋体"/>
                <w:szCs w:val="28"/>
              </w:rPr>
            </m:ctrlPr>
          </m:sub>
          <m:sup>
            <m:r>
              <m:rPr>
                <m:sty m:val="p"/>
              </m:rPr>
              <w:rPr>
                <w:rFonts w:hint="eastAsia" w:ascii="Cambria Math" w:hAnsi="Cambria Math" w:eastAsia="宋体" w:cs="宋体"/>
                <w:szCs w:val="28"/>
                <w:lang w:eastAsia="zh-CN"/>
              </w:rPr>
              <m:t>3</m:t>
            </m:r>
            <m:ctrlPr>
              <w:rPr>
                <w:rFonts w:hint="eastAsia" w:ascii="Cambria Math" w:hAnsi="Cambria Math" w:eastAsia="宋体" w:cs="宋体"/>
                <w:szCs w:val="28"/>
              </w:rPr>
            </m:ctrlPr>
          </m:sup>
        </m:sSubSup>
      </m:oMath>
      <w:r>
        <w:rPr>
          <w:rFonts w:hint="eastAsia" w:ascii="宋体" w:hAnsi="宋体" w:eastAsia="宋体" w:cs="宋体"/>
          <w:b/>
          <w:bCs/>
          <w:kern w:val="2"/>
          <w:lang w:eastAsia="zh-CN"/>
        </w:rPr>
        <w:t>）</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依据岩性特征可分两种：一种为角闪闪长玢岩，主要由斜长石、普通角闪石、黑云母组成，呈灰绿色，自形—半自形粒状结构，块状构造。多呈岩墙或岩脉斜交层理走向。另一种为闪长玢岩，由斜长石、普通角闪石、黑云母组成，含较多的磁铁矿和少量磷灰石。具斑状结构，块状构造。闪长玢岩呈脉岩者蚀变强烈，松软易碎。呈岩床或顺层侵入者则较新鲜。</w:t>
      </w:r>
    </w:p>
    <w:bookmarkEnd w:id="118"/>
    <w:p>
      <w:pPr>
        <w:pStyle w:val="7"/>
        <w:rPr>
          <w:rFonts w:hint="eastAsia" w:ascii="宋体" w:hAnsi="宋体" w:eastAsia="宋体" w:cs="宋体"/>
          <w:lang w:eastAsia="zh-CN"/>
        </w:rPr>
      </w:pPr>
      <w:r>
        <w:rPr>
          <w:rFonts w:hint="eastAsia" w:ascii="宋体" w:hAnsi="宋体" w:eastAsia="宋体" w:cs="宋体"/>
          <w:lang w:eastAsia="zh-CN"/>
        </w:rPr>
        <w:t>4.1.4 区域水文地质</w:t>
      </w:r>
    </w:p>
    <w:p>
      <w:pPr>
        <w:ind w:firstLine="560"/>
        <w:rPr>
          <w:rFonts w:hint="eastAsia" w:ascii="宋体" w:hAnsi="宋体" w:eastAsia="宋体" w:cs="宋体"/>
          <w:lang w:eastAsia="zh-CN"/>
        </w:rPr>
      </w:pPr>
      <w:r>
        <w:rPr>
          <w:rFonts w:hint="eastAsia" w:ascii="宋体" w:hAnsi="宋体" w:eastAsia="宋体" w:cs="宋体"/>
          <w:lang w:eastAsia="zh-CN"/>
        </w:rPr>
        <w:t>本区地下水的补给、径流、排泄条件与区域内地层、岩性、构造地形、地貌、水文、气象等因素有着密切的联系。由于受上述因素的控制和支配，本区地下水的变化具有一定的规律性。</w:t>
      </w:r>
    </w:p>
    <w:p>
      <w:pPr>
        <w:pStyle w:val="8"/>
        <w:rPr>
          <w:rFonts w:hint="eastAsia" w:ascii="宋体" w:hAnsi="宋体" w:eastAsia="宋体" w:cs="宋体"/>
          <w:lang w:eastAsia="zh-CN"/>
        </w:rPr>
      </w:pPr>
      <w:r>
        <w:rPr>
          <w:rFonts w:hint="eastAsia" w:ascii="宋体" w:hAnsi="宋体" w:eastAsia="宋体" w:cs="宋体"/>
          <w:lang w:eastAsia="zh-CN"/>
        </w:rPr>
        <w:t>4.1.4.1 区域水文概况</w:t>
      </w:r>
    </w:p>
    <w:p>
      <w:pPr>
        <w:ind w:firstLine="560"/>
        <w:rPr>
          <w:rFonts w:hint="eastAsia" w:ascii="宋体" w:hAnsi="宋体" w:eastAsia="宋体" w:cs="宋体"/>
          <w:lang w:eastAsia="zh-CN"/>
        </w:rPr>
      </w:pPr>
      <w:r>
        <w:rPr>
          <w:rFonts w:hint="eastAsia" w:ascii="宋体" w:hAnsi="宋体" w:eastAsia="宋体" w:cs="宋体"/>
          <w:lang w:eastAsia="zh-CN"/>
        </w:rPr>
        <w:t>韩旺铁矿区位于沂河东北岸分水岭的内侧。沂河是本矿区及区域内的最大水系。矿床东北侧有4条沂河小支流（较大的冲沟）流经矿体、其汇水面积32km</w:t>
      </w:r>
      <w:r>
        <w:rPr>
          <w:rFonts w:hint="eastAsia" w:ascii="宋体" w:hAnsi="宋体" w:eastAsia="宋体" w:cs="宋体"/>
          <w:vertAlign w:val="superscript"/>
          <w:lang w:eastAsia="zh-CN"/>
        </w:rPr>
        <w:t>2</w:t>
      </w:r>
      <w:r>
        <w:rPr>
          <w:rFonts w:hint="eastAsia" w:ascii="宋体" w:hAnsi="宋体" w:eastAsia="宋体" w:cs="宋体"/>
          <w:lang w:eastAsia="zh-CN"/>
        </w:rPr>
        <w:t>。这些小支流平时干枯，下雨时即成洪流。区域及矿区地下水主要承受大气降水补给，气象与地表水、地下水互相影响、变化一致。</w:t>
      </w:r>
    </w:p>
    <w:p>
      <w:pPr>
        <w:pStyle w:val="8"/>
        <w:rPr>
          <w:rFonts w:hint="eastAsia" w:ascii="宋体" w:hAnsi="宋体" w:eastAsia="宋体" w:cs="宋体"/>
          <w:lang w:eastAsia="zh-CN"/>
        </w:rPr>
      </w:pPr>
      <w:r>
        <w:rPr>
          <w:rFonts w:hint="eastAsia" w:ascii="宋体" w:hAnsi="宋体" w:eastAsia="宋体" w:cs="宋体"/>
          <w:lang w:eastAsia="zh-CN"/>
        </w:rPr>
        <w:t>4.1.4.2 区域含水层、隔水层特征概述</w:t>
      </w:r>
    </w:p>
    <w:p>
      <w:pPr>
        <w:ind w:firstLine="560"/>
        <w:rPr>
          <w:rFonts w:hint="eastAsia" w:ascii="宋体" w:hAnsi="宋体" w:eastAsia="宋体" w:cs="宋体"/>
          <w:lang w:eastAsia="zh-CN"/>
        </w:rPr>
      </w:pPr>
      <w:r>
        <w:rPr>
          <w:rFonts w:hint="eastAsia" w:ascii="宋体" w:hAnsi="宋体" w:eastAsia="宋体" w:cs="宋体"/>
          <w:lang w:eastAsia="zh-CN"/>
        </w:rPr>
        <w:t>区域出露的岩层为太古界泰山群变质岩系，古生界寒武系灰岩、页岩和第四系冲击、洪积层。</w:t>
      </w:r>
    </w:p>
    <w:p>
      <w:pPr>
        <w:ind w:firstLine="560"/>
        <w:rPr>
          <w:rFonts w:hint="eastAsia" w:ascii="宋体" w:hAnsi="宋体" w:eastAsia="宋体" w:cs="宋体"/>
          <w:lang w:eastAsia="zh-CN"/>
        </w:rPr>
      </w:pPr>
      <w:r>
        <w:rPr>
          <w:rFonts w:hint="eastAsia" w:ascii="宋体" w:hAnsi="宋体" w:eastAsia="宋体" w:cs="宋体"/>
          <w:lang w:eastAsia="zh-CN"/>
        </w:rPr>
        <w:t>泰山群变质岩系主要分布在韩旺矿区及沂河两侧低山丘陵地区，以片麻状很管用，黑云角闪斜长片麻岩，角闪片岩，含铁石英角闪片岩为主。片麻理产状230-250°，倾角40-60°。伟晶花岗岩、闪长岩类以脉状或岩体出露。寒武系地层在本区中、低山区普遍出露。中、上寒武统在矿区西部和南部分布较广，均出露在上部或山顶。下寒武统分布面积大，但出露位置较低。寒武系地层以中-厚层灰岩，薄层-中厚层泥质灰岩、紫红色页岩和杂色页岩为主。在构造等因素影响下，产状变化较大。沂河西南侧倾向270-300°，倾角5-8°。沂河东北侧倾向25-35°，倾角6-10°。石灰岩坚硬完整，不易风化剥蚀，而且产状平缓，一般象帽子似的盖在山顶上。</w:t>
      </w:r>
    </w:p>
    <w:p>
      <w:pPr>
        <w:ind w:firstLine="560"/>
        <w:rPr>
          <w:rFonts w:hint="eastAsia" w:ascii="宋体" w:hAnsi="宋体" w:eastAsia="宋体" w:cs="宋体"/>
          <w:lang w:eastAsia="zh-CN"/>
        </w:rPr>
      </w:pPr>
      <w:r>
        <w:rPr>
          <w:rFonts w:hint="eastAsia" w:ascii="宋体" w:hAnsi="宋体" w:eastAsia="宋体" w:cs="宋体"/>
          <w:lang w:eastAsia="zh-CN"/>
        </w:rPr>
        <w:t>第四系冲积、洪积层仅出露在沂河及其支流河漫滩和两岸阶地上，以亚砂土、砂砾层为主，自上而下颗粒由细逐渐变粗。第四系厚度一般数米至十几米，最厚达20余米。</w:t>
      </w:r>
    </w:p>
    <w:p>
      <w:pPr>
        <w:ind w:firstLine="560"/>
        <w:rPr>
          <w:rFonts w:hint="eastAsia" w:ascii="宋体" w:hAnsi="宋体" w:eastAsia="宋体" w:cs="宋体"/>
          <w:lang w:eastAsia="zh-CN"/>
        </w:rPr>
      </w:pPr>
      <w:r>
        <w:rPr>
          <w:rFonts w:hint="eastAsia" w:ascii="宋体" w:hAnsi="宋体" w:eastAsia="宋体" w:cs="宋体"/>
          <w:lang w:eastAsia="zh-CN"/>
        </w:rPr>
        <w:t>第四系前基岩，岩石本身含水微弱，但在构造等作用的破坏下，节理、裂隙发育，岩石破碎，改变了原来的含水性能。本区裂隙发育深度在100m左右。自上而下裂隙发育程度逐渐减弱。上部风化壳厚度25-35m。深部裂隙水、裂隙岩溶水通过风化壳而得到补给。由于岩石的力学性质不一样，裂隙发育情况、岩石遭受的破坏程度不同，岩石的含水性能也有差异。坚硬易碎的石灰岩、泥质灰岩裂隙岩溶发育。可见到大小不等（数cm和数m）、形状不同的岩溶现象，为本区第四系前基岩主要含水层，而页岩、片岩雷，节理、裂隙不发育，而且分布不均，除上部风化壳外，深部含水非常微弱，一般作为隔水层考虑。由于裂隙发育程度、岩石的含水性能、补给来源、所处的地理位置不同，各岩层的含水性能相差较大。小的不到0.1L/秒，大着达43.2L/秒。</w:t>
      </w:r>
    </w:p>
    <w:p>
      <w:pPr>
        <w:ind w:firstLine="560"/>
        <w:rPr>
          <w:rFonts w:hint="eastAsia" w:ascii="宋体" w:hAnsi="宋体" w:eastAsia="宋体" w:cs="宋体"/>
          <w:lang w:eastAsia="zh-CN"/>
        </w:rPr>
      </w:pPr>
      <w:r>
        <w:rPr>
          <w:rFonts w:hint="eastAsia" w:ascii="宋体" w:hAnsi="宋体" w:eastAsia="宋体" w:cs="宋体"/>
          <w:lang w:eastAsia="zh-CN"/>
        </w:rPr>
        <w:t>因受构造影响，局部形成承压现象。</w:t>
      </w:r>
    </w:p>
    <w:p>
      <w:pPr>
        <w:ind w:firstLine="560"/>
        <w:rPr>
          <w:rFonts w:hint="eastAsia" w:ascii="宋体" w:hAnsi="宋体" w:eastAsia="宋体" w:cs="宋体"/>
          <w:lang w:eastAsia="zh-CN"/>
        </w:rPr>
      </w:pPr>
      <w:r>
        <w:rPr>
          <w:rFonts w:hint="eastAsia" w:ascii="宋体" w:hAnsi="宋体" w:eastAsia="宋体" w:cs="宋体"/>
          <w:lang w:eastAsia="zh-CN"/>
        </w:rPr>
        <w:t>综合考虑各岩层的含水性能、地质构造、地形、地貌等因素，将本区分为3个大区，概述如下：</w:t>
      </w:r>
    </w:p>
    <w:p>
      <w:pPr>
        <w:ind w:firstLine="560"/>
        <w:rPr>
          <w:rFonts w:hint="eastAsia" w:ascii="宋体" w:hAnsi="宋体" w:eastAsia="宋体" w:cs="宋体"/>
          <w:lang w:eastAsia="zh-CN"/>
        </w:rPr>
      </w:pPr>
      <w:r>
        <w:rPr>
          <w:rFonts w:hint="eastAsia" w:ascii="宋体" w:hAnsi="宋体" w:eastAsia="宋体" w:cs="宋体"/>
          <w:lang w:eastAsia="zh-CN"/>
        </w:rPr>
        <w:fldChar w:fldCharType="begin"/>
      </w:r>
      <w:r>
        <w:rPr>
          <w:rFonts w:hint="eastAsia" w:ascii="宋体" w:hAnsi="宋体" w:eastAsia="宋体" w:cs="宋体"/>
          <w:lang w:eastAsia="zh-CN"/>
        </w:rPr>
        <w:instrText xml:space="preserve"> = 1 \* ROMAN \* MERGEFORMAT </w:instrText>
      </w:r>
      <w:r>
        <w:rPr>
          <w:rFonts w:hint="eastAsia" w:ascii="宋体" w:hAnsi="宋体" w:eastAsia="宋体" w:cs="宋体"/>
          <w:lang w:eastAsia="zh-CN"/>
        </w:rPr>
        <w:fldChar w:fldCharType="separate"/>
      </w:r>
      <w:r>
        <w:rPr>
          <w:rFonts w:hint="eastAsia" w:ascii="宋体" w:hAnsi="宋体" w:eastAsia="宋体" w:cs="宋体"/>
          <w:lang w:eastAsia="zh-CN"/>
        </w:rPr>
        <w:t>I</w:t>
      </w:r>
      <w:r>
        <w:rPr>
          <w:rFonts w:hint="eastAsia" w:ascii="宋体" w:hAnsi="宋体" w:eastAsia="宋体" w:cs="宋体"/>
          <w:lang w:eastAsia="zh-CN"/>
        </w:rPr>
        <w:fldChar w:fldCharType="end"/>
      </w:r>
      <w:r>
        <w:rPr>
          <w:rFonts w:hint="eastAsia" w:ascii="宋体" w:hAnsi="宋体" w:eastAsia="宋体" w:cs="宋体"/>
          <w:lang w:eastAsia="zh-CN"/>
        </w:rPr>
        <w:t>、第四系冲积、洪积砂砾石层孔隙潜水中等-富水区，涌水量6.39-27.89L/秒，矿化度0.15-0.25g/L。</w:t>
      </w:r>
    </w:p>
    <w:p>
      <w:pPr>
        <w:ind w:firstLine="560"/>
        <w:rPr>
          <w:rFonts w:hint="eastAsia" w:ascii="宋体" w:hAnsi="宋体" w:eastAsia="宋体" w:cs="宋体"/>
          <w:lang w:eastAsia="zh-CN"/>
        </w:rPr>
      </w:pPr>
      <w:r>
        <w:rPr>
          <w:rFonts w:hint="eastAsia" w:ascii="宋体" w:hAnsi="宋体" w:eastAsia="宋体" w:cs="宋体"/>
          <w:lang w:eastAsia="zh-CN"/>
        </w:rPr>
        <w:t>Ⅱ1、中、上寒武统灰岩、页岩裂隙岩溶低矿化度弱富水区：所处地理位置较高、裂隙岩溶虽发育，但地下水补给来源不足，水量不大，一般0.06-1.39L/秒，个别达11.10L/秒。</w:t>
      </w:r>
    </w:p>
    <w:p>
      <w:pPr>
        <w:ind w:firstLine="560"/>
        <w:rPr>
          <w:rFonts w:hint="eastAsia" w:ascii="宋体" w:hAnsi="宋体" w:eastAsia="宋体" w:cs="宋体"/>
          <w:lang w:eastAsia="zh-CN"/>
        </w:rPr>
      </w:pPr>
      <w:r>
        <w:rPr>
          <w:rFonts w:hint="eastAsia" w:ascii="宋体" w:hAnsi="宋体" w:eastAsia="宋体" w:cs="宋体"/>
          <w:lang w:eastAsia="zh-CN"/>
        </w:rPr>
        <w:t>Ⅱ2、下寒武统灰岩、页岩裂隙岩溶低矿化度中等富水区：出露位置较中、上寒武统低，裂隙岩溶发育，含水比较丰富，涌水量0.58-9.20L/秒，个别达21.02-43.20L/秒。</w:t>
      </w:r>
    </w:p>
    <w:p>
      <w:pPr>
        <w:ind w:firstLine="560"/>
        <w:rPr>
          <w:rFonts w:hint="eastAsia" w:ascii="宋体" w:hAnsi="宋体" w:eastAsia="宋体" w:cs="宋体"/>
          <w:lang w:eastAsia="zh-CN"/>
        </w:rPr>
      </w:pPr>
      <w:r>
        <w:rPr>
          <w:rFonts w:hint="eastAsia" w:ascii="宋体" w:hAnsi="宋体" w:eastAsia="宋体" w:cs="宋体"/>
          <w:lang w:eastAsia="zh-CN"/>
        </w:rPr>
        <w:t>Ⅲ、泰山群变质岩系片麻状花岗岩、黑云角闪斜长片麻岩、含铁石英角闪片岩、角闪片岩构造裂隙、风化裂隙低矿化度弱富水区，裂隙发育不均，岩石含水性能不一，局部出现裂隙承压现象。涌水量0.11-3.28L/秒，个别达6.7L/秒。</w:t>
      </w:r>
    </w:p>
    <w:p>
      <w:pPr>
        <w:pStyle w:val="8"/>
        <w:rPr>
          <w:rFonts w:hint="eastAsia" w:ascii="宋体" w:hAnsi="宋体" w:eastAsia="宋体" w:cs="宋体"/>
          <w:lang w:eastAsia="zh-CN"/>
        </w:rPr>
      </w:pPr>
      <w:r>
        <w:rPr>
          <w:rFonts w:hint="eastAsia" w:ascii="宋体" w:hAnsi="宋体" w:eastAsia="宋体" w:cs="宋体"/>
          <w:lang w:eastAsia="zh-CN"/>
        </w:rPr>
        <w:t>4.1.4.3 区域地质构造、断裂带对矿床充水的影响</w:t>
      </w:r>
    </w:p>
    <w:p>
      <w:pPr>
        <w:ind w:firstLine="560"/>
        <w:rPr>
          <w:rFonts w:hint="eastAsia" w:ascii="宋体" w:hAnsi="宋体" w:eastAsia="宋体" w:cs="宋体"/>
          <w:lang w:eastAsia="zh-CN"/>
        </w:rPr>
      </w:pPr>
      <w:r>
        <w:rPr>
          <w:rFonts w:hint="eastAsia" w:ascii="宋体" w:hAnsi="宋体" w:eastAsia="宋体" w:cs="宋体"/>
          <w:lang w:eastAsia="zh-CN"/>
        </w:rPr>
        <w:t>韩旺矿区位于沂沭断裂带的西侧，鲁西台背斜的东边缘，属鲁中隆断区-泰沂垄断。区域地质构造具有明显的地台型特征。区内构造简单，岩层稳定，泰山群变质岩系为一单斜层。盖层（寒武系）地层倾角平缓，一般5-10°。除韩旺-石桥断裂外，尚没发现规模较大的断裂带。但区内节理、裂隙、小断层相关发育。一般为高角度正断裂。褶皱极不明显、新构造运动以升降运动为主。</w:t>
      </w:r>
    </w:p>
    <w:p>
      <w:pPr>
        <w:ind w:firstLine="560"/>
        <w:rPr>
          <w:rFonts w:hint="eastAsia" w:ascii="宋体" w:hAnsi="宋体" w:eastAsia="宋体" w:cs="宋体"/>
          <w:lang w:eastAsia="zh-CN"/>
        </w:rPr>
      </w:pPr>
      <w:r>
        <w:rPr>
          <w:rFonts w:hint="eastAsia" w:ascii="宋体" w:hAnsi="宋体" w:eastAsia="宋体" w:cs="宋体"/>
          <w:lang w:eastAsia="zh-CN"/>
        </w:rPr>
        <w:t>韩旺-石桥断裂带是区内的主要断裂、规模较大，长50km（本区域约15km），宽数米至十几米。局部达几十米-数百米。断裂走向25-30°西。倾向南西，倾向70°左右。上盘主要为寒武系，下盘为泰山群变质岩系，为一正断层。</w:t>
      </w:r>
    </w:p>
    <w:p>
      <w:pPr>
        <w:ind w:firstLine="560"/>
        <w:rPr>
          <w:rFonts w:hint="eastAsia" w:ascii="宋体" w:hAnsi="宋体" w:eastAsia="宋体" w:cs="宋体"/>
          <w:lang w:eastAsia="zh-CN"/>
        </w:rPr>
      </w:pPr>
      <w:r>
        <w:rPr>
          <w:rFonts w:hint="eastAsia" w:ascii="宋体" w:hAnsi="宋体" w:eastAsia="宋体" w:cs="宋体"/>
          <w:lang w:eastAsia="zh-CN"/>
        </w:rPr>
        <w:t>区内节理、裂隙、小断层虽然发育，但分布不均。断层多分布在本区的西北、西南和东南部，而东北部和中部不甚发育。节理裂隙的分布与断裂关系密切。</w:t>
      </w:r>
    </w:p>
    <w:p>
      <w:pPr>
        <w:ind w:firstLine="560"/>
        <w:rPr>
          <w:rFonts w:hint="eastAsia" w:ascii="宋体" w:hAnsi="宋体" w:eastAsia="宋体" w:cs="宋体"/>
          <w:lang w:eastAsia="zh-CN"/>
        </w:rPr>
      </w:pPr>
      <w:r>
        <w:rPr>
          <w:rFonts w:hint="eastAsia" w:ascii="宋体" w:hAnsi="宋体" w:eastAsia="宋体" w:cs="宋体"/>
          <w:lang w:eastAsia="zh-CN"/>
        </w:rPr>
        <w:t>韩旺断裂是本区规模最大的一条，具有明显的断层泥、挤压扁豆体、糜棱岩等现象。据矿区抽水资料证实，含水性很差，可作为隔水层考虑。韩旺铁矿位于断裂下盘，上盘寒武系裂隙岩溶水不易透过断裂带补给矿体，对矿山开采比较有利。</w:t>
      </w:r>
    </w:p>
    <w:p>
      <w:pPr>
        <w:ind w:firstLine="560"/>
        <w:rPr>
          <w:rFonts w:hint="eastAsia" w:ascii="宋体" w:hAnsi="宋体" w:eastAsia="宋体" w:cs="宋体"/>
          <w:lang w:eastAsia="zh-CN"/>
        </w:rPr>
      </w:pPr>
      <w:r>
        <w:rPr>
          <w:rFonts w:hint="eastAsia" w:ascii="宋体" w:hAnsi="宋体" w:eastAsia="宋体" w:cs="宋体"/>
          <w:lang w:eastAsia="zh-CN"/>
        </w:rPr>
        <w:t>由于受地貌、地层、水系等因素控制，区域构造断裂带对矿区充水意义不大。</w:t>
      </w:r>
    </w:p>
    <w:bookmarkEnd w:id="116"/>
    <w:p>
      <w:pPr>
        <w:pStyle w:val="7"/>
        <w:rPr>
          <w:rFonts w:hint="eastAsia" w:ascii="宋体" w:hAnsi="宋体" w:eastAsia="宋体" w:cs="宋体"/>
          <w:lang w:eastAsia="zh-CN"/>
        </w:rPr>
      </w:pPr>
      <w:r>
        <w:rPr>
          <w:rFonts w:hint="eastAsia" w:ascii="宋体" w:hAnsi="宋体" w:eastAsia="宋体" w:cs="宋体"/>
          <w:lang w:eastAsia="zh-CN"/>
        </w:rPr>
        <w:t>4.1.5 气候、气象</w:t>
      </w:r>
    </w:p>
    <w:p>
      <w:pPr>
        <w:ind w:firstLine="560"/>
        <w:rPr>
          <w:rFonts w:hint="eastAsia" w:ascii="宋体" w:hAnsi="宋体" w:eastAsia="宋体" w:cs="宋体"/>
          <w:lang w:eastAsia="zh-CN"/>
        </w:rPr>
      </w:pPr>
      <w:r>
        <w:rPr>
          <w:rFonts w:hint="eastAsia" w:ascii="宋体" w:hAnsi="宋体" w:eastAsia="宋体" w:cs="宋体"/>
          <w:lang w:eastAsia="zh-CN"/>
        </w:rPr>
        <w:t>沂水县属暖温带季风气候区，具有明显的大陆性气候特点：四季变化分明，春季干 燥，易发生春旱；夏季高温高湿，雨量集中；秋季秋高气爽，常有秋旱；冬季干冷，雨 雪稀少。多年主导风向为平均风速为2.0m/s，年最大风速为 15.6m/s（2005年）；平均气温为 13.2℃，极端最高气温和极端最低气温分别为 41.7℃（2002 年）和-14.5℃（2001年）；雨水主要集中在7~9月，平均降水量为741.6mm，年最大降水量为 1121.1m（2003年）；年平均蒸发量为550mm；平均相对湿度为 68%，平均日照时数为2362.8h。</w:t>
      </w:r>
    </w:p>
    <w:p>
      <w:pPr>
        <w:ind w:firstLine="560"/>
        <w:rPr>
          <w:rFonts w:hint="eastAsia" w:ascii="宋体" w:hAnsi="宋体" w:eastAsia="宋体" w:cs="宋体"/>
          <w:lang w:eastAsia="zh-CN"/>
        </w:rPr>
      </w:pPr>
      <w:r>
        <w:rPr>
          <w:rFonts w:hint="eastAsia" w:ascii="宋体" w:hAnsi="宋体" w:eastAsia="宋体" w:cs="宋体"/>
          <w:lang w:eastAsia="zh-CN"/>
        </w:rPr>
        <w:t>除静风天气外，该区域盛行风向较为集中，全年以南（S）风出现频率最高为12.1%， 其次为东北（NNE）风；西南（WSW）风出现频率最小。</w:t>
      </w:r>
    </w:p>
    <w:p>
      <w:pPr>
        <w:pStyle w:val="7"/>
        <w:rPr>
          <w:rFonts w:hint="eastAsia" w:ascii="宋体" w:hAnsi="宋体" w:eastAsia="宋体" w:cs="宋体"/>
          <w:lang w:eastAsia="zh-CN"/>
        </w:rPr>
      </w:pPr>
      <w:r>
        <w:rPr>
          <w:rFonts w:hint="eastAsia" w:ascii="宋体" w:hAnsi="宋体" w:eastAsia="宋体" w:cs="宋体"/>
          <w:lang w:eastAsia="zh-CN"/>
        </w:rPr>
        <w:t>4.1.6 水文</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该区地表水系属于沂沭河流域南四湖水系，区域地表水分布见图4.1.6-1。</w:t>
      </w:r>
    </w:p>
    <w:p>
      <w:pPr>
        <w:pStyle w:val="8"/>
        <w:rPr>
          <w:rFonts w:hint="eastAsia" w:ascii="宋体" w:hAnsi="宋体" w:eastAsia="宋体" w:cs="宋体"/>
          <w:lang w:eastAsia="zh-CN"/>
        </w:rPr>
      </w:pPr>
      <w:r>
        <w:rPr>
          <w:rFonts w:hint="eastAsia" w:ascii="宋体" w:hAnsi="宋体" w:eastAsia="宋体" w:cs="宋体"/>
          <w:lang w:eastAsia="zh-CN"/>
        </w:rPr>
        <w:t>4.1.6.1 地表水</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沂河作为山东省第一大河，也是县内过境最大河流。发源于沂源县鲁山南麓，在下河村东南入沂水县境。向东南流，经泉庄、新民官庄乡，流程14公里入跋山水库。出库后折向南流，流经柴山、武家洼、龙家圈、沂水、许家湖、袁家庄、姚店子7个乡镇的边沿地区，流程35公里，在邵家宅村南入沂南县境，再经临沂、苍山、郯城等县市入江苏省，在灌云县燕尾港入黄海，全长574公里。在沂水县境内河段长56公里，河床最宽处1200米，平均宽670米，流域面积1437.7平方公里。境内主要支流有马连可、暖阳河、顺天河、崔家峪河、姚店子河、朱陈河、小沂河。</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沂河呈西北一东南向流经矿区，其在矿区上游的汇水面积1550km</w:t>
      </w:r>
      <w:r>
        <w:rPr>
          <w:rFonts w:hint="eastAsia" w:ascii="宋体" w:hAnsi="宋体" w:eastAsia="宋体" w:cs="宋体"/>
          <w:kern w:val="2"/>
          <w:vertAlign w:val="superscript"/>
          <w:lang w:eastAsia="zh-CN"/>
        </w:rPr>
        <w:t>2</w:t>
      </w:r>
      <w:r>
        <w:rPr>
          <w:rFonts w:hint="eastAsia" w:ascii="宋体" w:hAnsi="宋体" w:eastAsia="宋体" w:cs="宋体"/>
          <w:kern w:val="2"/>
          <w:lang w:eastAsia="zh-CN"/>
        </w:rPr>
        <w:t>，流量0.01～465m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/秒，平均流量1.27～5.37m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/秒。据东里水文站观测：沂河最小流量为0.05-1.36m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/s，相当十年一遇的1974年最大洪峰流量为226m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/s。年径流量最大4.768亿m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(1971年)，一般在2亿m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。上游距矿区45km处有库容1.134亿m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的田庄水库，起调节和支配沂河水量作用。下游有跋山水库，库容为2.332亿m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。有4条沂河小支流自东向西流经矿区，平时干涸，仅在雨季有水流。沂河流经矿区下游的地面标高+176m，为当地侵蚀基准面。</w:t>
      </w:r>
    </w:p>
    <w:p>
      <w:pPr>
        <w:pStyle w:val="8"/>
        <w:rPr>
          <w:rFonts w:hint="eastAsia" w:ascii="宋体" w:hAnsi="宋体" w:eastAsia="宋体" w:cs="宋体"/>
          <w:lang w:eastAsia="zh-CN"/>
        </w:rPr>
      </w:pPr>
      <w:r>
        <w:rPr>
          <w:rFonts w:hint="eastAsia" w:ascii="宋体" w:hAnsi="宋体" w:eastAsia="宋体" w:cs="宋体"/>
          <w:lang w:eastAsia="zh-CN"/>
        </w:rPr>
        <w:t>4.1.6.2 水源地</w:t>
      </w:r>
    </w:p>
    <w:p>
      <w:pPr>
        <w:ind w:firstLine="560"/>
        <w:rPr>
          <w:rFonts w:hint="eastAsia" w:ascii="宋体" w:hAnsi="宋体" w:eastAsia="宋体" w:cs="宋体"/>
          <w:lang w:eastAsia="zh-CN"/>
        </w:rPr>
      </w:pPr>
      <w:r>
        <w:rPr>
          <w:rFonts w:hint="eastAsia" w:ascii="宋体" w:hAnsi="宋体" w:eastAsia="宋体" w:cs="宋体"/>
          <w:kern w:val="2"/>
          <w:lang w:eastAsia="zh-CN"/>
        </w:rPr>
        <w:t>项目下游为跋山水库，水库修建于1960年5月，位于沂河上游；水库上游为跋山，下游为无儿崮之下的白腊顶，水库总库容为5.29亿m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，兴利库容为2.67亿m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，正常年份可用水量5～6亿m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a，水源丰富，水质优良；该水库是沂水县的一级饮用水保护区。水库大坝为亚粘土心墙砂壳坝，坝长1780m，最大坝高33.65m，坝顶高程185.65m，大坝上游坡为干砌块石护坡、大坝下游坡为草皮护坡，坝顶为砼路面，宽7.5m，坝顶上游为1.2m高浆砌石防浪墙。水库大坝按百年一遇洪水设计，万年一遇洪水校核。正常蓄水位176.50m，五十年一遇防洪水位180m。目前正常水深19m，多年</w:t>
      </w:r>
      <w:r>
        <w:rPr>
          <w:rFonts w:hint="eastAsia" w:ascii="宋体" w:hAnsi="宋体" w:eastAsia="宋体" w:cs="宋体"/>
          <w:lang w:eastAsia="zh-CN"/>
        </w:rPr>
        <w:t>平均水深16m。</w:t>
      </w:r>
    </w:p>
    <w:p>
      <w:pPr>
        <w:ind w:firstLine="560"/>
        <w:rPr>
          <w:rFonts w:hint="eastAsia" w:ascii="宋体" w:hAnsi="宋体" w:eastAsia="宋体" w:cs="宋体"/>
          <w:lang w:eastAsia="zh-CN"/>
        </w:rPr>
      </w:pPr>
      <w:r>
        <w:rPr>
          <w:rFonts w:hint="eastAsia" w:ascii="宋体" w:hAnsi="宋体" w:eastAsia="宋体" w:cs="宋体"/>
          <w:lang w:eastAsia="zh-CN"/>
        </w:rPr>
        <w:t>根据《跋山水库饮用水水源保护区定界》（沂水县人民政府官网2018年11月28日发布的公告），保护区划分如下：</w:t>
      </w:r>
    </w:p>
    <w:p>
      <w:pPr>
        <w:ind w:firstLine="560"/>
        <w:rPr>
          <w:rFonts w:hint="eastAsia" w:ascii="宋体" w:hAnsi="宋体" w:eastAsia="宋体" w:cs="宋体"/>
          <w:lang w:eastAsia="zh-CN"/>
        </w:rPr>
      </w:pPr>
      <w:r>
        <w:rPr>
          <w:rFonts w:hint="eastAsia" w:ascii="宋体" w:hAnsi="宋体" w:eastAsia="宋体" w:cs="宋体"/>
          <w:lang w:eastAsia="zh-CN"/>
        </w:rPr>
        <w:t xml:space="preserve"> 1、一级保护区</w:t>
      </w:r>
    </w:p>
    <w:p>
      <w:pPr>
        <w:ind w:firstLine="560"/>
        <w:rPr>
          <w:rFonts w:hint="eastAsia" w:ascii="宋体" w:hAnsi="宋体" w:eastAsia="宋体" w:cs="宋体"/>
          <w:lang w:eastAsia="zh-CN"/>
        </w:rPr>
      </w:pPr>
      <w:r>
        <w:rPr>
          <w:rFonts w:hint="eastAsia" w:ascii="宋体" w:hAnsi="宋体" w:eastAsia="宋体" w:cs="宋体"/>
          <w:lang w:eastAsia="zh-CN"/>
        </w:rPr>
        <w:t>一级保护区水域保护范围；跋山水库放水洞周边半径500米范围内水域</w:t>
      </w:r>
    </w:p>
    <w:p>
      <w:pPr>
        <w:ind w:firstLine="560"/>
        <w:rPr>
          <w:rFonts w:hint="eastAsia" w:ascii="宋体" w:hAnsi="宋体" w:eastAsia="宋体" w:cs="宋体"/>
          <w:lang w:eastAsia="zh-CN"/>
        </w:rPr>
      </w:pPr>
      <w:r>
        <w:rPr>
          <w:rFonts w:hint="eastAsia" w:ascii="宋体" w:hAnsi="宋体" w:eastAsia="宋体" w:cs="宋体"/>
          <w:lang w:eastAsia="zh-CN"/>
        </w:rPr>
        <w:t>一级保护区陆域保护范围:相应的一级保护区水域边界线向沿岸陆域纵深200米范围内的汇水区域。其体为沿放水洞西500米处践山水库大坝内侧一大坝广场南沿—跋山水库管理处北侧院墙—烈士陵园西侧院墙—碧波山庄东侧院墙</w:t>
      </w:r>
    </w:p>
    <w:p>
      <w:pPr>
        <w:ind w:firstLine="560"/>
        <w:rPr>
          <w:rFonts w:hint="eastAsia" w:ascii="宋体" w:hAnsi="宋体" w:eastAsia="宋体" w:cs="宋体"/>
          <w:lang w:eastAsia="zh-CN"/>
        </w:rPr>
      </w:pPr>
      <w:r>
        <w:rPr>
          <w:rFonts w:hint="eastAsia" w:ascii="宋体" w:hAnsi="宋体" w:eastAsia="宋体" w:cs="宋体"/>
          <w:lang w:eastAsia="zh-CN"/>
        </w:rPr>
        <w:t>一级保护区水域保护面积为0.37平方千米，一级保护区陆域保护面积为019平方千米。</w:t>
      </w:r>
    </w:p>
    <w:p>
      <w:pPr>
        <w:ind w:firstLine="560"/>
        <w:rPr>
          <w:rFonts w:hint="eastAsia" w:ascii="宋体" w:hAnsi="宋体" w:eastAsia="宋体" w:cs="宋体"/>
          <w:lang w:eastAsia="zh-CN"/>
        </w:rPr>
      </w:pPr>
      <w:r>
        <w:rPr>
          <w:rFonts w:hint="eastAsia" w:ascii="宋体" w:hAnsi="宋体" w:eastAsia="宋体" w:cs="宋体"/>
          <w:lang w:eastAsia="zh-CN"/>
        </w:rPr>
        <w:t xml:space="preserve"> 2、二级保护区</w:t>
      </w:r>
    </w:p>
    <w:p>
      <w:pPr>
        <w:ind w:firstLine="560"/>
        <w:rPr>
          <w:rFonts w:hint="eastAsia" w:ascii="宋体" w:hAnsi="宋体" w:eastAsia="宋体" w:cs="宋体"/>
          <w:lang w:eastAsia="zh-CN"/>
        </w:rPr>
      </w:pPr>
      <w:r>
        <w:rPr>
          <w:rFonts w:hint="eastAsia" w:ascii="宋体" w:hAnsi="宋体" w:eastAsia="宋体" w:cs="宋体"/>
          <w:lang w:eastAsia="zh-CN"/>
        </w:rPr>
        <w:t>二级保护区水域保护范围:西至北黄家庄南</w:t>
      </w:r>
      <w:r>
        <w:rPr>
          <w:rFonts w:hint="eastAsia" w:cs="宋体"/>
          <w:lang w:eastAsia="zh-CN"/>
        </w:rPr>
        <w:t>侧</w:t>
      </w:r>
      <w:r>
        <w:rPr>
          <w:rFonts w:hint="eastAsia" w:ascii="宋体" w:hAnsi="宋体" w:eastAsia="宋体" w:cs="宋体"/>
          <w:lang w:eastAsia="zh-CN"/>
        </w:rPr>
        <w:t>沂河入库口，东至下小诸葛村正常水位线以内的水域范围</w:t>
      </w:r>
    </w:p>
    <w:p>
      <w:pPr>
        <w:ind w:firstLine="560"/>
        <w:rPr>
          <w:rFonts w:hint="eastAsia" w:ascii="宋体" w:hAnsi="宋体" w:eastAsia="宋体" w:cs="宋体"/>
          <w:lang w:eastAsia="zh-CN"/>
        </w:rPr>
      </w:pPr>
      <w:r>
        <w:rPr>
          <w:rFonts w:hint="eastAsia" w:ascii="宋体" w:hAnsi="宋体" w:eastAsia="宋体" w:cs="宋体"/>
          <w:lang w:eastAsia="zh-CN"/>
        </w:rPr>
        <w:t>二级保护区陆域保护范围：</w:t>
      </w:r>
    </w:p>
    <w:p>
      <w:pPr>
        <w:ind w:firstLine="560"/>
        <w:rPr>
          <w:rFonts w:hint="eastAsia" w:ascii="宋体" w:hAnsi="宋体" w:eastAsia="宋体" w:cs="宋体"/>
          <w:lang w:eastAsia="zh-CN"/>
        </w:rPr>
      </w:pPr>
      <w:r>
        <w:rPr>
          <w:rFonts w:hint="eastAsia" w:ascii="宋体" w:hAnsi="宋体" w:eastAsia="宋体" w:cs="宋体"/>
          <w:lang w:eastAsia="zh-CN"/>
        </w:rPr>
        <w:t>东边界:省道S236线规划路一一红石门村至金牛官庄村村通道—东跋山山脊；</w:t>
      </w:r>
    </w:p>
    <w:p>
      <w:pPr>
        <w:ind w:firstLine="560"/>
        <w:rPr>
          <w:rFonts w:hint="eastAsia" w:ascii="宋体" w:hAnsi="宋体" w:eastAsia="宋体" w:cs="宋体"/>
          <w:lang w:eastAsia="zh-CN"/>
        </w:rPr>
      </w:pPr>
      <w:r>
        <w:rPr>
          <w:rFonts w:hint="eastAsia" w:ascii="宋体" w:hAnsi="宋体" w:eastAsia="宋体" w:cs="宋体"/>
          <w:lang w:eastAsia="zh-CN"/>
        </w:rPr>
        <w:t>南边界：东跋山山脊一西跋山山脊一烈上陵园西侧院墙—跋山水库管理处北侧院墙——大坝广场南沿——跋山水库大坝内侧——无儿固山脊一盆山山脊——龙张路X063线K15+480米</w:t>
      </w:r>
    </w:p>
    <w:p>
      <w:pPr>
        <w:ind w:firstLine="560"/>
        <w:rPr>
          <w:rFonts w:hint="eastAsia" w:ascii="宋体" w:hAnsi="宋体" w:eastAsia="宋体" w:cs="宋体"/>
          <w:lang w:eastAsia="zh-CN"/>
        </w:rPr>
      </w:pPr>
      <w:r>
        <w:rPr>
          <w:rFonts w:hint="eastAsia" w:ascii="宋体" w:hAnsi="宋体" w:eastAsia="宋体" w:cs="宋体"/>
          <w:lang w:eastAsia="zh-CN"/>
        </w:rPr>
        <w:t>西边界：龙张路X063线K15+480米至K7+920米沿路内侧—马车岭村西侧跋山水库正常水位线；</w:t>
      </w:r>
    </w:p>
    <w:p>
      <w:pPr>
        <w:ind w:firstLine="560"/>
        <w:rPr>
          <w:rFonts w:hint="eastAsia" w:ascii="宋体" w:hAnsi="宋体" w:eastAsia="宋体" w:cs="宋体"/>
          <w:lang w:eastAsia="zh-CN"/>
        </w:rPr>
      </w:pPr>
      <w:r>
        <w:rPr>
          <w:rFonts w:hint="eastAsia" w:ascii="宋体" w:hAnsi="宋体" w:eastAsia="宋体" w:cs="宋体"/>
          <w:lang w:eastAsia="zh-CN"/>
        </w:rPr>
        <w:t>北边界：省道332线K8+200米至K12+700米沿路内侧(一级保护区、二级保护区水域除外)</w:t>
      </w:r>
    </w:p>
    <w:p>
      <w:pPr>
        <w:ind w:firstLine="560"/>
        <w:rPr>
          <w:rFonts w:hint="eastAsia" w:ascii="宋体" w:hAnsi="宋体" w:eastAsia="宋体" w:cs="宋体"/>
          <w:lang w:eastAsia="zh-CN"/>
        </w:rPr>
      </w:pPr>
      <w:r>
        <w:rPr>
          <w:rFonts w:hint="eastAsia" w:ascii="宋体" w:hAnsi="宋体" w:eastAsia="宋体" w:cs="宋体"/>
          <w:lang w:eastAsia="zh-CN"/>
        </w:rPr>
        <w:t>二级保护区水域保护面积为21.3平方千米，二级保护区陆域保护面积为29.9平方千米。</w:t>
      </w:r>
    </w:p>
    <w:p>
      <w:pPr>
        <w:ind w:firstLine="560"/>
        <w:rPr>
          <w:rFonts w:hint="eastAsia" w:ascii="宋体" w:hAnsi="宋体" w:eastAsia="宋体" w:cs="宋体"/>
          <w:lang w:eastAsia="zh-CN"/>
        </w:rPr>
      </w:pPr>
      <w:r>
        <w:rPr>
          <w:rFonts w:hint="eastAsia" w:ascii="宋体" w:hAnsi="宋体" w:eastAsia="宋体" w:cs="宋体"/>
          <w:lang w:eastAsia="zh-CN"/>
        </w:rPr>
        <w:t>3、准保护区</w:t>
      </w:r>
    </w:p>
    <w:p>
      <w:pPr>
        <w:ind w:firstLine="560"/>
        <w:rPr>
          <w:rFonts w:hint="eastAsia" w:ascii="宋体" w:hAnsi="宋体" w:eastAsia="宋体" w:cs="宋体"/>
          <w:lang w:eastAsia="zh-CN"/>
        </w:rPr>
      </w:pPr>
      <w:r>
        <w:rPr>
          <w:rFonts w:hint="eastAsia" w:ascii="宋体" w:hAnsi="宋体" w:eastAsia="宋体" w:cs="宋体"/>
          <w:lang w:eastAsia="zh-CN"/>
        </w:rPr>
        <w:t>保护区外的汇水区域设定为准保护区，定界范围如下：</w:t>
      </w:r>
    </w:p>
    <w:p>
      <w:pPr>
        <w:ind w:firstLine="560"/>
        <w:rPr>
          <w:rFonts w:hint="eastAsia" w:ascii="宋体" w:hAnsi="宋体" w:eastAsia="宋体" w:cs="宋体"/>
          <w:lang w:eastAsia="zh-CN"/>
        </w:rPr>
      </w:pPr>
      <w:r>
        <w:rPr>
          <w:rFonts w:hint="eastAsia" w:ascii="宋体" w:hAnsi="宋体" w:eastAsia="宋体" w:cs="宋体"/>
          <w:lang w:eastAsia="zh-CN"/>
        </w:rPr>
        <w:t>东边界：省道S236线规划路一红石门村至金牛宫庄村村通道路—东跋山山脊；</w:t>
      </w:r>
    </w:p>
    <w:p>
      <w:pPr>
        <w:ind w:firstLine="560"/>
        <w:rPr>
          <w:rFonts w:hint="eastAsia" w:ascii="宋体" w:hAnsi="宋体" w:eastAsia="宋体" w:cs="宋体"/>
          <w:lang w:eastAsia="zh-CN"/>
        </w:rPr>
      </w:pPr>
      <w:r>
        <w:rPr>
          <w:rFonts w:hint="eastAsia" w:ascii="宋体" w:hAnsi="宋体" w:eastAsia="宋体" w:cs="宋体"/>
          <w:lang w:eastAsia="zh-CN"/>
        </w:rPr>
        <w:t>南边界：东跋山山脊一西跋山山脊一跋山水库大坝—溢洪闸—砌石坝—无儿山脊—盆山山脊一线；</w:t>
      </w:r>
    </w:p>
    <w:p>
      <w:pPr>
        <w:ind w:firstLine="560"/>
        <w:rPr>
          <w:rFonts w:hint="eastAsia" w:ascii="宋体" w:hAnsi="宋体" w:eastAsia="宋体" w:cs="宋体"/>
          <w:lang w:eastAsia="zh-CN"/>
        </w:rPr>
      </w:pPr>
      <w:r>
        <w:rPr>
          <w:rFonts w:hint="eastAsia" w:ascii="宋体" w:hAnsi="宋体" w:eastAsia="宋体" w:cs="宋体"/>
          <w:lang w:eastAsia="zh-CN"/>
        </w:rPr>
        <w:t>西边界：盆山山脊—双崮山脊—平顶山山脊一牛头崮山脊一拉山山脊—鱼骨顶山脊—歪头崮山脊一线；</w:t>
      </w:r>
    </w:p>
    <w:p>
      <w:pPr>
        <w:ind w:firstLine="560"/>
        <w:rPr>
          <w:rFonts w:hint="eastAsia" w:ascii="宋体" w:hAnsi="宋体" w:eastAsia="宋体" w:cs="宋体"/>
          <w:lang w:eastAsia="zh-CN"/>
        </w:rPr>
      </w:pPr>
      <w:r>
        <w:rPr>
          <w:rFonts w:hint="eastAsia" w:ascii="宋体" w:hAnsi="宋体" w:eastAsia="宋体" w:cs="宋体"/>
          <w:lang w:eastAsia="zh-CN"/>
        </w:rPr>
        <w:t>北边界：兴泉路—张耿沂河大桥—小崮子山脊一看山子山脊一刘家大崮山脊—土崮山脊一青山山脊—大诸葛村一省道S332—省道s236一线。</w:t>
      </w:r>
    </w:p>
    <w:p>
      <w:pPr>
        <w:ind w:firstLine="560"/>
        <w:rPr>
          <w:rFonts w:hint="eastAsia" w:ascii="宋体" w:hAnsi="宋体" w:eastAsia="宋体" w:cs="宋体"/>
          <w:lang w:eastAsia="zh-CN"/>
        </w:rPr>
      </w:pPr>
      <w:r>
        <w:rPr>
          <w:rFonts w:hint="eastAsia" w:ascii="宋体" w:hAnsi="宋体" w:eastAsia="宋体" w:cs="宋体"/>
          <w:lang w:eastAsia="zh-CN"/>
        </w:rPr>
        <w:t>保护面积为136.1平方千米(一级、一级保护区除外)。</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与跋山水库相对位置示意图见图4.1.6-2。</w:t>
      </w:r>
    </w:p>
    <w:p>
      <w:pPr>
        <w:pStyle w:val="7"/>
        <w:rPr>
          <w:rFonts w:hint="eastAsia" w:ascii="宋体" w:hAnsi="宋体" w:eastAsia="宋体" w:cs="宋体"/>
          <w:lang w:eastAsia="zh-CN"/>
        </w:rPr>
      </w:pPr>
      <w:r>
        <w:rPr>
          <w:rFonts w:hint="eastAsia" w:ascii="宋体" w:hAnsi="宋体" w:eastAsia="宋体" w:cs="宋体"/>
          <w:lang w:eastAsia="zh-CN"/>
        </w:rPr>
        <w:t>4.1.7 南水北调东线工程</w:t>
      </w:r>
    </w:p>
    <w:p>
      <w:pPr>
        <w:pStyle w:val="16"/>
        <w:ind w:firstLine="560"/>
        <w:rPr>
          <w:rFonts w:hint="eastAsia" w:ascii="宋体" w:hAnsi="宋体" w:eastAsia="宋体" w:cs="宋体"/>
        </w:rPr>
      </w:pPr>
      <w:r>
        <w:rPr>
          <w:rFonts w:hint="eastAsia" w:ascii="宋体" w:hAnsi="宋体" w:eastAsia="宋体" w:cs="宋体"/>
        </w:rPr>
        <w:t>南水北调东线工程山东段全长487km，输水路线为：经韩庄运河入南四湖，再经梁济运河、东平湖，在位山闸穿黄河（隧道）。</w:t>
      </w:r>
    </w:p>
    <w:p>
      <w:pPr>
        <w:pStyle w:val="16"/>
        <w:ind w:firstLine="560"/>
        <w:rPr>
          <w:rFonts w:hint="eastAsia" w:ascii="宋体" w:hAnsi="宋体" w:eastAsia="宋体" w:cs="宋体"/>
        </w:rPr>
      </w:pPr>
      <w:r>
        <w:rPr>
          <w:rFonts w:hint="eastAsia" w:ascii="宋体" w:hAnsi="宋体" w:eastAsia="宋体" w:cs="宋体"/>
        </w:rPr>
        <w:t>影响南水北调东线工程山东段水质的汇水区可分为三个流域：海河流域、东平湖流域、南四湖流域。影响东平湖流域调水区水质的区域主要为莱芜市和泰安市，其主要污染因子是城市生活污染和工业生产污染。另外，随着农村经济的发展，面源污染正呈上升趋势，不容忽视。因此，控制好城市生活污染、工业生产污染以及农村面源污染，是解决调水区水环境污染问题的关键。</w:t>
      </w:r>
    </w:p>
    <w:p>
      <w:pPr>
        <w:pStyle w:val="16"/>
        <w:ind w:firstLine="560"/>
        <w:rPr>
          <w:rFonts w:hint="eastAsia" w:ascii="宋体" w:hAnsi="宋体" w:eastAsia="宋体" w:cs="宋体"/>
        </w:rPr>
      </w:pPr>
      <w:r>
        <w:rPr>
          <w:rFonts w:hint="eastAsia" w:ascii="宋体" w:hAnsi="宋体" w:eastAsia="宋体" w:cs="宋体"/>
        </w:rPr>
        <w:t>南水北调东线工程山东段水质保持规划的总体思路是：实行污染治理、污水资源化与河流生态恢复并重的“三保险”策略。即以每个小流域为控制对象，在综合采用工业结构调整、清洁生产、点源再提高工程、城市污水处理厂及其配套管网建设、面源污染治理、清淤疏浚等治污措施的同时，因地制宜，充分利用闲置洼地及废弃河道，建设中水调蓄设施，合理规划中水回用工程，实现中水就地资源化，非汛期污水不得进入输水干线，减少输水干线水质污染的风险，同时，通过人工复氧、湿地建设等措施对河流生态恢复过程进行主动干预，使之向提高自净能力、改善水质、恢复应有的生态功能等有利方向尽快转变，从而确保山东段输水水质达到《地表水环境质量标准》（GB3838-2002）Ⅲ类标准要求。</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无废水外排，且项目区距离南水北调输水干线较远。因此，</w:t>
      </w:r>
      <w:r>
        <w:rPr>
          <w:rFonts w:hint="eastAsia" w:ascii="宋体" w:hAnsi="宋体" w:cs="宋体"/>
          <w:lang w:eastAsia="zh-CN"/>
        </w:rPr>
        <w:t>本项目</w:t>
      </w:r>
      <w:r>
        <w:rPr>
          <w:rFonts w:hint="eastAsia" w:ascii="宋体" w:hAnsi="宋体" w:eastAsia="宋体" w:cs="宋体"/>
        </w:rPr>
        <w:t>废水对南水北调工程影响较小。</w:t>
      </w:r>
    </w:p>
    <w:p>
      <w:pPr>
        <w:pStyle w:val="16"/>
        <w:ind w:firstLine="560"/>
        <w:rPr>
          <w:rFonts w:hint="eastAsia" w:ascii="宋体" w:hAnsi="宋体" w:eastAsia="宋体" w:cs="宋体"/>
        </w:rPr>
      </w:pPr>
      <w:r>
        <w:rPr>
          <w:rFonts w:hint="eastAsia" w:ascii="宋体" w:hAnsi="宋体" w:eastAsia="宋体" w:cs="宋体"/>
        </w:rPr>
        <w:t>南水北调东线输水线路图见图4.1.7-1。</w:t>
      </w:r>
    </w:p>
    <w:p>
      <w:pPr>
        <w:pStyle w:val="7"/>
        <w:rPr>
          <w:rFonts w:hint="eastAsia" w:ascii="宋体" w:hAnsi="宋体" w:eastAsia="宋体" w:cs="宋体"/>
          <w:lang w:eastAsia="zh-CN"/>
        </w:rPr>
      </w:pPr>
      <w:r>
        <w:rPr>
          <w:rFonts w:hint="eastAsia" w:ascii="宋体" w:hAnsi="宋体" w:eastAsia="宋体" w:cs="宋体"/>
          <w:lang w:eastAsia="zh-CN"/>
        </w:rPr>
        <w:t>4.1.8 地震烈度</w:t>
      </w:r>
    </w:p>
    <w:p>
      <w:pPr>
        <w:pStyle w:val="16"/>
        <w:ind w:firstLine="560"/>
        <w:rPr>
          <w:rFonts w:hint="eastAsia" w:ascii="宋体" w:hAnsi="宋体" w:eastAsia="宋体" w:cs="宋体"/>
        </w:rPr>
      </w:pPr>
      <w:r>
        <w:rPr>
          <w:rFonts w:hint="eastAsia" w:ascii="宋体" w:hAnsi="宋体" w:eastAsia="宋体" w:cs="宋体"/>
        </w:rPr>
        <w:t>根据《中国地震动参数区划图》（GB18306-2015），厂区所在区域的抗震设防烈度为Ⅶ度，设计基本地震加速度值为0.10g，特征周期为0.35S。</w:t>
      </w:r>
    </w:p>
    <w:p>
      <w:pPr>
        <w:pStyle w:val="7"/>
        <w:rPr>
          <w:rFonts w:hint="eastAsia" w:ascii="宋体" w:hAnsi="宋体" w:eastAsia="宋体" w:cs="宋体"/>
          <w:lang w:eastAsia="zh-CN"/>
        </w:rPr>
      </w:pPr>
      <w:r>
        <w:rPr>
          <w:rFonts w:hint="eastAsia" w:ascii="宋体" w:hAnsi="宋体" w:eastAsia="宋体" w:cs="宋体"/>
          <w:lang w:eastAsia="zh-CN"/>
        </w:rPr>
        <w:t>4.1.9 土壤、植被</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项目周边耕层土壤养分状况是：有机质不足，普遍缺氮，严重缺磷，部分缺钾，氮、磷、钾比例严重失调。全县各类土壤有机质平均含量0.798%。</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项目区内的土壤以褐土为主，该土壤的淋溶程度不很强烈，有少量碳酸钙沉积，土壤呈中性，微碱性反应，矿物质积累较多，腐殖质层较厚，肥力较高。耕地、果园、林地等地类的表土层厚度60-70cm，土壤质地比较粘重，透水透气性较差，腐殖质层较厚，肥力较高，呈微碱性反应。</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项目区属暖温带落叶阔叶林区，经人类长期生产活动，天然植被已逐步被人工植被所代替，现有的天然植被并具有明显的次生性质。主要种植在山坡，及“四旁(河、路、沟、渠)”，其树种：阔叶树主要为杨类、旱柳、刺槐、泡桐、臭椿、白榆、国槐、柽柳、楸树、麻栎等；针叶树主要为松类(赤松、油松、黑松)、侧柏。</w:t>
      </w:r>
    </w:p>
    <w:p>
      <w:pPr>
        <w:pStyle w:val="7"/>
        <w:rPr>
          <w:rFonts w:hint="eastAsia" w:ascii="宋体" w:hAnsi="宋体" w:eastAsia="宋体" w:cs="宋体"/>
          <w:lang w:eastAsia="zh-CN"/>
        </w:rPr>
      </w:pPr>
      <w:r>
        <w:rPr>
          <w:rFonts w:hint="eastAsia" w:ascii="宋体" w:hAnsi="宋体" w:eastAsia="宋体" w:cs="宋体"/>
          <w:lang w:eastAsia="zh-CN"/>
        </w:rPr>
        <w:t>4.1.10 资源</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1、沂水县</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沂水县境内资源丰富，开发潜力巨大。水资源丰富，素有“百库千塘”之称，全县有水资源8.16亿m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，人均占有量742m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，是全省人均占有量的1.12倍。其中山东省第一大河——沂河为过境最大河流，南北纵贯56km，流域面积1437.7km</w:t>
      </w:r>
      <w:r>
        <w:rPr>
          <w:rFonts w:hint="eastAsia" w:ascii="宋体" w:hAnsi="宋体" w:eastAsia="宋体" w:cs="宋体"/>
          <w:kern w:val="2"/>
          <w:vertAlign w:val="superscript"/>
          <w:lang w:eastAsia="zh-CN"/>
        </w:rPr>
        <w:t>2</w:t>
      </w:r>
      <w:r>
        <w:rPr>
          <w:rFonts w:hint="eastAsia" w:ascii="宋体" w:hAnsi="宋体" w:eastAsia="宋体" w:cs="宋体"/>
          <w:kern w:val="2"/>
          <w:lang w:eastAsia="zh-CN"/>
        </w:rPr>
        <w:t>。境内有大中小型水库151座，其中大型水库2座，最大的跋山水库为山东省第三大水库，总库容5.085m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矿产资源丰富，现已探明矿种43种，主要有金、铜、铁、水晶、钾长石、钠长石、石英、蛭石、玄武岩等，分布集中，质地优良，易于开采。其中玄武岩储量近百亿吨，居华东地区首位；蛭石、钾长石、钠长石储量均居全省首位。森林资源丰富，全县木材蓄积量达260余万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，森林覆盖率达31.2%。</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沂水县旅游资源丰富，文物古迹荟萃，自然风光怡人，有“地下奇观、山水风光、沂蒙风情、红色之旅”的美誉。近年来，县委县政府把旅游业作为促进经济社会发展的“三大亮点”之一重点培育，确立了“政府主导、科学规划、市场运作、集群发展”的旅游发展战略，构筑了“一大景区、三大产品体系、十大景点”的旅游发展框架。目前已建成开放旅游区5处，分别为山东地下大峡谷、天然地下画廊、地下荧光湖、雪山彩虹谷、灵泉寺森林公园（其中4A级景区一处、3A级景区3处、2A级景区一处）。天上王城景区、沂蒙山革命根据地、沂蒙山乡自驾车休闲</w:t>
      </w:r>
      <w:r>
        <w:rPr>
          <w:rFonts w:hint="eastAsia" w:cs="宋体"/>
          <w:kern w:val="2"/>
          <w:lang w:eastAsia="zh-CN"/>
        </w:rPr>
        <w:t>度</w:t>
      </w:r>
      <w:r>
        <w:rPr>
          <w:rFonts w:hint="eastAsia" w:ascii="宋体" w:hAnsi="宋体" w:eastAsia="宋体" w:cs="宋体"/>
          <w:kern w:val="2"/>
          <w:lang w:eastAsia="zh-CN"/>
        </w:rPr>
        <w:t>假村等景区正在开发建设，东方温泉城、沂蒙母亲湖、沂蒙山古酒城正在规划中。</w:t>
      </w:r>
    </w:p>
    <w:p>
      <w:pPr>
        <w:pStyle w:val="16"/>
        <w:numPr>
          <w:ilvl w:val="0"/>
          <w:numId w:val="16"/>
        </w:numPr>
        <w:ind w:firstLine="562"/>
        <w:rPr>
          <w:rFonts w:hint="eastAsia" w:ascii="宋体" w:hAnsi="宋体" w:eastAsia="宋体" w:cs="宋体"/>
          <w:b/>
          <w:bCs/>
        </w:rPr>
      </w:pPr>
      <w:r>
        <w:rPr>
          <w:rFonts w:hint="eastAsia" w:ascii="宋体" w:hAnsi="宋体" w:eastAsia="宋体" w:cs="宋体"/>
          <w:b/>
          <w:bCs/>
        </w:rPr>
        <w:t>沂源县</w:t>
      </w:r>
    </w:p>
    <w:p>
      <w:pPr>
        <w:pStyle w:val="16"/>
        <w:ind w:firstLine="560"/>
        <w:rPr>
          <w:rFonts w:hint="eastAsia" w:ascii="宋体" w:hAnsi="宋体" w:eastAsia="宋体" w:cs="宋体"/>
        </w:rPr>
      </w:pPr>
      <w:r>
        <w:rPr>
          <w:rFonts w:hint="eastAsia" w:ascii="宋体" w:hAnsi="宋体" w:eastAsia="宋体" w:cs="宋体"/>
        </w:rPr>
        <w:t>沂源县地下水的分布极不均衡， 富水区面积较少，只有306.8平方公里，占全县总面积的18%，且集中于鲁村、南麻、悦庄及沂河两岸。水质境内地表水、 地下水属重碳酸盐类型，PH值在7.3-8.2之间，呈中性和弱碱性反应，矿化度在116-508毫克/升之间，总硬度在3.3-10.8德国度之间，属软水，适于人畜饮用和农田灌溉。</w:t>
      </w:r>
      <w:bookmarkStart w:id="119" w:name="ref_[9]_282202"/>
    </w:p>
    <w:p>
      <w:pPr>
        <w:pStyle w:val="16"/>
        <w:ind w:firstLine="560"/>
        <w:rPr>
          <w:rFonts w:hint="eastAsia" w:ascii="宋体" w:hAnsi="宋体" w:eastAsia="宋体" w:cs="宋体"/>
        </w:rPr>
      </w:pPr>
      <w:bookmarkStart w:id="120" w:name="4_2"/>
      <w:bookmarkEnd w:id="120"/>
      <w:bookmarkStart w:id="121" w:name="sub282202_4_2"/>
      <w:bookmarkEnd w:id="121"/>
      <w:bookmarkStart w:id="122" w:name="土地资源"/>
      <w:bookmarkEnd w:id="122"/>
      <w:bookmarkStart w:id="123" w:name="4-2"/>
      <w:bookmarkEnd w:id="123"/>
      <w:r>
        <w:rPr>
          <w:rFonts w:hint="eastAsia" w:ascii="宋体" w:hAnsi="宋体" w:eastAsia="宋体" w:cs="宋体"/>
        </w:rPr>
        <w:t>沂源县土地总面积260.38万亩。其中，耕地面积70.88万亩，占全县总面积的27.22%；园地9.66万亩，占总面积的3.71%；林地47.58万亩，占总面积的18.27%；疏林草地0.35万亩，占总面积的0.14%；居民点及工矿用地10.31万亩，占总面积的3.96%；水域7.39万亩，占总面积的2.84%；交通用地1.45万亩，占总面积的0.56%；国防用地0.23万亩，占总面积的0.09%；荒山荒地111.70万亩，占总面积的42.9%；裸岩地0.85万亩，占总面积的0.32%。 </w:t>
      </w:r>
    </w:p>
    <w:p>
      <w:pPr>
        <w:pStyle w:val="16"/>
        <w:ind w:firstLine="560"/>
        <w:rPr>
          <w:rFonts w:hint="eastAsia" w:ascii="宋体" w:hAnsi="宋体" w:eastAsia="宋体" w:cs="宋体"/>
        </w:rPr>
      </w:pPr>
      <w:bookmarkStart w:id="124" w:name="sub282202_4_4"/>
      <w:bookmarkEnd w:id="124"/>
      <w:bookmarkStart w:id="125" w:name="生物资源"/>
      <w:bookmarkEnd w:id="125"/>
      <w:bookmarkStart w:id="126" w:name="4_4"/>
      <w:bookmarkEnd w:id="126"/>
      <w:bookmarkStart w:id="127" w:name="4_3"/>
      <w:bookmarkEnd w:id="127"/>
      <w:bookmarkStart w:id="128" w:name="4-4"/>
      <w:bookmarkEnd w:id="128"/>
      <w:bookmarkStart w:id="129" w:name="sub282202_4_3"/>
      <w:bookmarkEnd w:id="129"/>
      <w:bookmarkStart w:id="130" w:name="矿产资源"/>
      <w:bookmarkEnd w:id="130"/>
      <w:bookmarkStart w:id="131" w:name="4-3"/>
      <w:bookmarkEnd w:id="131"/>
      <w:r>
        <w:rPr>
          <w:rFonts w:hint="eastAsia" w:ascii="宋体" w:hAnsi="宋体" w:eastAsia="宋体" w:cs="宋体"/>
        </w:rPr>
        <w:t>沂源县矿藏资源较多，已查明的有铁、金、煤、铝矾土、石灰石、石膏、钾长石、方解石等十几种，矿体贮存于泰山群雁翎关组顶部，属太古界角闪质石英含铁构造，沉积变质矿床。</w:t>
      </w:r>
    </w:p>
    <w:p>
      <w:pPr>
        <w:pStyle w:val="16"/>
        <w:ind w:firstLine="560"/>
        <w:rPr>
          <w:rFonts w:hint="eastAsia" w:ascii="宋体" w:hAnsi="宋体" w:eastAsia="宋体" w:cs="宋体"/>
        </w:rPr>
      </w:pPr>
      <w:r>
        <w:rPr>
          <w:rFonts w:hint="eastAsia" w:ascii="宋体" w:hAnsi="宋体" w:eastAsia="宋体" w:cs="宋体"/>
        </w:rPr>
        <w:t>沂源县矿体和围岩以单斜形式产出，呈北西-南东向展布，与区域构造线一致。 含矿带厚度最小14.5米，最大190米，平均80米。矿石矿物成份主要有磁铁矿、赤铁矿、褐铁矿及少量的黄铜矿、黄铁矿。品位：TFe36%，SFe29%。总储量2亿吨以上。</w:t>
      </w:r>
      <w:bookmarkEnd w:id="119"/>
    </w:p>
    <w:p>
      <w:pPr>
        <w:pStyle w:val="6"/>
        <w:rPr>
          <w:rFonts w:hint="eastAsia" w:ascii="宋体" w:hAnsi="宋体" w:eastAsia="宋体" w:cs="宋体"/>
          <w:lang w:eastAsia="zh-CN"/>
        </w:rPr>
      </w:pPr>
      <w:bookmarkStart w:id="132" w:name="_Toc28270"/>
      <w:bookmarkStart w:id="133" w:name="_Toc6464"/>
      <w:r>
        <w:rPr>
          <w:rFonts w:hint="eastAsia" w:ascii="宋体" w:hAnsi="宋体" w:eastAsia="宋体" w:cs="宋体"/>
          <w:lang w:eastAsia="zh-CN"/>
        </w:rPr>
        <w:t>4.2 社会经济概况</w:t>
      </w:r>
      <w:bookmarkEnd w:id="132"/>
      <w:bookmarkEnd w:id="133"/>
    </w:p>
    <w:p>
      <w:pPr>
        <w:ind w:firstLine="562"/>
        <w:rPr>
          <w:rFonts w:hint="eastAsia" w:ascii="宋体" w:hAnsi="宋体" w:eastAsia="宋体" w:cs="宋体"/>
          <w:b/>
          <w:bCs/>
          <w:lang w:eastAsia="zh-CN"/>
        </w:rPr>
      </w:pPr>
      <w:r>
        <w:rPr>
          <w:rFonts w:hint="eastAsia" w:ascii="宋体" w:hAnsi="宋体" w:eastAsia="宋体" w:cs="宋体"/>
          <w:b/>
          <w:bCs/>
          <w:lang w:eastAsia="zh-CN"/>
        </w:rPr>
        <w:t>1、沂水县</w:t>
      </w:r>
    </w:p>
    <w:p>
      <w:pPr>
        <w:ind w:firstLine="560"/>
        <w:rPr>
          <w:rFonts w:hint="eastAsia" w:ascii="宋体" w:hAnsi="宋体" w:eastAsia="宋体" w:cs="宋体"/>
          <w:lang w:eastAsia="zh-CN"/>
        </w:rPr>
      </w:pPr>
      <w:r>
        <w:rPr>
          <w:rFonts w:hint="eastAsia" w:ascii="宋体" w:hAnsi="宋体" w:eastAsia="宋体" w:cs="宋体"/>
          <w:lang w:eastAsia="zh-CN"/>
        </w:rPr>
        <w:t>沂水县位于沂蒙山区北部，沂山山脉南侧，地理坐标为：北纬35°36′00″至36°13′00″，东经118°13′00″至119°03′06″。东临莒县、诸城两县，西接蒙阴、沂源，南连沂南，北与临朐、安丘毗邻。隶属于临沂市管辖。总面积2434.8平方公里，是临沂市面积最大的一个县，在全省县（市）面积排比为第二位，辖十九个乡镇，1214个行政村。总人口为1109017人。其中非农业人口数40.94万人，农业劳动力57.03万个，城镇人口总数25.87万人，人口密度为456人/平方公里。</w:t>
      </w:r>
    </w:p>
    <w:p>
      <w:pPr>
        <w:ind w:firstLine="560"/>
        <w:rPr>
          <w:rFonts w:hint="eastAsia" w:ascii="宋体" w:hAnsi="宋体" w:eastAsia="宋体" w:cs="宋体"/>
          <w:lang w:eastAsia="zh-CN"/>
        </w:rPr>
      </w:pPr>
      <w:r>
        <w:rPr>
          <w:rFonts w:hint="eastAsia" w:ascii="宋体" w:hAnsi="宋体" w:eastAsia="宋体" w:cs="宋体"/>
          <w:lang w:eastAsia="zh-CN"/>
        </w:rPr>
        <w:t>沂水县基础设施完善，载体功能健全。县城建成区面积达25平方公里，城市人口22万人，县城日供水能力5万吨、污水处理能力5万吨，供热面积90万平方米，气化率92%，城市水面5500亩，绿地面积350公顷，绿化覆盖率36.9%，道路硬化率达100%，</w:t>
      </w:r>
    </w:p>
    <w:p>
      <w:pPr>
        <w:ind w:firstLine="560"/>
        <w:rPr>
          <w:rFonts w:hint="eastAsia" w:ascii="宋体" w:hAnsi="宋体" w:eastAsia="宋体" w:cs="宋体"/>
          <w:lang w:eastAsia="zh-CN"/>
        </w:rPr>
      </w:pPr>
      <w:r>
        <w:rPr>
          <w:rFonts w:hint="eastAsia" w:ascii="宋体" w:hAnsi="宋体" w:eastAsia="宋体" w:cs="宋体"/>
          <w:lang w:eastAsia="zh-CN"/>
        </w:rPr>
        <w:t>全县城市化水平达到33%。境内公路交通四通八达，东红、沂博、兖石、泰薛、沂邳、韩莱六条省道贯穿全境，可直通济南、青岛、临沂飞机场；东临青岛港、日照港、岚山港三大口岸，北靠胶济铁路、济青高速公路，南依兖石铁路、日东高速公路，西连京沪高速公路，东接同三高速公路。胶（州）新（沂）铁路经过沂水并设立县级站，青莱、天汕高速公路在沂水境内交汇。</w:t>
      </w:r>
    </w:p>
    <w:p>
      <w:pPr>
        <w:ind w:firstLine="560"/>
        <w:rPr>
          <w:rFonts w:hint="eastAsia" w:ascii="宋体" w:hAnsi="宋体" w:eastAsia="宋体" w:cs="宋体"/>
          <w:lang w:eastAsia="zh-CN"/>
        </w:rPr>
      </w:pPr>
      <w:r>
        <w:rPr>
          <w:rFonts w:hint="eastAsia" w:ascii="宋体" w:hAnsi="宋体" w:eastAsia="宋体" w:cs="宋体"/>
          <w:lang w:eastAsia="zh-CN"/>
        </w:rPr>
        <w:t>沂水县工业经济门类齐全，农业经济特色优势明显。工业结构优势明显，已形成了食品、纺织服装、机械、矿产建材、轻工、电子、包装印刷七大主导行业及烟草、化工、木材加工、工艺美术、制革、鞋业、农副产品深加工等行业为主的工业体系。特别是食品、制鞋、机械“三城”特色优势和规模优势明显。</w:t>
      </w:r>
    </w:p>
    <w:p>
      <w:pPr>
        <w:pStyle w:val="16"/>
        <w:ind w:left="480" w:leftChars="200" w:firstLine="0" w:firstLineChars="0"/>
        <w:rPr>
          <w:rFonts w:hint="eastAsia" w:ascii="宋体" w:hAnsi="宋体" w:eastAsia="宋体" w:cs="宋体"/>
          <w:b/>
          <w:bCs/>
        </w:rPr>
      </w:pPr>
      <w:r>
        <w:rPr>
          <w:rFonts w:hint="eastAsia" w:ascii="宋体" w:hAnsi="宋体" w:eastAsia="宋体" w:cs="宋体"/>
          <w:b/>
          <w:bCs/>
        </w:rPr>
        <w:t>2、沂源县</w:t>
      </w:r>
    </w:p>
    <w:p>
      <w:pPr>
        <w:ind w:firstLine="560"/>
        <w:rPr>
          <w:rFonts w:hint="eastAsia" w:ascii="宋体" w:hAnsi="宋体" w:eastAsia="宋体" w:cs="宋体"/>
          <w:lang w:eastAsia="zh-CN"/>
        </w:rPr>
      </w:pPr>
      <w:r>
        <w:rPr>
          <w:rFonts w:hint="eastAsia" w:ascii="宋体" w:hAnsi="宋体" w:eastAsia="宋体" w:cs="宋体"/>
          <w:lang w:eastAsia="zh-CN"/>
        </w:rPr>
        <w:t>沂源县地处淄博、泰安、济南、临沂、潍坊五个市的结合部。1944年建县，因沂河发源地而得名。总面积1636平方公里，辖11个镇、1个街道办事处、1个经济开发区，633个行政村，人口56万。</w:t>
      </w:r>
    </w:p>
    <w:p>
      <w:pPr>
        <w:ind w:firstLine="560"/>
        <w:rPr>
          <w:rFonts w:hint="eastAsia" w:ascii="宋体" w:hAnsi="宋体" w:eastAsia="宋体" w:cs="宋体"/>
          <w:lang w:eastAsia="zh-CN"/>
        </w:rPr>
      </w:pPr>
      <w:r>
        <w:rPr>
          <w:rFonts w:hint="eastAsia" w:ascii="宋体" w:hAnsi="宋体" w:eastAsia="宋体" w:cs="宋体"/>
          <w:lang w:eastAsia="zh-CN"/>
        </w:rPr>
        <w:t>现有规模以上工业企业130家，拥有6家上市公司。2011年，全县规模以上工业销售收入利税率、利润率分别达19.51%、13.55%。积极培植壮大医药、新材料、高分子等特色产业集群，培育了同行业亚洲规模最大的药玻公司和鲁阳公司、全国规模最大的头孢类原料药企业瑞阳公司、中国石油化工行业500强企业联合化工公司、全国采选矿行业效益十佳企业华联公司等一批骨干企业。建立了以博士后科研工作站、院士工作站、国家级企业技术中心等为主的科技创新平台体系，2011年，全县高新技术产值比重达到48.8%。</w:t>
      </w:r>
    </w:p>
    <w:p>
      <w:pPr>
        <w:ind w:firstLine="560"/>
        <w:rPr>
          <w:rFonts w:hint="eastAsia" w:ascii="宋体" w:hAnsi="宋体" w:eastAsia="宋体" w:cs="宋体"/>
          <w:lang w:eastAsia="zh-CN"/>
        </w:rPr>
      </w:pPr>
      <w:r>
        <w:rPr>
          <w:rFonts w:hint="eastAsia" w:ascii="宋体" w:hAnsi="宋体" w:eastAsia="宋体" w:cs="宋体"/>
          <w:lang w:eastAsia="zh-CN"/>
        </w:rPr>
        <w:t>粮经比例达到1：9，果品种植面积70多万亩，农民收入的70%来自林果业，是“全国果品生产百强县”。有机品牌农业加快发展，建成了中国首个有机苹果标准化生产示范区，全县“三品一标”认证农产品94个，其中国家地理标志认证农产品6个，认证数量均为全国县份最多，“沂源苹果”先后被确定为“北京奥运会专用果”、“上海世博会专用果”、全国“两会”专供果品；“沂源红”苹果获“第六届中国国际有机食品博览会金奖”和“第十届中国国际农产品交易会金奖”，并通过省级技术成果鉴定，被确定为“名优苹果新品种”；“沂源红”苹果大世界被列入上海大世界基尼斯之最；“悦庄”牌有机韭菜获国家和欧盟有机食品认证并填补我国有机韭菜生产空白。</w:t>
      </w:r>
    </w:p>
    <w:p>
      <w:pPr>
        <w:ind w:firstLine="560"/>
        <w:rPr>
          <w:rFonts w:hint="eastAsia" w:ascii="宋体" w:hAnsi="宋体" w:eastAsia="宋体" w:cs="宋体"/>
          <w:lang w:eastAsia="zh-CN"/>
        </w:rPr>
      </w:pPr>
      <w:r>
        <w:rPr>
          <w:rFonts w:hint="eastAsia" w:ascii="宋体" w:hAnsi="宋体" w:eastAsia="宋体" w:cs="宋体"/>
          <w:lang w:eastAsia="zh-CN"/>
        </w:rPr>
        <w:t>现有流通企业100多家，各类市场200多处。实施了商务大厦、鲁中·义乌国际商贸城等服务业重点项目，推动了服务业提质增效扩量，服务业增加值占GDP的比重达38.8%。文化旅游业发展实现新突破，打造了牛郎织女文化景区、沂源溶洞群景区等一批文化旅游景观，启动了天湖旅游度假区开发建设，连续举办了五届中国（沂源）七夕情侣节；依托70万亩林果资源，以观景、赏花、采摘、品果为主线，大力发展乡村旅游和特色“农家乐”，每年定期举办赏花节、采摘节等活动，获“全国休闲农业和乡村旅游示范县”、“省旅游强县”等称号。</w:t>
      </w:r>
    </w:p>
    <w:p>
      <w:pPr>
        <w:pStyle w:val="6"/>
        <w:outlineLvl w:val="9"/>
        <w:rPr>
          <w:rFonts w:hint="eastAsia" w:ascii="宋体" w:hAnsi="宋体" w:eastAsia="宋体" w:cs="宋体"/>
          <w:lang w:eastAsia="zh-CN"/>
        </w:rPr>
        <w:sectPr>
          <w:headerReference r:id="rId60" w:type="default"/>
          <w:footerReference r:id="rId62" w:type="default"/>
          <w:headerReference r:id="rId61" w:type="even"/>
          <w:footerReference r:id="rId63" w:type="even"/>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pStyle w:val="5"/>
        <w:spacing w:before="156" w:after="156"/>
        <w:rPr>
          <w:rFonts w:hint="eastAsia" w:ascii="宋体" w:hAnsi="宋体" w:eastAsia="宋体" w:cs="宋体"/>
          <w:lang w:eastAsia="zh-CN"/>
        </w:rPr>
      </w:pPr>
      <w:bookmarkStart w:id="134" w:name="_Toc14820"/>
      <w:bookmarkStart w:id="135" w:name="_Toc25758"/>
      <w:r>
        <w:rPr>
          <w:rFonts w:hint="eastAsia" w:ascii="宋体" w:hAnsi="宋体" w:eastAsia="宋体" w:cs="宋体"/>
          <w:lang w:eastAsia="zh-CN"/>
        </w:rPr>
        <w:t>第五章 环境质量现状调查与评价</w:t>
      </w:r>
      <w:bookmarkEnd w:id="134"/>
      <w:bookmarkEnd w:id="135"/>
    </w:p>
    <w:p>
      <w:pPr>
        <w:pStyle w:val="6"/>
        <w:rPr>
          <w:rFonts w:hint="eastAsia" w:ascii="宋体" w:hAnsi="宋体" w:eastAsia="宋体" w:cs="宋体"/>
          <w:lang w:eastAsia="zh-CN"/>
        </w:rPr>
      </w:pPr>
      <w:bookmarkStart w:id="136" w:name="_Toc31729"/>
      <w:bookmarkStart w:id="137" w:name="_Toc30701"/>
      <w:r>
        <w:rPr>
          <w:rFonts w:hint="eastAsia" w:ascii="宋体" w:hAnsi="宋体" w:eastAsia="宋体" w:cs="宋体"/>
          <w:lang w:eastAsia="zh-CN"/>
        </w:rPr>
        <w:t>5.1 环境空气质量现状调查与评价</w:t>
      </w:r>
      <w:bookmarkEnd w:id="136"/>
      <w:bookmarkEnd w:id="137"/>
    </w:p>
    <w:p>
      <w:pPr>
        <w:pStyle w:val="7"/>
        <w:rPr>
          <w:rFonts w:hint="eastAsia" w:ascii="宋体" w:hAnsi="宋体" w:eastAsia="宋体" w:cs="宋体"/>
          <w:lang w:eastAsia="zh-CN"/>
        </w:rPr>
      </w:pPr>
      <w:r>
        <w:rPr>
          <w:rFonts w:hint="eastAsia" w:ascii="宋体" w:hAnsi="宋体" w:eastAsia="宋体" w:cs="宋体"/>
          <w:lang w:eastAsia="zh-CN"/>
        </w:rPr>
        <w:t>5.1.1 所在区空气质量达标判定</w:t>
      </w:r>
    </w:p>
    <w:p>
      <w:pPr>
        <w:autoSpaceDE/>
        <w:autoSpaceDN/>
        <w:ind w:firstLine="560"/>
        <w:jc w:val="both"/>
        <w:rPr>
          <w:rFonts w:hint="eastAsia" w:ascii="宋体" w:hAnsi="宋体" w:eastAsia="宋体" w:cs="宋体"/>
          <w:kern w:val="2"/>
          <w:lang w:eastAsia="zh-CN"/>
        </w:rPr>
      </w:pPr>
      <w:r>
        <w:rPr>
          <w:rFonts w:hint="eastAsia" w:cs="宋体"/>
          <w:kern w:val="2"/>
          <w:lang w:eastAsia="zh-CN"/>
        </w:rPr>
        <w:t>本项目</w:t>
      </w:r>
      <w:r>
        <w:rPr>
          <w:rFonts w:hint="eastAsia" w:ascii="宋体" w:hAnsi="宋体" w:eastAsia="宋体" w:cs="宋体"/>
          <w:kern w:val="2"/>
          <w:lang w:eastAsia="zh-CN"/>
        </w:rPr>
        <w:t>位于临沂市沂水县和淄博市沂源县交界处，分别调查沂水县和沂源县区域空气质量，具体如下：</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1、沂水县</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根据临沂市生态环境局公布的2020年1-12月份的《全市生态环境质量通报》中可知，沂水县2020年全年的空气质量情况，具体数据见表5.1.1-1。</w:t>
      </w:r>
    </w:p>
    <w:p>
      <w:pPr>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表5.1.1-1 2020年1-12月沂水县空气质量情况一览表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23"/>
        <w:gridCol w:w="1124"/>
        <w:gridCol w:w="1172"/>
        <w:gridCol w:w="1139"/>
        <w:gridCol w:w="1232"/>
        <w:gridCol w:w="1410"/>
        <w:gridCol w:w="21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月份</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18"/>
                <w:szCs w:val="18"/>
                <w:lang w:eastAsia="zh-CN"/>
              </w:rPr>
              <w:t>PM</w:t>
            </w:r>
            <w:r>
              <w:rPr>
                <w:rFonts w:hint="eastAsia" w:ascii="宋体" w:hAnsi="宋体" w:eastAsia="宋体" w:cs="宋体"/>
                <w:b/>
                <w:bCs/>
                <w:kern w:val="2"/>
                <w:sz w:val="18"/>
                <w:szCs w:val="18"/>
                <w:vertAlign w:val="subscript"/>
                <w:lang w:eastAsia="zh-CN"/>
              </w:rPr>
              <w:t>2.5</w:t>
            </w:r>
            <w:r>
              <w:rPr>
                <w:rFonts w:hint="eastAsia" w:ascii="宋体" w:hAnsi="宋体" w:eastAsia="宋体" w:cs="宋体"/>
                <w:b/>
                <w:bCs/>
                <w:kern w:val="2"/>
                <w:sz w:val="18"/>
                <w:szCs w:val="18"/>
                <w:lang w:eastAsia="zh-CN"/>
              </w:rPr>
              <w:t>（μg/m</w:t>
            </w:r>
            <w:r>
              <w:rPr>
                <w:rFonts w:hint="eastAsia" w:ascii="宋体" w:hAnsi="宋体" w:eastAsia="宋体" w:cs="宋体"/>
                <w:b/>
                <w:bCs/>
                <w:kern w:val="2"/>
                <w:sz w:val="18"/>
                <w:szCs w:val="18"/>
                <w:vertAlign w:val="superscript"/>
                <w:lang w:eastAsia="zh-CN"/>
              </w:rPr>
              <w:t>3</w:t>
            </w:r>
            <w:r>
              <w:rPr>
                <w:rFonts w:hint="eastAsia" w:ascii="宋体" w:hAnsi="宋体" w:eastAsia="宋体" w:cs="宋体"/>
                <w:b/>
                <w:bCs/>
                <w:kern w:val="2"/>
                <w:sz w:val="18"/>
                <w:szCs w:val="18"/>
                <w:lang w:eastAsia="zh-CN"/>
              </w:rPr>
              <w:t>）</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PM</w:t>
            </w:r>
            <w:r>
              <w:rPr>
                <w:rFonts w:hint="eastAsia" w:ascii="宋体" w:hAnsi="宋体" w:eastAsia="宋体" w:cs="宋体"/>
                <w:b/>
                <w:bCs/>
                <w:kern w:val="2"/>
                <w:sz w:val="21"/>
                <w:szCs w:val="21"/>
                <w:vertAlign w:val="subscript"/>
                <w:lang w:eastAsia="zh-CN"/>
              </w:rPr>
              <w:t>10</w:t>
            </w:r>
            <w:r>
              <w:rPr>
                <w:rFonts w:hint="eastAsia" w:ascii="宋体" w:hAnsi="宋体" w:eastAsia="宋体" w:cs="宋体"/>
                <w:b/>
                <w:bCs/>
                <w:kern w:val="2"/>
                <w:sz w:val="21"/>
                <w:szCs w:val="21"/>
                <w:lang w:eastAsia="zh-CN"/>
              </w:rPr>
              <w:t>（μg/m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SO</w:t>
            </w:r>
            <w:r>
              <w:rPr>
                <w:rFonts w:hint="eastAsia" w:ascii="宋体" w:hAnsi="宋体" w:eastAsia="宋体" w:cs="宋体"/>
                <w:b/>
                <w:bCs/>
                <w:kern w:val="2"/>
                <w:sz w:val="21"/>
                <w:szCs w:val="21"/>
                <w:vertAlign w:val="subscript"/>
                <w:lang w:eastAsia="zh-CN"/>
              </w:rPr>
              <w:t>2</w:t>
            </w:r>
            <w:r>
              <w:rPr>
                <w:rFonts w:hint="eastAsia" w:ascii="宋体" w:hAnsi="宋体" w:eastAsia="宋体" w:cs="宋体"/>
                <w:b/>
                <w:bCs/>
                <w:kern w:val="2"/>
                <w:sz w:val="18"/>
                <w:szCs w:val="18"/>
                <w:lang w:eastAsia="zh-CN"/>
              </w:rPr>
              <w:t>（μg/m</w:t>
            </w:r>
            <w:r>
              <w:rPr>
                <w:rFonts w:hint="eastAsia" w:ascii="宋体" w:hAnsi="宋体" w:eastAsia="宋体" w:cs="宋体"/>
                <w:b/>
                <w:bCs/>
                <w:kern w:val="2"/>
                <w:sz w:val="18"/>
                <w:szCs w:val="18"/>
                <w:vertAlign w:val="superscript"/>
                <w:lang w:eastAsia="zh-CN"/>
              </w:rPr>
              <w:t>3</w:t>
            </w:r>
            <w:r>
              <w:rPr>
                <w:rFonts w:hint="eastAsia" w:ascii="宋体" w:hAnsi="宋体" w:eastAsia="宋体" w:cs="宋体"/>
                <w:b/>
                <w:bCs/>
                <w:kern w:val="2"/>
                <w:sz w:val="18"/>
                <w:szCs w:val="18"/>
                <w:lang w:eastAsia="zh-CN"/>
              </w:rPr>
              <w:t>）</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NO</w:t>
            </w:r>
            <w:r>
              <w:rPr>
                <w:rFonts w:hint="eastAsia" w:ascii="宋体" w:hAnsi="宋体" w:eastAsia="宋体" w:cs="宋体"/>
                <w:b/>
                <w:bCs/>
                <w:kern w:val="2"/>
                <w:sz w:val="21"/>
                <w:szCs w:val="21"/>
                <w:vertAlign w:val="subscript"/>
                <w:lang w:eastAsia="zh-CN"/>
              </w:rPr>
              <w:t>2</w:t>
            </w:r>
            <w:r>
              <w:rPr>
                <w:rFonts w:hint="eastAsia" w:ascii="宋体" w:hAnsi="宋体" w:eastAsia="宋体" w:cs="宋体"/>
                <w:b/>
                <w:bCs/>
                <w:kern w:val="2"/>
                <w:sz w:val="21"/>
                <w:szCs w:val="21"/>
                <w:lang w:eastAsia="zh-CN"/>
              </w:rPr>
              <w:t>（μg/m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CO日均值</w:t>
            </w:r>
          </w:p>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第95%位数(mg/m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O</w:t>
            </w:r>
            <w:r>
              <w:rPr>
                <w:rFonts w:hint="eastAsia" w:ascii="宋体" w:hAnsi="宋体" w:eastAsia="宋体" w:cs="宋体"/>
                <w:b/>
                <w:bCs/>
                <w:kern w:val="2"/>
                <w:sz w:val="21"/>
                <w:szCs w:val="21"/>
                <w:vertAlign w:val="subscript"/>
                <w:lang w:eastAsia="zh-CN"/>
              </w:rPr>
              <w:t>3</w:t>
            </w:r>
            <w:r>
              <w:rPr>
                <w:rFonts w:hint="eastAsia" w:ascii="宋体" w:hAnsi="宋体" w:eastAsia="宋体" w:cs="宋体"/>
                <w:b/>
                <w:bCs/>
                <w:kern w:val="2"/>
                <w:sz w:val="21"/>
                <w:szCs w:val="21"/>
                <w:lang w:eastAsia="zh-CN"/>
              </w:rPr>
              <w:t>日最大8小时平均值第90%位数（μg/m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86</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122</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44</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2.4</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51</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70</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46</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93</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34</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42</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93</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34</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39</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81</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31</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60</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30</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52</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23</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44</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33</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68</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32</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47</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95</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42</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54</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102</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46</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86</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133</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32</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50</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平均值</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b/>
                <w:bCs/>
                <w:kern w:val="2"/>
                <w:sz w:val="21"/>
                <w:szCs w:val="21"/>
                <w:lang w:eastAsia="zh-CN"/>
              </w:rPr>
              <w:t>48</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b/>
                <w:bCs/>
                <w:kern w:val="2"/>
                <w:sz w:val="21"/>
                <w:szCs w:val="21"/>
                <w:lang w:eastAsia="zh-CN"/>
              </w:rPr>
              <w:t>84</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34</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标准值</w:t>
            </w:r>
          </w:p>
        </w:tc>
        <w:tc>
          <w:tcPr>
            <w:tcW w:w="60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35</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70</w:t>
            </w:r>
          </w:p>
        </w:tc>
        <w:tc>
          <w:tcPr>
            <w:tcW w:w="6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60</w:t>
            </w:r>
          </w:p>
        </w:tc>
        <w:tc>
          <w:tcPr>
            <w:tcW w:w="66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40</w:t>
            </w:r>
          </w:p>
        </w:tc>
        <w:tc>
          <w:tcPr>
            <w:tcW w:w="758"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4</w:t>
            </w:r>
          </w:p>
        </w:tc>
        <w:tc>
          <w:tcPr>
            <w:tcW w:w="117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160</w:t>
            </w:r>
          </w:p>
        </w:tc>
      </w:tr>
    </w:tbl>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由上表可知，项目所在区域（沂水县）超过《环境空气质量标准》（GB 3095-2012）中二级标准限值的污染物是PM</w:t>
      </w:r>
      <w:r>
        <w:rPr>
          <w:rFonts w:hint="eastAsia" w:ascii="宋体" w:hAnsi="宋体" w:eastAsia="宋体" w:cs="宋体"/>
          <w:kern w:val="2"/>
          <w:vertAlign w:val="subscript"/>
          <w:lang w:eastAsia="zh-CN"/>
        </w:rPr>
        <w:t>2.5</w:t>
      </w:r>
      <w:r>
        <w:rPr>
          <w:rFonts w:hint="eastAsia" w:ascii="宋体" w:hAnsi="宋体" w:eastAsia="宋体" w:cs="宋体"/>
          <w:kern w:val="2"/>
          <w:lang w:eastAsia="zh-CN"/>
        </w:rPr>
        <w:t>、PM</w:t>
      </w:r>
      <w:r>
        <w:rPr>
          <w:rFonts w:hint="eastAsia" w:ascii="宋体" w:hAnsi="宋体" w:eastAsia="宋体" w:cs="宋体"/>
          <w:kern w:val="2"/>
          <w:vertAlign w:val="subscript"/>
          <w:lang w:eastAsia="zh-CN"/>
        </w:rPr>
        <w:t>10</w:t>
      </w:r>
      <w:r>
        <w:rPr>
          <w:rFonts w:hint="eastAsia" w:ascii="宋体" w:hAnsi="宋体" w:eastAsia="宋体" w:cs="宋体"/>
          <w:kern w:val="2"/>
          <w:lang w:eastAsia="zh-CN"/>
        </w:rPr>
        <w:t>，项目所在地为非达标区。</w:t>
      </w:r>
    </w:p>
    <w:p>
      <w:pPr>
        <w:autoSpaceDE/>
        <w:autoSpaceDN/>
        <w:ind w:left="840" w:firstLine="0" w:firstLineChars="0"/>
        <w:jc w:val="both"/>
        <w:rPr>
          <w:rFonts w:hint="eastAsia" w:ascii="宋体" w:hAnsi="宋体" w:eastAsia="宋体" w:cs="宋体"/>
          <w:b/>
          <w:bCs/>
          <w:kern w:val="2"/>
          <w:lang w:eastAsia="zh-CN"/>
        </w:rPr>
      </w:pPr>
      <w:r>
        <w:rPr>
          <w:rFonts w:hint="eastAsia" w:ascii="宋体" w:hAnsi="宋体" w:eastAsia="宋体" w:cs="宋体"/>
          <w:b/>
          <w:bCs/>
          <w:kern w:val="2"/>
          <w:lang w:eastAsia="zh-CN"/>
        </w:rPr>
        <w:t>2、沂源县</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根据淄博市生态环境局沂源分局公布的2020年1-9月份沂源环境空气质量现状可知，沂源县2020年1-9月份的空气质量情况，具体数据见表5.1.1-2。</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根据淄博市生态环境局公布的2020年10-12月份《大气环境质量情况》可知，沂源县2020年10-12月份及2020年全年的空气质量情况，具体数据见表5.1.1-2。</w:t>
      </w:r>
    </w:p>
    <w:p>
      <w:pPr>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表5.1.1-2  2020年1-12月沂源县空气质量情况一览表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43"/>
        <w:gridCol w:w="1060"/>
        <w:gridCol w:w="1181"/>
        <w:gridCol w:w="1165"/>
        <w:gridCol w:w="1144"/>
        <w:gridCol w:w="1282"/>
        <w:gridCol w:w="12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月份</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PM</w:t>
            </w:r>
            <w:r>
              <w:rPr>
                <w:rFonts w:hint="eastAsia" w:ascii="宋体" w:hAnsi="宋体" w:eastAsia="宋体" w:cs="宋体"/>
                <w:b/>
                <w:bCs/>
                <w:kern w:val="2"/>
                <w:sz w:val="21"/>
                <w:szCs w:val="21"/>
                <w:vertAlign w:val="subscript"/>
                <w:lang w:eastAsia="zh-CN"/>
              </w:rPr>
              <w:t>2.5</w:t>
            </w:r>
            <w:r>
              <w:rPr>
                <w:rFonts w:hint="eastAsia" w:ascii="宋体" w:hAnsi="宋体" w:eastAsia="宋体" w:cs="宋体"/>
                <w:b/>
                <w:bCs/>
                <w:kern w:val="2"/>
                <w:sz w:val="21"/>
                <w:szCs w:val="21"/>
                <w:lang w:eastAsia="zh-CN"/>
              </w:rPr>
              <w:t>（μg/m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PM</w:t>
            </w:r>
            <w:r>
              <w:rPr>
                <w:rFonts w:hint="eastAsia" w:ascii="宋体" w:hAnsi="宋体" w:eastAsia="宋体" w:cs="宋体"/>
                <w:b/>
                <w:bCs/>
                <w:kern w:val="2"/>
                <w:sz w:val="21"/>
                <w:szCs w:val="21"/>
                <w:vertAlign w:val="subscript"/>
                <w:lang w:eastAsia="zh-CN"/>
              </w:rPr>
              <w:t>10</w:t>
            </w:r>
            <w:r>
              <w:rPr>
                <w:rFonts w:hint="eastAsia" w:ascii="宋体" w:hAnsi="宋体" w:eastAsia="宋体" w:cs="宋体"/>
                <w:b/>
                <w:bCs/>
                <w:kern w:val="2"/>
                <w:sz w:val="21"/>
                <w:szCs w:val="21"/>
                <w:lang w:eastAsia="zh-CN"/>
              </w:rPr>
              <w:t>（μg/m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SO</w:t>
            </w:r>
            <w:r>
              <w:rPr>
                <w:rFonts w:hint="eastAsia" w:ascii="宋体" w:hAnsi="宋体" w:eastAsia="宋体" w:cs="宋体"/>
                <w:b/>
                <w:bCs/>
                <w:kern w:val="2"/>
                <w:sz w:val="21"/>
                <w:szCs w:val="21"/>
                <w:vertAlign w:val="subscript"/>
                <w:lang w:eastAsia="zh-CN"/>
              </w:rPr>
              <w:t>2</w:t>
            </w:r>
            <w:r>
              <w:rPr>
                <w:rFonts w:hint="eastAsia" w:ascii="宋体" w:hAnsi="宋体" w:eastAsia="宋体" w:cs="宋体"/>
                <w:b/>
                <w:bCs/>
                <w:kern w:val="2"/>
                <w:sz w:val="21"/>
                <w:szCs w:val="21"/>
                <w:lang w:eastAsia="zh-CN"/>
              </w:rPr>
              <w:t>（μg/m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NO</w:t>
            </w:r>
            <w:r>
              <w:rPr>
                <w:rFonts w:hint="eastAsia" w:ascii="宋体" w:hAnsi="宋体" w:eastAsia="宋体" w:cs="宋体"/>
                <w:b/>
                <w:bCs/>
                <w:kern w:val="2"/>
                <w:sz w:val="21"/>
                <w:szCs w:val="21"/>
                <w:vertAlign w:val="subscript"/>
                <w:lang w:eastAsia="zh-CN"/>
              </w:rPr>
              <w:t>2</w:t>
            </w:r>
            <w:r>
              <w:rPr>
                <w:rFonts w:hint="eastAsia" w:ascii="宋体" w:hAnsi="宋体" w:eastAsia="宋体" w:cs="宋体"/>
                <w:b/>
                <w:bCs/>
                <w:kern w:val="2"/>
                <w:sz w:val="21"/>
                <w:szCs w:val="21"/>
                <w:lang w:eastAsia="zh-CN"/>
              </w:rPr>
              <w:t>（μg/m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CO 95Per</w:t>
            </w:r>
          </w:p>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(mg/m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O</w:t>
            </w:r>
            <w:r>
              <w:rPr>
                <w:rFonts w:hint="eastAsia" w:ascii="宋体" w:hAnsi="宋体" w:eastAsia="宋体" w:cs="宋体"/>
                <w:b/>
                <w:bCs/>
                <w:kern w:val="2"/>
                <w:sz w:val="21"/>
                <w:szCs w:val="21"/>
                <w:vertAlign w:val="subscript"/>
                <w:lang w:eastAsia="zh-CN"/>
              </w:rPr>
              <w:t>3</w:t>
            </w:r>
            <w:r>
              <w:rPr>
                <w:rFonts w:hint="eastAsia" w:ascii="宋体" w:hAnsi="宋体" w:eastAsia="宋体" w:cs="宋体"/>
                <w:b/>
                <w:bCs/>
                <w:kern w:val="2"/>
                <w:sz w:val="21"/>
                <w:szCs w:val="21"/>
                <w:lang w:eastAsia="zh-CN"/>
              </w:rPr>
              <w:t xml:space="preserve"> 90Per</w:t>
            </w:r>
          </w:p>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（μg/m</w:t>
            </w:r>
            <w:r>
              <w:rPr>
                <w:rFonts w:hint="eastAsia" w:ascii="宋体" w:hAnsi="宋体" w:eastAsia="宋体" w:cs="宋体"/>
                <w:b/>
                <w:bCs/>
                <w:kern w:val="2"/>
                <w:sz w:val="21"/>
                <w:szCs w:val="21"/>
                <w:vertAlign w:val="superscript"/>
                <w:lang w:eastAsia="zh-CN"/>
              </w:rPr>
              <w:t>3</w:t>
            </w:r>
            <w:r>
              <w:rPr>
                <w:rFonts w:hint="eastAsia" w:ascii="宋体" w:hAnsi="宋体" w:eastAsia="宋体" w:cs="宋体"/>
                <w:b/>
                <w:bCs/>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86</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107</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53</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68</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49</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84</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39</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71</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30</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57</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32</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57</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27</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39</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21</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33</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49</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45</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75</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56</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80</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36</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平均值</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 xml:space="preserve">46 </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64 </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9 </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20 </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1.2 </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154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2020年综合大气情况</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45</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69</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标准</w:t>
            </w:r>
          </w:p>
        </w:tc>
        <w:tc>
          <w:tcPr>
            <w:tcW w:w="5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35</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70</w:t>
            </w:r>
          </w:p>
        </w:tc>
        <w:tc>
          <w:tcPr>
            <w:tcW w:w="62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60</w:t>
            </w:r>
          </w:p>
        </w:tc>
        <w:tc>
          <w:tcPr>
            <w:tcW w:w="61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40</w:t>
            </w:r>
          </w:p>
        </w:tc>
        <w:tc>
          <w:tcPr>
            <w:tcW w:w="68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4</w:t>
            </w:r>
          </w:p>
        </w:tc>
        <w:tc>
          <w:tcPr>
            <w:tcW w:w="6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160</w:t>
            </w:r>
          </w:p>
        </w:tc>
      </w:tr>
    </w:tbl>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由上表可知，项目所在区域（沂源县）超过《环境空气质量标准》（GB 3095-2012）中二级标准限值的污染物是PM</w:t>
      </w:r>
      <w:r>
        <w:rPr>
          <w:rFonts w:hint="eastAsia" w:ascii="宋体" w:hAnsi="宋体" w:eastAsia="宋体" w:cs="宋体"/>
          <w:kern w:val="2"/>
          <w:vertAlign w:val="subscript"/>
          <w:lang w:eastAsia="zh-CN"/>
        </w:rPr>
        <w:t>2.5</w:t>
      </w:r>
      <w:r>
        <w:rPr>
          <w:rFonts w:hint="eastAsia" w:ascii="宋体" w:hAnsi="宋体" w:eastAsia="宋体" w:cs="宋体"/>
          <w:kern w:val="2"/>
          <w:lang w:eastAsia="zh-CN"/>
        </w:rPr>
        <w:t>，项目所在地为非达标区。</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由沂水县和沂源县2020年环境空气质量现状可知，</w:t>
      </w:r>
      <w:r>
        <w:rPr>
          <w:rFonts w:hint="eastAsia" w:cs="宋体"/>
          <w:kern w:val="2"/>
          <w:lang w:eastAsia="zh-CN"/>
        </w:rPr>
        <w:t>本项目</w:t>
      </w:r>
      <w:r>
        <w:rPr>
          <w:rFonts w:hint="eastAsia" w:ascii="宋体" w:hAnsi="宋体" w:eastAsia="宋体" w:cs="宋体"/>
          <w:kern w:val="2"/>
          <w:lang w:eastAsia="zh-CN"/>
        </w:rPr>
        <w:t>所在地为非达标区。</w:t>
      </w:r>
    </w:p>
    <w:p>
      <w:pPr>
        <w:pStyle w:val="7"/>
        <w:rPr>
          <w:rFonts w:hint="eastAsia" w:ascii="宋体" w:hAnsi="宋体" w:eastAsia="宋体" w:cs="宋体"/>
          <w:lang w:eastAsia="zh-CN"/>
        </w:rPr>
      </w:pPr>
      <w:r>
        <w:rPr>
          <w:rFonts w:hint="eastAsia" w:ascii="宋体" w:hAnsi="宋体" w:eastAsia="宋体" w:cs="宋体"/>
          <w:lang w:eastAsia="zh-CN"/>
        </w:rPr>
        <w:t>5.1.2 其他污染物环境空气质量现状</w:t>
      </w:r>
    </w:p>
    <w:p>
      <w:pPr>
        <w:pStyle w:val="8"/>
        <w:rPr>
          <w:rFonts w:hint="eastAsia" w:ascii="宋体" w:hAnsi="宋体" w:eastAsia="宋体" w:cs="宋体"/>
          <w:lang w:eastAsia="zh-CN"/>
        </w:rPr>
      </w:pPr>
      <w:r>
        <w:rPr>
          <w:rFonts w:hint="eastAsia" w:ascii="宋体" w:hAnsi="宋体" w:eastAsia="宋体" w:cs="宋体"/>
          <w:lang w:eastAsia="zh-CN"/>
        </w:rPr>
        <w:t>5.1.2.1 监测点位</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根据《环境影响评价技术导则大气环境》（HJ 2.2-2018）规定，对其他污染物：TSP进行为期7d的补充监测。</w:t>
      </w:r>
      <w:r>
        <w:rPr>
          <w:rFonts w:hint="eastAsia" w:cs="宋体"/>
          <w:kern w:val="2"/>
          <w:lang w:eastAsia="zh-CN"/>
        </w:rPr>
        <w:t>本项目</w:t>
      </w:r>
      <w:r>
        <w:rPr>
          <w:rFonts w:hint="eastAsia" w:ascii="宋体" w:hAnsi="宋体" w:eastAsia="宋体" w:cs="宋体"/>
          <w:kern w:val="2"/>
          <w:lang w:eastAsia="zh-CN"/>
        </w:rPr>
        <w:t>所在区域内主导风向为南风。耿家林村位于王峪矿段下风向5km范围内，符合《环境影响评价技术导则大气环境》（HJ2.2-2018）要求。</w:t>
      </w:r>
    </w:p>
    <w:p>
      <w:pPr>
        <w:pStyle w:val="16"/>
        <w:ind w:firstLine="560"/>
        <w:rPr>
          <w:rFonts w:hint="eastAsia" w:ascii="宋体" w:hAnsi="宋体" w:eastAsia="宋体" w:cs="宋体"/>
        </w:rPr>
      </w:pPr>
      <w:r>
        <w:rPr>
          <w:rFonts w:hint="eastAsia" w:ascii="宋体" w:hAnsi="宋体" w:eastAsia="宋体" w:cs="宋体"/>
        </w:rPr>
        <w:t>环境空气监测点位情况详见表5.1.2-1、图5.1.2-2。</w:t>
      </w:r>
    </w:p>
    <w:p>
      <w:pPr>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表5.1.2-1 监测点位基本信息表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6"/>
        <w:gridCol w:w="1791"/>
        <w:gridCol w:w="2142"/>
        <w:gridCol w:w="1748"/>
        <w:gridCol w:w="1185"/>
        <w:gridCol w:w="1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vMerge w:val="restart"/>
            <w:tcBorders>
              <w:top w:val="single" w:color="auto" w:sz="12" w:space="0"/>
              <w:lef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监测点位</w:t>
            </w:r>
          </w:p>
        </w:tc>
        <w:tc>
          <w:tcPr>
            <w:tcW w:w="2098" w:type="pct"/>
            <w:gridSpan w:val="2"/>
            <w:tcBorders>
              <w:top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监测点坐标</w:t>
            </w:r>
          </w:p>
        </w:tc>
        <w:tc>
          <w:tcPr>
            <w:tcW w:w="946" w:type="pct"/>
            <w:vMerge w:val="restart"/>
            <w:tcBorders>
              <w:top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监测因子</w:t>
            </w:r>
          </w:p>
        </w:tc>
        <w:tc>
          <w:tcPr>
            <w:tcW w:w="643" w:type="pct"/>
            <w:vMerge w:val="restart"/>
            <w:tcBorders>
              <w:top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相对矿区位置</w:t>
            </w:r>
          </w:p>
        </w:tc>
        <w:tc>
          <w:tcPr>
            <w:tcW w:w="688" w:type="pct"/>
            <w:vMerge w:val="restart"/>
            <w:tcBorders>
              <w:top w:val="single" w:color="auto" w:sz="12" w:space="0"/>
              <w:righ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vMerge w:val="continue"/>
            <w:tcBorders>
              <w:lef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940" w:type="pct"/>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X</w:t>
            </w:r>
          </w:p>
        </w:tc>
        <w:tc>
          <w:tcPr>
            <w:tcW w:w="1157" w:type="pct"/>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Y</w:t>
            </w:r>
          </w:p>
        </w:tc>
        <w:tc>
          <w:tcPr>
            <w:tcW w:w="946" w:type="pct"/>
            <w:vMerge w:val="continue"/>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643" w:type="pct"/>
            <w:vMerge w:val="continue"/>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688" w:type="pct"/>
            <w:vMerge w:val="continue"/>
            <w:tcBorders>
              <w:righ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2" w:type="pct"/>
            <w:tcBorders>
              <w:left w:val="single" w:color="auto" w:sz="12" w:space="0"/>
              <w:bottom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耿家林村</w:t>
            </w:r>
          </w:p>
        </w:tc>
        <w:tc>
          <w:tcPr>
            <w:tcW w:w="940" w:type="pct"/>
            <w:tcBorders>
              <w:bottom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35°57′33.06″</w:t>
            </w:r>
          </w:p>
        </w:tc>
        <w:tc>
          <w:tcPr>
            <w:tcW w:w="1157" w:type="pct"/>
            <w:tcBorders>
              <w:bottom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118°27′11.69″</w:t>
            </w:r>
          </w:p>
        </w:tc>
        <w:tc>
          <w:tcPr>
            <w:tcW w:w="946" w:type="pct"/>
            <w:tcBorders>
              <w:bottom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TSP（日均值）</w:t>
            </w:r>
          </w:p>
        </w:tc>
        <w:tc>
          <w:tcPr>
            <w:tcW w:w="643" w:type="pct"/>
            <w:tcBorders>
              <w:bottom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w:t>
            </w:r>
          </w:p>
        </w:tc>
        <w:tc>
          <w:tcPr>
            <w:tcW w:w="688" w:type="pct"/>
            <w:tcBorders>
              <w:bottom w:val="single" w:color="auto" w:sz="12" w:space="0"/>
              <w:righ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紧邻</w:t>
            </w:r>
          </w:p>
        </w:tc>
      </w:tr>
    </w:tbl>
    <w:p>
      <w:pPr>
        <w:pStyle w:val="8"/>
        <w:rPr>
          <w:rFonts w:hint="eastAsia" w:ascii="宋体" w:hAnsi="宋体" w:eastAsia="宋体" w:cs="宋体"/>
          <w:lang w:eastAsia="zh-CN"/>
        </w:rPr>
      </w:pPr>
      <w:r>
        <w:rPr>
          <w:rFonts w:hint="eastAsia" w:ascii="宋体" w:hAnsi="宋体" w:eastAsia="宋体" w:cs="宋体"/>
          <w:lang w:eastAsia="zh-CN"/>
        </w:rPr>
        <w:t>5.1.2.2 监测时间与频率</w:t>
      </w:r>
    </w:p>
    <w:p>
      <w:pPr>
        <w:pStyle w:val="14"/>
        <w:ind w:firstLine="560"/>
        <w:rPr>
          <w:rFonts w:hint="eastAsia" w:ascii="宋体" w:hAnsi="宋体" w:eastAsia="宋体" w:cs="宋体"/>
          <w:kern w:val="2"/>
          <w:lang w:eastAsia="zh-CN"/>
        </w:rPr>
      </w:pPr>
      <w:r>
        <w:rPr>
          <w:rFonts w:hint="eastAsia" w:ascii="宋体" w:hAnsi="宋体" w:eastAsia="宋体" w:cs="宋体"/>
        </w:rPr>
        <w:fldChar w:fldCharType="begin"/>
      </w:r>
      <w:r>
        <w:rPr>
          <w:rFonts w:hint="eastAsia" w:ascii="宋体" w:hAnsi="宋体" w:eastAsia="宋体" w:cs="宋体"/>
        </w:rPr>
        <w:instrText xml:space="preserve"> HYPERLINK "https://qdponytest.51pla.com/" \o "青岛谱尼测试有限公司" </w:instrText>
      </w:r>
      <w:r>
        <w:rPr>
          <w:rFonts w:hint="eastAsia" w:ascii="宋体" w:hAnsi="宋体" w:eastAsia="宋体" w:cs="宋体"/>
        </w:rPr>
        <w:fldChar w:fldCharType="separate"/>
      </w:r>
      <w:r>
        <w:rPr>
          <w:rFonts w:hint="eastAsia" w:ascii="宋体" w:hAnsi="宋体" w:eastAsia="宋体" w:cs="宋体"/>
          <w:kern w:val="2"/>
          <w:lang w:eastAsia="zh-CN"/>
        </w:rPr>
        <w:t>青岛谱尼测试有限公司</w:t>
      </w:r>
      <w:r>
        <w:rPr>
          <w:rFonts w:hint="eastAsia" w:ascii="宋体" w:hAnsi="宋体" w:eastAsia="宋体" w:cs="宋体"/>
          <w:kern w:val="2"/>
          <w:lang w:eastAsia="zh-CN"/>
        </w:rPr>
        <w:fldChar w:fldCharType="end"/>
      </w:r>
      <w:r>
        <w:rPr>
          <w:rFonts w:hint="eastAsia" w:ascii="宋体" w:hAnsi="宋体" w:eastAsia="宋体" w:cs="宋体"/>
          <w:kern w:val="2"/>
          <w:lang w:eastAsia="zh-CN"/>
        </w:rPr>
        <w:t>于2021年7月2日至7月9日，进行为期7天的采样监测。TSP日均值监测时间24h，并同步记录风向、风速、气压、气温等气象资料。</w:t>
      </w:r>
    </w:p>
    <w:p>
      <w:pPr>
        <w:pStyle w:val="8"/>
        <w:rPr>
          <w:rFonts w:hint="eastAsia" w:ascii="宋体" w:hAnsi="宋体" w:eastAsia="宋体" w:cs="宋体"/>
          <w:lang w:eastAsia="zh-CN"/>
        </w:rPr>
      </w:pPr>
      <w:r>
        <w:rPr>
          <w:rFonts w:hint="eastAsia" w:ascii="宋体" w:hAnsi="宋体" w:eastAsia="宋体" w:cs="宋体"/>
          <w:lang w:eastAsia="zh-CN"/>
        </w:rPr>
        <w:t>5.1.2.3 监测方法</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 xml:space="preserve">采样和监测方法按国家环保总局颁布的《环境监测技术规范》执行；分析方法按《环境空气质量标准》（GB3095-2012）的要求进行，详见表5.1.2-2。 </w:t>
      </w:r>
    </w:p>
    <w:p>
      <w:pPr>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表5.1.2-2 大气污染物监测分析方法</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9"/>
        <w:gridCol w:w="4522"/>
        <w:gridCol w:w="1883"/>
        <w:gridCol w:w="16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pct"/>
            <w:tcBorders>
              <w:top w:val="single" w:color="auto" w:sz="12" w:space="0"/>
              <w:lef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监测项目</w:t>
            </w:r>
          </w:p>
        </w:tc>
        <w:tc>
          <w:tcPr>
            <w:tcW w:w="2435" w:type="pct"/>
            <w:tcBorders>
              <w:top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标准方法</w:t>
            </w:r>
          </w:p>
        </w:tc>
        <w:tc>
          <w:tcPr>
            <w:tcW w:w="1014" w:type="pct"/>
            <w:tcBorders>
              <w:top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标准号</w:t>
            </w:r>
          </w:p>
        </w:tc>
        <w:tc>
          <w:tcPr>
            <w:tcW w:w="883" w:type="pct"/>
            <w:tcBorders>
              <w:top w:val="single" w:color="auto" w:sz="12" w:space="0"/>
              <w:righ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检出限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67" w:type="pct"/>
            <w:tcBorders>
              <w:left w:val="single" w:color="auto" w:sz="12" w:space="0"/>
              <w:bottom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TSP</w:t>
            </w:r>
          </w:p>
        </w:tc>
        <w:tc>
          <w:tcPr>
            <w:tcW w:w="2435" w:type="pct"/>
            <w:tcBorders>
              <w:bottom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环境空气 总悬浮颗粒物的测定 重量法</w:t>
            </w:r>
          </w:p>
        </w:tc>
        <w:tc>
          <w:tcPr>
            <w:tcW w:w="1014" w:type="pct"/>
            <w:tcBorders>
              <w:bottom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GB/T 15432-1995</w:t>
            </w:r>
          </w:p>
        </w:tc>
        <w:tc>
          <w:tcPr>
            <w:tcW w:w="883" w:type="pct"/>
            <w:tcBorders>
              <w:bottom w:val="single" w:color="auto" w:sz="12" w:space="0"/>
              <w:right w:val="single" w:color="auto" w:sz="12" w:space="0"/>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0.001mg/m</w:t>
            </w:r>
            <w:r>
              <w:rPr>
                <w:rFonts w:hint="eastAsia" w:ascii="宋体" w:hAnsi="宋体" w:eastAsia="宋体" w:cs="宋体"/>
                <w:kern w:val="2"/>
                <w:sz w:val="21"/>
                <w:szCs w:val="21"/>
                <w:vertAlign w:val="superscript"/>
                <w:lang w:eastAsia="zh-CN"/>
              </w:rPr>
              <w:t>3</w:t>
            </w:r>
          </w:p>
        </w:tc>
      </w:tr>
    </w:tbl>
    <w:p>
      <w:pPr>
        <w:pStyle w:val="8"/>
        <w:rPr>
          <w:rFonts w:hint="eastAsia" w:ascii="宋体" w:hAnsi="宋体" w:eastAsia="宋体" w:cs="宋体"/>
          <w:lang w:eastAsia="zh-CN"/>
        </w:rPr>
      </w:pPr>
      <w:r>
        <w:rPr>
          <w:rFonts w:hint="eastAsia" w:ascii="宋体" w:hAnsi="宋体" w:eastAsia="宋体" w:cs="宋体"/>
          <w:lang w:eastAsia="zh-CN"/>
        </w:rPr>
        <w:t>5.1.2.4 监测结果</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 xml:space="preserve"> 大气环境质量现状监测统计结果见表5.1.2-3。</w:t>
      </w:r>
    </w:p>
    <w:p>
      <w:pPr>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表5.1.2-3 大气环境质量现状监测结果</w:t>
      </w:r>
    </w:p>
    <w:tbl>
      <w:tblPr>
        <w:tblStyle w:val="25"/>
        <w:tblW w:w="928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27"/>
        <w:gridCol w:w="2430"/>
        <w:gridCol w:w="2165"/>
        <w:gridCol w:w="2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827"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430"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监测日期</w:t>
            </w:r>
          </w:p>
        </w:tc>
        <w:tc>
          <w:tcPr>
            <w:tcW w:w="2165"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监测点位</w:t>
            </w:r>
          </w:p>
        </w:tc>
        <w:tc>
          <w:tcPr>
            <w:tcW w:w="2866"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TSP日均值（μg/m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430"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2021.07.02</w:t>
            </w:r>
          </w:p>
        </w:tc>
        <w:tc>
          <w:tcPr>
            <w:tcW w:w="2165"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耿家林村</w:t>
            </w:r>
          </w:p>
        </w:tc>
        <w:tc>
          <w:tcPr>
            <w:tcW w:w="2866"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430"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2021.07.04</w:t>
            </w:r>
          </w:p>
        </w:tc>
        <w:tc>
          <w:tcPr>
            <w:tcW w:w="2165"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耿家林村</w:t>
            </w:r>
          </w:p>
        </w:tc>
        <w:tc>
          <w:tcPr>
            <w:tcW w:w="2866"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2430"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2021.07.05</w:t>
            </w:r>
          </w:p>
        </w:tc>
        <w:tc>
          <w:tcPr>
            <w:tcW w:w="2165"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耿家林村</w:t>
            </w:r>
          </w:p>
        </w:tc>
        <w:tc>
          <w:tcPr>
            <w:tcW w:w="2866"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2430"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2021.07.06</w:t>
            </w:r>
          </w:p>
        </w:tc>
        <w:tc>
          <w:tcPr>
            <w:tcW w:w="2165"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耿家林村</w:t>
            </w:r>
          </w:p>
        </w:tc>
        <w:tc>
          <w:tcPr>
            <w:tcW w:w="2866"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2430"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2021.07.07</w:t>
            </w:r>
          </w:p>
        </w:tc>
        <w:tc>
          <w:tcPr>
            <w:tcW w:w="2165"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耿家林村</w:t>
            </w:r>
          </w:p>
        </w:tc>
        <w:tc>
          <w:tcPr>
            <w:tcW w:w="2866"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2430"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2021.07.08</w:t>
            </w:r>
          </w:p>
        </w:tc>
        <w:tc>
          <w:tcPr>
            <w:tcW w:w="2165"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耿家林村</w:t>
            </w:r>
          </w:p>
        </w:tc>
        <w:tc>
          <w:tcPr>
            <w:tcW w:w="2866"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2430"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2021.07.09</w:t>
            </w:r>
          </w:p>
        </w:tc>
        <w:tc>
          <w:tcPr>
            <w:tcW w:w="2165"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耿家林村</w:t>
            </w:r>
          </w:p>
        </w:tc>
        <w:tc>
          <w:tcPr>
            <w:tcW w:w="2866" w:type="dxa"/>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115</w:t>
            </w:r>
          </w:p>
        </w:tc>
      </w:tr>
    </w:tbl>
    <w:p>
      <w:pPr>
        <w:pStyle w:val="8"/>
        <w:rPr>
          <w:rFonts w:hint="eastAsia" w:ascii="宋体" w:hAnsi="宋体" w:eastAsia="宋体" w:cs="宋体"/>
          <w:lang w:eastAsia="zh-CN"/>
        </w:rPr>
      </w:pPr>
      <w:r>
        <w:rPr>
          <w:rFonts w:hint="eastAsia" w:ascii="宋体" w:hAnsi="宋体" w:eastAsia="宋体" w:cs="宋体"/>
          <w:lang w:eastAsia="zh-CN"/>
        </w:rPr>
        <w:t>5.1.2.5 现状评价</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1、 评价标准</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环境空气执行《环境空气质量标准》（GB3095-2012）二级标准，</w:t>
      </w:r>
      <w:r>
        <w:rPr>
          <w:rFonts w:hint="eastAsia" w:cs="宋体"/>
          <w:kern w:val="2"/>
          <w:lang w:val="en-US" w:eastAsia="zh-CN"/>
        </w:rPr>
        <w:t>TSP 24小时平均为300μg/m</w:t>
      </w:r>
      <w:r>
        <w:rPr>
          <w:rFonts w:hint="eastAsia" w:cs="宋体"/>
          <w:kern w:val="2"/>
          <w:vertAlign w:val="superscript"/>
          <w:lang w:val="en-US" w:eastAsia="zh-CN"/>
        </w:rPr>
        <w:t>3</w:t>
      </w:r>
      <w:r>
        <w:rPr>
          <w:rFonts w:hint="eastAsia" w:ascii="宋体" w:hAnsi="宋体" w:eastAsia="宋体" w:cs="宋体"/>
          <w:kern w:val="2"/>
          <w:lang w:eastAsia="zh-CN"/>
        </w:rPr>
        <w:t>。</w:t>
      </w:r>
    </w:p>
    <w:p>
      <w:pPr>
        <w:autoSpaceDE/>
        <w:autoSpaceDN/>
        <w:ind w:left="480" w:leftChars="200" w:firstLine="0" w:firstLineChars="0"/>
        <w:jc w:val="both"/>
        <w:rPr>
          <w:rFonts w:hint="eastAsia" w:ascii="宋体" w:hAnsi="宋体" w:eastAsia="宋体" w:cs="宋体"/>
          <w:b/>
          <w:bCs/>
          <w:kern w:val="2"/>
          <w:lang w:eastAsia="zh-CN"/>
        </w:rPr>
      </w:pPr>
      <w:r>
        <w:rPr>
          <w:rFonts w:hint="eastAsia" w:ascii="宋体" w:hAnsi="宋体" w:eastAsia="宋体" w:cs="宋体"/>
          <w:b/>
          <w:bCs/>
          <w:kern w:val="2"/>
          <w:lang w:eastAsia="zh-CN"/>
        </w:rPr>
        <w:t>2、评价方法</w:t>
      </w:r>
    </w:p>
    <w:p>
      <w:pPr>
        <w:pStyle w:val="16"/>
        <w:autoSpaceDE/>
        <w:autoSpaceDN/>
        <w:ind w:firstLine="560"/>
        <w:rPr>
          <w:rFonts w:hint="eastAsia" w:ascii="宋体" w:hAnsi="宋体" w:eastAsia="宋体" w:cs="宋体"/>
        </w:rPr>
      </w:pPr>
      <w:r>
        <w:rPr>
          <w:rFonts w:hint="eastAsia" w:ascii="宋体" w:hAnsi="宋体" w:eastAsia="宋体" w:cs="宋体"/>
        </w:rPr>
        <w:t>环境空气质量评价采用环境空气质量浓度占标率，占标率计算公式为：</w:t>
      </w:r>
    </w:p>
    <w:p>
      <w:pPr>
        <w:autoSpaceDE/>
        <w:autoSpaceDN/>
        <w:ind w:left="480" w:leftChars="200" w:firstLine="2160" w:firstLineChars="900"/>
        <w:jc w:val="both"/>
        <w:rPr>
          <w:rFonts w:hint="eastAsia" w:ascii="宋体" w:hAnsi="宋体" w:eastAsia="宋体" w:cs="宋体"/>
          <w:kern w:val="2"/>
          <w:lang w:eastAsia="zh-CN"/>
        </w:rPr>
      </w:pPr>
      <w:r>
        <w:rPr>
          <w:rFonts w:hint="eastAsia" w:ascii="宋体" w:hAnsi="宋体" w:eastAsia="宋体" w:cs="宋体"/>
          <w:kern w:val="2"/>
          <w:lang w:eastAsia="zh-CN"/>
        </w:rPr>
        <w:t>P</w:t>
      </w:r>
      <w:r>
        <w:rPr>
          <w:rFonts w:hint="eastAsia" w:ascii="宋体" w:hAnsi="宋体" w:eastAsia="宋体" w:cs="宋体"/>
          <w:kern w:val="2"/>
          <w:vertAlign w:val="subscript"/>
          <w:lang w:eastAsia="zh-CN"/>
        </w:rPr>
        <w:t>i</w:t>
      </w:r>
      <w:r>
        <w:rPr>
          <w:rFonts w:hint="eastAsia" w:ascii="宋体" w:hAnsi="宋体" w:eastAsia="宋体" w:cs="宋体"/>
          <w:kern w:val="2"/>
          <w:lang w:eastAsia="zh-CN"/>
        </w:rPr>
        <w:t>=C</w:t>
      </w:r>
      <w:r>
        <w:rPr>
          <w:rFonts w:hint="eastAsia" w:ascii="宋体" w:hAnsi="宋体" w:eastAsia="宋体" w:cs="宋体"/>
          <w:kern w:val="2"/>
          <w:vertAlign w:val="subscript"/>
          <w:lang w:eastAsia="zh-CN"/>
        </w:rPr>
        <w:t>i</w:t>
      </w:r>
      <w:r>
        <w:rPr>
          <w:rFonts w:hint="eastAsia" w:ascii="宋体" w:hAnsi="宋体" w:eastAsia="宋体" w:cs="宋体"/>
          <w:kern w:val="2"/>
          <w:lang w:eastAsia="zh-CN"/>
        </w:rPr>
        <w:t>/C</w:t>
      </w:r>
      <w:r>
        <w:rPr>
          <w:rFonts w:hint="eastAsia" w:ascii="宋体" w:hAnsi="宋体" w:eastAsia="宋体" w:cs="宋体"/>
          <w:kern w:val="2"/>
          <w:vertAlign w:val="subscript"/>
          <w:lang w:eastAsia="zh-CN"/>
        </w:rPr>
        <w:t>0i</w:t>
      </w:r>
      <w:r>
        <w:rPr>
          <w:rFonts w:hint="eastAsia" w:ascii="宋体" w:hAnsi="宋体" w:eastAsia="宋体" w:cs="宋体"/>
          <w:kern w:val="2"/>
          <w:lang w:eastAsia="zh-CN"/>
        </w:rPr>
        <w:t>×100%</w:t>
      </w:r>
    </w:p>
    <w:p>
      <w:pPr>
        <w:pStyle w:val="16"/>
        <w:autoSpaceDE/>
        <w:autoSpaceDN/>
        <w:ind w:firstLine="560"/>
        <w:rPr>
          <w:rFonts w:hint="eastAsia" w:ascii="宋体" w:hAnsi="宋体" w:eastAsia="宋体" w:cs="宋体"/>
        </w:rPr>
      </w:pPr>
      <w:r>
        <w:rPr>
          <w:rFonts w:hint="eastAsia" w:ascii="宋体" w:hAnsi="宋体" w:eastAsia="宋体" w:cs="宋体"/>
        </w:rPr>
        <w:t>式中：P</w:t>
      </w:r>
      <w:r>
        <w:rPr>
          <w:rFonts w:hint="eastAsia" w:ascii="宋体" w:hAnsi="宋体" w:eastAsia="宋体" w:cs="宋体"/>
          <w:vertAlign w:val="subscript"/>
        </w:rPr>
        <w:t>i</w:t>
      </w:r>
      <w:r>
        <w:rPr>
          <w:rFonts w:hint="eastAsia" w:ascii="宋体" w:hAnsi="宋体" w:eastAsia="宋体" w:cs="宋体"/>
        </w:rPr>
        <w:t xml:space="preserve"> —第i个污染物的最大地面空气质量浓度占标率，%；</w:t>
      </w:r>
    </w:p>
    <w:p>
      <w:pPr>
        <w:pStyle w:val="16"/>
        <w:autoSpaceDE/>
        <w:autoSpaceDN/>
        <w:ind w:firstLine="960" w:firstLineChars="400"/>
        <w:rPr>
          <w:rFonts w:hint="eastAsia" w:ascii="宋体" w:hAnsi="宋体" w:eastAsia="宋体" w:cs="宋体"/>
        </w:rPr>
      </w:pPr>
      <w:r>
        <w:rPr>
          <w:rFonts w:hint="eastAsia" w:ascii="宋体" w:hAnsi="宋体" w:eastAsia="宋体" w:cs="宋体"/>
        </w:rPr>
        <w:t>C</w:t>
      </w:r>
      <w:r>
        <w:rPr>
          <w:rFonts w:hint="eastAsia" w:ascii="宋体" w:hAnsi="宋体" w:eastAsia="宋体" w:cs="宋体"/>
          <w:vertAlign w:val="subscript"/>
        </w:rPr>
        <w:t>i</w:t>
      </w:r>
      <w:r>
        <w:rPr>
          <w:rFonts w:hint="eastAsia" w:ascii="宋体" w:hAnsi="宋体" w:eastAsia="宋体" w:cs="宋体"/>
        </w:rPr>
        <w:t xml:space="preserve"> —第 i 个污染物的最大1 h地面空气质量浓度，μg/m</w:t>
      </w:r>
      <w:r>
        <w:rPr>
          <w:rFonts w:hint="eastAsia" w:ascii="宋体" w:hAnsi="宋体" w:eastAsia="宋体" w:cs="宋体"/>
          <w:vertAlign w:val="superscript"/>
        </w:rPr>
        <w:t>3</w:t>
      </w:r>
      <w:r>
        <w:rPr>
          <w:rFonts w:hint="eastAsia" w:ascii="宋体" w:hAnsi="宋体" w:eastAsia="宋体" w:cs="宋体"/>
        </w:rPr>
        <w:t>；</w:t>
      </w:r>
    </w:p>
    <w:p>
      <w:pPr>
        <w:pStyle w:val="16"/>
        <w:autoSpaceDE/>
        <w:autoSpaceDN/>
        <w:ind w:firstLine="960" w:firstLineChars="400"/>
        <w:rPr>
          <w:rFonts w:hint="eastAsia" w:ascii="宋体" w:hAnsi="宋体" w:eastAsia="宋体" w:cs="宋体"/>
        </w:rPr>
      </w:pPr>
      <w:r>
        <w:rPr>
          <w:rFonts w:hint="eastAsia" w:ascii="宋体" w:hAnsi="宋体" w:eastAsia="宋体" w:cs="宋体"/>
        </w:rPr>
        <w:t>C</w:t>
      </w:r>
      <w:r>
        <w:rPr>
          <w:rFonts w:hint="eastAsia" w:ascii="宋体" w:hAnsi="宋体" w:eastAsia="宋体" w:cs="宋体"/>
          <w:vertAlign w:val="subscript"/>
        </w:rPr>
        <w:t>0i</w:t>
      </w:r>
      <w:r>
        <w:rPr>
          <w:rFonts w:hint="eastAsia" w:ascii="宋体" w:hAnsi="宋体" w:eastAsia="宋体" w:cs="宋体"/>
        </w:rPr>
        <w:t xml:space="preserve"> —第i个污染物的环境空气质量浓度标准，μg/m</w:t>
      </w:r>
      <w:r>
        <w:rPr>
          <w:rFonts w:hint="eastAsia" w:ascii="宋体" w:hAnsi="宋体" w:eastAsia="宋体" w:cs="宋体"/>
          <w:vertAlign w:val="superscript"/>
        </w:rPr>
        <w:t>3</w:t>
      </w:r>
      <w:r>
        <w:rPr>
          <w:rFonts w:hint="eastAsia" w:ascii="宋体" w:hAnsi="宋体" w:eastAsia="宋体" w:cs="宋体"/>
        </w:rPr>
        <w:t>。</w:t>
      </w:r>
    </w:p>
    <w:p>
      <w:pPr>
        <w:pStyle w:val="16"/>
        <w:autoSpaceDE/>
        <w:autoSpaceDN/>
        <w:ind w:left="480" w:leftChars="200" w:firstLine="0" w:firstLineChars="0"/>
        <w:rPr>
          <w:rFonts w:hint="eastAsia" w:ascii="宋体" w:hAnsi="宋体" w:eastAsia="宋体" w:cs="宋体"/>
          <w:b/>
          <w:bCs/>
        </w:rPr>
      </w:pPr>
      <w:r>
        <w:rPr>
          <w:rFonts w:hint="eastAsia" w:ascii="宋体" w:hAnsi="宋体" w:eastAsia="宋体" w:cs="宋体"/>
          <w:b/>
          <w:bCs/>
        </w:rPr>
        <w:t>3、评价结果</w:t>
      </w:r>
    </w:p>
    <w:p>
      <w:pPr>
        <w:pStyle w:val="16"/>
        <w:autoSpaceDE/>
        <w:autoSpaceDN/>
        <w:ind w:left="480" w:leftChars="200" w:firstLine="0" w:firstLineChars="0"/>
        <w:rPr>
          <w:rFonts w:hint="eastAsia" w:ascii="宋体" w:hAnsi="宋体" w:eastAsia="宋体" w:cs="宋体"/>
        </w:rPr>
      </w:pPr>
      <w:r>
        <w:rPr>
          <w:rFonts w:hint="eastAsia" w:ascii="宋体" w:hAnsi="宋体" w:eastAsia="宋体" w:cs="宋体"/>
        </w:rPr>
        <w:t>评价结果详见表5.1.2-4。</w:t>
      </w:r>
    </w:p>
    <w:p>
      <w:pPr>
        <w:pStyle w:val="16"/>
        <w:autoSpaceDE/>
        <w:autoSpaceDN/>
        <w:spacing w:line="36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表5.1.2-4 大气环境质量现状评价结果</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1007"/>
        <w:gridCol w:w="1324"/>
        <w:gridCol w:w="1462"/>
        <w:gridCol w:w="1566"/>
        <w:gridCol w:w="1064"/>
        <w:gridCol w:w="1248"/>
        <w:gridCol w:w="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vMerge w:val="restart"/>
            <w:tcBorders>
              <w:top w:val="single" w:color="auto" w:sz="12" w:space="0"/>
              <w:left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监测点位</w:t>
            </w:r>
          </w:p>
        </w:tc>
        <w:tc>
          <w:tcPr>
            <w:tcW w:w="542" w:type="pct"/>
            <w:vMerge w:val="restart"/>
            <w:tcBorders>
              <w:top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污染物</w:t>
            </w:r>
          </w:p>
        </w:tc>
        <w:tc>
          <w:tcPr>
            <w:tcW w:w="713" w:type="pct"/>
            <w:vMerge w:val="restart"/>
            <w:tcBorders>
              <w:top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平均时间</w:t>
            </w:r>
          </w:p>
        </w:tc>
        <w:tc>
          <w:tcPr>
            <w:tcW w:w="787" w:type="pct"/>
            <w:vMerge w:val="restart"/>
            <w:tcBorders>
              <w:top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评价标准</w:t>
            </w:r>
          </w:p>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（μg/m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843" w:type="pct"/>
            <w:vMerge w:val="restart"/>
            <w:tcBorders>
              <w:top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监测浓度范围（μg/m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573" w:type="pct"/>
            <w:vMerge w:val="restart"/>
            <w:tcBorders>
              <w:top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最大浓度占标率（%）</w:t>
            </w:r>
          </w:p>
        </w:tc>
        <w:tc>
          <w:tcPr>
            <w:tcW w:w="672" w:type="pct"/>
            <w:vMerge w:val="restart"/>
            <w:tcBorders>
              <w:top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超标率（%）</w:t>
            </w:r>
          </w:p>
        </w:tc>
        <w:tc>
          <w:tcPr>
            <w:tcW w:w="435" w:type="pct"/>
            <w:vMerge w:val="restart"/>
            <w:tcBorders>
              <w:top w:val="single" w:color="auto" w:sz="12" w:space="0"/>
              <w:right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vMerge w:val="continue"/>
            <w:tcBorders>
              <w:left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jc w:val="both"/>
              <w:rPr>
                <w:rFonts w:hint="eastAsia" w:ascii="宋体" w:hAnsi="宋体" w:eastAsia="宋体" w:cs="宋体"/>
                <w:sz w:val="21"/>
                <w:szCs w:val="21"/>
              </w:rPr>
            </w:pPr>
          </w:p>
        </w:tc>
        <w:tc>
          <w:tcPr>
            <w:tcW w:w="542" w:type="pct"/>
            <w:vMerge w:val="continue"/>
            <w:vAlign w:val="center"/>
          </w:tcPr>
          <w:p>
            <w:pPr>
              <w:pStyle w:val="16"/>
              <w:keepNext w:val="0"/>
              <w:keepLines w:val="0"/>
              <w:suppressLineNumbers w:val="0"/>
              <w:autoSpaceDE/>
              <w:autoSpaceDN/>
              <w:spacing w:before="0" w:beforeAutospacing="0" w:after="0" w:afterAutospacing="0" w:line="240" w:lineRule="auto"/>
              <w:ind w:left="0" w:right="0"/>
              <w:jc w:val="both"/>
              <w:rPr>
                <w:rFonts w:hint="eastAsia" w:ascii="宋体" w:hAnsi="宋体" w:eastAsia="宋体" w:cs="宋体"/>
                <w:sz w:val="21"/>
                <w:szCs w:val="21"/>
              </w:rPr>
            </w:pPr>
          </w:p>
        </w:tc>
        <w:tc>
          <w:tcPr>
            <w:tcW w:w="713" w:type="pct"/>
            <w:vMerge w:val="continue"/>
            <w:vAlign w:val="center"/>
          </w:tcPr>
          <w:p>
            <w:pPr>
              <w:pStyle w:val="16"/>
              <w:keepNext w:val="0"/>
              <w:keepLines w:val="0"/>
              <w:suppressLineNumbers w:val="0"/>
              <w:autoSpaceDE/>
              <w:autoSpaceDN/>
              <w:spacing w:before="0" w:beforeAutospacing="0" w:after="0" w:afterAutospacing="0" w:line="240" w:lineRule="auto"/>
              <w:ind w:left="0" w:right="0"/>
              <w:jc w:val="both"/>
              <w:rPr>
                <w:rFonts w:hint="eastAsia" w:ascii="宋体" w:hAnsi="宋体" w:eastAsia="宋体" w:cs="宋体"/>
                <w:sz w:val="21"/>
                <w:szCs w:val="21"/>
              </w:rPr>
            </w:pPr>
          </w:p>
        </w:tc>
        <w:tc>
          <w:tcPr>
            <w:tcW w:w="787" w:type="pct"/>
            <w:vMerge w:val="continue"/>
            <w:vAlign w:val="center"/>
          </w:tcPr>
          <w:p>
            <w:pPr>
              <w:pStyle w:val="16"/>
              <w:keepNext w:val="0"/>
              <w:keepLines w:val="0"/>
              <w:suppressLineNumbers w:val="0"/>
              <w:autoSpaceDE/>
              <w:autoSpaceDN/>
              <w:spacing w:before="0" w:beforeAutospacing="0" w:after="0" w:afterAutospacing="0" w:line="240" w:lineRule="auto"/>
              <w:ind w:left="0" w:right="0"/>
              <w:jc w:val="both"/>
              <w:rPr>
                <w:rFonts w:hint="eastAsia" w:ascii="宋体" w:hAnsi="宋体" w:eastAsia="宋体" w:cs="宋体"/>
                <w:sz w:val="21"/>
                <w:szCs w:val="21"/>
              </w:rPr>
            </w:pPr>
          </w:p>
        </w:tc>
        <w:tc>
          <w:tcPr>
            <w:tcW w:w="843" w:type="pct"/>
            <w:vMerge w:val="continue"/>
            <w:vAlign w:val="center"/>
          </w:tcPr>
          <w:p>
            <w:pPr>
              <w:pStyle w:val="16"/>
              <w:keepNext w:val="0"/>
              <w:keepLines w:val="0"/>
              <w:suppressLineNumbers w:val="0"/>
              <w:autoSpaceDE/>
              <w:autoSpaceDN/>
              <w:spacing w:before="0" w:beforeAutospacing="0" w:after="0" w:afterAutospacing="0" w:line="240" w:lineRule="auto"/>
              <w:ind w:left="0" w:right="0"/>
              <w:jc w:val="both"/>
              <w:rPr>
                <w:rFonts w:hint="eastAsia" w:ascii="宋体" w:hAnsi="宋体" w:eastAsia="宋体" w:cs="宋体"/>
                <w:sz w:val="21"/>
                <w:szCs w:val="21"/>
              </w:rPr>
            </w:pPr>
          </w:p>
        </w:tc>
        <w:tc>
          <w:tcPr>
            <w:tcW w:w="573" w:type="pct"/>
            <w:vMerge w:val="continue"/>
            <w:vAlign w:val="center"/>
          </w:tcPr>
          <w:p>
            <w:pPr>
              <w:pStyle w:val="16"/>
              <w:keepNext w:val="0"/>
              <w:keepLines w:val="0"/>
              <w:suppressLineNumbers w:val="0"/>
              <w:autoSpaceDE/>
              <w:autoSpaceDN/>
              <w:spacing w:before="0" w:beforeAutospacing="0" w:after="0" w:afterAutospacing="0" w:line="240" w:lineRule="auto"/>
              <w:ind w:left="0" w:right="0"/>
              <w:jc w:val="both"/>
              <w:rPr>
                <w:rFonts w:hint="eastAsia" w:ascii="宋体" w:hAnsi="宋体" w:eastAsia="宋体" w:cs="宋体"/>
                <w:sz w:val="21"/>
                <w:szCs w:val="21"/>
              </w:rPr>
            </w:pPr>
          </w:p>
        </w:tc>
        <w:tc>
          <w:tcPr>
            <w:tcW w:w="672" w:type="pct"/>
            <w:vMerge w:val="continue"/>
            <w:vAlign w:val="center"/>
          </w:tcPr>
          <w:p>
            <w:pPr>
              <w:pStyle w:val="16"/>
              <w:keepNext w:val="0"/>
              <w:keepLines w:val="0"/>
              <w:suppressLineNumbers w:val="0"/>
              <w:autoSpaceDE/>
              <w:autoSpaceDN/>
              <w:spacing w:before="0" w:beforeAutospacing="0" w:after="0" w:afterAutospacing="0" w:line="240" w:lineRule="auto"/>
              <w:ind w:left="0" w:right="0"/>
              <w:jc w:val="both"/>
              <w:rPr>
                <w:rFonts w:hint="eastAsia" w:ascii="宋体" w:hAnsi="宋体" w:eastAsia="宋体" w:cs="宋体"/>
                <w:sz w:val="21"/>
                <w:szCs w:val="21"/>
              </w:rPr>
            </w:pPr>
          </w:p>
        </w:tc>
        <w:tc>
          <w:tcPr>
            <w:tcW w:w="435" w:type="pct"/>
            <w:vMerge w:val="continue"/>
            <w:tcBorders>
              <w:right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jc w:val="both"/>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tcBorders>
              <w:left w:val="single" w:color="auto" w:sz="12" w:space="0"/>
              <w:bottom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耿家林村</w:t>
            </w:r>
          </w:p>
        </w:tc>
        <w:tc>
          <w:tcPr>
            <w:tcW w:w="542" w:type="pct"/>
            <w:tcBorders>
              <w:bottom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TSP</w:t>
            </w:r>
          </w:p>
        </w:tc>
        <w:tc>
          <w:tcPr>
            <w:tcW w:w="713" w:type="pct"/>
            <w:tcBorders>
              <w:bottom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日均浓度</w:t>
            </w:r>
          </w:p>
        </w:tc>
        <w:tc>
          <w:tcPr>
            <w:tcW w:w="787" w:type="pct"/>
            <w:tcBorders>
              <w:bottom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300</w:t>
            </w:r>
          </w:p>
        </w:tc>
        <w:tc>
          <w:tcPr>
            <w:tcW w:w="843" w:type="pct"/>
            <w:tcBorders>
              <w:bottom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103~245</w:t>
            </w:r>
          </w:p>
        </w:tc>
        <w:tc>
          <w:tcPr>
            <w:tcW w:w="573" w:type="pct"/>
            <w:tcBorders>
              <w:bottom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82</w:t>
            </w:r>
          </w:p>
        </w:tc>
        <w:tc>
          <w:tcPr>
            <w:tcW w:w="672" w:type="pct"/>
            <w:tcBorders>
              <w:bottom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w:t>
            </w:r>
          </w:p>
        </w:tc>
        <w:tc>
          <w:tcPr>
            <w:tcW w:w="435" w:type="pct"/>
            <w:tcBorders>
              <w:bottom w:val="single" w:color="auto" w:sz="12" w:space="0"/>
              <w:right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达标</w:t>
            </w:r>
          </w:p>
        </w:tc>
      </w:tr>
    </w:tbl>
    <w:p>
      <w:pPr>
        <w:ind w:firstLine="560"/>
        <w:rPr>
          <w:rFonts w:hint="eastAsia" w:ascii="宋体" w:hAnsi="宋体" w:eastAsia="宋体" w:cs="宋体"/>
          <w:lang w:eastAsia="zh-CN"/>
        </w:rPr>
      </w:pPr>
      <w:r>
        <w:rPr>
          <w:rFonts w:hint="eastAsia" w:ascii="宋体" w:hAnsi="宋体" w:eastAsia="宋体" w:cs="宋体"/>
          <w:lang w:eastAsia="zh-CN"/>
        </w:rPr>
        <w:t>由表5.1.2-4可知，TSP能满足《环境空气质量标准》（GB3095-2012）二级标准。</w:t>
      </w:r>
    </w:p>
    <w:p>
      <w:pPr>
        <w:pStyle w:val="7"/>
        <w:rPr>
          <w:rFonts w:hint="eastAsia" w:ascii="宋体" w:hAnsi="宋体" w:eastAsia="宋体" w:cs="宋体"/>
          <w:lang w:eastAsia="zh-CN"/>
        </w:rPr>
      </w:pPr>
      <w:r>
        <w:rPr>
          <w:rFonts w:hint="eastAsia" w:ascii="宋体" w:hAnsi="宋体" w:eastAsia="宋体" w:cs="宋体"/>
          <w:lang w:eastAsia="zh-CN"/>
        </w:rPr>
        <w:t>5..1.3 区域大气治理措施</w:t>
      </w:r>
    </w:p>
    <w:p>
      <w:pPr>
        <w:ind w:firstLine="560"/>
        <w:rPr>
          <w:rFonts w:hint="eastAsia" w:ascii="宋体" w:hAnsi="宋体" w:eastAsia="宋体" w:cs="宋体"/>
          <w:lang w:eastAsia="zh-CN"/>
        </w:rPr>
      </w:pPr>
      <w:r>
        <w:rPr>
          <w:rFonts w:hint="eastAsia" w:ascii="宋体" w:hAnsi="宋体" w:eastAsia="宋体" w:cs="宋体"/>
          <w:lang w:eastAsia="zh-CN"/>
        </w:rPr>
        <w:t>根据沂源县人民政府《关于印发沂源县打赢蓝天保卫战三年实施方案（2018-2020年）的通知》，临沂市人民政府《关于印发临沂市打赢蓝天保卫战作战方案暨2018-2020年大气污染防治攻坚行动实施方案的通知》（临政发〔2018〕19号），区域改善措施见表5.1.3-1。</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表5.1.3-1 区域大气改善措施</w:t>
      </w:r>
    </w:p>
    <w:tbl>
      <w:tblPr>
        <w:tblStyle w:val="2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05"/>
        <w:gridCol w:w="853"/>
        <w:gridCol w:w="4458"/>
        <w:gridCol w:w="3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72" w:type="pct"/>
            <w:vMerge w:val="restar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sz w:val="21"/>
                <w:szCs w:val="21"/>
                <w:lang w:eastAsia="zh-CN" w:bidi="ar"/>
              </w:rPr>
              <w:t>序号</w:t>
            </w:r>
          </w:p>
        </w:tc>
        <w:tc>
          <w:tcPr>
            <w:tcW w:w="459" w:type="pct"/>
            <w:vMerge w:val="restar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sz w:val="21"/>
                <w:szCs w:val="21"/>
                <w:lang w:eastAsia="zh-CN" w:bidi="ar"/>
              </w:rPr>
              <w:t>类别</w:t>
            </w:r>
          </w:p>
        </w:tc>
        <w:tc>
          <w:tcPr>
            <w:tcW w:w="4267" w:type="pct"/>
            <w:gridSpan w:val="2"/>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sz w:val="21"/>
                <w:szCs w:val="21"/>
                <w:lang w:eastAsia="zh-CN" w:bidi="ar"/>
              </w:rPr>
              <w:t>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7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p>
        </w:tc>
        <w:tc>
          <w:tcPr>
            <w:tcW w:w="459"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p>
        </w:tc>
        <w:tc>
          <w:tcPr>
            <w:tcW w:w="23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sz w:val="21"/>
                <w:szCs w:val="21"/>
                <w:lang w:eastAsia="zh-CN" w:bidi="ar"/>
              </w:rPr>
              <w:t>沂源县</w:t>
            </w:r>
          </w:p>
        </w:tc>
        <w:tc>
          <w:tcPr>
            <w:tcW w:w="1868"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textAlignment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sz w:val="21"/>
                <w:szCs w:val="21"/>
                <w:lang w:eastAsia="zh-CN" w:bidi="ar"/>
              </w:rPr>
              <w:t>临沂市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1</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煤炭消费总量控制</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严格落实省、市对煤炭消费总量控制和减量替代工作的部署，实严格落实《淄博市煤炭总量控制工作方案》（字淄政办字〔2017〕143号）有关要求，合理制定我县煤炭总量控制工作方案并认真组织实施，将全县煤炭消费压减任务分解落实到各镇、街道，经济开发，确保完成省、市节能环保约束性指标，实现全县煤炭消费总量和比重稳步下降。</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全市范围内禁止新建35吨/时及以下燃煤设施（含煤粉锅炉）；除规划的集中供热设施外，全市大气污染物排放重点控制区、各类工业园区内，禁止新上燃煤设施（含煤粉锅炉）。完善煤炭替代审查制度，提高煤炭利用效率低的行业煤炭减量替代系数。对确需建设的耗煤项目，必须实施“以新带老”且实现煤炭消费和污染物排放总量“减量替代”，严格落实替代源及替代比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2</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强力推进燃煤锅炉综合整治</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全县范围内淘汰35蒸吨/小时以下燃煤锅炉（高效煤粉炉除外，不含35整吨/小时）。全县范围内禁止新上35蒸吨/小时以下燃煤锅炉。加大对热电联产机组技术改造力度。加快供热管网建设，充分释放和提高供热能力，淘汰管网覆盖范围内的燃煤锅炉和散煤。</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2020年9月30日前，淘汰全市35吨/小时及以下燃煤锅炉。确因集中供热需延期关停替代的，在完成年度空气质量改善目标的前提下，由县区政府确定延长时限。65吨/小时及以上燃煤锅炉全部完成节能改造。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3</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大力推动清洁取暖</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扩大集中供热范围，加强集中供热热源和配套管网建设，支持跨区联片热电联产项目建设。加快农村“煤改电”电网升级改造，统筹推进“煤改电”输变电工程建设</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持续加大热源改造、供热管网、换热站等供热设施建设力度，扩大集中供热范围。支持跨区联片热电联产项目建设，以热水为供热介质的热电联产项目，20公里供热半径内原则上不再另行规划建设非清洁能源热电联产机组；以蒸汽为供热介质的热电联产项目，10公里供热半径内原则上不再另行规划建设非清洁能源热源点。</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4</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大力发展清洁能源</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因地制宜规模化开发利用风能、太阳能、生物质能等新能源和可再生能源资源。</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因地制宜规模化开发利用风能、太阳能、生物质能、水电等新能源和可再生能源资源。</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5</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严格控制“两高”行业新增产能</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全县范围内禁止新增钢铁、焦化、电解铝、铸造、水泥和平板玻璃等产能；严格执行水泥等行业产能置换实施办法。</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严禁水泥、平板玻璃、电解铝、焦化、铸造等行业新增产能，新增“两高”行业项目必须严格实施减量置换。新项目一旦投产，被整合替代的老项目必须同时停产。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6</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严防“散乱污”企业反弹</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根据产业政策、产业布局规划，以及土地、环保、质量、安全、能耗等要求，按照国家、省、市“散乱污”企业整治标准，将“散乱污”企业整治到位。列入清理取缔类的，确保严格落实“两断三清””（切断工业用水、用电，清除原料、产品、生产设备）的要求；列入整合搬迁类的，要按照产业发展规模化、现代化的原则，搬迁至工业园区并实施升级改造；列入升级改造类的，树立行业标杆，实施清洁生产技术改造，全面提升污染治理水平。建立“散乱污”企业动态管理机制，对清单外新发现的“散乱污”企业，按照“发现一起、处置一起”的原则，对用地、工商、环保等手续不全、难以通过改造达标的企业予以关停。</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强化镇街党政主要领导为“网格长”的监管制度，实施拉网式排查和清单制、台账式、网格化管理，不间断开展“散乱污”企业排查清理行动，严格执行“两断三清”，始终保持高压态势，严防“散乱污”企业异地转移、死灰复燃。</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7</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机动车排气污染控制</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2019年7月1日前，提前实施机动车国Ⅵ排放标准。加快改造淘汰老旧车辆。</w:t>
            </w:r>
          </w:p>
        </w:tc>
        <w:tc>
          <w:tcPr>
            <w:tcW w:w="1868"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2019年7月1日起，实施机动车国Ⅵ排放标准。淘汰老旧车辆。提前淘汰营运柴油车辆。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8</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全面实施排污许可管理</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加快推进排污许可证的核发工作，制定排污许可证核发时间表，在《固定污染源排污许可分类管理名录》中规定的时间节点完成。推行企业自我申报排污情况、自我承诺排污真实性、自我监测、自我管理、自我公开信息、自我接受社会监督。严格排污许可证实施监管，加强对企业持证排污情况的监管力度，定期检查许可事项的落实情况、执行情况，对投诉举报多、有严重违法违规记录等情况的排污单位，要提高抽查比例，并公开公布监督检查情况。对不按证排污的，依法实施停产整治，并处罚款，拒不改正的，依法实施按日计罚。对未依法取得排污许可证排放污染物的，依法依规予以从严处罚。</w:t>
            </w:r>
          </w:p>
        </w:tc>
        <w:tc>
          <w:tcPr>
            <w:tcW w:w="1868"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9</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无组织排放治理改造</w:t>
            </w:r>
          </w:p>
        </w:tc>
        <w:tc>
          <w:tcPr>
            <w:tcW w:w="2399"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强化工业企业无组织排放控制管理，对建材、火电、铸造等重点行业及燃煤锅炉开展无组织排放排查，建立管理台账，制定无组织排放改造方案。对物料（含废渣）运输、装卸、储存、转移与输送以及企业生产工艺过程等无组织排放进行深度治理，2018年年底前基本完成治理任务。火电、水泥、陶瓷、玻璃、耐材、砖瓦等大宗物料企业实行煤场、料场、渣场全封闭工程，各企业按要求制定实施方案，2019年10月底前基本完成。</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2019年9月30日前，对钢铁、建材、有色、火电、焦化、铸造等重点行业及燃煤锅炉开展无组织排放排查，建立管理台账，实施物料（含废渣）运输、装卸、储存、转移以及企业生产工艺过程等无组织排放全过程管控，确保不扬尘、不漏排、不遗洒、不露天。重点扬尘排放点，要安装颗粒物自动在线监测装置或视频监控设备，监测数据和视频资料保留1年以上。</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10</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建筑工地和市政工程扬尘治理</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全县所有建筑施工工地全面落实工地周边围挡、物料堆放覆盖、土方开挖湿法作业、路面硬化、、出入车辆清洗、、渣土车辆密闭运输“六个百分之百”，对工期1年以上和建筑面积1万平方米以上的建筑工地安装在线监测和视频监控设备，并与有关主管部门联网，达不到标准的实施停工整治。将扬尘管理工作不到位的不良信息纳入建筑市场信用管理体系。。</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建筑工地严格落实“六个百分之百”及视频、在线监控等措施，即：规范施工现场围挡、进出道路硬化、工地物料覆盖、场地洒水保洁、密闭运输、出入车辆清洗；施工工地出入口及重要产尘点设置视频监控，视频录像保证连续储存1个月以上。车辆冲洗必须落实清洗装置及人工清洗两级清洗措施，装置必须设置沉淀池，不得将冲洗污水直接排入城市下水道和河流；开挖、回填等土方作业时，必须采取洒水、压尘等措施；1万平方米以上工地土石方施工阶段全部安装在线监测设施，视频监控、在线监测全部与住建部门联网。达不到要求的，立即依法停工整改，落实断电措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11</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露天开采矿山整治</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按要求全面完成露天矿山摸底排查，建立管理台账。对违反资源环境法律法规、规划，污染环境、破坏生态、乱采滥挖露天矿山，依法予以关闭；对污染治理不规范的露天矿山，依法责令停产整治，按照“一矿一策”制定整治方案，整治完成并经相关部门组织验收合格后方可恢复生产，未通过验收的一律不得恢复生产，，对拒不停产或擅自恢复生产的依法强制关闭。强化企业治理主体责任，开展矿山地质环境恢复和综合治理，到到2020年，全县大中型绿色矿山比例力争达到80%。对责任主体灭失的露天矿山，要加强修复绿化，减尘抑尘。全县原则上禁止新建露天矿山建设项目。按照国家相关要求，加强矸石山治理</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2020年12月31日前，完成露天开采矿山整治。对违反资源环境法律法规、规划，污染环境、破坏生态、乱采滥挖的露天矿山，依法予以关闭；对污染治理不规范的露天矿山，依法责令停产整治，按照“一矿一策”制定整治方案，整治完成并经相关部门组织验收合格后方可恢复生产，未通过验收的一律不得恢复生产，对拒不停产或擅自恢复生产的依法强制关闭。强化企业治理主体责任，开展矿山地质环境恢复和综合治理，到2020年，全市大中型绿色矿山比例达到80%。禁止新建露天矿山建设项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7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right"/>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12</w:t>
            </w:r>
          </w:p>
        </w:tc>
        <w:tc>
          <w:tcPr>
            <w:tcW w:w="4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完善重污染过程应急响应机制</w:t>
            </w:r>
          </w:p>
        </w:tc>
        <w:tc>
          <w:tcPr>
            <w:tcW w:w="23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及时组织修订完善重污染天气应急预案，完善工业源、扬尘源、移动源应急减排清单并每年进行更新，应急污染物减排目标分别落实到三源清单中。提高各级别应急预案污染物减排比例，黄色、橙色、红色级别减排比例原则上不低于10%、20%、30%。应急减排措施要落实到具体单位、具体企业、具体工地、具体生产环节，实施“一厂一策”清单化管理。各级各部门要压实应急工作职责，严格落实分级应急减排措施。</w:t>
            </w:r>
          </w:p>
        </w:tc>
        <w:tc>
          <w:tcPr>
            <w:tcW w:w="186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定期修订重污染天气应急预案，细化不同预警等级的应急管控清单，应急减排措施要落实到具体单位、具体企业、具体工地、具体生产环节，实施“一厂一策”清单化管理。结合生态环境监测网络建设规划，建设城市空气质量精细化预报体系，将区域和城市空气质量精确预报提高到3天，趋势性预报提高到7天。提高各级别应急预案污染物减排比例，黄色、橙色、红色级别减排比例原则上不低于10%、20%、30%。加强应急响应期间督导巡查和响应情况评估，确保措施落实到位。</w:t>
            </w:r>
          </w:p>
        </w:tc>
      </w:tr>
    </w:tbl>
    <w:p>
      <w:pPr>
        <w:pStyle w:val="6"/>
        <w:rPr>
          <w:rFonts w:hint="eastAsia" w:ascii="宋体" w:hAnsi="宋体" w:eastAsia="宋体" w:cs="宋体"/>
          <w:lang w:eastAsia="zh-CN"/>
        </w:rPr>
      </w:pPr>
      <w:bookmarkStart w:id="138" w:name="_Toc18560"/>
      <w:bookmarkStart w:id="139" w:name="_Toc27170"/>
      <w:r>
        <w:rPr>
          <w:rFonts w:hint="eastAsia" w:ascii="宋体" w:hAnsi="宋体" w:eastAsia="宋体" w:cs="宋体"/>
          <w:lang w:eastAsia="zh-CN"/>
        </w:rPr>
        <w:t>5.2 地表水现状调查与评价</w:t>
      </w:r>
      <w:bookmarkEnd w:id="138"/>
      <w:bookmarkEnd w:id="139"/>
    </w:p>
    <w:p>
      <w:pPr>
        <w:pStyle w:val="7"/>
        <w:rPr>
          <w:rFonts w:hint="eastAsia" w:ascii="宋体" w:hAnsi="宋体" w:eastAsia="宋体" w:cs="宋体"/>
          <w:lang w:eastAsia="zh-CN"/>
        </w:rPr>
      </w:pPr>
      <w:r>
        <w:rPr>
          <w:rFonts w:hint="eastAsia" w:ascii="宋体" w:hAnsi="宋体" w:eastAsia="宋体" w:cs="宋体"/>
          <w:lang w:eastAsia="zh-CN"/>
        </w:rPr>
        <w:t xml:space="preserve">5.2.1 监测点位 </w:t>
      </w:r>
    </w:p>
    <w:p>
      <w:pPr>
        <w:widowControl/>
        <w:autoSpaceDE/>
        <w:autoSpaceDN/>
        <w:ind w:firstLine="560"/>
        <w:rPr>
          <w:rFonts w:hint="eastAsia" w:ascii="宋体" w:hAnsi="宋体" w:eastAsia="宋体" w:cs="宋体"/>
          <w:kern w:val="2"/>
          <w:szCs w:val="28"/>
          <w:lang w:eastAsia="zh-CN"/>
        </w:rPr>
      </w:pPr>
      <w:r>
        <w:rPr>
          <w:rFonts w:hint="eastAsia" w:cs="宋体"/>
          <w:kern w:val="2"/>
          <w:szCs w:val="28"/>
          <w:lang w:eastAsia="zh-CN"/>
        </w:rPr>
        <w:t>本项目</w:t>
      </w:r>
      <w:r>
        <w:rPr>
          <w:rFonts w:hint="eastAsia" w:ascii="宋体" w:hAnsi="宋体" w:eastAsia="宋体" w:cs="宋体"/>
          <w:kern w:val="2"/>
          <w:szCs w:val="28"/>
          <w:lang w:eastAsia="zh-CN"/>
        </w:rPr>
        <w:t>所在区域周围主要河流为沂河及龙王峪河。为了解项目区域地表水环境质量现状。地表水监测点位布设情况详细见表5.2.1-1，图5.2.1-1。</w:t>
      </w:r>
    </w:p>
    <w:p>
      <w:pPr>
        <w:widowControl/>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表5.2.1-1 地表水监测情况一览表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4492"/>
        <w:gridCol w:w="1968"/>
        <w:gridCol w:w="21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81" w:type="pct"/>
            <w:vMerge w:val="restar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编号</w:t>
            </w:r>
          </w:p>
        </w:tc>
        <w:tc>
          <w:tcPr>
            <w:tcW w:w="2419" w:type="pct"/>
            <w:vMerge w:val="restar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监测断面</w:t>
            </w:r>
          </w:p>
        </w:tc>
        <w:tc>
          <w:tcPr>
            <w:tcW w:w="2198" w:type="pct"/>
            <w:gridSpan w:val="2"/>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81" w:type="pct"/>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p>
        </w:tc>
        <w:tc>
          <w:tcPr>
            <w:tcW w:w="2419" w:type="pct"/>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p>
        </w:tc>
        <w:tc>
          <w:tcPr>
            <w:tcW w:w="1060" w:type="pct"/>
            <w:tcBorders>
              <w:tl2br w:val="nil"/>
              <w:tr2bl w:val="nil"/>
            </w:tcBorders>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kern w:val="2"/>
                <w:sz w:val="21"/>
                <w:lang w:eastAsia="zh-CN"/>
              </w:rPr>
            </w:pPr>
            <w:r>
              <w:rPr>
                <w:rFonts w:hint="eastAsia" w:ascii="宋体" w:hAnsi="宋体" w:eastAsia="宋体" w:cs="宋体"/>
                <w:b/>
                <w:bCs/>
                <w:sz w:val="21"/>
                <w:lang w:eastAsia="zh-CN"/>
              </w:rPr>
              <w:t>东经</w:t>
            </w:r>
          </w:p>
        </w:tc>
        <w:tc>
          <w:tcPr>
            <w:tcW w:w="1137" w:type="pct"/>
            <w:tcBorders>
              <w:tl2br w:val="nil"/>
              <w:tr2bl w:val="nil"/>
            </w:tcBorders>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kern w:val="2"/>
                <w:sz w:val="21"/>
                <w:lang w:eastAsia="zh-CN"/>
              </w:rPr>
            </w:pPr>
            <w:r>
              <w:rPr>
                <w:rFonts w:hint="eastAsia" w:ascii="宋体" w:hAnsi="宋体" w:eastAsia="宋体" w:cs="宋体"/>
                <w:b/>
                <w:bCs/>
                <w:sz w:val="21"/>
                <w:lang w:eastAsia="zh-CN"/>
              </w:rPr>
              <w:t>北纬</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2419"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龙王峪河汇入沂河口上游500m（沂河）</w:t>
            </w:r>
          </w:p>
        </w:tc>
        <w:tc>
          <w:tcPr>
            <w:tcW w:w="10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35°57′26.60″</w:t>
            </w:r>
          </w:p>
        </w:tc>
        <w:tc>
          <w:tcPr>
            <w:tcW w:w="113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118°26′51.38″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2419"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lang w:eastAsia="zh-CN"/>
              </w:rPr>
            </w:pPr>
            <w:r>
              <w:rPr>
                <w:rFonts w:hint="eastAsia" w:ascii="宋体" w:hAnsi="宋体" w:eastAsia="宋体" w:cs="宋体"/>
                <w:kern w:val="2"/>
                <w:sz w:val="21"/>
                <w:szCs w:val="21"/>
                <w:lang w:eastAsia="zh-CN"/>
              </w:rPr>
              <w:t>尾矿库上游500m（龙王峪河）</w:t>
            </w:r>
          </w:p>
        </w:tc>
        <w:tc>
          <w:tcPr>
            <w:tcW w:w="10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35°57′42.35″</w:t>
            </w:r>
          </w:p>
        </w:tc>
        <w:tc>
          <w:tcPr>
            <w:tcW w:w="113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118°27′43.32″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2419"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龙王峪河汇入沂河前（龙王峪河）</w:t>
            </w:r>
          </w:p>
        </w:tc>
        <w:tc>
          <w:tcPr>
            <w:tcW w:w="10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35°57′21.55″</w:t>
            </w:r>
          </w:p>
        </w:tc>
        <w:tc>
          <w:tcPr>
            <w:tcW w:w="113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118°26′59.07″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1"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2419"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王峪矿段下游500m（沂河）（沂河）</w:t>
            </w:r>
          </w:p>
        </w:tc>
        <w:tc>
          <w:tcPr>
            <w:tcW w:w="106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35°56′42.33″</w:t>
            </w:r>
          </w:p>
        </w:tc>
        <w:tc>
          <w:tcPr>
            <w:tcW w:w="113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118°27′26.38″</w:t>
            </w:r>
          </w:p>
        </w:tc>
      </w:tr>
    </w:tbl>
    <w:p>
      <w:pPr>
        <w:pStyle w:val="7"/>
        <w:rPr>
          <w:rFonts w:hint="eastAsia" w:ascii="宋体" w:hAnsi="宋体" w:eastAsia="宋体" w:cs="宋体"/>
          <w:lang w:eastAsia="zh-CN"/>
        </w:rPr>
      </w:pPr>
      <w:r>
        <w:rPr>
          <w:rFonts w:hint="eastAsia" w:ascii="宋体" w:hAnsi="宋体" w:eastAsia="宋体" w:cs="宋体"/>
          <w:lang w:eastAsia="zh-CN"/>
        </w:rPr>
        <w:t>5.2.2 监测项目</w:t>
      </w:r>
    </w:p>
    <w:p>
      <w:pPr>
        <w:ind w:firstLine="562"/>
        <w:rPr>
          <w:rFonts w:hint="eastAsia" w:ascii="宋体" w:hAnsi="宋体" w:eastAsia="宋体" w:cs="宋体"/>
          <w:lang w:eastAsia="zh-CN"/>
        </w:rPr>
      </w:pPr>
      <w:r>
        <w:rPr>
          <w:rFonts w:hint="eastAsia" w:ascii="宋体" w:hAnsi="宋体" w:eastAsia="宋体" w:cs="宋体"/>
          <w:b/>
          <w:bCs/>
          <w:lang w:eastAsia="zh-CN"/>
        </w:rPr>
        <w:t>监测项目：</w:t>
      </w:r>
      <w:r>
        <w:rPr>
          <w:rFonts w:hint="eastAsia" w:ascii="宋体" w:hAnsi="宋体" w:eastAsia="宋体" w:cs="宋体"/>
          <w:lang w:eastAsia="zh-CN"/>
        </w:rPr>
        <w:t>pH值、溶解氧、全盐量、悬浮物、高锰酸盐指数、化学需氧量（COD）、五日生化需氧量（BOD</w:t>
      </w:r>
      <w:r>
        <w:rPr>
          <w:rFonts w:hint="eastAsia" w:ascii="宋体" w:hAnsi="宋体" w:eastAsia="宋体" w:cs="宋体"/>
          <w:vertAlign w:val="subscript"/>
          <w:lang w:eastAsia="zh-CN"/>
        </w:rPr>
        <w:t>5</w:t>
      </w:r>
      <w:r>
        <w:rPr>
          <w:rFonts w:hint="eastAsia" w:ascii="宋体" w:hAnsi="宋体" w:eastAsia="宋体" w:cs="宋体"/>
          <w:lang w:eastAsia="zh-CN"/>
        </w:rPr>
        <w:t>）、氨氮（NH</w:t>
      </w:r>
      <w:r>
        <w:rPr>
          <w:rFonts w:hint="eastAsia" w:ascii="宋体" w:hAnsi="宋体" w:eastAsia="宋体" w:cs="宋体"/>
          <w:vertAlign w:val="subscript"/>
          <w:lang w:eastAsia="zh-CN"/>
        </w:rPr>
        <w:t>3</w:t>
      </w:r>
      <w:r>
        <w:rPr>
          <w:rFonts w:hint="eastAsia" w:ascii="宋体" w:hAnsi="宋体" w:eastAsia="宋体" w:cs="宋体"/>
          <w:lang w:eastAsia="zh-CN"/>
        </w:rPr>
        <w:t>-N）、总磷（以P计）、铜、锌、氟化物（以F</w:t>
      </w:r>
      <w:r>
        <w:rPr>
          <w:rFonts w:hint="eastAsia" w:ascii="宋体" w:hAnsi="宋体" w:eastAsia="宋体" w:cs="宋体"/>
          <w:vertAlign w:val="superscript"/>
          <w:lang w:eastAsia="zh-CN"/>
        </w:rPr>
        <w:t>-</w:t>
      </w:r>
      <w:r>
        <w:rPr>
          <w:rFonts w:hint="eastAsia" w:ascii="宋体" w:hAnsi="宋体" w:eastAsia="宋体" w:cs="宋体"/>
          <w:lang w:eastAsia="zh-CN"/>
        </w:rPr>
        <w:t>计）、硒、砷、汞、镉、铬（六价）、铅、氰化物、挥发酚、石油类、阴离子表面活性剂、硫化物、粪大肠菌群、硫酸盐、氯化物、硝酸盐、铁、锰、铝、钙、镁、钛、银、镍、铬、钴，同时测量河宽、河深、流速、流量、水温等水文参数。</w:t>
      </w:r>
    </w:p>
    <w:p>
      <w:pPr>
        <w:pStyle w:val="7"/>
        <w:rPr>
          <w:rFonts w:hint="eastAsia" w:ascii="宋体" w:hAnsi="宋体" w:eastAsia="宋体" w:cs="宋体"/>
          <w:lang w:eastAsia="zh-CN"/>
        </w:rPr>
      </w:pPr>
      <w:r>
        <w:rPr>
          <w:rFonts w:hint="eastAsia" w:ascii="宋体" w:hAnsi="宋体" w:eastAsia="宋体" w:cs="宋体"/>
          <w:lang w:eastAsia="zh-CN"/>
        </w:rPr>
        <w:t>5.2.3 监测时间与频率</w:t>
      </w:r>
    </w:p>
    <w:p>
      <w:pPr>
        <w:ind w:firstLine="560"/>
        <w:rPr>
          <w:rFonts w:hint="eastAsia" w:ascii="宋体" w:hAnsi="宋体" w:eastAsia="宋体" w:cs="宋体"/>
          <w:lang w:eastAsia="zh-CN"/>
        </w:rPr>
      </w:pPr>
      <w:r>
        <w:rPr>
          <w:rFonts w:hint="eastAsia" w:ascii="宋体" w:hAnsi="宋体" w:eastAsia="宋体" w:cs="宋体"/>
        </w:rPr>
        <w:fldChar w:fldCharType="begin"/>
      </w:r>
      <w:r>
        <w:rPr>
          <w:rFonts w:hint="eastAsia" w:ascii="宋体" w:hAnsi="宋体" w:eastAsia="宋体" w:cs="宋体"/>
        </w:rPr>
        <w:instrText xml:space="preserve"> HYPERLINK "https://qdponytest.51pla.com/" \o "青岛谱尼测试有限公司" </w:instrText>
      </w:r>
      <w:r>
        <w:rPr>
          <w:rFonts w:hint="eastAsia" w:ascii="宋体" w:hAnsi="宋体" w:eastAsia="宋体" w:cs="宋体"/>
        </w:rPr>
        <w:fldChar w:fldCharType="separate"/>
      </w:r>
      <w:r>
        <w:rPr>
          <w:rFonts w:hint="eastAsia" w:ascii="宋体" w:hAnsi="宋体" w:eastAsia="宋体" w:cs="宋体"/>
          <w:lang w:eastAsia="zh-CN"/>
        </w:rPr>
        <w:t>青岛谱尼测试有限公司</w:t>
      </w:r>
      <w:r>
        <w:rPr>
          <w:rFonts w:hint="eastAsia" w:ascii="宋体" w:hAnsi="宋体" w:eastAsia="宋体" w:cs="宋体"/>
          <w:lang w:eastAsia="zh-CN"/>
        </w:rPr>
        <w:fldChar w:fldCharType="end"/>
      </w:r>
      <w:r>
        <w:rPr>
          <w:rFonts w:hint="eastAsia" w:ascii="宋体" w:hAnsi="宋体" w:eastAsia="宋体" w:cs="宋体"/>
          <w:lang w:eastAsia="zh-CN"/>
        </w:rPr>
        <w:t>于2021年7月2至7月4日进行采样监测，监测3天，每天1次。</w:t>
      </w:r>
    </w:p>
    <w:p>
      <w:pPr>
        <w:pStyle w:val="7"/>
        <w:rPr>
          <w:rFonts w:hint="eastAsia" w:ascii="宋体" w:hAnsi="宋体" w:eastAsia="宋体" w:cs="宋体"/>
          <w:lang w:eastAsia="zh-CN"/>
        </w:rPr>
      </w:pPr>
      <w:r>
        <w:rPr>
          <w:rFonts w:hint="eastAsia" w:ascii="宋体" w:hAnsi="宋体" w:eastAsia="宋体" w:cs="宋体"/>
          <w:lang w:eastAsia="zh-CN"/>
        </w:rPr>
        <w:t>5.2.4 监测方法</w:t>
      </w:r>
    </w:p>
    <w:p>
      <w:pPr>
        <w:widowControl/>
        <w:autoSpaceDE/>
        <w:autoSpaceDN/>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rPr>
        <w:t xml:space="preserve">采样和监测方法按《地表水和污水监测技术规范》（HJ/T 91-2002）和《地表水环境质量标准》（GB 3838-2002）中规定执行，采样分析方法详见表5.2.4-1。 </w:t>
      </w:r>
    </w:p>
    <w:p>
      <w:pPr>
        <w:widowControl/>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表5.2.4-1 地表水监测分析方法</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568"/>
        <w:gridCol w:w="1725"/>
        <w:gridCol w:w="1822"/>
        <w:gridCol w:w="4078"/>
        <w:gridCol w:w="10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监测项目</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标准代号</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标准名称</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检出限(mg/L)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1147-2020</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pH值的测定 电极法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溶解氧</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506-2009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溶解氧的测定 电化学探头法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全盐量</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HJ/T 51-1999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全盐量的测定 重量法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悬浮物</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GB/T 11901-1989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悬浮物的测定 重量法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氟化物</w:t>
            </w:r>
          </w:p>
        </w:tc>
        <w:tc>
          <w:tcPr>
            <w:tcW w:w="981"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84-2016</w:t>
            </w:r>
          </w:p>
        </w:tc>
        <w:tc>
          <w:tcPr>
            <w:tcW w:w="2196"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无机阴离子（F</w:t>
            </w:r>
            <w:r>
              <w:rPr>
                <w:rFonts w:hint="eastAsia" w:ascii="宋体" w:hAnsi="宋体" w:eastAsia="宋体" w:cs="宋体"/>
                <w:sz w:val="21"/>
                <w:szCs w:val="21"/>
                <w:vertAlign w:val="superscript"/>
              </w:rPr>
              <w:t>-</w:t>
            </w:r>
            <w:r>
              <w:rPr>
                <w:rFonts w:hint="eastAsia" w:ascii="宋体" w:hAnsi="宋体" w:eastAsia="宋体" w:cs="宋体"/>
                <w:sz w:val="21"/>
                <w:szCs w:val="21"/>
              </w:rPr>
              <w:t>、Cl</w:t>
            </w:r>
            <w:r>
              <w:rPr>
                <w:rFonts w:hint="eastAsia" w:ascii="宋体" w:hAnsi="宋体" w:eastAsia="宋体" w:cs="宋体"/>
                <w:sz w:val="21"/>
                <w:szCs w:val="21"/>
                <w:vertAlign w:val="superscript"/>
              </w:rPr>
              <w:t>-</w:t>
            </w:r>
            <w:r>
              <w:rPr>
                <w:rFonts w:hint="eastAsia" w:ascii="宋体" w:hAnsi="宋体" w:eastAsia="宋体" w:cs="宋体"/>
                <w:sz w:val="21"/>
                <w:szCs w:val="21"/>
              </w:rPr>
              <w:t>、NO</w:t>
            </w:r>
            <w:r>
              <w:rPr>
                <w:rFonts w:hint="eastAsia" w:ascii="宋体" w:hAnsi="宋体" w:eastAsia="宋体" w:cs="宋体"/>
                <w:sz w:val="21"/>
                <w:szCs w:val="21"/>
                <w:vertAlign w:val="subscript"/>
              </w:rPr>
              <w:t>2</w:t>
            </w:r>
            <w:r>
              <w:rPr>
                <w:rFonts w:hint="eastAsia" w:ascii="宋体" w:hAnsi="宋体" w:eastAsia="宋体" w:cs="宋体"/>
                <w:sz w:val="21"/>
                <w:szCs w:val="21"/>
                <w:vertAlign w:val="superscript"/>
              </w:rPr>
              <w:t>-</w:t>
            </w:r>
            <w:r>
              <w:rPr>
                <w:rFonts w:hint="eastAsia" w:ascii="宋体" w:hAnsi="宋体" w:eastAsia="宋体" w:cs="宋体"/>
                <w:sz w:val="21"/>
                <w:szCs w:val="21"/>
              </w:rPr>
              <w:t>、Br</w:t>
            </w:r>
            <w:r>
              <w:rPr>
                <w:rFonts w:hint="eastAsia" w:ascii="宋体" w:hAnsi="宋体" w:eastAsia="宋体" w:cs="宋体"/>
                <w:sz w:val="21"/>
                <w:szCs w:val="21"/>
                <w:vertAlign w:val="superscript"/>
              </w:rPr>
              <w:t>-</w:t>
            </w:r>
            <w:r>
              <w:rPr>
                <w:rFonts w:hint="eastAsia" w:ascii="宋体" w:hAnsi="宋体" w:eastAsia="宋体" w:cs="宋体"/>
                <w:sz w:val="21"/>
                <w:szCs w:val="21"/>
              </w:rPr>
              <w:t>、NO</w:t>
            </w:r>
            <w:r>
              <w:rPr>
                <w:rFonts w:hint="eastAsia" w:ascii="宋体" w:hAnsi="宋体" w:eastAsia="宋体" w:cs="宋体"/>
                <w:sz w:val="21"/>
                <w:szCs w:val="21"/>
                <w:vertAlign w:val="subscript"/>
              </w:rPr>
              <w:t>3</w:t>
            </w:r>
            <w:r>
              <w:rPr>
                <w:rFonts w:hint="eastAsia" w:ascii="宋体" w:hAnsi="宋体" w:eastAsia="宋体" w:cs="宋体"/>
                <w:sz w:val="21"/>
                <w:szCs w:val="21"/>
                <w:vertAlign w:val="superscript"/>
              </w:rPr>
              <w:t>-</w:t>
            </w:r>
            <w:r>
              <w:rPr>
                <w:rFonts w:hint="eastAsia" w:ascii="宋体" w:hAnsi="宋体" w:eastAsia="宋体" w:cs="宋体"/>
                <w:sz w:val="21"/>
                <w:szCs w:val="21"/>
              </w:rPr>
              <w:t>、PO</w:t>
            </w:r>
            <w:r>
              <w:rPr>
                <w:rFonts w:hint="eastAsia" w:ascii="宋体" w:hAnsi="宋体" w:eastAsia="宋体" w:cs="宋体"/>
                <w:sz w:val="21"/>
                <w:szCs w:val="21"/>
                <w:vertAlign w:val="subscript"/>
              </w:rPr>
              <w:t>4</w:t>
            </w:r>
            <w:r>
              <w:rPr>
                <w:rFonts w:hint="eastAsia" w:ascii="宋体" w:hAnsi="宋体" w:eastAsia="宋体" w:cs="宋体"/>
                <w:sz w:val="21"/>
                <w:szCs w:val="21"/>
                <w:vertAlign w:val="superscript"/>
              </w:rPr>
              <w:t>3-</w:t>
            </w:r>
            <w:r>
              <w:rPr>
                <w:rFonts w:hint="eastAsia" w:ascii="宋体" w:hAnsi="宋体" w:eastAsia="宋体" w:cs="宋体"/>
                <w:sz w:val="21"/>
                <w:szCs w:val="21"/>
              </w:rPr>
              <w:t>、SO</w:t>
            </w:r>
            <w:r>
              <w:rPr>
                <w:rFonts w:hint="eastAsia" w:ascii="宋体" w:hAnsi="宋体" w:eastAsia="宋体" w:cs="宋体"/>
                <w:sz w:val="21"/>
                <w:szCs w:val="21"/>
                <w:vertAlign w:val="subscript"/>
              </w:rPr>
              <w:t>3</w:t>
            </w:r>
            <w:r>
              <w:rPr>
                <w:rFonts w:hint="eastAsia" w:ascii="宋体" w:hAnsi="宋体" w:eastAsia="宋体" w:cs="宋体"/>
                <w:sz w:val="21"/>
                <w:szCs w:val="21"/>
                <w:vertAlign w:val="superscript"/>
              </w:rPr>
              <w:t>2-</w:t>
            </w:r>
            <w:r>
              <w:rPr>
                <w:rFonts w:hint="eastAsia" w:ascii="宋体" w:hAnsi="宋体" w:eastAsia="宋体" w:cs="宋体"/>
                <w:sz w:val="21"/>
                <w:szCs w:val="21"/>
              </w:rPr>
              <w:t>、SO</w:t>
            </w:r>
            <w:r>
              <w:rPr>
                <w:rFonts w:hint="eastAsia" w:ascii="宋体" w:hAnsi="宋体" w:eastAsia="宋体" w:cs="宋体"/>
                <w:sz w:val="21"/>
                <w:szCs w:val="21"/>
                <w:vertAlign w:val="subscript"/>
              </w:rPr>
              <w:t>4</w:t>
            </w:r>
            <w:r>
              <w:rPr>
                <w:rFonts w:hint="eastAsia" w:ascii="宋体" w:hAnsi="宋体" w:eastAsia="宋体" w:cs="宋体"/>
                <w:sz w:val="21"/>
                <w:szCs w:val="21"/>
                <w:vertAlign w:val="superscript"/>
              </w:rPr>
              <w:t>2-</w:t>
            </w:r>
            <w:r>
              <w:rPr>
                <w:rFonts w:hint="eastAsia" w:ascii="宋体" w:hAnsi="宋体" w:eastAsia="宋体" w:cs="宋体"/>
                <w:sz w:val="21"/>
                <w:szCs w:val="21"/>
              </w:rPr>
              <w:t>）的测定 离子色谱法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硫酸盐</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氯化物</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硝酸盐</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高锰酸盐指数</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GB/T 11892-1989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高锰酸盐指数的测定</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化学需氧量</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828-2017</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化学需氧量的测定 重铬酸盐法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氨氮</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535-2009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氨氮的测定 纳氏试剂分光光度法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总磷</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GB/T 11893-1989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总磷的测定 钼酸铵分光光度法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五日生化需氧量</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505-2009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五日生化需氧量（BOD</w:t>
            </w:r>
            <w:r>
              <w:rPr>
                <w:rFonts w:hint="eastAsia" w:ascii="宋体" w:hAnsi="宋体" w:eastAsia="宋体" w:cs="宋体"/>
                <w:sz w:val="21"/>
                <w:szCs w:val="21"/>
                <w:vertAlign w:val="subscript"/>
              </w:rPr>
              <w:t>5</w:t>
            </w:r>
            <w:r>
              <w:rPr>
                <w:rFonts w:hint="eastAsia" w:ascii="宋体" w:hAnsi="宋体" w:eastAsia="宋体" w:cs="宋体"/>
                <w:sz w:val="21"/>
                <w:szCs w:val="21"/>
              </w:rPr>
              <w:t>）的测定 稀释与接种法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铜</w:t>
            </w:r>
          </w:p>
        </w:tc>
        <w:tc>
          <w:tcPr>
            <w:tcW w:w="981"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776-2015</w:t>
            </w:r>
          </w:p>
        </w:tc>
        <w:tc>
          <w:tcPr>
            <w:tcW w:w="2196"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32种元素的测定 电感耦合等离子体发射光谱法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锌</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铁</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锰</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铝</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19</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钙</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镁</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硒</w:t>
            </w:r>
          </w:p>
        </w:tc>
        <w:tc>
          <w:tcPr>
            <w:tcW w:w="981"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694-2014</w:t>
            </w:r>
          </w:p>
        </w:tc>
        <w:tc>
          <w:tcPr>
            <w:tcW w:w="2196"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汞、砷、硒、铋和锑的测定 原子荧光法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22</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23</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汞</w:t>
            </w:r>
          </w:p>
        </w:tc>
        <w:tc>
          <w:tcPr>
            <w:tcW w:w="981"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六价铬</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GB/T 7467-1987</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六价铬的测定 二苯碳酰二肼分光光度法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氰化物</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484-2009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氰化物的测定 容量法和分光光度法（异烟酸-吡唑啉酮分光光度法）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挥发酚</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503-2009</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挥发酚的测定 4-氨基安替比林分光光度法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石油类</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970-2018</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石油类的测定 紫外分光光度法（试行）水质</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28</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18"/>
                <w:szCs w:val="18"/>
              </w:rPr>
              <w:t>阴离子表面活性剂</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GB/T 7494-1987</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阴离子表面活性剂的测定 亚甲蓝分光光度法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硫化物</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GB/T 16489-1996</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硫化物的测定 亚甲基蓝分光光度法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w:t>
            </w:r>
          </w:p>
        </w:tc>
        <w:tc>
          <w:tcPr>
            <w:tcW w:w="92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粪大肠菌群</w:t>
            </w:r>
          </w:p>
        </w:tc>
        <w:tc>
          <w:tcPr>
            <w:tcW w:w="981"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347.2-2018</w:t>
            </w:r>
          </w:p>
        </w:tc>
        <w:tc>
          <w:tcPr>
            <w:tcW w:w="219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粪大肠菌群的测定 多管发酵法</w:t>
            </w:r>
          </w:p>
        </w:tc>
        <w:tc>
          <w:tcPr>
            <w:tcW w:w="58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20个/L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w:t>
            </w:r>
          </w:p>
        </w:tc>
        <w:tc>
          <w:tcPr>
            <w:tcW w:w="92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钛</w:t>
            </w:r>
          </w:p>
        </w:tc>
        <w:tc>
          <w:tcPr>
            <w:tcW w:w="981"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HJ 700-2014</w:t>
            </w:r>
          </w:p>
        </w:tc>
        <w:tc>
          <w:tcPr>
            <w:tcW w:w="2196"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水质 65种元素的测定 电感耦合等离子体质谱法</w:t>
            </w:r>
          </w:p>
        </w:tc>
        <w:tc>
          <w:tcPr>
            <w:tcW w:w="58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32</w:t>
            </w:r>
          </w:p>
        </w:tc>
        <w:tc>
          <w:tcPr>
            <w:tcW w:w="92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银</w:t>
            </w:r>
          </w:p>
        </w:tc>
        <w:tc>
          <w:tcPr>
            <w:tcW w:w="981"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33</w:t>
            </w:r>
          </w:p>
        </w:tc>
        <w:tc>
          <w:tcPr>
            <w:tcW w:w="92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镍</w:t>
            </w:r>
          </w:p>
        </w:tc>
        <w:tc>
          <w:tcPr>
            <w:tcW w:w="981"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34</w:t>
            </w:r>
          </w:p>
        </w:tc>
        <w:tc>
          <w:tcPr>
            <w:tcW w:w="92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w:t>
            </w:r>
          </w:p>
        </w:tc>
        <w:tc>
          <w:tcPr>
            <w:tcW w:w="981"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35</w:t>
            </w:r>
          </w:p>
        </w:tc>
        <w:tc>
          <w:tcPr>
            <w:tcW w:w="92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钴</w:t>
            </w:r>
          </w:p>
        </w:tc>
        <w:tc>
          <w:tcPr>
            <w:tcW w:w="981"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92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镉</w:t>
            </w:r>
          </w:p>
        </w:tc>
        <w:tc>
          <w:tcPr>
            <w:tcW w:w="981"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306"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37</w:t>
            </w:r>
          </w:p>
        </w:tc>
        <w:tc>
          <w:tcPr>
            <w:tcW w:w="92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铅</w:t>
            </w:r>
          </w:p>
        </w:tc>
        <w:tc>
          <w:tcPr>
            <w:tcW w:w="981"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219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58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0.00009</w:t>
            </w:r>
          </w:p>
        </w:tc>
      </w:tr>
    </w:tbl>
    <w:p>
      <w:pPr>
        <w:pStyle w:val="7"/>
        <w:rPr>
          <w:rFonts w:hint="eastAsia" w:ascii="宋体" w:hAnsi="宋体" w:eastAsia="宋体" w:cs="宋体"/>
          <w:lang w:eastAsia="zh-CN"/>
        </w:rPr>
      </w:pPr>
      <w:r>
        <w:rPr>
          <w:rFonts w:hint="eastAsia" w:ascii="宋体" w:hAnsi="宋体" w:eastAsia="宋体" w:cs="宋体"/>
          <w:lang w:eastAsia="zh-CN"/>
        </w:rPr>
        <w:t>5.2.5 监测结果</w:t>
      </w:r>
    </w:p>
    <w:p>
      <w:pPr>
        <w:ind w:firstLine="560"/>
        <w:rPr>
          <w:rFonts w:hint="eastAsia" w:ascii="宋体" w:hAnsi="宋体" w:eastAsia="宋体" w:cs="宋体"/>
          <w:lang w:eastAsia="zh-CN"/>
        </w:rPr>
      </w:pPr>
      <w:r>
        <w:rPr>
          <w:rFonts w:hint="eastAsia" w:ascii="宋体" w:hAnsi="宋体" w:eastAsia="宋体" w:cs="宋体"/>
          <w:lang w:eastAsia="zh-CN"/>
        </w:rPr>
        <w:t>根据</w:t>
      </w:r>
      <w:r>
        <w:rPr>
          <w:rFonts w:hint="eastAsia" w:ascii="宋体" w:hAnsi="宋体" w:eastAsia="宋体" w:cs="宋体"/>
        </w:rPr>
        <w:fldChar w:fldCharType="begin"/>
      </w:r>
      <w:r>
        <w:rPr>
          <w:rFonts w:hint="eastAsia" w:ascii="宋体" w:hAnsi="宋体" w:eastAsia="宋体" w:cs="宋体"/>
        </w:rPr>
        <w:instrText xml:space="preserve"> HYPERLINK "https://qdponytest.51pla.com/" \o "青岛谱尼测试有限公司" </w:instrText>
      </w:r>
      <w:r>
        <w:rPr>
          <w:rFonts w:hint="eastAsia" w:ascii="宋体" w:hAnsi="宋体" w:eastAsia="宋体" w:cs="宋体"/>
        </w:rPr>
        <w:fldChar w:fldCharType="separate"/>
      </w:r>
      <w:r>
        <w:rPr>
          <w:rFonts w:hint="eastAsia" w:ascii="宋体" w:hAnsi="宋体" w:eastAsia="宋体" w:cs="宋体"/>
          <w:lang w:eastAsia="zh-CN"/>
        </w:rPr>
        <w:t>青岛谱尼测试有限公司</w:t>
      </w:r>
      <w:r>
        <w:rPr>
          <w:rFonts w:hint="eastAsia" w:ascii="宋体" w:hAnsi="宋体" w:eastAsia="宋体" w:cs="宋体"/>
          <w:lang w:eastAsia="zh-CN"/>
        </w:rPr>
        <w:fldChar w:fldCharType="end"/>
      </w:r>
      <w:r>
        <w:rPr>
          <w:rFonts w:hint="eastAsia" w:ascii="宋体" w:hAnsi="宋体" w:eastAsia="宋体" w:cs="宋体"/>
          <w:lang w:eastAsia="zh-CN"/>
        </w:rPr>
        <w:t>出具的报告编号为NPBYL7GM637855H9Z，可知项目周边地表水水质质量监测结果，详见表5.2.5-1、表5.2.5-2。</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表5.2.5-1 地表水水质监测结果一览表（单位：mg/L）</w:t>
      </w:r>
    </w:p>
    <w:tbl>
      <w:tblPr>
        <w:tblStyle w:val="24"/>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15"/>
        <w:gridCol w:w="1899"/>
        <w:gridCol w:w="1148"/>
        <w:gridCol w:w="1124"/>
        <w:gridCol w:w="1124"/>
        <w:gridCol w:w="1124"/>
        <w:gridCol w:w="1125"/>
        <w:gridCol w:w="11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357" w:type="pct"/>
            <w:vMerge w:val="restar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1048" w:type="pct"/>
            <w:vMerge w:val="restar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监测项目</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2021.07.02</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2021.07.03</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2021.07.04</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2021.07.02</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2021.07.03</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357" w:type="pct"/>
            <w:vMerge w:val="continue"/>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048" w:type="pct"/>
            <w:vMerge w:val="continue"/>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644"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w:t>
            </w:r>
          </w:p>
        </w:tc>
        <w:tc>
          <w:tcPr>
            <w:tcW w:w="58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w:t>
            </w:r>
          </w:p>
        </w:tc>
        <w:tc>
          <w:tcPr>
            <w:tcW w:w="590"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w:t>
            </w:r>
          </w:p>
        </w:tc>
        <w:tc>
          <w:tcPr>
            <w:tcW w:w="599"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2#</w:t>
            </w:r>
          </w:p>
        </w:tc>
        <w:tc>
          <w:tcPr>
            <w:tcW w:w="562"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2#</w:t>
            </w:r>
          </w:p>
        </w:tc>
        <w:tc>
          <w:tcPr>
            <w:tcW w:w="606"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pH值（无量纲）</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8.6</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8.7</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8.5</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8.0</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8.5</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水温（℃）</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26.2</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25.8</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25.0</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26.0</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27.0</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溶解氧</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12.2</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13.4</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11.3</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11.5</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10.9</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全盐量</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445</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429</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436</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503</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433</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悬浮物</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氟化物</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0.460</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0.408</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0.416</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0.319</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0.265</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硫酸盐</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104</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99.0</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114</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101</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95.2</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氯化物</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43.6</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40.0</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39.8</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22.2</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22.0</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硝酸盐(以N计）</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12.2</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12.8</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14.6</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30.1</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25.2</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高锰酸盐指数</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3.6</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4.4</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4.2</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2.7</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3.1</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化学需氧量</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氨氮</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0.202</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0.121</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0.186</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0.069</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0.125</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总磷（以P计）</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0.05</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0.07</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0.06</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0.05</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0.06</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五日生化需氧量</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3.3</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3.8</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3.6</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2.3</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铜</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锌</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镉</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铅</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铁</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锰</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21</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硒</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22</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砷</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0.0007</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0.0006</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0.0006</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0.0003</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0.0003</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23</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汞</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24</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六价铬</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氰化物</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挥发酚</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27</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石油类</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28</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阴离子表面活性剂</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硫化物</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30</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粪大肠菌群（个/L)</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50</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80</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80</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50</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31</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钙</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75.3</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69.7</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65.4</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96.0</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86.2</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32</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镁</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17.9</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18.7</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18.4</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28.3</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25.5</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21.4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33</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银</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34</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铬</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35</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钛</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36</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钴</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0.00016</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0.00018</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0.00018</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0.00010</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0.00009</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37</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镍</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0.00058</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0.00087</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0.00070</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0.00032</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0.00050</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0.00057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38</w:t>
            </w:r>
          </w:p>
        </w:tc>
        <w:tc>
          <w:tcPr>
            <w:tcW w:w="1048"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铝</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9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357" w:type="pct"/>
            <w:vMerge w:val="restar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1047" w:type="pct"/>
            <w:vMerge w:val="restar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监测项目</w:t>
            </w:r>
          </w:p>
        </w:tc>
        <w:tc>
          <w:tcPr>
            <w:tcW w:w="644"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2021.07.02</w:t>
            </w:r>
          </w:p>
        </w:tc>
        <w:tc>
          <w:tcPr>
            <w:tcW w:w="58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2021.07.03</w:t>
            </w:r>
          </w:p>
        </w:tc>
        <w:tc>
          <w:tcPr>
            <w:tcW w:w="590"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2021.07.04</w:t>
            </w:r>
          </w:p>
        </w:tc>
        <w:tc>
          <w:tcPr>
            <w:tcW w:w="598"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2021.07.02</w:t>
            </w:r>
          </w:p>
        </w:tc>
        <w:tc>
          <w:tcPr>
            <w:tcW w:w="56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2021.07.03</w:t>
            </w:r>
          </w:p>
        </w:tc>
        <w:tc>
          <w:tcPr>
            <w:tcW w:w="60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18"/>
                <w:szCs w:val="18"/>
                <w:lang w:eastAsia="zh-CN"/>
              </w:rPr>
            </w:pPr>
            <w:r>
              <w:rPr>
                <w:rFonts w:hint="eastAsia" w:ascii="宋体" w:hAnsi="宋体" w:eastAsia="宋体" w:cs="宋体"/>
                <w:b/>
                <w:bCs/>
                <w:kern w:val="2"/>
                <w:sz w:val="18"/>
                <w:szCs w:val="18"/>
                <w:lang w:eastAsia="zh-CN"/>
              </w:rPr>
              <w:t>2021.07.04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jc w:val="center"/>
        </w:trPr>
        <w:tc>
          <w:tcPr>
            <w:tcW w:w="357" w:type="pct"/>
            <w:vMerge w:val="continue"/>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047" w:type="pct"/>
            <w:vMerge w:val="continue"/>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64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kern w:val="2"/>
                <w:sz w:val="21"/>
                <w:szCs w:val="21"/>
                <w:lang w:eastAsia="zh-CN"/>
              </w:rPr>
            </w:pPr>
            <w:r>
              <w:rPr>
                <w:rFonts w:hint="eastAsia" w:ascii="宋体" w:hAnsi="宋体" w:eastAsia="宋体" w:cs="宋体"/>
                <w:b/>
                <w:bCs/>
                <w:color w:val="000000"/>
                <w:sz w:val="21"/>
                <w:szCs w:val="21"/>
                <w:lang w:eastAsia="zh-CN" w:bidi="ar"/>
              </w:rPr>
              <w:t>3#</w:t>
            </w:r>
          </w:p>
        </w:tc>
        <w:tc>
          <w:tcPr>
            <w:tcW w:w="58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kern w:val="2"/>
                <w:sz w:val="21"/>
                <w:szCs w:val="21"/>
                <w:lang w:eastAsia="zh-CN"/>
              </w:rPr>
            </w:pPr>
            <w:r>
              <w:rPr>
                <w:rFonts w:hint="eastAsia" w:ascii="宋体" w:hAnsi="宋体" w:eastAsia="宋体" w:cs="宋体"/>
                <w:b/>
                <w:bCs/>
                <w:color w:val="000000"/>
                <w:sz w:val="21"/>
                <w:szCs w:val="21"/>
                <w:lang w:eastAsia="zh-CN" w:bidi="ar"/>
              </w:rPr>
              <w:t>3#</w:t>
            </w:r>
          </w:p>
        </w:tc>
        <w:tc>
          <w:tcPr>
            <w:tcW w:w="590"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kern w:val="2"/>
                <w:sz w:val="21"/>
                <w:szCs w:val="21"/>
                <w:lang w:eastAsia="zh-CN"/>
              </w:rPr>
            </w:pPr>
            <w:r>
              <w:rPr>
                <w:rFonts w:hint="eastAsia" w:ascii="宋体" w:hAnsi="宋体" w:eastAsia="宋体" w:cs="宋体"/>
                <w:b/>
                <w:bCs/>
                <w:color w:val="000000"/>
                <w:sz w:val="21"/>
                <w:szCs w:val="21"/>
                <w:lang w:eastAsia="zh-CN" w:bidi="ar"/>
              </w:rPr>
              <w:t>3#</w:t>
            </w:r>
          </w:p>
        </w:tc>
        <w:tc>
          <w:tcPr>
            <w:tcW w:w="59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kern w:val="2"/>
                <w:sz w:val="21"/>
                <w:szCs w:val="21"/>
                <w:lang w:eastAsia="zh-CN"/>
              </w:rPr>
            </w:pPr>
            <w:r>
              <w:rPr>
                <w:rFonts w:hint="eastAsia" w:ascii="宋体" w:hAnsi="宋体" w:eastAsia="宋体" w:cs="宋体"/>
                <w:b/>
                <w:bCs/>
                <w:color w:val="000000"/>
                <w:sz w:val="21"/>
                <w:szCs w:val="21"/>
                <w:lang w:eastAsia="zh-CN" w:bidi="ar"/>
              </w:rPr>
              <w:t>4#</w:t>
            </w:r>
          </w:p>
        </w:tc>
        <w:tc>
          <w:tcPr>
            <w:tcW w:w="562"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kern w:val="2"/>
                <w:sz w:val="21"/>
                <w:szCs w:val="21"/>
                <w:lang w:eastAsia="zh-CN"/>
              </w:rPr>
            </w:pPr>
            <w:r>
              <w:rPr>
                <w:rFonts w:hint="eastAsia" w:ascii="宋体" w:hAnsi="宋体" w:eastAsia="宋体" w:cs="宋体"/>
                <w:b/>
                <w:bCs/>
                <w:color w:val="000000"/>
                <w:sz w:val="21"/>
                <w:szCs w:val="21"/>
                <w:lang w:eastAsia="zh-CN" w:bidi="ar"/>
              </w:rPr>
              <w:t>4#</w:t>
            </w:r>
          </w:p>
        </w:tc>
        <w:tc>
          <w:tcPr>
            <w:tcW w:w="60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kern w:val="2"/>
                <w:sz w:val="21"/>
                <w:szCs w:val="21"/>
                <w:lang w:eastAsia="zh-CN"/>
              </w:rPr>
            </w:pPr>
            <w:r>
              <w:rPr>
                <w:rFonts w:hint="eastAsia" w:ascii="宋体" w:hAnsi="宋体" w:eastAsia="宋体" w:cs="宋体"/>
                <w:b/>
                <w:bCs/>
                <w:color w:val="000000"/>
                <w:sz w:val="21"/>
                <w:szCs w:val="21"/>
                <w:lang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pH值（无量纲）</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8.6 </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8.5 </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8.6 </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8.4 </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8.4 </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8.4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水温（℃）</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25.2</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25.4</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25.6</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27.6</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28.0</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27.2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溶解氧</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11.2</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10.6</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10.2</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13.3</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13.3</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全盐量</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1.08×10</w:t>
            </w:r>
            <w:r>
              <w:rPr>
                <w:rFonts w:hint="eastAsia" w:ascii="宋体" w:hAnsi="宋体" w:eastAsia="宋体" w:cs="宋体"/>
                <w:color w:val="000000"/>
                <w:sz w:val="21"/>
                <w:szCs w:val="21"/>
                <w:vertAlign w:val="superscript"/>
                <w:lang w:eastAsia="zh-CN" w:bidi="ar"/>
              </w:rPr>
              <w:t>3</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832</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812</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482</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496</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悬浮物</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8</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5</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氟化物</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0.614 </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0.707 </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0.540 </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0.495 </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0.459 </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0.378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硫酸盐</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627</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432</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367</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151</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167</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氯化物</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110</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79.8</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63.6</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53.3</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51.2</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硝酸盐(以N计）</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18.6</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15.6</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19.4</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11.2</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10.6</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高锰酸盐指数</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4.1 </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2.6 </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2.8 </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3.0 </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3.4 </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化学需氧量</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19</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12</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12</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13</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14</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氨氮</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0.108</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0.042</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0.168</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0.118</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总磷（以P计）</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0.03</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0.06</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0.04</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0.05</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0.04</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五日生化需氧量</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3.9</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2.4</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2.5</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2.8</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3.0 </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铜</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0.008</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0.007</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锌</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镉</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铅</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铁</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锰</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21</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硒</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0.0035</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0.0014</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0.0018</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0.0008</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22</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砷</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0.0005</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0.0006</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0.0005</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0.0004</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0.0006</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23</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汞</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24</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六价铬</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氰化物</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挥发酚</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27</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石油类</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28</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阴离子表面活性剂</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硫化物</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30</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粪大肠菌群（个/L)</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80</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80</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490</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230</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31</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钙</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191</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150</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144</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77.6</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82.2</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75.1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32</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镁</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71.4</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51.6</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48.6</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21.2</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23.2</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20.2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33</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银</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34</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铬</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35</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钛</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0.00144</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36</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钴</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0.00015 </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0.00014 </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0.00011 </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0.00016 </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0.00013 </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0.00016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37</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镍</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0.00069</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0.00098 </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0.00071</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0.00068</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0.00061</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0.00062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35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38</w:t>
            </w:r>
          </w:p>
        </w:tc>
        <w:tc>
          <w:tcPr>
            <w:tcW w:w="104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铝</w:t>
            </w:r>
          </w:p>
        </w:tc>
        <w:tc>
          <w:tcPr>
            <w:tcW w:w="644"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89"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0"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98"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562"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c>
          <w:tcPr>
            <w:tcW w:w="606" w:type="pct"/>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ND</w:t>
            </w:r>
          </w:p>
        </w:tc>
      </w:tr>
    </w:tbl>
    <w:p>
      <w:pPr>
        <w:widowControl/>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表5.2.5-2 地表水监测期间水文参数</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4416"/>
        <w:gridCol w:w="1921"/>
        <w:gridCol w:w="1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29" w:type="dxa"/>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编号</w:t>
            </w:r>
          </w:p>
        </w:tc>
        <w:tc>
          <w:tcPr>
            <w:tcW w:w="4416"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监测点位</w:t>
            </w:r>
          </w:p>
        </w:tc>
        <w:tc>
          <w:tcPr>
            <w:tcW w:w="1921"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河宽（m）</w:t>
            </w:r>
          </w:p>
        </w:tc>
        <w:tc>
          <w:tcPr>
            <w:tcW w:w="1922" w:type="dxa"/>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河深（m）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9" w:type="dxa"/>
            <w:tcBorders>
              <w:lef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1#</w:t>
            </w:r>
          </w:p>
        </w:tc>
        <w:tc>
          <w:tcPr>
            <w:tcW w:w="4416" w:type="dxa"/>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龙王峪河汇入沂河口上游500m（沂河）</w:t>
            </w:r>
          </w:p>
        </w:tc>
        <w:tc>
          <w:tcPr>
            <w:tcW w:w="1921"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35</w:t>
            </w:r>
          </w:p>
        </w:tc>
        <w:tc>
          <w:tcPr>
            <w:tcW w:w="1922"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9" w:type="dxa"/>
            <w:tcBorders>
              <w:lef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2#</w:t>
            </w:r>
          </w:p>
        </w:tc>
        <w:tc>
          <w:tcPr>
            <w:tcW w:w="4416" w:type="dxa"/>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龙王峪河汇入沂河前（龙王峪河）</w:t>
            </w:r>
          </w:p>
        </w:tc>
        <w:tc>
          <w:tcPr>
            <w:tcW w:w="1921"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w:t>
            </w:r>
          </w:p>
        </w:tc>
        <w:tc>
          <w:tcPr>
            <w:tcW w:w="1922"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9" w:type="dxa"/>
            <w:tcBorders>
              <w:lef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3#</w:t>
            </w:r>
          </w:p>
        </w:tc>
        <w:tc>
          <w:tcPr>
            <w:tcW w:w="4416" w:type="dxa"/>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龙王峪河汇入沂河前（龙王峪河）</w:t>
            </w:r>
          </w:p>
        </w:tc>
        <w:tc>
          <w:tcPr>
            <w:tcW w:w="1921"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1922"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29" w:type="dxa"/>
            <w:tcBorders>
              <w:left w:val="single" w:color="auto" w:sz="12" w:space="0"/>
              <w:bottom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4#</w:t>
            </w:r>
          </w:p>
        </w:tc>
        <w:tc>
          <w:tcPr>
            <w:tcW w:w="4416" w:type="dxa"/>
            <w:tcBorders>
              <w:bottom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王峪矿段下游500m（沂河）（沂河）</w:t>
            </w:r>
          </w:p>
        </w:tc>
        <w:tc>
          <w:tcPr>
            <w:tcW w:w="1921"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50</w:t>
            </w:r>
          </w:p>
        </w:tc>
        <w:tc>
          <w:tcPr>
            <w:tcW w:w="1922" w:type="dxa"/>
            <w:tcBorders>
              <w:bottom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w:t>
            </w:r>
          </w:p>
        </w:tc>
      </w:tr>
    </w:tbl>
    <w:p>
      <w:pPr>
        <w:pStyle w:val="7"/>
        <w:rPr>
          <w:rFonts w:hint="eastAsia" w:ascii="宋体" w:hAnsi="宋体" w:eastAsia="宋体" w:cs="宋体"/>
          <w:lang w:eastAsia="zh-CN"/>
        </w:rPr>
      </w:pPr>
      <w:r>
        <w:rPr>
          <w:rFonts w:hint="eastAsia" w:ascii="宋体" w:hAnsi="宋体" w:eastAsia="宋体" w:cs="宋体"/>
          <w:lang w:eastAsia="zh-CN"/>
        </w:rPr>
        <w:t>5.2.6 现状评价</w:t>
      </w:r>
    </w:p>
    <w:p>
      <w:pPr>
        <w:pStyle w:val="8"/>
        <w:rPr>
          <w:rFonts w:hint="eastAsia" w:ascii="宋体" w:hAnsi="宋体" w:eastAsia="宋体" w:cs="宋体"/>
          <w:lang w:eastAsia="zh-CN"/>
        </w:rPr>
      </w:pPr>
      <w:r>
        <w:rPr>
          <w:rFonts w:hint="eastAsia" w:ascii="宋体" w:hAnsi="宋体" w:eastAsia="宋体" w:cs="宋体"/>
          <w:lang w:eastAsia="zh-CN"/>
        </w:rPr>
        <w:t>5.2.6.1 评价标准</w:t>
      </w:r>
    </w:p>
    <w:p>
      <w:pPr>
        <w:pStyle w:val="16"/>
        <w:ind w:firstLine="560"/>
        <w:rPr>
          <w:rFonts w:hint="eastAsia" w:ascii="宋体" w:hAnsi="宋体" w:eastAsia="宋体" w:cs="宋体"/>
          <w:szCs w:val="28"/>
        </w:rPr>
      </w:pPr>
      <w:r>
        <w:rPr>
          <w:rFonts w:hint="eastAsia" w:ascii="宋体" w:hAnsi="宋体" w:eastAsia="宋体" w:cs="宋体"/>
          <w:szCs w:val="28"/>
        </w:rPr>
        <w:t>地表水环境质量执行《地表水环境质量标准》（GB3838-2002）表1中Ⅳ类标准，具体限值要求见本报告表1.4.1-2。</w:t>
      </w:r>
    </w:p>
    <w:p>
      <w:pPr>
        <w:pStyle w:val="8"/>
        <w:rPr>
          <w:rFonts w:hint="eastAsia" w:ascii="宋体" w:hAnsi="宋体" w:eastAsia="宋体" w:cs="宋体"/>
          <w:lang w:eastAsia="zh-CN"/>
        </w:rPr>
      </w:pPr>
      <w:r>
        <w:rPr>
          <w:rFonts w:hint="eastAsia" w:ascii="宋体" w:hAnsi="宋体" w:eastAsia="宋体" w:cs="宋体"/>
          <w:lang w:eastAsia="zh-CN"/>
        </w:rPr>
        <w:t>5.2.6.2 评价方法</w:t>
      </w:r>
    </w:p>
    <w:p>
      <w:pPr>
        <w:pStyle w:val="16"/>
        <w:autoSpaceDE/>
        <w:autoSpaceDN/>
        <w:ind w:firstLine="560"/>
        <w:rPr>
          <w:rFonts w:hint="eastAsia" w:ascii="宋体" w:hAnsi="宋体" w:eastAsia="宋体" w:cs="宋体"/>
        </w:rPr>
      </w:pPr>
      <w:r>
        <w:rPr>
          <w:rFonts w:hint="eastAsia" w:ascii="宋体" w:hAnsi="宋体" w:eastAsia="宋体" w:cs="宋体"/>
        </w:rPr>
        <w:t>1、一般性水质因子（随着浓度增加而水质变差的水质因子）的指数计算公式：</w:t>
      </w:r>
    </w:p>
    <w:p>
      <w:pPr>
        <w:pStyle w:val="16"/>
        <w:autoSpaceDE/>
        <w:autoSpaceDN/>
        <w:ind w:firstLine="560"/>
        <w:rPr>
          <w:rFonts w:hint="eastAsia" w:ascii="宋体" w:hAnsi="宋体" w:eastAsia="宋体" w:cs="宋体"/>
        </w:rPr>
      </w:pPr>
      <m:oMathPara>
        <m:oMath>
          <m:sSub>
            <m:sSubPr>
              <m:ctrlPr>
                <w:rPr>
                  <w:rFonts w:hint="eastAsia" w:ascii="Cambria Math" w:hAnsi="Cambria Math" w:eastAsia="宋体" w:cs="宋体"/>
                </w:rPr>
              </m:ctrlPr>
            </m:sSubPr>
            <m:e>
              <m:r>
                <m:rPr>
                  <m:sty m:val="p"/>
                </m:rPr>
                <w:rPr>
                  <w:rFonts w:hint="eastAsia" w:ascii="Cambria Math" w:hAnsi="Cambria Math" w:eastAsia="宋体" w:cs="宋体"/>
                </w:rPr>
                <m:t>S</m:t>
              </m:r>
              <m:ctrlPr>
                <w:rPr>
                  <w:rFonts w:hint="eastAsia" w:ascii="Cambria Math" w:hAnsi="Cambria Math" w:eastAsia="宋体" w:cs="宋体"/>
                </w:rPr>
              </m:ctrlPr>
            </m:e>
            <m:sub>
              <m:r>
                <m:rPr>
                  <m:sty m:val="p"/>
                </m:rPr>
                <w:rPr>
                  <w:rFonts w:hint="eastAsia" w:ascii="Cambria Math" w:hAnsi="Cambria Math" w:eastAsia="宋体" w:cs="宋体"/>
                </w:rPr>
                <m:t>i,j</m:t>
              </m:r>
              <m:ctrlPr>
                <w:rPr>
                  <w:rFonts w:hint="eastAsia" w:ascii="Cambria Math" w:hAnsi="Cambria Math" w:eastAsia="宋体" w:cs="宋体"/>
                </w:rPr>
              </m:ctrlPr>
            </m:sub>
          </m:sSub>
          <m:r>
            <m:rPr>
              <m:sty m:val="p"/>
            </m:rPr>
            <w:rPr>
              <w:rFonts w:hint="eastAsia" w:ascii="Cambria Math" w:hAnsi="Cambria Math" w:eastAsia="宋体" w:cs="宋体"/>
            </w:rPr>
            <m:t>=</m:t>
          </m:r>
          <m:sSub>
            <m:sSubPr>
              <m:ctrlPr>
                <w:rPr>
                  <w:rFonts w:hint="eastAsia" w:ascii="Cambria Math" w:hAnsi="Cambria Math" w:eastAsia="宋体" w:cs="宋体"/>
                </w:rPr>
              </m:ctrlPr>
            </m:sSubPr>
            <m:e>
              <m:r>
                <m:rPr>
                  <m:sty m:val="p"/>
                </m:rPr>
                <w:rPr>
                  <w:rFonts w:hint="eastAsia" w:ascii="Cambria Math" w:hAnsi="Cambria Math" w:eastAsia="宋体" w:cs="宋体"/>
                </w:rPr>
                <m:t>C</m:t>
              </m:r>
              <m:ctrlPr>
                <w:rPr>
                  <w:rFonts w:hint="eastAsia" w:ascii="Cambria Math" w:hAnsi="Cambria Math" w:eastAsia="宋体" w:cs="宋体"/>
                </w:rPr>
              </m:ctrlPr>
            </m:e>
            <m:sub>
              <m:r>
                <m:rPr>
                  <m:sty m:val="p"/>
                </m:rPr>
                <w:rPr>
                  <w:rFonts w:hint="eastAsia" w:ascii="Cambria Math" w:hAnsi="Cambria Math" w:eastAsia="宋体" w:cs="宋体"/>
                </w:rPr>
                <m:t>i,j</m:t>
              </m:r>
              <m:ctrlPr>
                <w:rPr>
                  <w:rFonts w:hint="eastAsia" w:ascii="Cambria Math" w:hAnsi="Cambria Math" w:eastAsia="宋体" w:cs="宋体"/>
                </w:rPr>
              </m:ctrlPr>
            </m:sub>
          </m:sSub>
          <m:r>
            <m:rPr>
              <m:sty m:val="p"/>
            </m:rPr>
            <w:rPr>
              <w:rFonts w:hint="eastAsia" w:ascii="Cambria Math" w:hAnsi="Cambria Math" w:eastAsia="宋体" w:cs="宋体"/>
            </w:rPr>
            <m:t>/</m:t>
          </m:r>
          <m:sSub>
            <m:sSubPr>
              <m:ctrlPr>
                <w:rPr>
                  <w:rFonts w:hint="eastAsia" w:ascii="Cambria Math" w:hAnsi="Cambria Math" w:eastAsia="宋体" w:cs="宋体"/>
                </w:rPr>
              </m:ctrlPr>
            </m:sSubPr>
            <m:e>
              <m:r>
                <m:rPr>
                  <m:sty m:val="p"/>
                </m:rPr>
                <w:rPr>
                  <w:rFonts w:hint="eastAsia" w:ascii="Cambria Math" w:hAnsi="Cambria Math" w:eastAsia="宋体" w:cs="宋体"/>
                </w:rPr>
                <m:t>C</m:t>
              </m:r>
              <m:ctrlPr>
                <w:rPr>
                  <w:rFonts w:hint="eastAsia" w:ascii="Cambria Math" w:hAnsi="Cambria Math" w:eastAsia="宋体" w:cs="宋体"/>
                </w:rPr>
              </m:ctrlPr>
            </m:e>
            <m:sub>
              <m:r>
                <m:rPr>
                  <m:sty m:val="p"/>
                </m:rPr>
                <w:rPr>
                  <w:rFonts w:hint="eastAsia" w:ascii="Cambria Math" w:hAnsi="Cambria Math" w:eastAsia="宋体" w:cs="宋体"/>
                </w:rPr>
                <m:t>si</m:t>
              </m:r>
              <m:ctrlPr>
                <w:rPr>
                  <w:rFonts w:hint="eastAsia" w:ascii="Cambria Math" w:hAnsi="Cambria Math" w:eastAsia="宋体" w:cs="宋体"/>
                </w:rPr>
              </m:ctrlPr>
            </m:sub>
          </m:sSub>
        </m:oMath>
      </m:oMathPara>
    </w:p>
    <w:p>
      <w:pPr>
        <w:pStyle w:val="16"/>
        <w:autoSpaceDE/>
        <w:autoSpaceDN/>
        <w:ind w:firstLine="560"/>
        <w:rPr>
          <w:rFonts w:hint="eastAsia" w:ascii="宋体" w:hAnsi="宋体" w:eastAsia="宋体" w:cs="宋体"/>
        </w:rPr>
      </w:pPr>
      <w:r>
        <w:rPr>
          <w:rFonts w:hint="eastAsia" w:ascii="宋体" w:hAnsi="宋体" w:eastAsia="宋体" w:cs="宋体"/>
        </w:rPr>
        <w:t>式中：S</w:t>
      </w:r>
      <w:r>
        <w:rPr>
          <w:rFonts w:hint="eastAsia" w:ascii="宋体" w:hAnsi="宋体" w:eastAsia="宋体" w:cs="宋体"/>
          <w:vertAlign w:val="subscript"/>
        </w:rPr>
        <w:t>i ,j</w:t>
      </w:r>
      <w:r>
        <w:rPr>
          <w:rFonts w:hint="eastAsia" w:ascii="宋体" w:hAnsi="宋体" w:eastAsia="宋体" w:cs="宋体"/>
        </w:rPr>
        <w:t>——评价因子i的水质指数，大于1表明该水质因子超标；</w:t>
      </w:r>
    </w:p>
    <w:p>
      <w:pPr>
        <w:pStyle w:val="16"/>
        <w:autoSpaceDE/>
        <w:autoSpaceDN/>
        <w:ind w:firstLine="1200" w:firstLineChars="500"/>
        <w:rPr>
          <w:rFonts w:hint="eastAsia" w:ascii="宋体" w:hAnsi="宋体" w:eastAsia="宋体" w:cs="宋体"/>
        </w:rPr>
      </w:pPr>
      <w:r>
        <w:rPr>
          <w:rFonts w:hint="eastAsia" w:ascii="宋体" w:hAnsi="宋体" w:eastAsia="宋体" w:cs="宋体"/>
        </w:rPr>
        <w:t>C</w:t>
      </w:r>
      <w:r>
        <w:rPr>
          <w:rFonts w:hint="eastAsia" w:ascii="宋体" w:hAnsi="宋体" w:eastAsia="宋体" w:cs="宋体"/>
          <w:vertAlign w:val="subscript"/>
        </w:rPr>
        <w:t>i ,j</w:t>
      </w:r>
      <w:r>
        <w:rPr>
          <w:rFonts w:hint="eastAsia" w:ascii="宋体" w:hAnsi="宋体" w:eastAsia="宋体" w:cs="宋体"/>
        </w:rPr>
        <w:t xml:space="preserve"> ——评价因子i在j点的实测统计代表值，mg/L；</w:t>
      </w:r>
    </w:p>
    <w:p>
      <w:pPr>
        <w:pStyle w:val="16"/>
        <w:autoSpaceDE/>
        <w:autoSpaceDN/>
        <w:ind w:firstLine="1200" w:firstLineChars="500"/>
        <w:rPr>
          <w:rFonts w:hint="eastAsia" w:ascii="宋体" w:hAnsi="宋体" w:eastAsia="宋体" w:cs="宋体"/>
        </w:rPr>
      </w:pPr>
      <w:r>
        <w:rPr>
          <w:rFonts w:hint="eastAsia" w:ascii="宋体" w:hAnsi="宋体" w:eastAsia="宋体" w:cs="宋体"/>
        </w:rPr>
        <w:t>C</w:t>
      </w:r>
      <w:r>
        <w:rPr>
          <w:rFonts w:hint="eastAsia" w:ascii="宋体" w:hAnsi="宋体" w:eastAsia="宋体" w:cs="宋体"/>
          <w:vertAlign w:val="subscript"/>
        </w:rPr>
        <w:t>si</w:t>
      </w:r>
      <w:r>
        <w:rPr>
          <w:rFonts w:hint="eastAsia" w:ascii="宋体" w:hAnsi="宋体" w:eastAsia="宋体" w:cs="宋体"/>
        </w:rPr>
        <w:t xml:space="preserve"> ——评价因子i的水质评价标准限值，mg/L。</w:t>
      </w:r>
    </w:p>
    <w:p>
      <w:pPr>
        <w:pStyle w:val="16"/>
        <w:numPr>
          <w:ilvl w:val="0"/>
          <w:numId w:val="17"/>
        </w:numPr>
        <w:autoSpaceDE/>
        <w:autoSpaceDN/>
        <w:ind w:firstLine="560"/>
        <w:rPr>
          <w:rFonts w:hint="eastAsia" w:ascii="宋体" w:hAnsi="宋体" w:eastAsia="宋体" w:cs="宋体"/>
        </w:rPr>
      </w:pPr>
      <w:r>
        <w:rPr>
          <w:rFonts w:hint="eastAsia" w:ascii="宋体" w:hAnsi="宋体" w:eastAsia="宋体" w:cs="宋体"/>
        </w:rPr>
        <w:t>溶解氧（DO）的标准指数计算公式：</w:t>
      </w:r>
    </w:p>
    <w:p>
      <w:pPr>
        <w:pStyle w:val="16"/>
        <w:autoSpaceDE/>
        <w:autoSpaceDN/>
        <w:ind w:firstLine="0" w:firstLineChars="0"/>
        <w:rPr>
          <w:rFonts w:hint="eastAsia" w:ascii="宋体" w:hAnsi="宋体" w:eastAsia="宋体" w:cs="宋体"/>
        </w:rPr>
      </w:pPr>
      <m:oMathPara>
        <m:oMath>
          <m:sSub>
            <m:sSubPr>
              <m:ctrlPr>
                <w:rPr>
                  <w:rFonts w:hint="eastAsia" w:ascii="Cambria Math" w:hAnsi="Cambria Math" w:eastAsia="宋体" w:cs="宋体"/>
                  <w:i/>
                </w:rPr>
              </m:ctrlPr>
            </m:sSubPr>
            <m:e>
              <m:r>
                <m:rPr/>
                <w:rPr>
                  <w:rFonts w:hint="eastAsia" w:ascii="Cambria Math" w:hAnsi="Cambria Math" w:eastAsia="宋体" w:cs="宋体"/>
                </w:rPr>
                <m:t>S</m:t>
              </m:r>
              <m:ctrlPr>
                <w:rPr>
                  <w:rFonts w:hint="eastAsia" w:ascii="Cambria Math" w:hAnsi="Cambria Math" w:eastAsia="宋体" w:cs="宋体"/>
                  <w:i/>
                </w:rPr>
              </m:ctrlPr>
            </m:e>
            <m:sub>
              <m:r>
                <m:rPr/>
                <w:rPr>
                  <w:rFonts w:hint="eastAsia" w:ascii="Cambria Math" w:hAnsi="Cambria Math" w:eastAsia="宋体" w:cs="宋体"/>
                </w:rPr>
                <m:t>DO,j</m:t>
              </m:r>
              <m:ctrlPr>
                <w:rPr>
                  <w:rFonts w:hint="eastAsia" w:ascii="Cambria Math" w:hAnsi="Cambria Math" w:eastAsia="宋体" w:cs="宋体"/>
                  <w:i/>
                </w:rPr>
              </m:ctrlPr>
            </m:sub>
          </m:sSub>
          <m:r>
            <m:rPr/>
            <w:rPr>
              <w:rFonts w:hint="eastAsia" w:ascii="Cambria Math" w:hAnsi="Cambria Math" w:eastAsia="宋体" w:cs="宋体"/>
            </w:rPr>
            <m:t>=</m:t>
          </m:r>
          <m:sSub>
            <m:sSubPr>
              <m:ctrlPr>
                <w:rPr>
                  <w:rFonts w:hint="eastAsia" w:ascii="Cambria Math" w:hAnsi="Cambria Math" w:eastAsia="宋体" w:cs="宋体"/>
                  <w:i/>
                </w:rPr>
              </m:ctrlPr>
            </m:sSubPr>
            <m:e>
              <m:r>
                <m:rPr/>
                <w:rPr>
                  <w:rFonts w:hint="eastAsia" w:ascii="Cambria Math" w:hAnsi="Cambria Math" w:eastAsia="宋体" w:cs="宋体"/>
                </w:rPr>
                <m:t>DO</m:t>
              </m:r>
              <m:ctrlPr>
                <w:rPr>
                  <w:rFonts w:hint="eastAsia" w:ascii="Cambria Math" w:hAnsi="Cambria Math" w:eastAsia="宋体" w:cs="宋体"/>
                  <w:i/>
                </w:rPr>
              </m:ctrlPr>
            </m:e>
            <m:sub>
              <m:r>
                <m:rPr/>
                <w:rPr>
                  <w:rFonts w:hint="eastAsia" w:ascii="Cambria Math" w:hAnsi="Cambria Math" w:eastAsia="宋体" w:cs="宋体"/>
                </w:rPr>
                <m:t>s</m:t>
              </m:r>
              <m:ctrlPr>
                <w:rPr>
                  <w:rFonts w:hint="eastAsia" w:ascii="Cambria Math" w:hAnsi="Cambria Math" w:eastAsia="宋体" w:cs="宋体"/>
                  <w:i/>
                </w:rPr>
              </m:ctrlPr>
            </m:sub>
          </m:sSub>
          <m:r>
            <m:rPr/>
            <w:rPr>
              <w:rFonts w:hint="eastAsia" w:ascii="Cambria Math" w:hAnsi="Cambria Math" w:eastAsia="宋体" w:cs="宋体"/>
            </w:rPr>
            <m:t>+</m:t>
          </m:r>
          <m:sSub>
            <m:sSubPr>
              <m:ctrlPr>
                <w:rPr>
                  <w:rFonts w:hint="eastAsia" w:ascii="Cambria Math" w:hAnsi="Cambria Math" w:eastAsia="宋体" w:cs="宋体"/>
                  <w:i/>
                </w:rPr>
              </m:ctrlPr>
            </m:sSubPr>
            <m:e>
              <m:r>
                <m:rPr/>
                <w:rPr>
                  <w:rFonts w:hint="eastAsia" w:ascii="Cambria Math" w:hAnsi="Cambria Math" w:eastAsia="宋体" w:cs="宋体"/>
                </w:rPr>
                <m:t>DO</m:t>
              </m:r>
              <m:ctrlPr>
                <w:rPr>
                  <w:rFonts w:hint="eastAsia" w:ascii="Cambria Math" w:hAnsi="Cambria Math" w:eastAsia="宋体" w:cs="宋体"/>
                  <w:i/>
                </w:rPr>
              </m:ctrlPr>
            </m:e>
            <m:sub>
              <m:r>
                <m:rPr/>
                <w:rPr>
                  <w:rFonts w:hint="eastAsia" w:ascii="Cambria Math" w:hAnsi="Cambria Math" w:eastAsia="宋体" w:cs="宋体"/>
                </w:rPr>
                <m:t>j</m:t>
              </m:r>
              <m:ctrlPr>
                <w:rPr>
                  <w:rFonts w:hint="eastAsia" w:ascii="Cambria Math" w:hAnsi="Cambria Math" w:eastAsia="宋体" w:cs="宋体"/>
                  <w:i/>
                </w:rPr>
              </m:ctrlPr>
            </m:sub>
          </m:sSub>
          <m:r>
            <m:rPr/>
            <w:rPr>
              <w:rFonts w:hint="eastAsia" w:ascii="Cambria Math" w:hAnsi="Cambria Math" w:eastAsia="宋体" w:cs="宋体"/>
            </w:rPr>
            <m:t xml:space="preserve">                       </m:t>
          </m:r>
          <m:sSub>
            <m:sSubPr>
              <m:ctrlPr>
                <w:rPr>
                  <w:rFonts w:hint="eastAsia" w:ascii="Cambria Math" w:hAnsi="Cambria Math" w:eastAsia="宋体" w:cs="宋体"/>
                  <w:i/>
                </w:rPr>
              </m:ctrlPr>
            </m:sSubPr>
            <m:e>
              <m:r>
                <m:rPr/>
                <w:rPr>
                  <w:rFonts w:hint="eastAsia" w:ascii="Cambria Math" w:hAnsi="Cambria Math" w:eastAsia="宋体" w:cs="宋体"/>
                </w:rPr>
                <m:t>DO</m:t>
              </m:r>
              <m:ctrlPr>
                <w:rPr>
                  <w:rFonts w:hint="eastAsia" w:ascii="Cambria Math" w:hAnsi="Cambria Math" w:eastAsia="宋体" w:cs="宋体"/>
                  <w:i/>
                </w:rPr>
              </m:ctrlPr>
            </m:e>
            <m:sub>
              <m:r>
                <m:rPr/>
                <w:rPr>
                  <w:rFonts w:hint="eastAsia" w:ascii="Cambria Math" w:hAnsi="Cambria Math" w:eastAsia="宋体" w:cs="宋体"/>
                </w:rPr>
                <m:t>j</m:t>
              </m:r>
              <m:ctrlPr>
                <w:rPr>
                  <w:rFonts w:hint="eastAsia" w:ascii="Cambria Math" w:hAnsi="Cambria Math" w:eastAsia="宋体" w:cs="宋体"/>
                  <w:i/>
                </w:rPr>
              </m:ctrlPr>
            </m:sub>
          </m:sSub>
          <m:r>
            <m:rPr/>
            <w:rPr>
              <w:rFonts w:hint="eastAsia" w:ascii="Cambria Math" w:hAnsi="Cambria Math" w:eastAsia="宋体" w:cs="宋体"/>
            </w:rPr>
            <m:t>≤</m:t>
          </m:r>
          <m:sSub>
            <m:sSubPr>
              <m:ctrlPr>
                <w:rPr>
                  <w:rFonts w:hint="eastAsia" w:ascii="Cambria Math" w:hAnsi="Cambria Math" w:eastAsia="宋体" w:cs="宋体"/>
                  <w:i/>
                </w:rPr>
              </m:ctrlPr>
            </m:sSubPr>
            <m:e>
              <m:r>
                <m:rPr/>
                <w:rPr>
                  <w:rFonts w:hint="eastAsia" w:ascii="Cambria Math" w:hAnsi="Cambria Math" w:eastAsia="宋体" w:cs="宋体"/>
                </w:rPr>
                <m:t>DO</m:t>
              </m:r>
              <m:ctrlPr>
                <w:rPr>
                  <w:rFonts w:hint="eastAsia" w:ascii="Cambria Math" w:hAnsi="Cambria Math" w:eastAsia="宋体" w:cs="宋体"/>
                  <w:i/>
                </w:rPr>
              </m:ctrlPr>
            </m:e>
            <m:sub>
              <m:r>
                <m:rPr/>
                <w:rPr>
                  <w:rFonts w:hint="eastAsia" w:ascii="Cambria Math" w:hAnsi="Cambria Math" w:eastAsia="宋体" w:cs="宋体"/>
                </w:rPr>
                <m:t>f</m:t>
              </m:r>
              <m:ctrlPr>
                <w:rPr>
                  <w:rFonts w:hint="eastAsia" w:ascii="Cambria Math" w:hAnsi="Cambria Math" w:eastAsia="宋体" w:cs="宋体"/>
                  <w:i/>
                </w:rPr>
              </m:ctrlPr>
            </m:sub>
          </m:sSub>
        </m:oMath>
      </m:oMathPara>
    </w:p>
    <w:p>
      <w:pPr>
        <w:pStyle w:val="16"/>
        <w:autoSpaceDE/>
        <w:autoSpaceDN/>
        <w:ind w:firstLine="0" w:firstLineChars="0"/>
        <w:rPr>
          <w:rFonts w:hint="eastAsia" w:ascii="宋体" w:hAnsi="宋体" w:eastAsia="宋体" w:cs="宋体"/>
        </w:rPr>
      </w:pPr>
      <m:oMathPara>
        <m:oMathParaPr>
          <m:jc m:val="center"/>
        </m:oMathParaPr>
        <m:oMath>
          <m:sSub>
            <m:sSubPr>
              <m:ctrlPr>
                <w:rPr>
                  <w:rFonts w:hint="eastAsia" w:ascii="Cambria Math" w:hAnsi="Cambria Math" w:eastAsia="宋体" w:cs="宋体"/>
                </w:rPr>
              </m:ctrlPr>
            </m:sSubPr>
            <m:e>
              <m:r>
                <m:rPr>
                  <m:sty m:val="p"/>
                </m:rPr>
                <w:rPr>
                  <w:rFonts w:hint="eastAsia" w:ascii="Cambria Math" w:hAnsi="Cambria Math" w:eastAsia="宋体" w:cs="宋体"/>
                </w:rPr>
                <m:t>S</m:t>
              </m:r>
              <m:ctrlPr>
                <w:rPr>
                  <w:rFonts w:hint="eastAsia" w:ascii="Cambria Math" w:hAnsi="Cambria Math" w:eastAsia="宋体" w:cs="宋体"/>
                </w:rPr>
              </m:ctrlPr>
            </m:e>
            <m:sub>
              <m:r>
                <m:rPr>
                  <m:sty m:val="p"/>
                </m:rPr>
                <w:rPr>
                  <w:rFonts w:hint="eastAsia" w:ascii="Cambria Math" w:hAnsi="Cambria Math" w:eastAsia="宋体" w:cs="宋体"/>
                </w:rPr>
                <m:t>DO,j</m:t>
              </m:r>
              <m:ctrlPr>
                <w:rPr>
                  <w:rFonts w:hint="eastAsia" w:ascii="Cambria Math" w:hAnsi="Cambria Math" w:eastAsia="宋体" w:cs="宋体"/>
                </w:rPr>
              </m:ctrlPr>
            </m:sub>
          </m:sSub>
          <m:r>
            <m:rPr>
              <m:sty m:val="p"/>
            </m:rPr>
            <w:rPr>
              <w:rFonts w:hint="eastAsia" w:ascii="Cambria Math" w:hAnsi="Cambria Math" w:eastAsia="宋体" w:cs="宋体"/>
            </w:rPr>
            <m:t xml:space="preserve">= </m:t>
          </m:r>
          <m:box>
            <m:boxPr>
              <m:ctrlPr>
                <w:rPr>
                  <w:rFonts w:hint="eastAsia" w:ascii="Cambria Math" w:hAnsi="Cambria Math" w:eastAsia="宋体" w:cs="宋体"/>
                </w:rPr>
              </m:ctrlPr>
            </m:boxPr>
            <m:e>
              <m:argPr>
                <m:argSz m:val="-1"/>
              </m:argPr>
              <m:f>
                <m:fPr>
                  <m:ctrlPr>
                    <w:rPr>
                      <w:rFonts w:hint="eastAsia" w:ascii="Cambria Math" w:hAnsi="Cambria Math" w:eastAsia="宋体" w:cs="宋体"/>
                    </w:rPr>
                  </m:ctrlPr>
                </m:fPr>
                <m:num>
                  <m:d>
                    <m:dPr>
                      <m:begChr m:val="|"/>
                      <m:endChr m:val="|"/>
                      <m:ctrlPr>
                        <w:rPr>
                          <w:rFonts w:hint="eastAsia" w:ascii="Cambria Math" w:hAnsi="Cambria Math" w:eastAsia="宋体" w:cs="宋体"/>
                        </w:rPr>
                      </m:ctrlPr>
                    </m:dPr>
                    <m:e>
                      <m:sSub>
                        <m:sSubPr>
                          <m:ctrlPr>
                            <w:rPr>
                              <w:rFonts w:hint="eastAsia" w:ascii="Cambria Math" w:hAnsi="Cambria Math" w:eastAsia="宋体" w:cs="宋体"/>
                            </w:rPr>
                          </m:ctrlPr>
                        </m:sSubPr>
                        <m:e>
                          <m:r>
                            <m:rPr>
                              <m:sty m:val="p"/>
                            </m:rPr>
                            <w:rPr>
                              <w:rFonts w:hint="eastAsia" w:ascii="Cambria Math" w:hAnsi="Cambria Math" w:eastAsia="宋体" w:cs="宋体"/>
                            </w:rPr>
                            <m:t>DO</m:t>
                          </m:r>
                          <m:ctrlPr>
                            <w:rPr>
                              <w:rFonts w:hint="eastAsia" w:ascii="Cambria Math" w:hAnsi="Cambria Math" w:eastAsia="宋体" w:cs="宋体"/>
                            </w:rPr>
                          </m:ctrlPr>
                        </m:e>
                        <m:sub>
                          <m:r>
                            <m:rPr>
                              <m:sty m:val="p"/>
                            </m:rPr>
                            <w:rPr>
                              <w:rFonts w:hint="eastAsia" w:ascii="Cambria Math" w:hAnsi="Cambria Math" w:eastAsia="宋体" w:cs="宋体"/>
                            </w:rPr>
                            <m:t>f</m:t>
                          </m:r>
                          <m:ctrlPr>
                            <w:rPr>
                              <w:rFonts w:hint="eastAsia" w:ascii="Cambria Math" w:hAnsi="Cambria Math" w:eastAsia="宋体" w:cs="宋体"/>
                            </w:rPr>
                          </m:ctrlPr>
                        </m:sub>
                      </m:sSub>
                      <m:r>
                        <m:rPr>
                          <m:sty m:val="p"/>
                        </m:rPr>
                        <w:rPr>
                          <w:rFonts w:hint="eastAsia" w:ascii="Cambria Math" w:hAnsi="Cambria Math" w:eastAsia="宋体" w:cs="宋体"/>
                        </w:rPr>
                        <m:t>−</m:t>
                      </m:r>
                      <m:sSub>
                        <m:sSubPr>
                          <m:ctrlPr>
                            <w:rPr>
                              <w:rFonts w:hint="eastAsia" w:ascii="Cambria Math" w:hAnsi="Cambria Math" w:eastAsia="宋体" w:cs="宋体"/>
                            </w:rPr>
                          </m:ctrlPr>
                        </m:sSubPr>
                        <m:e>
                          <m:r>
                            <m:rPr>
                              <m:sty m:val="p"/>
                            </m:rPr>
                            <w:rPr>
                              <w:rFonts w:hint="eastAsia" w:ascii="Cambria Math" w:hAnsi="Cambria Math" w:eastAsia="宋体" w:cs="宋体"/>
                            </w:rPr>
                            <m:t>DO</m:t>
                          </m:r>
                          <m:ctrlPr>
                            <w:rPr>
                              <w:rFonts w:hint="eastAsia" w:ascii="Cambria Math" w:hAnsi="Cambria Math" w:eastAsia="宋体" w:cs="宋体"/>
                            </w:rPr>
                          </m:ctrlPr>
                        </m:e>
                        <m:sub>
                          <m:r>
                            <m:rPr>
                              <m:sty m:val="p"/>
                            </m:rPr>
                            <w:rPr>
                              <w:rFonts w:hint="eastAsia" w:ascii="Cambria Math" w:hAnsi="Cambria Math" w:eastAsia="宋体" w:cs="宋体"/>
                            </w:rPr>
                            <m:t>j</m:t>
                          </m:r>
                          <m:ctrlPr>
                            <w:rPr>
                              <w:rFonts w:hint="eastAsia" w:ascii="Cambria Math" w:hAnsi="Cambria Math" w:eastAsia="宋体" w:cs="宋体"/>
                            </w:rPr>
                          </m:ctrlPr>
                        </m:sub>
                      </m:sSub>
                      <m:ctrlPr>
                        <w:rPr>
                          <w:rFonts w:hint="eastAsia" w:ascii="Cambria Math" w:hAnsi="Cambria Math" w:eastAsia="宋体" w:cs="宋体"/>
                        </w:rPr>
                      </m:ctrlPr>
                    </m:e>
                  </m:d>
                  <m:ctrlPr>
                    <w:rPr>
                      <w:rFonts w:hint="eastAsia" w:ascii="Cambria Math" w:hAnsi="Cambria Math" w:eastAsia="宋体" w:cs="宋体"/>
                    </w:rPr>
                  </m:ctrlPr>
                </m:num>
                <m:den>
                  <m:sSub>
                    <m:sSubPr>
                      <m:ctrlPr>
                        <w:rPr>
                          <w:rFonts w:hint="eastAsia" w:ascii="Cambria Math" w:hAnsi="Cambria Math" w:eastAsia="宋体" w:cs="宋体"/>
                        </w:rPr>
                      </m:ctrlPr>
                    </m:sSubPr>
                    <m:e>
                      <m:r>
                        <m:rPr>
                          <m:sty m:val="p"/>
                        </m:rPr>
                        <w:rPr>
                          <w:rFonts w:hint="eastAsia" w:ascii="Cambria Math" w:hAnsi="Cambria Math" w:eastAsia="宋体" w:cs="宋体"/>
                        </w:rPr>
                        <m:t>DO</m:t>
                      </m:r>
                      <m:ctrlPr>
                        <w:rPr>
                          <w:rFonts w:hint="eastAsia" w:ascii="Cambria Math" w:hAnsi="Cambria Math" w:eastAsia="宋体" w:cs="宋体"/>
                        </w:rPr>
                      </m:ctrlPr>
                    </m:e>
                    <m:sub>
                      <m:r>
                        <m:rPr>
                          <m:sty m:val="p"/>
                        </m:rPr>
                        <w:rPr>
                          <w:rFonts w:hint="eastAsia" w:ascii="Cambria Math" w:hAnsi="Cambria Math" w:eastAsia="宋体" w:cs="宋体"/>
                        </w:rPr>
                        <m:t>f</m:t>
                      </m:r>
                      <m:ctrlPr>
                        <w:rPr>
                          <w:rFonts w:hint="eastAsia" w:ascii="Cambria Math" w:hAnsi="Cambria Math" w:eastAsia="宋体" w:cs="宋体"/>
                        </w:rPr>
                      </m:ctrlPr>
                    </m:sub>
                  </m:sSub>
                  <m:r>
                    <m:rPr>
                      <m:sty m:val="p"/>
                    </m:rPr>
                    <w:rPr>
                      <w:rFonts w:hint="eastAsia" w:ascii="Cambria Math" w:hAnsi="Cambria Math" w:eastAsia="宋体" w:cs="宋体"/>
                    </w:rPr>
                    <m:t>−</m:t>
                  </m:r>
                  <m:sSub>
                    <m:sSubPr>
                      <m:ctrlPr>
                        <w:rPr>
                          <w:rFonts w:hint="eastAsia" w:ascii="Cambria Math" w:hAnsi="Cambria Math" w:eastAsia="宋体" w:cs="宋体"/>
                        </w:rPr>
                      </m:ctrlPr>
                    </m:sSubPr>
                    <m:e>
                      <m:r>
                        <m:rPr>
                          <m:sty m:val="p"/>
                        </m:rPr>
                        <w:rPr>
                          <w:rFonts w:hint="eastAsia" w:ascii="Cambria Math" w:hAnsi="Cambria Math" w:eastAsia="宋体" w:cs="宋体"/>
                        </w:rPr>
                        <m:t>DO</m:t>
                      </m:r>
                      <m:ctrlPr>
                        <w:rPr>
                          <w:rFonts w:hint="eastAsia" w:ascii="Cambria Math" w:hAnsi="Cambria Math" w:eastAsia="宋体" w:cs="宋体"/>
                        </w:rPr>
                      </m:ctrlPr>
                    </m:e>
                    <m:sub>
                      <m:r>
                        <m:rPr>
                          <m:sty m:val="p"/>
                        </m:rPr>
                        <w:rPr>
                          <w:rFonts w:hint="eastAsia" w:ascii="Cambria Math" w:hAnsi="Cambria Math" w:eastAsia="宋体" w:cs="宋体"/>
                        </w:rPr>
                        <m:t>s</m:t>
                      </m:r>
                      <m:ctrlPr>
                        <w:rPr>
                          <w:rFonts w:hint="eastAsia" w:ascii="Cambria Math" w:hAnsi="Cambria Math" w:eastAsia="宋体" w:cs="宋体"/>
                        </w:rPr>
                      </m:ctrlPr>
                    </m:sub>
                  </m:sSub>
                  <m:ctrlPr>
                    <w:rPr>
                      <w:rFonts w:hint="eastAsia" w:ascii="Cambria Math" w:hAnsi="Cambria Math" w:eastAsia="宋体" w:cs="宋体"/>
                    </w:rPr>
                  </m:ctrlPr>
                </m:den>
              </m:f>
              <m:ctrlPr>
                <w:rPr>
                  <w:rFonts w:hint="eastAsia" w:ascii="Cambria Math" w:hAnsi="Cambria Math" w:eastAsia="宋体" w:cs="宋体"/>
                </w:rPr>
              </m:ctrlPr>
            </m:e>
          </m:box>
          <m:r>
            <m:rPr>
              <m:sty m:val="p"/>
            </m:rPr>
            <w:rPr>
              <w:rFonts w:hint="eastAsia" w:ascii="Cambria Math" w:hAnsi="Cambria Math" w:eastAsia="宋体" w:cs="宋体"/>
            </w:rPr>
            <m:t xml:space="preserve">                         </m:t>
          </m:r>
          <m:sSub>
            <m:sSubPr>
              <m:ctrlPr>
                <w:rPr>
                  <w:rFonts w:hint="eastAsia" w:ascii="Cambria Math" w:hAnsi="Cambria Math" w:eastAsia="宋体" w:cs="宋体"/>
                </w:rPr>
              </m:ctrlPr>
            </m:sSubPr>
            <m:e>
              <m:r>
                <m:rPr>
                  <m:sty m:val="p"/>
                </m:rPr>
                <w:rPr>
                  <w:rFonts w:hint="eastAsia" w:ascii="Cambria Math" w:hAnsi="Cambria Math" w:eastAsia="宋体" w:cs="宋体"/>
                </w:rPr>
                <m:t>DO</m:t>
              </m:r>
              <m:ctrlPr>
                <w:rPr>
                  <w:rFonts w:hint="eastAsia" w:ascii="Cambria Math" w:hAnsi="Cambria Math" w:eastAsia="宋体" w:cs="宋体"/>
                </w:rPr>
              </m:ctrlPr>
            </m:e>
            <m:sub>
              <m:r>
                <m:rPr>
                  <m:sty m:val="p"/>
                </m:rPr>
                <w:rPr>
                  <w:rFonts w:hint="eastAsia" w:ascii="Cambria Math" w:hAnsi="Cambria Math" w:eastAsia="宋体" w:cs="宋体"/>
                </w:rPr>
                <m:t>j</m:t>
              </m:r>
              <m:ctrlPr>
                <w:rPr>
                  <w:rFonts w:hint="eastAsia" w:ascii="Cambria Math" w:hAnsi="Cambria Math" w:eastAsia="宋体" w:cs="宋体"/>
                </w:rPr>
              </m:ctrlPr>
            </m:sub>
          </m:sSub>
          <m:r>
            <m:rPr>
              <m:sty m:val="p"/>
            </m:rPr>
            <w:rPr>
              <w:rFonts w:hint="eastAsia" w:ascii="Cambria Math" w:hAnsi="Cambria Math" w:eastAsia="宋体" w:cs="宋体"/>
            </w:rPr>
            <m:t>＞</m:t>
          </m:r>
          <m:sSub>
            <m:sSubPr>
              <m:ctrlPr>
                <w:rPr>
                  <w:rFonts w:hint="eastAsia" w:ascii="Cambria Math" w:hAnsi="Cambria Math" w:eastAsia="宋体" w:cs="宋体"/>
                </w:rPr>
              </m:ctrlPr>
            </m:sSubPr>
            <m:e>
              <m:r>
                <m:rPr>
                  <m:sty m:val="p"/>
                </m:rPr>
                <w:rPr>
                  <w:rFonts w:hint="eastAsia" w:ascii="Cambria Math" w:hAnsi="Cambria Math" w:eastAsia="宋体" w:cs="宋体"/>
                </w:rPr>
                <m:t>DO</m:t>
              </m:r>
              <m:ctrlPr>
                <w:rPr>
                  <w:rFonts w:hint="eastAsia" w:ascii="Cambria Math" w:hAnsi="Cambria Math" w:eastAsia="宋体" w:cs="宋体"/>
                </w:rPr>
              </m:ctrlPr>
            </m:e>
            <m:sub>
              <m:r>
                <m:rPr>
                  <m:sty m:val="p"/>
                </m:rPr>
                <w:rPr>
                  <w:rFonts w:hint="eastAsia" w:ascii="Cambria Math" w:hAnsi="Cambria Math" w:eastAsia="宋体" w:cs="宋体"/>
                </w:rPr>
                <m:t>f</m:t>
              </m:r>
              <m:ctrlPr>
                <w:rPr>
                  <w:rFonts w:hint="eastAsia" w:ascii="Cambria Math" w:hAnsi="Cambria Math" w:eastAsia="宋体" w:cs="宋体"/>
                </w:rPr>
              </m:ctrlPr>
            </m:sub>
          </m:sSub>
        </m:oMath>
      </m:oMathPara>
    </w:p>
    <w:p>
      <w:pPr>
        <w:pStyle w:val="16"/>
        <w:autoSpaceDE/>
        <w:autoSpaceDN/>
        <w:ind w:firstLine="560"/>
        <w:rPr>
          <w:rFonts w:hint="eastAsia" w:ascii="宋体" w:hAnsi="宋体" w:eastAsia="宋体" w:cs="宋体"/>
        </w:rPr>
      </w:pPr>
      <w:r>
        <w:rPr>
          <w:rFonts w:hint="eastAsia" w:ascii="宋体" w:hAnsi="宋体" w:eastAsia="宋体" w:cs="宋体"/>
        </w:rPr>
        <w:t>式中：S</w:t>
      </w:r>
      <w:r>
        <w:rPr>
          <w:rFonts w:hint="eastAsia" w:ascii="宋体" w:hAnsi="宋体" w:eastAsia="宋体" w:cs="宋体"/>
          <w:vertAlign w:val="subscript"/>
        </w:rPr>
        <w:t>DO, j</w:t>
      </w:r>
      <w:r>
        <w:rPr>
          <w:rFonts w:hint="eastAsia" w:ascii="宋体" w:hAnsi="宋体" w:eastAsia="宋体" w:cs="宋体"/>
        </w:rPr>
        <w:t xml:space="preserve"> ——溶解氧的标准指数，大于1表明该水质因子超标；</w:t>
      </w:r>
    </w:p>
    <w:p>
      <w:pPr>
        <w:pStyle w:val="16"/>
        <w:autoSpaceDE/>
        <w:autoSpaceDN/>
        <w:ind w:firstLine="1200" w:firstLineChars="500"/>
        <w:rPr>
          <w:rFonts w:hint="eastAsia" w:ascii="宋体" w:hAnsi="宋体" w:eastAsia="宋体" w:cs="宋体"/>
        </w:rPr>
      </w:pPr>
      <w:r>
        <w:rPr>
          <w:rFonts w:hint="eastAsia" w:ascii="宋体" w:hAnsi="宋体" w:eastAsia="宋体" w:cs="宋体"/>
        </w:rPr>
        <w:t>DO</w:t>
      </w:r>
      <w:r>
        <w:rPr>
          <w:rFonts w:hint="eastAsia" w:ascii="宋体" w:hAnsi="宋体" w:eastAsia="宋体" w:cs="宋体"/>
          <w:vertAlign w:val="subscript"/>
        </w:rPr>
        <w:t>j</w:t>
      </w:r>
      <w:r>
        <w:rPr>
          <w:rFonts w:hint="eastAsia" w:ascii="宋体" w:hAnsi="宋体" w:eastAsia="宋体" w:cs="宋体"/>
        </w:rPr>
        <w:t>——溶解氧在j点的实测统计代表值，mg/L；</w:t>
      </w:r>
    </w:p>
    <w:p>
      <w:pPr>
        <w:pStyle w:val="16"/>
        <w:autoSpaceDE/>
        <w:autoSpaceDN/>
        <w:ind w:firstLine="1200" w:firstLineChars="500"/>
        <w:rPr>
          <w:rFonts w:hint="eastAsia" w:ascii="宋体" w:hAnsi="宋体" w:eastAsia="宋体" w:cs="宋体"/>
        </w:rPr>
      </w:pPr>
      <w:r>
        <w:rPr>
          <w:rFonts w:hint="eastAsia" w:ascii="宋体" w:hAnsi="宋体" w:eastAsia="宋体" w:cs="宋体"/>
        </w:rPr>
        <w:t>DO</w:t>
      </w:r>
      <w:r>
        <w:rPr>
          <w:rFonts w:hint="eastAsia" w:ascii="宋体" w:hAnsi="宋体" w:eastAsia="宋体" w:cs="宋体"/>
          <w:vertAlign w:val="subscript"/>
        </w:rPr>
        <w:t>s</w:t>
      </w:r>
      <w:r>
        <w:rPr>
          <w:rFonts w:hint="eastAsia" w:ascii="宋体" w:hAnsi="宋体" w:eastAsia="宋体" w:cs="宋体"/>
        </w:rPr>
        <w:t xml:space="preserve"> ——溶解氧的水质评价标准限值，mg/L；</w:t>
      </w:r>
    </w:p>
    <w:p>
      <w:pPr>
        <w:pStyle w:val="16"/>
        <w:autoSpaceDE/>
        <w:autoSpaceDN/>
        <w:ind w:firstLine="1200" w:firstLineChars="500"/>
        <w:rPr>
          <w:rFonts w:hint="eastAsia" w:ascii="宋体" w:hAnsi="宋体" w:eastAsia="宋体" w:cs="宋体"/>
        </w:rPr>
      </w:pPr>
      <w:r>
        <w:rPr>
          <w:rFonts w:hint="eastAsia" w:ascii="宋体" w:hAnsi="宋体" w:eastAsia="宋体" w:cs="宋体"/>
        </w:rPr>
        <w:t>DO</w:t>
      </w:r>
      <w:r>
        <w:rPr>
          <w:rFonts w:hint="eastAsia" w:ascii="宋体" w:hAnsi="宋体" w:eastAsia="宋体" w:cs="宋体"/>
          <w:vertAlign w:val="subscript"/>
        </w:rPr>
        <w:t>f</w:t>
      </w:r>
      <w:r>
        <w:rPr>
          <w:rFonts w:hint="eastAsia" w:ascii="宋体" w:hAnsi="宋体" w:eastAsia="宋体" w:cs="宋体"/>
        </w:rPr>
        <w:t>——饱和溶解氧浓度，mg/L，对于河流，DO</w:t>
      </w:r>
      <w:r>
        <w:rPr>
          <w:rFonts w:hint="eastAsia" w:ascii="宋体" w:hAnsi="宋体" w:eastAsia="宋体" w:cs="宋体"/>
          <w:vertAlign w:val="subscript"/>
        </w:rPr>
        <w:t>f</w:t>
      </w:r>
      <w:r>
        <w:rPr>
          <w:rFonts w:hint="eastAsia" w:ascii="宋体" w:hAnsi="宋体" w:eastAsia="宋体" w:cs="宋体"/>
        </w:rPr>
        <w:t>= 468/(31.6+ T) ；</w:t>
      </w:r>
    </w:p>
    <w:p>
      <w:pPr>
        <w:pStyle w:val="16"/>
        <w:autoSpaceDE/>
        <w:autoSpaceDN/>
        <w:ind w:firstLine="1200" w:firstLineChars="500"/>
        <w:rPr>
          <w:rFonts w:hint="eastAsia" w:ascii="宋体" w:hAnsi="宋体" w:eastAsia="宋体" w:cs="宋体"/>
        </w:rPr>
      </w:pPr>
      <w:r>
        <w:rPr>
          <w:rFonts w:hint="eastAsia" w:ascii="宋体" w:hAnsi="宋体" w:eastAsia="宋体" w:cs="宋体"/>
        </w:rPr>
        <w:t>S ——实用盐度符号，量纲一；</w:t>
      </w:r>
    </w:p>
    <w:p>
      <w:pPr>
        <w:pStyle w:val="16"/>
        <w:autoSpaceDE/>
        <w:autoSpaceDN/>
        <w:ind w:firstLine="1200" w:firstLineChars="500"/>
        <w:rPr>
          <w:rFonts w:hint="eastAsia" w:ascii="宋体" w:hAnsi="宋体" w:eastAsia="宋体" w:cs="宋体"/>
        </w:rPr>
      </w:pPr>
      <w:r>
        <w:rPr>
          <w:rFonts w:hint="eastAsia" w:ascii="宋体" w:hAnsi="宋体" w:eastAsia="宋体" w:cs="宋体"/>
        </w:rPr>
        <w:t>T ——水温，℃。</w:t>
      </w:r>
    </w:p>
    <w:p>
      <w:pPr>
        <w:pStyle w:val="16"/>
        <w:numPr>
          <w:ilvl w:val="0"/>
          <w:numId w:val="17"/>
        </w:numPr>
        <w:autoSpaceDE/>
        <w:autoSpaceDN/>
        <w:ind w:firstLine="560"/>
        <w:rPr>
          <w:rFonts w:hint="eastAsia" w:ascii="宋体" w:hAnsi="宋体" w:eastAsia="宋体" w:cs="宋体"/>
        </w:rPr>
      </w:pPr>
      <w:r>
        <w:rPr>
          <w:rFonts w:hint="eastAsia" w:ascii="宋体" w:hAnsi="宋体" w:eastAsia="宋体" w:cs="宋体"/>
        </w:rPr>
        <w:t>pH 值的指数计算公式：</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tcBorders>
              <w:tl2br w:val="nil"/>
              <w:tr2bl w:val="nil"/>
            </w:tcBorders>
          </w:tcPr>
          <w:p>
            <w:pPr>
              <w:pStyle w:val="21"/>
              <w:keepNext w:val="0"/>
              <w:keepLines w:val="0"/>
              <w:suppressLineNumbers w:val="0"/>
              <w:autoSpaceDN/>
              <w:spacing w:before="0" w:beforeAutospacing="0" w:after="0" w:afterAutospacing="0"/>
              <w:ind w:left="0" w:right="0" w:firstLine="200"/>
              <w:jc w:val="both"/>
              <w:rPr>
                <w:rFonts w:hint="eastAsia" w:ascii="宋体" w:hAnsi="宋体" w:eastAsia="宋体" w:cs="宋体"/>
                <w:kern w:val="2"/>
                <w:sz w:val="28"/>
                <w:szCs w:val="28"/>
              </w:rPr>
            </w:pPr>
            <w:r>
              <w:rPr>
                <w:rFonts w:hint="eastAsia" w:ascii="宋体" w:hAnsi="宋体" w:eastAsia="宋体" w:cs="宋体"/>
                <w:sz w:val="10"/>
                <w:szCs w:val="10"/>
              </w:rPr>
              <w:drawing>
                <wp:anchor distT="0" distB="0" distL="114300" distR="114300" simplePos="0" relativeHeight="251682816" behindDoc="0" locked="0" layoutInCell="1" allowOverlap="1">
                  <wp:simplePos x="0" y="0"/>
                  <wp:positionH relativeFrom="column">
                    <wp:posOffset>1115695</wp:posOffset>
                  </wp:positionH>
                  <wp:positionV relativeFrom="paragraph">
                    <wp:posOffset>80010</wp:posOffset>
                  </wp:positionV>
                  <wp:extent cx="3676650" cy="1295400"/>
                  <wp:effectExtent l="0" t="0" r="0" b="0"/>
                  <wp:wrapTopAndBottom/>
                  <wp:docPr id="3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图片 7"/>
                          <pic:cNvPicPr>
                            <a:picLocks noChangeAspect="1"/>
                          </pic:cNvPicPr>
                        </pic:nvPicPr>
                        <pic:blipFill>
                          <a:blip r:embed="rId120"/>
                          <a:stretch>
                            <a:fillRect/>
                          </a:stretch>
                        </pic:blipFill>
                        <pic:spPr>
                          <a:xfrm>
                            <a:off x="0" y="0"/>
                            <a:ext cx="3676650" cy="1295400"/>
                          </a:xfrm>
                          <a:prstGeom prst="rect">
                            <a:avLst/>
                          </a:prstGeom>
                          <a:noFill/>
                          <a:ln>
                            <a:noFill/>
                          </a:ln>
                        </pic:spPr>
                      </pic:pic>
                    </a:graphicData>
                  </a:graphic>
                </wp:anchor>
              </w:drawing>
            </w:r>
            <w:r>
              <w:rPr>
                <w:rFonts w:hint="eastAsia" w:ascii="宋体" w:hAnsi="宋体" w:eastAsia="宋体" w:cs="宋体"/>
                <w:kern w:val="2"/>
                <w:sz w:val="28"/>
                <w:szCs w:val="28"/>
              </w:rPr>
              <w:t>式中：S</w:t>
            </w:r>
            <w:r>
              <w:rPr>
                <w:rFonts w:hint="eastAsia" w:ascii="宋体" w:hAnsi="宋体" w:eastAsia="宋体" w:cs="宋体"/>
                <w:kern w:val="2"/>
                <w:sz w:val="28"/>
                <w:szCs w:val="28"/>
                <w:vertAlign w:val="subscript"/>
              </w:rPr>
              <w:t>pH, j</w:t>
            </w:r>
            <w:r>
              <w:rPr>
                <w:rFonts w:hint="eastAsia" w:ascii="宋体" w:hAnsi="宋体" w:eastAsia="宋体" w:cs="宋体"/>
                <w:kern w:val="2"/>
                <w:sz w:val="28"/>
                <w:szCs w:val="28"/>
              </w:rPr>
              <w:t xml:space="preserve"> ——pH值的指数，大于1表明该水质因子超标；</w:t>
            </w:r>
          </w:p>
          <w:p>
            <w:pPr>
              <w:pStyle w:val="21"/>
              <w:keepNext w:val="0"/>
              <w:keepLines w:val="0"/>
              <w:suppressLineNumbers w:val="0"/>
              <w:autoSpaceDN/>
              <w:spacing w:before="0" w:beforeAutospacing="0" w:after="0" w:afterAutospacing="0"/>
              <w:ind w:left="0" w:right="0" w:firstLine="1400" w:firstLineChars="500"/>
              <w:jc w:val="both"/>
              <w:rPr>
                <w:rFonts w:hint="eastAsia" w:ascii="宋体" w:hAnsi="宋体" w:eastAsia="宋体" w:cs="宋体"/>
                <w:kern w:val="2"/>
                <w:sz w:val="28"/>
                <w:szCs w:val="28"/>
              </w:rPr>
            </w:pPr>
            <w:r>
              <w:rPr>
                <w:rFonts w:hint="eastAsia" w:ascii="宋体" w:hAnsi="宋体" w:eastAsia="宋体" w:cs="宋体"/>
                <w:kern w:val="2"/>
                <w:sz w:val="28"/>
                <w:szCs w:val="28"/>
              </w:rPr>
              <w:t>pH</w:t>
            </w:r>
            <w:r>
              <w:rPr>
                <w:rFonts w:hint="eastAsia" w:ascii="宋体" w:hAnsi="宋体" w:eastAsia="宋体" w:cs="宋体"/>
                <w:kern w:val="2"/>
                <w:sz w:val="28"/>
                <w:szCs w:val="28"/>
                <w:vertAlign w:val="subscript"/>
              </w:rPr>
              <w:t>j</w:t>
            </w:r>
            <w:r>
              <w:rPr>
                <w:rFonts w:hint="eastAsia" w:ascii="宋体" w:hAnsi="宋体" w:eastAsia="宋体" w:cs="宋体"/>
                <w:kern w:val="2"/>
                <w:sz w:val="28"/>
                <w:szCs w:val="28"/>
              </w:rPr>
              <w:t>——pH值实测统计代表值；</w:t>
            </w:r>
          </w:p>
          <w:p>
            <w:pPr>
              <w:pStyle w:val="21"/>
              <w:keepNext w:val="0"/>
              <w:keepLines w:val="0"/>
              <w:suppressLineNumbers w:val="0"/>
              <w:autoSpaceDN/>
              <w:spacing w:before="0" w:beforeAutospacing="0" w:after="0" w:afterAutospacing="0"/>
              <w:ind w:left="0" w:right="0" w:firstLine="1400" w:firstLineChars="500"/>
              <w:jc w:val="both"/>
              <w:rPr>
                <w:rFonts w:hint="eastAsia" w:ascii="宋体" w:hAnsi="宋体" w:eastAsia="宋体" w:cs="宋体"/>
                <w:kern w:val="2"/>
                <w:sz w:val="28"/>
                <w:szCs w:val="28"/>
              </w:rPr>
            </w:pPr>
            <w:r>
              <w:rPr>
                <w:rFonts w:hint="eastAsia" w:ascii="宋体" w:hAnsi="宋体" w:eastAsia="宋体" w:cs="宋体"/>
                <w:kern w:val="2"/>
                <w:sz w:val="28"/>
                <w:szCs w:val="28"/>
              </w:rPr>
              <w:t>pH</w:t>
            </w:r>
            <w:r>
              <w:rPr>
                <w:rFonts w:hint="eastAsia" w:ascii="宋体" w:hAnsi="宋体" w:eastAsia="宋体" w:cs="宋体"/>
                <w:kern w:val="2"/>
                <w:sz w:val="28"/>
                <w:szCs w:val="28"/>
                <w:vertAlign w:val="subscript"/>
              </w:rPr>
              <w:t>sd</w:t>
            </w:r>
            <w:r>
              <w:rPr>
                <w:rFonts w:hint="eastAsia" w:ascii="宋体" w:hAnsi="宋体" w:eastAsia="宋体" w:cs="宋体"/>
                <w:kern w:val="2"/>
                <w:sz w:val="28"/>
                <w:szCs w:val="28"/>
              </w:rPr>
              <w:t xml:space="preserve"> ——评价标准中pH值的下限值；</w:t>
            </w:r>
          </w:p>
          <w:p>
            <w:pPr>
              <w:pStyle w:val="21"/>
              <w:keepNext w:val="0"/>
              <w:keepLines w:val="0"/>
              <w:suppressLineNumbers w:val="0"/>
              <w:autoSpaceDN/>
              <w:spacing w:before="0" w:beforeAutospacing="0" w:after="0" w:afterAutospacing="0"/>
              <w:ind w:left="0" w:right="0" w:firstLine="1400" w:firstLineChars="500"/>
              <w:jc w:val="both"/>
              <w:rPr>
                <w:rFonts w:hint="eastAsia" w:ascii="宋体" w:hAnsi="宋体" w:eastAsia="宋体" w:cs="宋体"/>
              </w:rPr>
            </w:pPr>
            <w:r>
              <w:rPr>
                <w:rFonts w:hint="eastAsia" w:ascii="宋体" w:hAnsi="宋体" w:eastAsia="宋体" w:cs="宋体"/>
                <w:kern w:val="2"/>
                <w:sz w:val="28"/>
                <w:szCs w:val="28"/>
              </w:rPr>
              <w:t>pH</w:t>
            </w:r>
            <w:r>
              <w:rPr>
                <w:rFonts w:hint="eastAsia" w:ascii="宋体" w:hAnsi="宋体" w:eastAsia="宋体" w:cs="宋体"/>
                <w:kern w:val="2"/>
                <w:sz w:val="28"/>
                <w:szCs w:val="28"/>
                <w:vertAlign w:val="subscript"/>
              </w:rPr>
              <w:t>su</w:t>
            </w:r>
            <w:r>
              <w:rPr>
                <w:rFonts w:hint="eastAsia" w:ascii="宋体" w:hAnsi="宋体" w:eastAsia="宋体" w:cs="宋体"/>
                <w:kern w:val="2"/>
                <w:sz w:val="28"/>
                <w:szCs w:val="28"/>
              </w:rPr>
              <w:t xml:space="preserve"> ——评价标准中pH值的上限值。</w:t>
            </w:r>
          </w:p>
        </w:tc>
      </w:tr>
    </w:tbl>
    <w:p>
      <w:pPr>
        <w:pStyle w:val="8"/>
        <w:rPr>
          <w:rFonts w:hint="eastAsia" w:ascii="宋体" w:hAnsi="宋体" w:eastAsia="宋体" w:cs="宋体"/>
          <w:lang w:eastAsia="zh-CN"/>
        </w:rPr>
      </w:pPr>
      <w:r>
        <w:rPr>
          <w:rFonts w:hint="eastAsia" w:ascii="宋体" w:hAnsi="宋体" w:eastAsia="宋体" w:cs="宋体"/>
          <w:lang w:eastAsia="zh-CN"/>
        </w:rPr>
        <w:t>5.2.6.3 评价结果</w:t>
      </w:r>
    </w:p>
    <w:p>
      <w:pPr>
        <w:pStyle w:val="16"/>
        <w:autoSpaceDE/>
        <w:autoSpaceDN/>
        <w:ind w:firstLine="560"/>
        <w:rPr>
          <w:rFonts w:hint="eastAsia" w:ascii="宋体" w:hAnsi="宋体" w:eastAsia="宋体" w:cs="宋体"/>
        </w:rPr>
      </w:pPr>
      <w:r>
        <w:rPr>
          <w:rFonts w:hint="eastAsia" w:ascii="宋体" w:hAnsi="宋体" w:eastAsia="宋体" w:cs="宋体"/>
        </w:rPr>
        <w:t>本次评价对未检出的项目不再进行评价，仅评价检出和有限值的项目。地表水评价结果见表5.2.6-1。</w:t>
      </w:r>
    </w:p>
    <w:p>
      <w:pPr>
        <w:pStyle w:val="16"/>
        <w:autoSpaceDE/>
        <w:autoSpaceDN/>
        <w:ind w:firstLine="0" w:firstLineChars="0"/>
        <w:jc w:val="center"/>
        <w:rPr>
          <w:rFonts w:hint="eastAsia" w:ascii="宋体" w:hAnsi="宋体" w:eastAsia="宋体" w:cs="宋体"/>
          <w:b/>
          <w:bCs/>
          <w:sz w:val="24"/>
        </w:rPr>
      </w:pPr>
      <w:r>
        <w:rPr>
          <w:rFonts w:hint="eastAsia" w:ascii="宋体" w:hAnsi="宋体" w:eastAsia="宋体" w:cs="宋体"/>
          <w:b/>
          <w:bCs/>
          <w:sz w:val="24"/>
        </w:rPr>
        <w:t>表5.2.6-1 地表水评价结果</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930"/>
        <w:gridCol w:w="1197"/>
        <w:gridCol w:w="1168"/>
        <w:gridCol w:w="1151"/>
        <w:gridCol w:w="1229"/>
        <w:gridCol w:w="1136"/>
        <w:gridCol w:w="104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trPr>
        <w:tc>
          <w:tcPr>
            <w:tcW w:w="228" w:type="pct"/>
            <w:vMerge w:val="restar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039" w:type="pct"/>
            <w:vMerge w:val="restar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监测项目</w:t>
            </w:r>
          </w:p>
        </w:tc>
        <w:tc>
          <w:tcPr>
            <w:tcW w:w="64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2021.07.02</w:t>
            </w:r>
          </w:p>
        </w:tc>
        <w:tc>
          <w:tcPr>
            <w:tcW w:w="629"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2021.07.03</w:t>
            </w:r>
          </w:p>
        </w:tc>
        <w:tc>
          <w:tcPr>
            <w:tcW w:w="62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2021.07.04</w:t>
            </w:r>
          </w:p>
        </w:tc>
        <w:tc>
          <w:tcPr>
            <w:tcW w:w="662"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2021.07.02</w:t>
            </w:r>
          </w:p>
        </w:tc>
        <w:tc>
          <w:tcPr>
            <w:tcW w:w="612"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2021.07.03</w:t>
            </w:r>
          </w:p>
        </w:tc>
        <w:tc>
          <w:tcPr>
            <w:tcW w:w="562"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5"/>
                <w:szCs w:val="15"/>
              </w:rPr>
              <w:t>2021.07.04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trPr>
        <w:tc>
          <w:tcPr>
            <w:tcW w:w="228" w:type="pct"/>
            <w:vMerge w:val="continue"/>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039" w:type="pct"/>
            <w:vMerge w:val="continue"/>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644"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1#</w:t>
            </w:r>
          </w:p>
        </w:tc>
        <w:tc>
          <w:tcPr>
            <w:tcW w:w="62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1#</w:t>
            </w:r>
          </w:p>
        </w:tc>
        <w:tc>
          <w:tcPr>
            <w:tcW w:w="620"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1#</w:t>
            </w:r>
          </w:p>
        </w:tc>
        <w:tc>
          <w:tcPr>
            <w:tcW w:w="662"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2#</w:t>
            </w:r>
          </w:p>
        </w:tc>
        <w:tc>
          <w:tcPr>
            <w:tcW w:w="612"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2#</w:t>
            </w:r>
          </w:p>
        </w:tc>
        <w:tc>
          <w:tcPr>
            <w:tcW w:w="562"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0.80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0.85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0.75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0.50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0.75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2</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b/>
                <w:bCs/>
                <w:sz w:val="21"/>
                <w:szCs w:val="21"/>
              </w:rPr>
              <w:t>溶解氧</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0.81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1.02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0.58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0.66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0.58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3</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全盐量</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0.45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0.43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0.44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0.50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0.43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4</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悬浮物</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0.07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0.09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0.08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0.04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5</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氟化物</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0.31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0.27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0.28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0.21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0.18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6</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硫酸盐</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0.42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0.40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0.46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0.40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0.38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7</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氯化物</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0.17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0.16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0.16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0.09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0.09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8</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硝酸盐(以N计）</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1.22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1.28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1.46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3.01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2.52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2.38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9</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高锰酸盐指数</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0.36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0.44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0.42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0.27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0.31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10</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化学需氧量</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0.53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0.60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0.57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0.37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0.43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11</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氨氮</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0.13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0.08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0.12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0.05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0.08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12</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总磷（以P计）</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0.17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0.23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0.20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0.17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0.20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13</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五日生化需氧量</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0.55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0.63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0.60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0.38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0.48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14</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铜</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15</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硒</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16</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0.007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0.012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0.012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0.006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0.006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17</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粪大肠菌群</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0.003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0.008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0.008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0.005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18</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钛</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19</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钴</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0.0002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0.0002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0.0002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0.0001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0.0001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20</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镍</w:t>
            </w:r>
          </w:p>
        </w:tc>
        <w:tc>
          <w:tcPr>
            <w:tcW w:w="644"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0.03 </w:t>
            </w:r>
          </w:p>
        </w:tc>
        <w:tc>
          <w:tcPr>
            <w:tcW w:w="629"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0.04 </w:t>
            </w:r>
          </w:p>
        </w:tc>
        <w:tc>
          <w:tcPr>
            <w:tcW w:w="620"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0.04 </w:t>
            </w:r>
          </w:p>
        </w:tc>
        <w:tc>
          <w:tcPr>
            <w:tcW w:w="6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0.02 </w:t>
            </w:r>
          </w:p>
        </w:tc>
        <w:tc>
          <w:tcPr>
            <w:tcW w:w="61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0.03 </w:t>
            </w:r>
          </w:p>
        </w:tc>
        <w:tc>
          <w:tcPr>
            <w:tcW w:w="562" w:type="pct"/>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000" w:type="pct"/>
            <w:gridSpan w:val="8"/>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备注：/代表监测项目监测结果未检出，不评价</w:t>
            </w:r>
          </w:p>
        </w:tc>
      </w:tr>
    </w:tbl>
    <w:p>
      <w:pPr>
        <w:pStyle w:val="16"/>
        <w:autoSpaceDE/>
        <w:autoSpaceDN/>
        <w:ind w:firstLine="0" w:firstLineChars="0"/>
        <w:jc w:val="center"/>
        <w:rPr>
          <w:rFonts w:hint="eastAsia" w:ascii="宋体" w:hAnsi="宋体" w:eastAsia="宋体" w:cs="宋体"/>
          <w:b/>
          <w:bCs/>
          <w:sz w:val="24"/>
        </w:rPr>
      </w:pPr>
      <w:r>
        <w:rPr>
          <w:rFonts w:hint="eastAsia" w:ascii="宋体" w:hAnsi="宋体" w:eastAsia="宋体" w:cs="宋体"/>
          <w:b/>
          <w:bCs/>
          <w:sz w:val="24"/>
        </w:rPr>
        <w:t>续表5.2.6-1 地表水评价结果</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25"/>
        <w:gridCol w:w="1929"/>
        <w:gridCol w:w="1195"/>
        <w:gridCol w:w="1166"/>
        <w:gridCol w:w="1151"/>
        <w:gridCol w:w="1227"/>
        <w:gridCol w:w="1136"/>
        <w:gridCol w:w="105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trPr>
        <w:tc>
          <w:tcPr>
            <w:tcW w:w="229" w:type="pct"/>
            <w:vMerge w:val="restar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039" w:type="pct"/>
            <w:vMerge w:val="restar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监测项目</w:t>
            </w:r>
          </w:p>
        </w:tc>
        <w:tc>
          <w:tcPr>
            <w:tcW w:w="64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2021.07.02</w:t>
            </w:r>
          </w:p>
        </w:tc>
        <w:tc>
          <w:tcPr>
            <w:tcW w:w="628"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2021.07.03</w:t>
            </w:r>
          </w:p>
        </w:tc>
        <w:tc>
          <w:tcPr>
            <w:tcW w:w="62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2021.07.04</w:t>
            </w:r>
          </w:p>
        </w:tc>
        <w:tc>
          <w:tcPr>
            <w:tcW w:w="661"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2021.07.02</w:t>
            </w:r>
          </w:p>
        </w:tc>
        <w:tc>
          <w:tcPr>
            <w:tcW w:w="612"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8"/>
                <w:szCs w:val="18"/>
              </w:rPr>
              <w:t>2021.07.03</w:t>
            </w:r>
          </w:p>
        </w:tc>
        <w:tc>
          <w:tcPr>
            <w:tcW w:w="56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18"/>
                <w:szCs w:val="18"/>
              </w:rPr>
            </w:pPr>
            <w:r>
              <w:rPr>
                <w:rFonts w:hint="eastAsia" w:ascii="宋体" w:hAnsi="宋体" w:eastAsia="宋体" w:cs="宋体"/>
                <w:b/>
                <w:bCs/>
                <w:sz w:val="15"/>
                <w:szCs w:val="15"/>
              </w:rPr>
              <w:t>2021.07.04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blHeader/>
        </w:trPr>
        <w:tc>
          <w:tcPr>
            <w:tcW w:w="229" w:type="pct"/>
            <w:vMerge w:val="continue"/>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039" w:type="pct"/>
            <w:vMerge w:val="continue"/>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644"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color w:val="000000"/>
                <w:sz w:val="21"/>
                <w:szCs w:val="21"/>
                <w:lang w:eastAsia="zh-CN" w:bidi="ar"/>
              </w:rPr>
              <w:t>3#</w:t>
            </w:r>
          </w:p>
        </w:tc>
        <w:tc>
          <w:tcPr>
            <w:tcW w:w="628"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color w:val="000000"/>
                <w:sz w:val="21"/>
                <w:szCs w:val="21"/>
                <w:lang w:eastAsia="zh-CN" w:bidi="ar"/>
              </w:rPr>
              <w:t>3#</w:t>
            </w:r>
          </w:p>
        </w:tc>
        <w:tc>
          <w:tcPr>
            <w:tcW w:w="620"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color w:val="000000"/>
                <w:sz w:val="21"/>
                <w:szCs w:val="21"/>
                <w:lang w:eastAsia="zh-CN" w:bidi="ar"/>
              </w:rPr>
              <w:t>3#</w:t>
            </w:r>
          </w:p>
        </w:tc>
        <w:tc>
          <w:tcPr>
            <w:tcW w:w="661"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color w:val="000000"/>
                <w:sz w:val="21"/>
                <w:szCs w:val="21"/>
                <w:lang w:eastAsia="zh-CN" w:bidi="ar"/>
              </w:rPr>
              <w:t>4#</w:t>
            </w:r>
          </w:p>
        </w:tc>
        <w:tc>
          <w:tcPr>
            <w:tcW w:w="612"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color w:val="000000"/>
                <w:sz w:val="21"/>
                <w:szCs w:val="21"/>
                <w:lang w:eastAsia="zh-CN" w:bidi="ar"/>
              </w:rPr>
              <w:t>4#</w:t>
            </w:r>
          </w:p>
        </w:tc>
        <w:tc>
          <w:tcPr>
            <w:tcW w:w="563"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color w:val="000000"/>
                <w:sz w:val="21"/>
                <w:szCs w:val="21"/>
                <w:lang w:eastAsia="zh-CN" w:bidi="ar"/>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0.80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0.75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0.80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0.70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0.70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2</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b/>
                <w:bCs/>
                <w:sz w:val="21"/>
                <w:szCs w:val="21"/>
              </w:rPr>
              <w:t>溶解氧</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0.57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0.46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0.39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1.10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1.12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0.94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3</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全盐量</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1.08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0.83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0.81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0.48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0.50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4</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悬浮物</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0.04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0.04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0.08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0.05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5</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氟化物</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0.41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0.47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0.36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0.33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0.31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6</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b/>
                <w:bCs/>
                <w:sz w:val="21"/>
                <w:szCs w:val="21"/>
              </w:rPr>
              <w:t>硫酸盐</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2.51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1.73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1.47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0.60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0.67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7</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氯化物</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0.44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0.32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0.25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0.21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0.20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8</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硝酸盐(以N计）</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1.86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1.56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1.94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1.12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1.06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rPr>
            </w:pPr>
            <w:r>
              <w:rPr>
                <w:rFonts w:hint="eastAsia" w:ascii="宋体" w:hAnsi="宋体" w:eastAsia="宋体" w:cs="宋体"/>
                <w:b/>
                <w:bCs/>
                <w:i w:val="0"/>
                <w:iCs w:val="0"/>
                <w:color w:val="000000"/>
                <w:kern w:val="0"/>
                <w:sz w:val="21"/>
                <w:szCs w:val="21"/>
                <w:u w:val="none"/>
                <w:lang w:val="en-US" w:eastAsia="zh-CN" w:bidi="ar"/>
              </w:rPr>
              <w:t xml:space="preserve">1.32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9</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高锰酸盐指数</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0.41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0.26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0.28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0.30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0.34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10</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化学需氧量</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0.63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0.40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0.40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0.43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0.47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11</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氨氮</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0.07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0.03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0.11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0.08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12</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总磷（以P计）</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0.10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0.20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0.13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0.17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0.13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13</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五日生化需氧量</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0.65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0.40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0.42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0.47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0.50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0.57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14</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铜</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15</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硒</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0.18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0.07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0.09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0.04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16</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0.010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0.012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0.010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0.008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0.012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17</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粪大肠菌群</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0.008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0.008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0.049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0.023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18</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钛</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0.01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19</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钴</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0.0002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0.0001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0.0001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0.0002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0.0001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0.0002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22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0"/>
                <w:szCs w:val="20"/>
                <w:lang w:eastAsia="zh-CN" w:bidi="ar"/>
              </w:rPr>
              <w:t>20</w:t>
            </w:r>
          </w:p>
        </w:tc>
        <w:tc>
          <w:tcPr>
            <w:tcW w:w="1039"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镍</w:t>
            </w:r>
          </w:p>
        </w:tc>
        <w:tc>
          <w:tcPr>
            <w:tcW w:w="119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0.03 </w:t>
            </w:r>
          </w:p>
        </w:tc>
        <w:tc>
          <w:tcPr>
            <w:tcW w:w="116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0.05 </w:t>
            </w:r>
          </w:p>
        </w:tc>
        <w:tc>
          <w:tcPr>
            <w:tcW w:w="1151"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0.04 </w:t>
            </w:r>
          </w:p>
        </w:tc>
        <w:tc>
          <w:tcPr>
            <w:tcW w:w="122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0.03 </w:t>
            </w:r>
          </w:p>
        </w:tc>
        <w:tc>
          <w:tcPr>
            <w:tcW w:w="1137"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0.03 </w:t>
            </w:r>
          </w:p>
        </w:tc>
        <w:tc>
          <w:tcPr>
            <w:tcW w:w="1046"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0.03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trPr>
        <w:tc>
          <w:tcPr>
            <w:tcW w:w="5000" w:type="pct"/>
            <w:gridSpan w:val="8"/>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eastAsia="zh-CN" w:bidi="ar"/>
              </w:rPr>
            </w:pPr>
            <w:r>
              <w:rPr>
                <w:rFonts w:hint="eastAsia" w:ascii="宋体" w:hAnsi="宋体" w:eastAsia="宋体" w:cs="宋体"/>
                <w:color w:val="000000"/>
                <w:sz w:val="21"/>
                <w:szCs w:val="21"/>
                <w:lang w:eastAsia="zh-CN" w:bidi="ar"/>
              </w:rPr>
              <w:t>备注：/代表监测项目监测结果未检出，不评价</w:t>
            </w:r>
          </w:p>
        </w:tc>
      </w:tr>
    </w:tbl>
    <w:p>
      <w:pPr>
        <w:pStyle w:val="16"/>
        <w:autoSpaceDE/>
        <w:autoSpaceDN/>
        <w:ind w:firstLine="560"/>
        <w:rPr>
          <w:rFonts w:hint="eastAsia" w:ascii="宋体" w:hAnsi="宋体" w:eastAsia="宋体" w:cs="宋体"/>
        </w:rPr>
      </w:pPr>
      <w:r>
        <w:rPr>
          <w:rFonts w:hint="eastAsia" w:ascii="宋体" w:hAnsi="宋体" w:eastAsia="宋体" w:cs="宋体"/>
        </w:rPr>
        <w:t>由</w:t>
      </w:r>
      <w:r>
        <w:rPr>
          <w:rFonts w:hint="eastAsia" w:ascii="宋体" w:hAnsi="宋体" w:eastAsia="宋体" w:cs="宋体"/>
          <w:lang w:eastAsia="zh-CN"/>
        </w:rPr>
        <w:t>上表</w:t>
      </w:r>
      <w:r>
        <w:rPr>
          <w:rFonts w:hint="eastAsia" w:ascii="宋体" w:hAnsi="宋体" w:eastAsia="宋体" w:cs="宋体"/>
        </w:rPr>
        <w:t>可知，1#龙王峪河汇入沂河口上游500m（沂河）、2#尾矿库上游500m（龙王峪河）、3#龙王峪河汇入沂河前（龙王峪河）、4#王峪矿段下游500m（沂河）（沂河）断面的硝酸盐(以N计）超标；3#断面的全盐量和硫酸盐超标；1#和4#的溶解氧超标。</w:t>
      </w:r>
    </w:p>
    <w:p>
      <w:pPr>
        <w:pStyle w:val="16"/>
        <w:autoSpaceDE/>
        <w:autoSpaceDN/>
        <w:ind w:firstLine="560"/>
        <w:rPr>
          <w:rFonts w:hint="eastAsia" w:ascii="宋体" w:hAnsi="宋体" w:eastAsia="宋体" w:cs="宋体"/>
        </w:rPr>
      </w:pPr>
      <w:r>
        <w:rPr>
          <w:rFonts w:hint="eastAsia" w:ascii="宋体" w:hAnsi="宋体" w:eastAsia="宋体" w:cs="宋体"/>
        </w:rPr>
        <w:t>该地表水体水质状况一般，主要受周边灌溉、种植、居民生活及上游地表排洪的影响，水质不能完全满足《地表水环境质量标准》（GB3838-2002）III类标准要求。监测因子溶解氧、硝酸盐(以N计）、全盐量和硫酸盐超标主要是受到周边居民生活污水排放、施用化肥和农药的影响。</w:t>
      </w:r>
    </w:p>
    <w:p>
      <w:pPr>
        <w:pStyle w:val="7"/>
        <w:rPr>
          <w:rFonts w:hint="eastAsia" w:ascii="宋体" w:hAnsi="宋体" w:eastAsia="宋体" w:cs="宋体"/>
          <w:lang w:eastAsia="zh-CN"/>
        </w:rPr>
      </w:pPr>
      <w:r>
        <w:rPr>
          <w:rFonts w:hint="eastAsia" w:ascii="宋体" w:hAnsi="宋体" w:eastAsia="宋体" w:cs="宋体"/>
          <w:lang w:eastAsia="zh-CN"/>
        </w:rPr>
        <w:t>5.2.7 区域地表水治理措施</w:t>
      </w:r>
    </w:p>
    <w:p>
      <w:pPr>
        <w:widowControl/>
        <w:autoSpaceDE/>
        <w:autoSpaceDN/>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横跨临沂沂水县和淄博沂源县，项目所在区域流域治理措施参照沂源县人民政府办公室《关于印发淄博市打好小清河流域及沂河水污染防治攻坚战作战方案的通知》（源政办字〔2019〕22号）和沂水县人民政府《沂水县碧水保卫战作战方案（2018-2020年）》，改善措施见表5.2.7-1。</w:t>
      </w:r>
    </w:p>
    <w:p>
      <w:pPr>
        <w:ind w:firstLine="482"/>
        <w:rPr>
          <w:rFonts w:hint="eastAsia" w:ascii="宋体" w:hAnsi="宋体" w:eastAsia="宋体" w:cs="宋体"/>
          <w:b/>
          <w:bCs/>
          <w:sz w:val="24"/>
          <w:lang w:eastAsia="zh-CN"/>
        </w:rPr>
      </w:pPr>
    </w:p>
    <w:p>
      <w:pPr>
        <w:pStyle w:val="2"/>
        <w:ind w:firstLine="560"/>
        <w:rPr>
          <w:rFonts w:hint="eastAsia" w:ascii="宋体" w:hAnsi="宋体" w:eastAsia="宋体" w:cs="宋体"/>
          <w:lang w:eastAsia="zh-CN"/>
        </w:rPr>
        <w:sectPr>
          <w:footerReference r:id="rId64" w:type="default"/>
          <w:footerReference r:id="rId65" w:type="even"/>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ind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t>表5.2.7-1 区域地表水改善措施一览表</w:t>
      </w:r>
    </w:p>
    <w:tbl>
      <w:tblPr>
        <w:tblStyle w:val="24"/>
        <w:tblW w:w="14160"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21"/>
        <w:gridCol w:w="6209"/>
        <w:gridCol w:w="72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blHeader/>
        </w:trPr>
        <w:tc>
          <w:tcPr>
            <w:tcW w:w="72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类别</w:t>
            </w:r>
          </w:p>
        </w:tc>
        <w:tc>
          <w:tcPr>
            <w:tcW w:w="6209"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沂水县</w:t>
            </w:r>
          </w:p>
        </w:tc>
        <w:tc>
          <w:tcPr>
            <w:tcW w:w="7230"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沂源县</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32" w:hRule="atLeast"/>
        </w:trPr>
        <w:tc>
          <w:tcPr>
            <w:tcW w:w="721" w:type="dxa"/>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实施工业污染源深度治理，全面实现达标排放</w:t>
            </w:r>
          </w:p>
        </w:tc>
        <w:tc>
          <w:tcPr>
            <w:tcW w:w="6209"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严格环境准入。根据水质目标、主体功能区划、生态红线区域保护规划要求，从严审批高耗水、高污染排放、产生有毒有害污染物建设项目，对造纸、焦化、氮肥、有色金属、印染、农副食品加工、原料药加工、制革、电镀等十大重点行业，实行新（改、扩）建项目主要污染物减量或等量替代。（县环保局牵头，县发改局、县经信局等参与，各乡镇、街道、经济开发区负责落实。以下任务需乡镇、街道、经济开发区落实的，不再列出）</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提高工业企业污染治理水平。定期开展排污单位总氮、总磷、氟化物、全盐量等监测，确保工业污染源全面达标排放。按照省、市统一部署，制定实施十大重点行业专项整治方案。（县环保局牵头，县经信局参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集中治理工业集聚区水污染。工业集聚区应同步规划、同步建设、同步运行污水、垃圾集中处理等污染治理设施。集聚区内工业废水必须经预处理达到要求后，方可进入污水集中处理设施。新建危废、化工及涉重金属项目必须入园进区，化工园区、涉重金属工业园区逐步推行“分类收集、分质处理、一企一管”和地上管廊建设和改造。（县环保局牵头，县经信局、县发改局等参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推动重金属污染防治。开展涉重金属企业污染调查，采取结构调整、清洁生产、末端治理等综合措施，控制新增污染。定期开展重金属环境监测、监察，提升企业内部重金属污染预防、预警和应急能力。落实化工企业聚集区及周边地下水污染防控专项行动计划。（县环保局牵头）</w:t>
            </w:r>
          </w:p>
        </w:tc>
        <w:tc>
          <w:tcPr>
            <w:tcW w:w="7230"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严格环境准入。严格执行省政府确定的禁止和限制发展的涉水行业、生产工艺和产业目录。完成“三线一单”编制，严格执行环境影响评价制度，推动高质量发展和绿色发展，依法开展重点区域、重点行业和产业布局的规划环评，调整优化不符合生态环境功能定位的产业布局。（市生态环境局沂源分局、县发展改革局、县工业和信息化局、县自然资源局、县水利局牵头，各镇政府、街道办事处、开发区管委会负责落实，以下攻坚任务均需各镇政府、街道办事处、开发区管委会负责落实，不再列出）</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实施工业点源提标改造，提升污染防治水平。全县直排企业和城镇污水处理厂严格执行山东省新颁布的沂沭河流域水污染物综合排放标准。实施废水处理设施提标改造，加强含氟化物、高盐废水和含重金属污染物废水的深度治理和环境监管，实施化工、电力、食品饮料等行业和城镇污水处理厂废水深度治理，确保工业污染源全面达标排放。城镇及工业园区污水处理厂执行GB18918中一级A排放标准（含氮、磷、悬浮物），氟化物排放限值为1.5mg/L，COD和氨氮可根据环境容量加严标准。（市生态环境局沂源分局牵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强化纳管企业环境监管和污染治理。严格落实城镇污水排入管网许可管理办法，建立完善排水档案，重点排水单位排放口建成水质水量检测设施，并与生态环境部门、城市管理部门联网。加强纳管企业污水预处理设施监管，确保达到纳管排放要求，有行业标准的执行行业标准，没有行业标准的一律执行《污水排入城镇下水道水质标准》。对影响集中污水处理设施出水稳定达标的纳管企业要限期退出。新建工业企业排放的含重金属、难以生化降解污染物或高盐废水，不得接入城市生活污水处理设施。（市生态环境局沂源分局、县综合行政执法局牵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4.加强工业集聚区水污染防治。沂源水务发展有限公司完成废水处理设施升级改造，出水水质稳定达到一级A排放标准和国家、省排放标准中相关限值要求（市生态环境局沂源分局牵头）。建立完善环境管理档案，逐步实现“一园一档”，新建工业集聚区污水集中处理设施和在线监控设施应与聚集区同步规划、同步建设、同步投入运行。化工园区、涉重金属工业园区要推进“一企一管”和地上管廊的建设与改造，并逐步推行废水分类收集、分质处理（县工业和信息化局、市生态环境局沂源分局牵头）。经济开发区要按照上级要求加快推进沂源县第二污水处理厂同第一污水处理厂连接管网断开工作，确保沂源县第二污水处理厂专门为经济开发区和沂源县东部化工产业园区服务，满足两大园区的工业污水处理需求。</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5.实施重点污染物总量控制。按照国家固定污染源总氮总磷污染防治要求，推进涉氮磷重点行业固定污染源治理，实行依法持证排污，严格控制并逐步削减重点行业总氮总磷排放总量。按上级要求完成重点企业总氮总磷综合防治，安装总氮总磷在线设施并联网；2019年年底前，完成污染源总氮总磷超标整治，实现达标排放；2020年年底前，完成覆盖所有污染源的排污许可证核发工作，并达到国家总氮总磷总量控制要求。（市生态环境局沂源分局牵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6.加快“散乱污”企业清理整治。依法淘汰《产业结构调整指导目录》中属于淘汰类的生产工艺装备或生产落后产品的装置，持续加强监管，防止新问题出现。（市生态环境局沂源分局、县工业和信息化局牵头）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632" w:hRule="atLeast"/>
        </w:trPr>
        <w:tc>
          <w:tcPr>
            <w:tcW w:w="721"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lang w:eastAsia="zh-CN"/>
              </w:rPr>
            </w:pPr>
          </w:p>
        </w:tc>
        <w:tc>
          <w:tcPr>
            <w:tcW w:w="6209"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7230"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21" w:type="dxa"/>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全面提升城镇生活污染防治基础设施建设水平</w:t>
            </w:r>
          </w:p>
        </w:tc>
        <w:tc>
          <w:tcPr>
            <w:tcW w:w="6209"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整治城市黑臭水体。以解决污水直排和垃圾入河为重点，采取控源截污、垃圾清理、清淤疏浚、生态修复等措施对河流黑臭水体进行整治。2020年底前，城市建成区黑臭水体控制在10%以内。（县住建局牵头，县环保局、县综合执法局等配合）</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推进城镇污水处理设施建设。加快庐山化工产业园第四污水处理厂建设进程，大力推进村镇级污水处理厂（站）建设及运营管理。到2020年，县城污水处理率达到95%以上。各乡镇加快配套污水管网建设，加强污水处理站维护，确保正常运行，实现乡镇驻地污水全部进入镇污水处理站处理。（县住建局、县综合执法局牵头，县发改局、县环保局等参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加强配套管网建设和改造。加强城区污水管网建设改造，加快实施城区老旧排水系统改造。推进城镇排水系统雨污分流建设，逐步推进初期雨水收集、处理和资源化利用。新建污水处理设施的配套管网应同步设计、同步建设、同步投运。（县住建局、县综合执法局牵头、县环保局等参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搞好污泥安全处置。全面排查城镇污水处理设施的污泥产生、运输、处理和处置现状。强化监督，按照“减量化、稳定化、无害化、资源化”要求，实现污水处理厂污泥安全处置。取缔非法污泥堆放点，禁止处理处置不达标的污泥进入耕地。2020年底前，城市污泥安全处置率达到90%以上。（县综合执法局牵头，县住建局、县环保局、县农业局等参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完善城镇再生水循环利用基础设施。城市新区建设规划要纳入再生水循环利用基础设施建设内容，新（扩、改）建城镇污水处理设施应同步规划建设再生水回用设施和管网。在城市绿化、道路清扫、车辆冲洗、建筑施工以及生态景观等领域，优先使用再生水。新建建筑面积在2万平方米以上的大型公共建筑、房屋建筑面积达到10万平方米以上的住宅小区应就近接入市政再生水管线，无条件接入的应配套建设污水处理回用设施。到2020年，再生水利用率达到25%以上。（县住建局牵头，县发改局、县经信局、县规划局、县环保局等参与）</w:t>
            </w:r>
          </w:p>
        </w:tc>
        <w:tc>
          <w:tcPr>
            <w:tcW w:w="72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加强城镇污水处理设施建设。到2020年，县城污水处理率达到90%以上，建制镇污水处理率达到70%以上，实现所有建制镇建有污水处理设施（县住房城乡建设局、县水利局牵头）。城镇污水处理厂在检修期和突发事故状态情况下，要建立上游排水企业停产限产机制，减少污水直排对水体的影响。（县综合行政执法局、市生态环境局沂源分局牵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8102" w:hRule="atLeast"/>
        </w:trPr>
        <w:tc>
          <w:tcPr>
            <w:tcW w:w="721"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6209"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7230" w:type="dxa"/>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加快实施雨污管网建设改造。加快实施城中村、老旧城区、城乡结合部污水收集和雨污管网分流改造，“十三五”期间，全县计划依托新建道路建设污水管网45公里，结合城区道路改造提升对雨污合流制管网进行雨污分流改造，基本实现城市建成区污水全收集、全处理。不具备管网雨污分流改造条件的区域，应采取增加截留倍数、调蓄等措施防止污水外溢。新建城区应同步规划建设污水处理设施和配套管网，实现雨污管网分流。2020年12月底前，按照市政府办公厅《关于加快城市雨污合流管网进行分流改造的通知》（淄政办发明电〔2017〕26号）要求完成城区雨污分流工程。（县住房城乡建设局牵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3.推进污泥安全处置。“十三五”期间，按照全市统一要求完成污泥无害化处置能力建设，县城污水处理厂污泥无害化处置率达到70%以上。（县综合行政执法局牵头）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4.加强人工湿地工程建设。加强河道生态修复，提高河流自然净化能力和生态功能。在主要河流支流入干流处、重点入河排污口下游建设人工湿地水质净化工程，进一步改善入河水质，保障河流断面达标。鼓励农村因地制宜建设人工湿地、氧化塘净化水质。加强人工湿地的运行维护管理，在人工湿地进出口安装水质在线监测设施。2020年12月底前，完成沂河源国家级湿地公园一期项目建设。（县水利局、县自然资源局牵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21" w:type="dxa"/>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加强农业农村污染防治</w:t>
            </w:r>
          </w:p>
        </w:tc>
        <w:tc>
          <w:tcPr>
            <w:tcW w:w="6209" w:type="dxa"/>
            <w:tcBorders>
              <w:bottom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强化畜禽养殖污染防治。按照制定的畜禽养殖禁养区、限养区和适养区划定方案、养殖场搬迁清单和计划，强化督导检查，确保落实到位（县畜牧局牵头，县环保局参与）。依法关闭或搬迁禁养区内的畜禽养殖场（小区）和养殖专业户（县畜牧局、县环保局牵头）。非禁养区内现有规模化畜禽养殖场（小区），配套建设粪便雨污分流、污水贮存、处理、资源化利用设施。到2020年，全县规模化养殖场（小区）畜禽粪便和污水处理利用率分别达到90%和63%以上。散养密集区实行畜禽粪便污水分户收集、集中处理利用。不断完善“养殖—粪污处理—种植”结合的生态农牧业发展模式。严防养殖废弃物入河出境（县畜牧局牵头，县环保局参与）。</w:t>
            </w:r>
          </w:p>
        </w:tc>
        <w:tc>
          <w:tcPr>
            <w:tcW w:w="7230"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强化畜禽养殖污染治理。到2020年，全县规模化畜禽养殖场（小区）全部规范化配套建设（或委托他人代为综合利用和无害化处理）粪污贮存、处理、利用设施并正常运行；2019年年底前，大型规模养殖场（小区）粪污处理设施装备配套率达到100%。（县农业农村局牵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因地制宜，统筹治理农村生活污水，消除农村黑臭水体和坑塘。通过管网截污、小型污水处理站和氧化塘、人工湿地等方式因地制宜处理处置农村生活污水，解决农村污水直排问题。到2020年，完成农村无害化卫生厕所改造，50%以上的村庄对生活污水进行处理，农村新型社区基本实现污水收集处理。加强农村生活污水处理设施运行、维护，严格落实全省农村生活污水处理排放标准，对不达标的污水处理设施进行提升改造。（市生态环境局沂源分局、县住房城乡建设局牵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加强农业面源污染防治力度。推广农药减量控害、化肥减量增效和增施有机肥技术，减少化肥农药使用量，增加有机肥使用量。到2020年，全县农药使用总量较2015年下降10%，化肥使用总量较2015年下降6%。（县农业农村局牵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21"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6209" w:type="dxa"/>
            <w:tcBorders>
              <w:top w:val="nil"/>
              <w:bottom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防治渔业养殖污染。禁止在河、库中设置人工投饵网箱或围网养殖，实行养殖品种、结构和总量控制制度。实施标准化养殖鱼塘建设改造，推广生态养殖模式。通过科学组织实施“测水配方、放鱼养水”工程，探索建立“鱼塘+湿地”模式，通过人工湿地净化鱼塘退水，削减入河湖污染负荷；建立渔业污染防控长效机制。（县渔业局牵头，县水利局、县农业局、县环保局等参与）</w:t>
            </w:r>
          </w:p>
        </w:tc>
        <w:tc>
          <w:tcPr>
            <w:tcW w:w="7230"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21"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6209" w:type="dxa"/>
            <w:tcBorders>
              <w:top w:val="nil"/>
              <w:bottom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控制农业面源污染。严控化肥农药滥用。大力推广测土配方施肥、精准施肥技术和机具。严格控制主要粮食产地和蔬菜种植基地灌溉用水质量，确保农产品安全。对桥梁、堤坝、沟渠等秸秆堆积区进行清理，积极推进秸秆还田和秸秆肥料化、饲料化、基料化、原料化、能源化利用。在河流两侧和大中型灌区等敏感区域实施生态拦截工程，利用现有沟、塘等因地制宜建设小型湿地群，配置水生植物群落、格栅和透水坝，净化农田排水及地表径流。到2020年，测土配方施肥技术推广覆盖率达到90%以上，化肥利用率提高10%以上，农药利用率达到40%，农作物病虫害绿色防控覆盖率达到30%。（县农业局牵头，县发改局、县经信局、县国土资源局、县水利局、县环保局、县市场监管局等参与）</w:t>
            </w:r>
          </w:p>
        </w:tc>
        <w:tc>
          <w:tcPr>
            <w:tcW w:w="7230"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21"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6209" w:type="dxa"/>
            <w:tcBorders>
              <w:top w:val="nil"/>
              <w:bottom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调整种植业结构与布局。在河滩、湖滩和饮用水源地保护区等区域，引导和鼓励农民调整种植结构，优先种植需肥需药量低、环境效益大的农作物。在河流两岸实行退地减水，适当减少用水量较大的农作物种植面积，改种耐旱作物等。2018年底前，全县综合治理灌溉面积和减退水量分别达到省市有关要求。（县农业局、县水利局牵头，县发改局、县国土资源局等参与）</w:t>
            </w:r>
          </w:p>
        </w:tc>
        <w:tc>
          <w:tcPr>
            <w:tcW w:w="7230" w:type="dxa"/>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21"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6209" w:type="dxa"/>
            <w:tcBorders>
              <w:top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加快农村水环境治理基础设施建设。实施“三清五改”（清垃圾、清污泥、清路碍、改路、改水、改厕、改灶、改栏），加快农村环境基础设施建设。实行农村污水处理统一规划、统一建设、统一管理，加强垃圾收集处置，推进农村改厕、改水工程。将城镇周边村庄、农村新型社区纳入城镇污水处理系统，远离城镇的社区、集中连片村庄可因地制宜建设集中污水处理设施，居住分散的村庄可建设小型人工湿地、氧化塘等。到2020年，凡入住的农村新型社区配套生活污水处理设施（县住建局、县综合执法局牵头，县环保局等参与）。探索建立农村环境基础设施社会化运营机制，确保农村污水、生活垃圾、农贸市场废弃物得到有效处置，严防废水、垃圾入河。到2020年，进一步巩固提升垃圾“村收集、镇转运、县处理”工作水平，各乡镇实现污水、垃圾有效处理处置（县综合执法局、县住建局牵头，县环保局、县水利局、县农业局等参与）。</w:t>
            </w:r>
          </w:p>
        </w:tc>
        <w:tc>
          <w:tcPr>
            <w:tcW w:w="7230"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170" w:hRule="atLeast"/>
        </w:trPr>
        <w:tc>
          <w:tcPr>
            <w:tcW w:w="721" w:type="dxa"/>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其他措施</w:t>
            </w:r>
          </w:p>
        </w:tc>
        <w:tc>
          <w:tcPr>
            <w:tcW w:w="6209"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精准落实水污染防治项目。按照控制单元达标方案和“一河一策”，全面开展沂河、沭河等河流及其重要支流综合整治，推动重点流域水质进一步改善。（县环保局、县水利局牵头，县住建局、县综合执法局、县农业局、县畜牧局、县渔业局等参与）</w:t>
            </w:r>
          </w:p>
        </w:tc>
        <w:tc>
          <w:tcPr>
            <w:tcW w:w="7230" w:type="dxa"/>
            <w:vMerge w:val="restar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（四）加强重点区域、重点河段专项治理和管理</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加强重点区域纳管企业环境管理和产业结构调整。加强对纳管企业的监督检查，防止城镇污水处理厂受到冲击（县综合行政执法局、市生态环境局沂源分局牵头）。结合省、市化工行业转型升级工作要求，对化工园区外企业和非监控点企业逐步实施搬迁，加快入园项目建设，逐步提高化工企业入园率。（县工业和信息化局牵头）</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开展沂河总氮浓度专项治理。加强对沂河总氮浓度监管治理，沂源水务发展有限公司第一、第二污水处理厂要严格执行《城镇污水处理厂污染物排放标准》（GB18918-2002）一级A排放标准，直排企业执行《山东省沂沭河流域水污染物综合排放标准》。要针对沂河韩旺大桥断面总氮浓度较高问题，开展溯源排查，制定整改措施，对超标排水企业依法处罚，尽快降低韩旺大桥断面总氮浓度。（市生态环境局沂源分局、县水利局牵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rPr>
        <w:tc>
          <w:tcPr>
            <w:tcW w:w="721" w:type="dxa"/>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6209"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（二）加强生态保护与恢复。</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严守生态红线。完善水资源和水环境承载能力监测评价体系，到2020年，完成全县水资源、水环境承载力现状评价。加强水资源、水环境承载能力监测预警，已超过承载能力的区域要制定并实施水污染物削减方案，加快调整发展规划和产业结构。（县环保局牵头，县国土资源局、县住建局、县水利局等参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严格水功能区监督管理。从严核定水域纳污能力，严格入河排污口设置审批；将入河湖排污口的设置意见作为环境影响评价和排污许可证核发的重要依据。加大入河排污口监督管理力度，严格控制入河湖排污总量。（县环保局牵头，县水利局参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加强湿地保护与恢复。在支流入干流处、河流入湖口、城镇污水处理厂排水口、重点企事业单位、大型社区排污口及其他适宜地点，因地制宜地建设人工湿地水质净化工程。在农村地区，结合农村环境综合整治、“三清五改”等工作内容，利用小型闸坝、小型一体化污水处理设备、微型湿地群和小型氧化塘的拦蓄、滞留、消纳作用，深度处理农村生产生活污水。加强现有湿地管理，确保维护资金投入，保障湿地正常运行，充分发挥净化作用。（县环保局牵头，县林业局、县财政局、县住建局、县农业局、县水利局等参与）</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开展退化湿地恢复。落实退化湿地生态保护与恢复专项行动计划，饮用水源地保护区、市控重点河流汇水区域要全面开展退耕还湿、退渔还湖，禁止在靠近河道区域种植、养殖；开展生态河道建设，实施生态护坡、自然植被护岸，增强河道两岸对污染物的截留净化能力，进一步降低河流的污染负荷。（县环保局、县林业局牵头，县财政局、县国土资源局、县农业局、县水利局等参与）</w:t>
            </w:r>
          </w:p>
        </w:tc>
        <w:tc>
          <w:tcPr>
            <w:tcW w:w="7230" w:type="dxa"/>
            <w:vMerge w:val="continue"/>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r>
    </w:tbl>
    <w:p>
      <w:pPr>
        <w:ind w:firstLine="560"/>
        <w:rPr>
          <w:rFonts w:hint="eastAsia" w:ascii="宋体" w:hAnsi="宋体" w:eastAsia="宋体" w:cs="宋体"/>
          <w:lang w:eastAsia="zh-CN"/>
        </w:rPr>
      </w:pPr>
    </w:p>
    <w:p>
      <w:pPr>
        <w:pStyle w:val="16"/>
        <w:ind w:firstLine="560"/>
        <w:rPr>
          <w:rFonts w:hint="eastAsia" w:ascii="宋体" w:hAnsi="宋体" w:eastAsia="宋体" w:cs="宋体"/>
          <w:kern w:val="0"/>
        </w:rPr>
        <w:sectPr>
          <w:footerReference r:id="rId67" w:type="default"/>
          <w:headerReference r:id="rId66" w:type="even"/>
          <w:footerReference r:id="rId68" w:type="even"/>
          <w:pgSz w:w="16838" w:h="11906" w:orient="landscape"/>
          <w:pgMar w:top="1587" w:right="1417" w:bottom="1247" w:left="1247" w:header="850" w:footer="850" w:gutter="0"/>
          <w:pgBorders>
            <w:top w:val="none" w:sz="0" w:space="0"/>
            <w:left w:val="none" w:sz="0" w:space="0"/>
            <w:bottom w:val="none" w:sz="0" w:space="0"/>
            <w:right w:val="none" w:sz="0" w:space="0"/>
          </w:pgBorders>
          <w:cols w:space="720" w:num="1"/>
          <w:docGrid w:type="lines" w:linePitch="312" w:charSpace="0"/>
        </w:sectPr>
      </w:pPr>
    </w:p>
    <w:p>
      <w:pPr>
        <w:pStyle w:val="6"/>
        <w:rPr>
          <w:rFonts w:hint="eastAsia" w:ascii="宋体" w:hAnsi="宋体" w:eastAsia="宋体" w:cs="宋体"/>
          <w:lang w:eastAsia="zh-CN"/>
        </w:rPr>
      </w:pPr>
      <w:bookmarkStart w:id="140" w:name="_Toc10756"/>
      <w:bookmarkStart w:id="141" w:name="_Toc27305"/>
      <w:r>
        <w:rPr>
          <w:rFonts w:hint="eastAsia" w:ascii="宋体" w:hAnsi="宋体" w:eastAsia="宋体" w:cs="宋体"/>
          <w:lang w:eastAsia="zh-CN"/>
        </w:rPr>
        <w:t>5.3 地下水现状调查与评价</w:t>
      </w:r>
      <w:bookmarkEnd w:id="140"/>
      <w:bookmarkEnd w:id="141"/>
    </w:p>
    <w:p>
      <w:pPr>
        <w:pStyle w:val="7"/>
        <w:rPr>
          <w:rFonts w:hint="eastAsia" w:ascii="宋体" w:hAnsi="宋体" w:eastAsia="宋体" w:cs="宋体"/>
          <w:lang w:eastAsia="zh-CN"/>
        </w:rPr>
      </w:pPr>
      <w:r>
        <w:rPr>
          <w:rFonts w:hint="eastAsia" w:ascii="宋体" w:hAnsi="宋体" w:eastAsia="宋体" w:cs="宋体"/>
          <w:lang w:eastAsia="zh-CN"/>
        </w:rPr>
        <w:t>5.3.1 矿区地质条件</w:t>
      </w:r>
    </w:p>
    <w:p>
      <w:pPr>
        <w:ind w:firstLine="560"/>
        <w:rPr>
          <w:rFonts w:hint="eastAsia" w:ascii="宋体" w:hAnsi="宋体" w:eastAsia="宋体" w:cs="宋体"/>
          <w:lang w:eastAsia="zh-CN"/>
        </w:rPr>
      </w:pPr>
      <w:r>
        <w:rPr>
          <w:rFonts w:hint="eastAsia" w:ascii="宋体" w:hAnsi="宋体" w:eastAsia="宋体" w:cs="宋体"/>
          <w:lang w:eastAsia="zh-CN"/>
        </w:rPr>
        <w:t>根据《山东省沂源县韩旺铁矿王峪矿区资源储量核实报告》（2019年3月，淄博杲坤地质勘察工程有限公司）可知。</w:t>
      </w:r>
    </w:p>
    <w:p>
      <w:pPr>
        <w:pStyle w:val="8"/>
        <w:rPr>
          <w:rFonts w:hint="eastAsia" w:ascii="宋体" w:hAnsi="宋体" w:eastAsia="宋体" w:cs="宋体"/>
          <w:lang w:eastAsia="zh-CN"/>
        </w:rPr>
      </w:pPr>
      <w:r>
        <w:rPr>
          <w:rFonts w:hint="eastAsia" w:ascii="宋体" w:hAnsi="宋体" w:eastAsia="宋体" w:cs="宋体"/>
          <w:lang w:eastAsia="zh-CN"/>
        </w:rPr>
        <w:t>5.3.1.1 地层</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矿区地层有第四系洪冲积和残坡积物、古生界寒武系的砂页岩、灰岩及新太古界泰山岩群变质岩系（图5.3.1-1）。由老至新分述如下：</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（1）新太古界泰山岩群（Ar3T.）</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根据勘探资料，矿区内新太古界地层为泰山岩群雁翎关组上部的含铁片岩、片麻岩系。呈单斜产出，总体走向300°～320°，倾向南西，倾角50°～70°，厚度大于500m。按其岩性分为下列四类：</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① 角闪片岩及斜长角闪片岩（Pi）</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主要分布于矿带顶、底板，偶而可见作为夹层或呈透镜状残存于伟晶花岗岩中。角闪片岩和斜长角闪片岩呈暗灰绿色，纤状变晶或鳞片纤状变晶结构，片状构造。岩石主要由普通角闪石或其它闪石类矿物组成，约占80～90%，一般含有少量的黑云母、长石、石英及微量的绿泥石、绿帘石、榍石、磷灰石、金属矿物等。角闪片岩中含斜长石较多，具有片麻状构造的，则逐渐过渡为斜长角闪岩或角闪斜长片麻岩，其原岩为偏基性火山凝灰岩。</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②角闪斜长片麻岩（jm）</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该岩石常作为矿层底板产出，在走向和倾向上常与黑云斜长片麻岩呈渐变过渡关系。当角闪石类矿物的含量增加，斜长石相对减少时，则逐渐变为斜长角闪岩。岩石呈浅灰色—暗灰绿色，风化后呈灰褐色，不等粒纤状花岗变晶构造，片麻状构造。主要矿物为角闪石、斜长石及石英，并含少量的微斜长石、黑云母、榍石、磷灰石及金属矿物。普通角闪石（部分绿泥石化）含量20～40%，斜长石含量约40～50%。</w:t>
      </w:r>
    </w:p>
    <w:p>
      <w:pPr>
        <w:ind w:firstLine="560"/>
        <w:rPr>
          <w:rFonts w:hint="eastAsia" w:ascii="宋体" w:hAnsi="宋体" w:eastAsia="宋体" w:cs="宋体"/>
          <w:lang w:eastAsia="zh-CN"/>
        </w:rPr>
      </w:pPr>
      <w:r>
        <w:rPr>
          <w:rFonts w:hint="eastAsia" w:ascii="宋体" w:hAnsi="宋体" w:eastAsia="宋体" w:cs="宋体"/>
          <w:lang w:eastAsia="zh-CN"/>
        </w:rPr>
        <w:t>③黑云斜长片麻岩（hm）</w:t>
      </w:r>
    </w:p>
    <w:p>
      <w:pPr>
        <w:ind w:firstLine="560"/>
        <w:rPr>
          <w:rFonts w:hint="eastAsia" w:ascii="宋体" w:hAnsi="宋体" w:eastAsia="宋体" w:cs="宋体"/>
          <w:lang w:eastAsia="zh-CN"/>
        </w:rPr>
      </w:pPr>
      <w:r>
        <w:rPr>
          <w:rFonts w:hint="eastAsia" w:ascii="宋体" w:hAnsi="宋体" w:eastAsia="宋体" w:cs="宋体"/>
          <w:lang w:eastAsia="zh-CN"/>
        </w:rPr>
        <w:t>灰色，风化后成灰黄色，质疏松，片麻状构造，不等粒鳞片状变晶结构。矿物成分以石英、长石为主，含较多的黑云母。石英含量30～35%，斜长石为更中长石，含量30～60%，有时含少量钾长石、白云母、石榴石、绢云母、绿泥石、绿帘石、磷灰石、磁铁矿等。岩石普遍遭受弱混合岩化。本类岩石常作为矿体夹石出现，呈狭长的条带状，平行矿体分布。</w:t>
      </w:r>
    </w:p>
    <w:p>
      <w:pPr>
        <w:ind w:firstLine="560"/>
        <w:rPr>
          <w:rFonts w:hint="eastAsia" w:ascii="宋体" w:hAnsi="宋体" w:eastAsia="宋体" w:cs="宋体"/>
          <w:lang w:eastAsia="zh-CN"/>
        </w:rPr>
      </w:pPr>
      <w:r>
        <w:rPr>
          <w:rFonts w:hint="eastAsia" w:ascii="宋体" w:hAnsi="宋体" w:eastAsia="宋体" w:cs="宋体"/>
          <w:lang w:eastAsia="zh-CN"/>
        </w:rPr>
        <w:t>④含铁角闪石英片岩（Fp）</w:t>
      </w:r>
    </w:p>
    <w:p>
      <w:pPr>
        <w:ind w:firstLine="560"/>
        <w:rPr>
          <w:rFonts w:hint="eastAsia" w:ascii="宋体" w:hAnsi="宋体" w:eastAsia="宋体" w:cs="宋体"/>
          <w:lang w:eastAsia="zh-CN"/>
        </w:rPr>
      </w:pPr>
      <w:r>
        <w:rPr>
          <w:rFonts w:hint="eastAsia" w:ascii="宋体" w:hAnsi="宋体" w:eastAsia="宋体" w:cs="宋体"/>
          <w:lang w:eastAsia="zh-CN"/>
        </w:rPr>
        <w:t>岩石呈灰黑色—墨绿色，风化后呈暗黄绿色。不等粒纤状变晶结构，</w:t>
      </w:r>
    </w:p>
    <w:p>
      <w:pPr>
        <w:ind w:firstLine="560"/>
        <w:rPr>
          <w:rFonts w:hint="eastAsia" w:ascii="宋体" w:hAnsi="宋体" w:eastAsia="宋体" w:cs="宋体"/>
          <w:lang w:eastAsia="zh-CN"/>
        </w:rPr>
      </w:pPr>
      <w:r>
        <w:rPr>
          <w:rFonts w:hint="eastAsia" w:ascii="宋体" w:hAnsi="宋体" w:eastAsia="宋体" w:cs="宋体"/>
          <w:lang w:eastAsia="zh-CN"/>
        </w:rPr>
        <w:t>片状～条带状构造。由石英、角闪石、磁铁矿、铁闪石、透闪石和少量黑云母、金属硫化物等组成。磁铁矿与石英、角闪石呈条带相间，条带宽窄不一，一般大于0.5cm。石英条带越宽含铁品位则越低，局部石英含量可达50%以上。角闪石类矿物含量一般在20～30%。岩石中常见到的金属硫化物为磁黄铁矿、黄铁矿、黄铜矿。磁黄铁矿包含在磁铁矿颗粒中，呈圆粒状。黄铁矿、黄铜矿呈细脉状、星散状平行或斜截片理分布。该片岩常分布于矿带的下部，与矿体呈渐变过渡关系。为整个含矿体不可分割的一部分，大片分布于王峪矿段66～72线间。上河矿段43～46线间亦有出露。</w:t>
      </w:r>
    </w:p>
    <w:p>
      <w:pPr>
        <w:ind w:firstLine="560"/>
        <w:rPr>
          <w:rFonts w:hint="eastAsia" w:ascii="宋体" w:hAnsi="宋体" w:eastAsia="宋体" w:cs="宋体"/>
          <w:kern w:val="2"/>
          <w:lang w:eastAsia="zh-CN"/>
        </w:rPr>
      </w:pPr>
      <w:r>
        <w:rPr>
          <w:rFonts w:hint="eastAsia" w:ascii="宋体" w:hAnsi="宋体" w:eastAsia="宋体" w:cs="宋体"/>
          <w:kern w:val="2"/>
          <w:lang w:eastAsia="zh-CN"/>
        </w:rPr>
        <w:t>（2）寒武系长清群（∈2-3Ĉ）</w:t>
      </w:r>
    </w:p>
    <w:p>
      <w:pPr>
        <w:ind w:firstLine="560"/>
        <w:rPr>
          <w:rFonts w:hint="eastAsia" w:ascii="宋体" w:hAnsi="宋体" w:eastAsia="宋体" w:cs="宋体"/>
          <w:kern w:val="2"/>
          <w:lang w:eastAsia="zh-CN"/>
        </w:rPr>
      </w:pPr>
      <w:r>
        <w:rPr>
          <w:rFonts w:hint="eastAsia" w:ascii="宋体" w:hAnsi="宋体" w:eastAsia="宋体" w:cs="宋体"/>
          <w:kern w:val="2"/>
          <w:lang w:eastAsia="zh-CN"/>
        </w:rPr>
        <w:t>经钻探得知，在韩旺矿区西北部上河矿段西南部的沂河冲积层下隐伏着长清群馒头组泥质灰岩、页岩、砂岩，分布于韩旺-石桥断裂的西南侧，总体走向北西，倾向北东，倾角15°～30°，厚度约300m。其底部的含砾长石石英砂岩直接与下伏泰山岩群斜长片麻岩呈角度不整合接触。</w:t>
      </w:r>
    </w:p>
    <w:p>
      <w:pPr>
        <w:ind w:firstLine="560"/>
        <w:rPr>
          <w:rFonts w:hint="eastAsia" w:ascii="宋体" w:hAnsi="宋体" w:eastAsia="宋体" w:cs="宋体"/>
          <w:kern w:val="2"/>
          <w:lang w:eastAsia="zh-CN"/>
        </w:rPr>
      </w:pPr>
      <w:r>
        <w:rPr>
          <w:rFonts w:hint="eastAsia" w:ascii="宋体" w:hAnsi="宋体" w:eastAsia="宋体" w:cs="宋体"/>
          <w:kern w:val="2"/>
          <w:lang w:eastAsia="zh-CN"/>
        </w:rPr>
        <w:t>（3）第四系（Q）</w:t>
      </w:r>
    </w:p>
    <w:p>
      <w:pPr>
        <w:ind w:firstLine="560"/>
        <w:rPr>
          <w:rFonts w:hint="eastAsia" w:ascii="宋体" w:hAnsi="宋体" w:eastAsia="宋体" w:cs="宋体"/>
          <w:kern w:val="2"/>
          <w:lang w:eastAsia="zh-CN"/>
        </w:rPr>
      </w:pPr>
      <w:r>
        <w:rPr>
          <w:rFonts w:hint="eastAsia" w:ascii="宋体" w:hAnsi="宋体" w:eastAsia="宋体" w:cs="宋体"/>
          <w:kern w:val="2"/>
          <w:lang w:eastAsia="zh-CN"/>
        </w:rPr>
        <w:t>第四系冲积、残坡积层在矿区范围内广泛分布，矿区南部沂河两岸厚度约6～15m，其它所有冲沟均有厚度不等的冲洪积物，在山坡及山顶亦堆积了厚度不等的残坡积物。岩性主要由松散砾石层、砂层及含碎屑砂土层组成。</w:t>
      </w:r>
    </w:p>
    <w:p>
      <w:pPr>
        <w:pStyle w:val="8"/>
        <w:rPr>
          <w:rFonts w:hint="eastAsia" w:ascii="宋体" w:hAnsi="宋体" w:eastAsia="宋体" w:cs="宋体"/>
          <w:lang w:eastAsia="zh-CN"/>
        </w:rPr>
      </w:pPr>
      <w:r>
        <w:rPr>
          <w:rFonts w:hint="eastAsia" w:ascii="宋体" w:hAnsi="宋体" w:eastAsia="宋体" w:cs="宋体"/>
          <w:lang w:eastAsia="zh-CN"/>
        </w:rPr>
        <w:t>5.3.1.2 构造</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矿区构造以断裂为主，无强烈的褶皱，基底变质岩系与铁矿带呈单斜状产出，走向300º～320º，倾向南西，倾角一般50º～70º。局部受花岗伟晶岩体侵入和断裂活动影响，多呈直立状。</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盖层岩层呈单斜状产出，总体走向北西，倾向北东，倾角15º～30º。盖层与基底间的不整合接触界线与断层大致平行，呈北西西向展布。</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矿区断裂构造以北西走向的韩旺-石桥断裂为主要构造格架，其控制了矿区地层、构造、岩浆岩及矿体的分布，并派生一系列小型断裂。现将矿区主要断裂构造描述如下：</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（1）韩旺－石桥断层（F1）</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从区域看，该断层是一条长期活动的弧形复杂断裂构造，呈北西一南东斜贯整个矿区。主断层面产状与矿体一致，倾向210°～230°，倾角50°～70°，局部有所变化。破碎带最大宽度超过50m，南西盘下降，北东盘抬升，断距达350m，为正断层。断裂带内岩石发生强烈的碎裂岩化和糜棱岩化，且被后期闪长玢岩充填。糜棱岩化碎裂岩大都具强烈的高岭土化、绿泥石化和碳酸盐化，有时亦见硅化、绿帘石和黄铁矿化。</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（2）F2断层</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该断层为隐伏断层，是韩旺—石桥断层的次级构造，自上河区段51线附近的F1断层向东分支，顺着矿体顶板外侧东延，经67线CK107孔达王峪南而延伸至矿区外。由于被第四系堆积物所覆盖，断层产状和性质不明，推测应与主断层一致，具有正断层性质。</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上述二条断层均位于矿体顶板以外，对矿体影响不大。</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（3）F4断层</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该断层位于61线西北侧冲沟内，为一走向NE的平移断层，仅在冲沟内见到较清楚的断层面，断面产状为315°∠81°，往北东方向延伸不清，往南西方向被第四系沉积物所覆盖。</w:t>
      </w:r>
      <w:bookmarkStart w:id="142" w:name="_Toc80002468"/>
    </w:p>
    <w:p>
      <w:pPr>
        <w:pStyle w:val="8"/>
        <w:rPr>
          <w:rFonts w:hint="eastAsia" w:ascii="宋体" w:hAnsi="宋体" w:eastAsia="宋体" w:cs="宋体"/>
          <w:lang w:eastAsia="zh-CN"/>
        </w:rPr>
      </w:pPr>
      <w:r>
        <w:rPr>
          <w:rFonts w:hint="eastAsia" w:ascii="宋体" w:hAnsi="宋体" w:eastAsia="宋体" w:cs="宋体"/>
          <w:lang w:eastAsia="zh-CN"/>
        </w:rPr>
        <w:t>5.3.1.3 岩浆岩</w:t>
      </w:r>
      <w:bookmarkEnd w:id="142"/>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矿区内的岩浆岩分布广泛，以伟晶花岗岩为主，其次分布少量中基性脉岩和浅成侵入岩。按其规模分述如下：</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（1）伟晶花岗岩（</w:t>
      </w:r>
      <m:oMath>
        <m:sSubSup>
          <m:sSubSupPr>
            <m:ctrlPr>
              <w:rPr>
                <w:rFonts w:hint="eastAsia" w:ascii="Cambria Math" w:hAnsi="Cambria Math" w:eastAsia="宋体" w:cs="宋体"/>
                <w:szCs w:val="28"/>
              </w:rPr>
            </m:ctrlPr>
          </m:sSubSupPr>
          <m:e>
            <m:r>
              <m:rPr>
                <m:sty m:val="p"/>
              </m:rPr>
              <w:rPr>
                <w:rFonts w:hint="eastAsia" w:ascii="Cambria Math" w:hAnsi="Cambria Math" w:eastAsia="宋体" w:cs="宋体"/>
                <w:szCs w:val="28"/>
              </w:rPr>
              <m:t>ρ</m:t>
            </m:r>
            <m:ctrlPr>
              <w:rPr>
                <w:rFonts w:hint="eastAsia" w:ascii="Cambria Math" w:hAnsi="Cambria Math" w:eastAsia="宋体" w:cs="宋体"/>
                <w:szCs w:val="28"/>
              </w:rPr>
            </m:ctrlPr>
          </m:e>
          <m:sub>
            <m:r>
              <m:rPr>
                <m:sty m:val="p"/>
              </m:rPr>
              <w:rPr>
                <w:rFonts w:hint="eastAsia" w:ascii="Cambria Math" w:hAnsi="Cambria Math" w:eastAsia="宋体" w:cs="宋体"/>
                <w:szCs w:val="28"/>
                <w:lang w:eastAsia="zh-CN"/>
              </w:rPr>
              <m:t>2</m:t>
            </m:r>
            <m:ctrlPr>
              <w:rPr>
                <w:rFonts w:hint="eastAsia" w:ascii="Cambria Math" w:hAnsi="Cambria Math" w:eastAsia="宋体" w:cs="宋体"/>
                <w:szCs w:val="28"/>
              </w:rPr>
            </m:ctrlPr>
          </m:sub>
          <m:sup>
            <m:r>
              <m:rPr>
                <m:sty m:val="p"/>
              </m:rPr>
              <w:rPr>
                <w:rFonts w:hint="eastAsia" w:ascii="Cambria Math" w:hAnsi="Cambria Math" w:eastAsia="宋体" w:cs="宋体"/>
                <w:szCs w:val="28"/>
                <w:lang w:eastAsia="zh-CN"/>
              </w:rPr>
              <m:t>1</m:t>
            </m:r>
            <m:ctrlPr>
              <w:rPr>
                <w:rFonts w:hint="eastAsia" w:ascii="Cambria Math" w:hAnsi="Cambria Math" w:eastAsia="宋体" w:cs="宋体"/>
                <w:szCs w:val="28"/>
              </w:rPr>
            </m:ctrlPr>
          </m:sup>
        </m:sSubSup>
      </m:oMath>
      <w:r>
        <w:rPr>
          <w:rFonts w:hint="eastAsia" w:ascii="宋体" w:hAnsi="宋体" w:eastAsia="宋体" w:cs="宋体"/>
          <w:b/>
          <w:bCs/>
          <w:kern w:val="2"/>
          <w:lang w:eastAsia="zh-CN"/>
        </w:rPr>
        <w:t>）</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伟晶花岗岩在矿区中广泛分布，多呈岩枝和不规则状侵入于太古代泰山岩群变质岩地层中，其走向多与片理方向一致。靠近F1断层时则平行断层走向延伸。主要岩性为钠长花岗岩，由半自形晶的钠长石、微斜长石、石英组成。花岗结构，微斜长石常与石英形成清晰的文象结构，矿物颗粒多为0.5㎝的粗大晶体。长石、石英具动力压碎现象。在较大的不规则岩体中常包含片麻岩、片岩、矿体的捕虏体和碎块。而大岩体的分枝常沿片理侵入到片麻岩与矿体的层间，呈小夹层和不规则长条状。此种不规则状的侵入体，有超覆于矿体之上的现象。即在花岗岩体之下隐伏着铁矿体，且具有一定的规模。侵入体有时斜切矿体、破坏矿体的连续性。</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（2）闪长玢岩（</w:t>
      </w:r>
      <m:oMath>
        <m:sSubSup>
          <m:sSubSupPr>
            <m:ctrlPr>
              <w:rPr>
                <w:rFonts w:hint="eastAsia" w:ascii="Cambria Math" w:hAnsi="Cambria Math" w:eastAsia="宋体" w:cs="宋体"/>
                <w:szCs w:val="28"/>
              </w:rPr>
            </m:ctrlPr>
          </m:sSubSupPr>
          <m:e>
            <m:r>
              <m:rPr>
                <m:sty m:val="p"/>
              </m:rPr>
              <w:rPr>
                <w:rFonts w:hint="eastAsia" w:ascii="Cambria Math" w:hAnsi="Cambria Math" w:eastAsia="宋体" w:cs="宋体"/>
                <w:szCs w:val="28"/>
              </w:rPr>
              <m:t>δμ</m:t>
            </m:r>
            <m:ctrlPr>
              <w:rPr>
                <w:rFonts w:hint="eastAsia" w:ascii="Cambria Math" w:hAnsi="Cambria Math" w:eastAsia="宋体" w:cs="宋体"/>
                <w:szCs w:val="28"/>
              </w:rPr>
            </m:ctrlPr>
          </m:e>
          <m:sub>
            <m:r>
              <m:rPr>
                <m:sty m:val="p"/>
              </m:rPr>
              <w:rPr>
                <w:rFonts w:hint="eastAsia" w:ascii="Cambria Math" w:hAnsi="Cambria Math" w:eastAsia="宋体" w:cs="宋体"/>
                <w:szCs w:val="28"/>
                <w:lang w:eastAsia="zh-CN"/>
              </w:rPr>
              <m:t>5</m:t>
            </m:r>
            <m:ctrlPr>
              <w:rPr>
                <w:rFonts w:hint="eastAsia" w:ascii="Cambria Math" w:hAnsi="Cambria Math" w:eastAsia="宋体" w:cs="宋体"/>
                <w:szCs w:val="28"/>
              </w:rPr>
            </m:ctrlPr>
          </m:sub>
          <m:sup>
            <m:r>
              <m:rPr>
                <m:sty m:val="p"/>
              </m:rPr>
              <w:rPr>
                <w:rFonts w:hint="eastAsia" w:ascii="Cambria Math" w:hAnsi="Cambria Math" w:eastAsia="宋体" w:cs="宋体"/>
                <w:szCs w:val="28"/>
                <w:lang w:eastAsia="zh-CN"/>
              </w:rPr>
              <m:t>3</m:t>
            </m:r>
            <m:ctrlPr>
              <w:rPr>
                <w:rFonts w:hint="eastAsia" w:ascii="Cambria Math" w:hAnsi="Cambria Math" w:eastAsia="宋体" w:cs="宋体"/>
                <w:szCs w:val="28"/>
              </w:rPr>
            </m:ctrlPr>
          </m:sup>
        </m:sSubSup>
      </m:oMath>
      <w:r>
        <w:rPr>
          <w:rFonts w:hint="eastAsia" w:ascii="宋体" w:hAnsi="宋体" w:eastAsia="宋体" w:cs="宋体"/>
          <w:b/>
          <w:bCs/>
          <w:kern w:val="2"/>
          <w:lang w:eastAsia="zh-CN"/>
        </w:rPr>
        <w:t>）</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矿区内不同部位均见有燕山期闪长玢岩产出。依据岩性特征可分两种：一种为角闪闪长玢岩，主要由斜长石、普通角闪石、黑云母组成，呈灰绿色，自形—半自形粒状结构，块状构造。多呈岩墙或岩脉斜交层理走向。另一种为闪长玢岩，由斜长石、普通角闪石、黑云母组成，含较多的磁铁矿和少量磷灰石。具斑状结构，块状构造。闪长玢岩呈脉岩者蚀变强烈，松软易碎。呈岩床或顺层侵入者则较新鲜。</w:t>
      </w:r>
    </w:p>
    <w:p>
      <w:pPr>
        <w:autoSpaceDE/>
        <w:autoSpaceDN/>
        <w:ind w:firstLine="562"/>
        <w:jc w:val="both"/>
        <w:rPr>
          <w:rFonts w:hint="eastAsia" w:ascii="宋体" w:hAnsi="宋体" w:eastAsia="宋体" w:cs="宋体"/>
          <w:b/>
          <w:bCs/>
          <w:kern w:val="2"/>
          <w:lang w:eastAsia="zh-CN"/>
        </w:rPr>
      </w:pPr>
      <w:r>
        <w:rPr>
          <w:rFonts w:hint="eastAsia" w:ascii="宋体" w:hAnsi="宋体" w:eastAsia="宋体" w:cs="宋体"/>
          <w:b/>
          <w:bCs/>
          <w:kern w:val="2"/>
          <w:lang w:eastAsia="zh-CN"/>
        </w:rPr>
        <w:t>（3）安山玢岩（αμ）</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在王峪矿段77线附近有一孤立的“管” 状和小脉状安山玢岩岩体。“管”状体长轴约60m，短轴50m，切穿矿体顶部的片麻岩。南侧具明显的角砾状构造，角砾成分为片麻岩和安山岩，也见有长石、石英的单矿物碎屑与少量的钾长石、黑云母碎屑。胶结物主要是安山质熔岩，少量为铁质物。熔岩成分由斜长石、黑云母、金属矿物组成，具不明显的斑状结构、基质呈交织结构，斑晶为斜长石。北侧具块状构造，斑状结构，基质为交织结构。斑晶主要为中、更长石，少量黑云母、石英、角闪石等，黑云母具暗化边和褪色化，石英颗粒有熔蚀现象。基质由中、更长石的微晶组成。岩石已普遍绢云母化、高岭土化、碳酸盐化和绿泥石化。</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岩脉宽不足一米，长约百余米，其岩性介于角砾状和斑状岩石之间。</w:t>
      </w:r>
      <w:bookmarkStart w:id="143" w:name="_Toc265917815"/>
    </w:p>
    <w:bookmarkEnd w:id="143"/>
    <w:p>
      <w:pPr>
        <w:pStyle w:val="8"/>
        <w:rPr>
          <w:rFonts w:hint="eastAsia" w:ascii="宋体" w:hAnsi="宋体" w:eastAsia="宋体" w:cs="宋体"/>
          <w:lang w:eastAsia="zh-CN"/>
        </w:rPr>
      </w:pPr>
      <w:r>
        <w:rPr>
          <w:rFonts w:hint="eastAsia" w:ascii="宋体" w:hAnsi="宋体" w:eastAsia="宋体" w:cs="宋体"/>
          <w:lang w:eastAsia="zh-CN"/>
        </w:rPr>
        <w:t>5.3.1.4 变质作用</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区内变质岩主要为片麻岩夹磁铁角闪石英岩硅铁建造，是主要的含矿层位，片麻岩组合以斜长角闪岩片麻岩为主。片麻岩类共生矿物组合为斜长石+角闪石+石英+黑云母，岩石组分稳定，粒度均一，多呈细粒状结构。</w:t>
      </w:r>
    </w:p>
    <w:p>
      <w:pPr>
        <w:autoSpaceDE/>
        <w:autoSpaceDN/>
        <w:ind w:firstLine="560"/>
        <w:jc w:val="both"/>
        <w:rPr>
          <w:rFonts w:hint="eastAsia" w:ascii="宋体" w:hAnsi="宋体" w:eastAsia="宋体" w:cs="宋体"/>
          <w:kern w:val="2"/>
          <w:lang w:eastAsia="zh-CN"/>
        </w:rPr>
      </w:pPr>
      <w:r>
        <w:rPr>
          <w:rFonts w:hint="eastAsia" w:ascii="宋体" w:hAnsi="宋体" w:eastAsia="宋体" w:cs="宋体"/>
          <w:kern w:val="2"/>
          <w:lang w:eastAsia="zh-CN"/>
        </w:rPr>
        <w:t>磁铁角闪石英岩变质矿物组合为普通角闪石（铁闪石、透闪石）+磁铁矿+石英，层理构造明显，有时可见清晰的褶皱构造，磁铁矿与石英颗粒均呈均匀的粒状。</w:t>
      </w:r>
    </w:p>
    <w:p>
      <w:pPr>
        <w:pStyle w:val="8"/>
        <w:rPr>
          <w:rFonts w:hint="eastAsia" w:ascii="宋体" w:hAnsi="宋体" w:eastAsia="宋体" w:cs="宋体"/>
          <w:lang w:eastAsia="zh-CN"/>
        </w:rPr>
      </w:pPr>
      <w:r>
        <w:rPr>
          <w:rFonts w:hint="eastAsia" w:ascii="宋体" w:hAnsi="宋体" w:eastAsia="宋体" w:cs="宋体"/>
          <w:lang w:eastAsia="zh-CN"/>
        </w:rPr>
        <w:t>5.3.1.5 矿体特征</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矿床含矿岩系为泰山岩群雁翎关组顶部含铁片岩，层位稳定，其顶、底板岩石为黑云斜长片麻岩、角闪斜长片麻岩。含铁岩系主要有含铁石英角闪片岩、含铁角闪石英片岩及片麻岩等。岩系中富铁部分为铁矿体。矿体呈多层带状，紧密排列。</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矿体形态比较复杂，呈多层状，分枝复合、尖灭再现等，圈连出单一矿体较困难，本次核实是将多层矿归并视为单一矿体，由于矿体在走向上有间断（间距约350m）故分为2个矿体，即王峪矿段矿体和上河矿段矿体。见图5.3.1-2。</w:t>
      </w:r>
    </w:p>
    <w:p>
      <w:pPr>
        <w:autoSpaceDE/>
        <w:autoSpaceDN/>
        <w:ind w:firstLine="560"/>
        <w:jc w:val="both"/>
        <w:rPr>
          <w:rFonts w:hint="eastAsia" w:ascii="宋体" w:hAnsi="宋体" w:eastAsia="宋体" w:cs="宋体"/>
          <w:b/>
          <w:bCs/>
          <w:lang w:eastAsia="zh-CN"/>
        </w:rPr>
      </w:pPr>
      <w:r>
        <w:rPr>
          <w:rFonts w:hint="eastAsia" w:ascii="宋体" w:hAnsi="宋体" w:eastAsia="宋体" w:cs="宋体"/>
          <w:b/>
          <w:bCs/>
          <w:lang w:eastAsia="zh-CN"/>
        </w:rPr>
        <w:t>1、王峪矿段矿体</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北自61线，南至77线，由48个钻孔控制。矿体呈陡倾斜的层状、似层状产出，总体走向330°，倾向SW，倾角39°～56°。工程控制矿体走向长1870m，工程控制矿体最大斜深353m，最小113m，一般200m左右。多数勘查线控制矿体至0m标高，其中63、67、69、70、71等5条勘查线控制矿体至-50m标高。矿体厚度4.10m～23.30m，平均13.70m，变化系数36.6％，厚度相对稳定。根据样品分析资料，TFe品位29.08%～38.04%间，平均34.94%，品位变化系数68.57%。mFe品位20.78%～33.75%间，平均28.29%，品位变化系数10.06%。</w:t>
      </w:r>
    </w:p>
    <w:p>
      <w:pPr>
        <w:ind w:firstLine="562"/>
        <w:rPr>
          <w:rFonts w:hint="eastAsia" w:ascii="宋体" w:hAnsi="宋体" w:eastAsia="宋体" w:cs="宋体"/>
          <w:b/>
          <w:bCs/>
          <w:lang w:eastAsia="zh-CN"/>
        </w:rPr>
      </w:pPr>
      <w:r>
        <w:rPr>
          <w:rFonts w:hint="eastAsia" w:ascii="宋体" w:hAnsi="宋体" w:eastAsia="宋体" w:cs="宋体"/>
          <w:b/>
          <w:bCs/>
          <w:lang w:eastAsia="zh-CN"/>
        </w:rPr>
        <w:t>2、上河矿段矿体</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北自42线，南至57线，由96个钻孔控制。总体走向330°，倾向SW，倾角平均55°。矿带控制走向长1500m，工程控制矿体最大斜深550m，控制矿体至-250m标高，控制矿体最小斜深153m。单个矿体形态较规则，呈层状、似层状。沿走向及倾向有分支复合、尖灭再现现象。单个矿体厚度一般为2～25m，最大厚度35.0m，平均厚度8.21m，厚度变化系数52.4％。根据样品分析资料，TFe品位25.67%～42.43%间，平均35.48%，品位变化系数47.06%。mFe品位15.64%～39.41%间，平均27.24%，品位变化系数15.17%。保有矿体形态几乎没有发生变化，单个矿体厚度从坑采采空区位置来看矿体界线变化小于3m，矿体产状稳定，品位变化不大，深部坑采工程控制矿体延深加大，沿走向两侧也有控制延长。</w:t>
      </w:r>
    </w:p>
    <w:p>
      <w:pPr>
        <w:pStyle w:val="7"/>
        <w:rPr>
          <w:rFonts w:hint="eastAsia" w:ascii="宋体" w:hAnsi="宋体" w:eastAsia="宋体" w:cs="宋体"/>
          <w:lang w:eastAsia="zh-CN"/>
        </w:rPr>
      </w:pPr>
      <w:r>
        <w:rPr>
          <w:rFonts w:hint="eastAsia" w:ascii="宋体" w:hAnsi="宋体" w:eastAsia="宋体" w:cs="宋体"/>
          <w:lang w:eastAsia="zh-CN"/>
        </w:rPr>
        <w:t>5.3.2 矿区水文地质条件</w:t>
      </w:r>
    </w:p>
    <w:p>
      <w:pPr>
        <w:pStyle w:val="8"/>
        <w:rPr>
          <w:rFonts w:hint="eastAsia" w:ascii="宋体" w:hAnsi="宋体" w:eastAsia="宋体" w:cs="宋体"/>
          <w:lang w:eastAsia="zh-CN"/>
        </w:rPr>
      </w:pPr>
      <w:r>
        <w:rPr>
          <w:rFonts w:hint="eastAsia" w:ascii="宋体" w:hAnsi="宋体" w:eastAsia="宋体" w:cs="宋体"/>
          <w:lang w:eastAsia="zh-CN"/>
        </w:rPr>
        <w:t>5.3.2.1 矿区含水层特征</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王峪矿区位于沂河东北岸分水岭之内侧，矿体呈带状分布，顶、底板岩石主要为太古代泰山岩群片麻岩、片岩和伟晶花岗岩。上覆的第四系冲洪积层，构成沂河河漫滩及两岸阶地。矿区处于沂河流域跋山段块水文地质单元的东北部地下水径流排泄区。</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沂河是矿区及区域内的最大地表水系，在矿区西南部呈NW－SE向在矿区西南经过，距矿区边界距离100～600m。矿区上游沂河汇水面积1550km</w:t>
      </w:r>
      <w:r>
        <w:rPr>
          <w:rFonts w:hint="eastAsia" w:ascii="宋体" w:hAnsi="宋体" w:eastAsia="宋体" w:cs="宋体"/>
          <w:szCs w:val="28"/>
          <w:vertAlign w:val="superscript"/>
          <w:lang w:eastAsia="zh-CN" w:bidi="ar"/>
        </w:rPr>
        <w:t>2</w:t>
      </w:r>
      <w:r>
        <w:rPr>
          <w:rFonts w:hint="eastAsia" w:ascii="宋体" w:hAnsi="宋体" w:eastAsia="宋体" w:cs="宋体"/>
          <w:szCs w:val="28"/>
          <w:lang w:eastAsia="zh-CN" w:bidi="ar"/>
        </w:rPr>
        <w:t>，流量0.01～465m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/s，平均流量1.27～5.37 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/s，最大洪峰流量226 m</w:t>
      </w:r>
      <w:r>
        <w:rPr>
          <w:rFonts w:hint="eastAsia" w:ascii="宋体" w:hAnsi="宋体" w:eastAsia="宋体" w:cs="宋体"/>
          <w:szCs w:val="28"/>
          <w:vertAlign w:val="superscript"/>
          <w:lang w:eastAsia="zh-CN" w:bidi="ar"/>
        </w:rPr>
        <w:t>3</w:t>
      </w:r>
      <w:r>
        <w:rPr>
          <w:rFonts w:hint="eastAsia" w:ascii="宋体" w:hAnsi="宋体" w:eastAsia="宋体" w:cs="宋体"/>
          <w:szCs w:val="28"/>
          <w:lang w:eastAsia="zh-CN" w:bidi="ar"/>
        </w:rPr>
        <w:t>/s，有4条沂河小支流自东向西流经矿区，平时干涸，仅在雨季有水流。当地侵蚀基准面标高为+176m。</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据以往简易水文观测资料，泰山岩群变质岩及矿带水位标高在162.73～174.45 m，水质类型SO</w:t>
      </w:r>
      <w:r>
        <w:rPr>
          <w:rFonts w:hint="eastAsia" w:ascii="宋体" w:hAnsi="宋体" w:eastAsia="宋体" w:cs="宋体"/>
          <w:szCs w:val="28"/>
          <w:vertAlign w:val="subscript"/>
          <w:lang w:eastAsia="zh-CN" w:bidi="ar"/>
        </w:rPr>
        <w:t>4</w:t>
      </w:r>
      <w:r>
        <w:rPr>
          <w:rFonts w:hint="eastAsia" w:ascii="宋体" w:hAnsi="宋体" w:eastAsia="宋体" w:cs="宋体"/>
          <w:szCs w:val="28"/>
          <w:lang w:eastAsia="zh-CN" w:bidi="ar"/>
        </w:rPr>
        <w:t>·HCO</w:t>
      </w:r>
      <w:r>
        <w:rPr>
          <w:rFonts w:hint="eastAsia" w:ascii="宋体" w:hAnsi="宋体" w:eastAsia="宋体" w:cs="宋体"/>
          <w:szCs w:val="28"/>
          <w:vertAlign w:val="subscript"/>
          <w:lang w:eastAsia="zh-CN" w:bidi="ar"/>
        </w:rPr>
        <w:t>3</w:t>
      </w:r>
      <w:r>
        <w:rPr>
          <w:rFonts w:hint="eastAsia" w:ascii="宋体" w:hAnsi="宋体" w:eastAsia="宋体" w:cs="宋体"/>
          <w:szCs w:val="28"/>
          <w:lang w:eastAsia="zh-CN" w:bidi="ar"/>
        </w:rPr>
        <w:t>－Ca·K+Na，矿化度0.535g/L。通过对ZK69－1与ZK63－1钻孔的注水试验，渗透系数在0.006～0.009 m/d，单位注水量为0.010～0.019L/s•m。</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区内主要含水层为分布于沂河两岸河漫滩和阶地上的第四系冲洪积孔隙含水层，下伏前寒武变质岩系为含水微弱的基岩裂隙水弱含水岩带。</w:t>
      </w:r>
    </w:p>
    <w:p>
      <w:pPr>
        <w:ind w:firstLine="562"/>
        <w:rPr>
          <w:rFonts w:hint="eastAsia" w:ascii="宋体" w:hAnsi="宋体" w:eastAsia="宋体" w:cs="宋体"/>
          <w:b/>
          <w:bCs/>
          <w:szCs w:val="28"/>
          <w:lang w:eastAsia="zh-CN"/>
        </w:rPr>
      </w:pPr>
      <w:r>
        <w:rPr>
          <w:rFonts w:hint="eastAsia" w:ascii="宋体" w:hAnsi="宋体" w:eastAsia="宋体" w:cs="宋体"/>
          <w:b/>
          <w:bCs/>
          <w:szCs w:val="28"/>
          <w:lang w:eastAsia="zh-CN" w:bidi="ar"/>
        </w:rPr>
        <w:t>1、第四系孔隙潜水含水层</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覆盖全区，岩性构成为中、细砂层和砂砾、卵砾石层，厚度6～15m，平均厚度8.79m，潜水面与地形起伏一致，水位埋深0.5～3m，该层是本区的最主要含水层，单位涌水量9.98～23.52L/s，渗透系数91.3～568.57m／d，该层直接接受沂河和大气降水的补给。</w:t>
      </w:r>
    </w:p>
    <w:p>
      <w:pPr>
        <w:ind w:firstLine="562"/>
        <w:rPr>
          <w:rFonts w:hint="eastAsia" w:ascii="宋体" w:hAnsi="宋体" w:eastAsia="宋体" w:cs="宋体"/>
          <w:b/>
          <w:bCs/>
          <w:szCs w:val="28"/>
          <w:lang w:eastAsia="zh-CN"/>
        </w:rPr>
      </w:pPr>
      <w:r>
        <w:rPr>
          <w:rFonts w:hint="eastAsia" w:ascii="宋体" w:hAnsi="宋体" w:eastAsia="宋体" w:cs="宋体"/>
          <w:b/>
          <w:bCs/>
          <w:szCs w:val="28"/>
          <w:lang w:eastAsia="zh-CN" w:bidi="ar"/>
        </w:rPr>
        <w:t>2、寒武系长清群灰页岩裂隙潜水含水层</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分布于上河矿段西南侧，F1断裂的上盘，地层产状倾向北东，倾角15～30°，岩性为灰岩、页岩互层，其间穿插闪长玢岩脉。该亚区岩溶不发育，裂隙发育，但多被后期泥质、钙质物质充填，含透水性均差，单位涌水量0.04～0.065 L/s•m，渗透系数0.0488～0.0624m/d。</w:t>
      </w:r>
    </w:p>
    <w:p>
      <w:pPr>
        <w:ind w:firstLine="562"/>
        <w:rPr>
          <w:rFonts w:hint="eastAsia" w:ascii="宋体" w:hAnsi="宋体" w:eastAsia="宋体" w:cs="宋体"/>
          <w:b/>
          <w:bCs/>
          <w:szCs w:val="28"/>
          <w:lang w:eastAsia="zh-CN"/>
        </w:rPr>
      </w:pPr>
      <w:r>
        <w:rPr>
          <w:rFonts w:hint="eastAsia" w:ascii="宋体" w:hAnsi="宋体" w:eastAsia="宋体" w:cs="宋体"/>
          <w:b/>
          <w:bCs/>
          <w:szCs w:val="28"/>
          <w:lang w:eastAsia="zh-CN" w:bidi="ar"/>
        </w:rPr>
        <w:t>3、泰山群变质岩系裂隙潜水含水层</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该潜水含水层分布于F1断裂东北侧，构成断裂带下盘，包含铁矿带及其顶、底板围岩，岩石岩性为片麻岩、片岩、磁铁石英岩及磁铁角闪石英片岩，呈单斜岩层产出，倾向南西，倾角50～70°，岩石中的裂隙随深度的增加而减少。分述如下：</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矿带顶板裂隙水含水岩带：主要岩性为斜长角闪片麻岩、伟晶花岗岩和黑云斜长片麻岩，其中裂隙不发育，抽水试验降深18.83～51.09m时，单位涌水量0.00732～0.0133 L/s•m，渗透系数0.0255～0.0307m/d，伟晶花岗岩由于受构造运动影响，发生动力变质作用，产生了高岭土化、糜棱岩化，构成阻水岩带，该带抽水降深63.18m时，单位涌水量0.00051 L/s•m,渗透系数0.00082m/d。</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铁矿带裂隙水含水岩带：主要岩性为磁铁石英岩、磁铁角闪片岩及矿带夹层伟晶花岗和黑云斜长片麻岩等。该带裂隙发育程度强于顶、底板岩石，但随深度的增加，裂隙发育程度逐渐减弱，岩石的含透水性变小，该带岩石渗透系数0.2135～0.52m/d。</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矿带底板裂隙水含水岩带：该带岩性为角闪片岩、角闪斜长片麻岩和伟晶花岗岩，岩石中裂隙不发育，已形成的裂隙多被方解石脉充填，当抽水降深48.64～48.97m时，单位涌水量0.0105～0.00604 L/s•m，岩石渗透系数0.00501～0.0432m/d。</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5.3.2.2 隔水层</w:t>
      </w:r>
    </w:p>
    <w:p>
      <w:pPr>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bidi="ar"/>
        </w:rPr>
        <w:t>F</w:t>
      </w:r>
      <w:r>
        <w:rPr>
          <w:rFonts w:hint="eastAsia" w:ascii="宋体" w:hAnsi="宋体" w:eastAsia="宋体" w:cs="宋体"/>
          <w:kern w:val="2"/>
          <w:szCs w:val="28"/>
          <w:vertAlign w:val="subscript"/>
          <w:lang w:eastAsia="zh-CN" w:bidi="ar"/>
        </w:rPr>
        <w:t>1</w:t>
      </w:r>
      <w:r>
        <w:rPr>
          <w:rFonts w:hint="eastAsia" w:ascii="宋体" w:hAnsi="宋体" w:eastAsia="宋体" w:cs="宋体"/>
          <w:kern w:val="2"/>
          <w:szCs w:val="28"/>
          <w:lang w:eastAsia="zh-CN" w:bidi="ar"/>
        </w:rPr>
        <w:t>断层是纵贯矿区的主断裂带，构成了矿床临河一侧的相对隔水边界。对矿区水文地质边界条件起控制作用，控制着矿区地下水的径流、排泄和对矿带的补给。</w:t>
      </w:r>
    </w:p>
    <w:p>
      <w:pPr>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bidi="ar"/>
        </w:rPr>
        <w:t>F</w:t>
      </w:r>
      <w:r>
        <w:rPr>
          <w:rFonts w:hint="eastAsia" w:ascii="宋体" w:hAnsi="宋体" w:eastAsia="宋体" w:cs="宋体"/>
          <w:kern w:val="2"/>
          <w:szCs w:val="28"/>
          <w:vertAlign w:val="subscript"/>
          <w:lang w:eastAsia="zh-CN" w:bidi="ar"/>
        </w:rPr>
        <w:t>1</w:t>
      </w:r>
      <w:r>
        <w:rPr>
          <w:rFonts w:hint="eastAsia" w:ascii="宋体" w:hAnsi="宋体" w:eastAsia="宋体" w:cs="宋体"/>
          <w:kern w:val="2"/>
          <w:szCs w:val="28"/>
          <w:lang w:eastAsia="zh-CN" w:bidi="ar"/>
        </w:rPr>
        <w:t>断裂显压性特征，碎裂岩发育，碎裂岩原岩成分为花岗岩、灰页岩和片麻岩。断层角砾部分呈棱角状，部分被挤压成扁豆体，砾石粒径0.5～3cm，胶结物为泥质、钙质。受运动挤压影响，断裂上下盘岩石较破碎，破碎部位多已糜棱岩化和高岭土化，裂隙呈闭合状，被断层泥充填，透水性差，含水微弱，可有效阻断矿带上盘含水岩区地下水对矿带的补给通道。</w:t>
      </w:r>
    </w:p>
    <w:p>
      <w:pPr>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bidi="ar"/>
        </w:rPr>
        <w:t>矿床开采水文地质边界条件为：地表沂河流经矿体上盘，上覆第四系冲洪积层含水丰富，透水性强，与沂河可形成互为补给的关系。下伏泰山群变质岩系构成铁矿带和矿带的顶、底板，该套地层浅部和第四系盖层之下局部地段形成风化层，风化层厚度一般小于50m，该风化层含水较丰富，与上覆第四系地层可视为同一水文补给单元。自地表向下50m后，矿带及顶、底岩石中的裂隙逐渐减少，呈闭合状，且多被后期的泥、钙质所充填，抽水试验表明，该套岩石中含裂隙水微弱，可视为通透性差的弱含水岩带。F1断层构成矿体上盘的阻水岩带，故矿体赋存于通透性差的弱含水岩带。</w:t>
      </w:r>
    </w:p>
    <w:p>
      <w:pPr>
        <w:ind w:firstLine="560"/>
        <w:rPr>
          <w:rFonts w:hint="eastAsia" w:ascii="宋体" w:hAnsi="宋体" w:eastAsia="宋体" w:cs="宋体"/>
          <w:szCs w:val="28"/>
          <w:lang w:eastAsia="zh-CN"/>
        </w:rPr>
      </w:pPr>
      <w:r>
        <w:rPr>
          <w:rFonts w:hint="eastAsia" w:ascii="宋体" w:hAnsi="宋体" w:eastAsia="宋体" w:cs="宋体"/>
          <w:kern w:val="2"/>
          <w:szCs w:val="28"/>
          <w:lang w:eastAsia="zh-CN" w:bidi="ar"/>
        </w:rPr>
        <w:t>近几年开采发现王峪矿区主要以裂隙水为主，最大裂隙宽度4cm，长度不一，从几十公分到最大5米，但大多没有出水现象，当前最大裂隙水不超过10m³/h。其次就是花岗岩渗透水，水量极小，出水特点主要为淋水状态。未发现地表沂河水有渗透现象。矿山后未发生水文地质问题。</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5.3.2.3 地下水的补给、迳流、排泄条件</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矿区地下水补给、径流、排泄条件严格受地貌、构造、岩性和气候条件所控制。矿区范围内的地下水主要接受大气降水的补给，雨季地下水均有回升。地下水流向为NW－SE，降水渗入到地下水流系统后，地下水沿地形作坡降运动，流向沂河，补给河水；或形成地下径流，通过侧向补给地下水孔隙水含水层，最终通过第四系含水层以潜流形式排泄。</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综合水文地质资料和矿山多年的生产实践，对地下开采有影响的含水层主要是第四系含水层。地下水在自然状态下补给沂河。但未来地下开采后，若形成地表塌陷及裂缝，沂河水将通过第四系孔隙潜水含水层及泰山岩群变质岩上部的风化裂隙带进入井下。</w:t>
      </w:r>
    </w:p>
    <w:p>
      <w:pPr>
        <w:pStyle w:val="7"/>
        <w:widowControl/>
        <w:rPr>
          <w:rFonts w:hint="eastAsia" w:ascii="宋体" w:hAnsi="宋体" w:eastAsia="宋体" w:cs="宋体"/>
          <w:lang w:eastAsia="zh-CN"/>
        </w:rPr>
      </w:pPr>
      <w:r>
        <w:rPr>
          <w:rFonts w:hint="eastAsia" w:ascii="宋体" w:hAnsi="宋体" w:eastAsia="宋体" w:cs="宋体"/>
          <w:lang w:eastAsia="zh-CN"/>
        </w:rPr>
        <w:t>5.3.3 其他方面调查</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5.3.3.1 地下水污染源调查</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项目区内地下水污染源主要有工业污染源、农业污染源和生活污染源。</w:t>
      </w:r>
    </w:p>
    <w:p>
      <w:pPr>
        <w:ind w:firstLine="562"/>
        <w:rPr>
          <w:rFonts w:hint="eastAsia" w:ascii="宋体" w:hAnsi="宋体" w:eastAsia="宋体" w:cs="宋体"/>
          <w:b/>
          <w:bCs/>
          <w:szCs w:val="28"/>
          <w:lang w:eastAsia="zh-CN"/>
        </w:rPr>
      </w:pPr>
      <w:r>
        <w:rPr>
          <w:rFonts w:hint="eastAsia" w:ascii="宋体" w:hAnsi="宋体" w:eastAsia="宋体" w:cs="宋体"/>
          <w:b/>
          <w:bCs/>
          <w:szCs w:val="28"/>
          <w:lang w:eastAsia="zh-CN" w:bidi="ar"/>
        </w:rPr>
        <w:t>（1）工业污染源</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根据导则要求，调查评价区内具有与建设项目产生或排放同种特征因子的地下水污染源，根据现场踏勘及周边资料获取情况，项目周边主要为鲁南矿业地下铁矿、山东华联矿业股份有限公司铁矿。</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评价区主要以矿山资源开采及农业生产为主，产业结构较为单一，不存在可能导致地下水污染的化工、机械制造、食品加工等行业。该地区污染源是矿山开采和生产过程中，选矿厂和尾矿库废水渗漏，可能导致区域浅层地下水污染。</w:t>
      </w:r>
    </w:p>
    <w:p>
      <w:pPr>
        <w:ind w:firstLine="562"/>
        <w:rPr>
          <w:rFonts w:hint="eastAsia" w:ascii="宋体" w:hAnsi="宋体" w:eastAsia="宋体" w:cs="宋体"/>
          <w:b/>
          <w:bCs/>
          <w:szCs w:val="28"/>
          <w:lang w:eastAsia="zh-CN"/>
        </w:rPr>
      </w:pPr>
      <w:r>
        <w:rPr>
          <w:rFonts w:hint="eastAsia" w:ascii="宋体" w:hAnsi="宋体" w:eastAsia="宋体" w:cs="宋体"/>
          <w:b/>
          <w:bCs/>
          <w:szCs w:val="28"/>
          <w:lang w:eastAsia="zh-CN" w:bidi="ar"/>
        </w:rPr>
        <w:t>（2）农业污染源</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区内农业生产以种植为主，主要农作物有小麦、玉米、果树等。农业污染源主要为化肥农药污染和农田固体废弃物等。</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农田和果木施用的农药，大多为含有有机磷、有机氯两种成分的剧毒农药，施用的化肥主要是氮肥、磷肥、钾肥及复合肥等，这些物质在土壤中残留时间长，不易分解，受到大气降水的冲刷，这些污染组分可能会进入地表水和地下水，对地下水环境构成威胁。另外，农产品废弃物大量长期堆存田间地头、路边沟渠，腐烂后渗滤液下渗可能导致地下水污染。</w:t>
      </w:r>
    </w:p>
    <w:p>
      <w:pPr>
        <w:ind w:firstLine="562"/>
        <w:rPr>
          <w:rFonts w:hint="eastAsia" w:ascii="宋体" w:hAnsi="宋体" w:eastAsia="宋体" w:cs="宋体"/>
          <w:b/>
          <w:bCs/>
          <w:szCs w:val="28"/>
          <w:lang w:eastAsia="zh-CN"/>
        </w:rPr>
      </w:pPr>
      <w:r>
        <w:rPr>
          <w:rFonts w:hint="eastAsia" w:ascii="宋体" w:hAnsi="宋体" w:eastAsia="宋体" w:cs="宋体"/>
          <w:b/>
          <w:bCs/>
          <w:szCs w:val="28"/>
          <w:lang w:eastAsia="zh-CN" w:bidi="ar"/>
        </w:rPr>
        <w:t>（3）生活污染源</w:t>
      </w:r>
    </w:p>
    <w:p>
      <w:pPr>
        <w:ind w:firstLine="560"/>
        <w:rPr>
          <w:rFonts w:hint="eastAsia" w:ascii="宋体" w:hAnsi="宋体" w:eastAsia="宋体" w:cs="宋体"/>
          <w:szCs w:val="28"/>
          <w:lang w:eastAsia="zh-CN"/>
        </w:rPr>
      </w:pPr>
      <w:r>
        <w:rPr>
          <w:rFonts w:hint="eastAsia" w:ascii="宋体" w:hAnsi="宋体" w:eastAsia="宋体" w:cs="宋体"/>
          <w:szCs w:val="28"/>
          <w:lang w:eastAsia="zh-CN" w:bidi="ar"/>
        </w:rPr>
        <w:t>生活污染源主要由畜禽养殖污染和农村生活污水等。农村生活垃圾及生活污水自由排放、畜禽养殖无序发展、粪便处理不规范等都可能对地下水环境造成影响。</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5.3.3.2 地下水开发利用现状</w:t>
      </w:r>
    </w:p>
    <w:p>
      <w:pPr>
        <w:autoSpaceDN/>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bidi="ar"/>
        </w:rPr>
        <w:t>经调查，项目不在集中式饮用水水源（包括已建成的在用、备用、应急水源，在建和规划的饮用水水源）准保护区范围内，不属于特殊地下水源保护区，也不属于补给径流区，所在区域周边小区及村庄已经实施市政饮水工程，周边农村不开采地下水作为饮用水。目前地下水开发利用方式有：①使用机井抽取，作为农灌水浇灌旱地和果园；②地下水抽取作为工业用水；③矿井涌水泵输送至地表。</w:t>
      </w:r>
    </w:p>
    <w:p>
      <w:pPr>
        <w:pStyle w:val="8"/>
        <w:widowControl/>
        <w:rPr>
          <w:rFonts w:hint="eastAsia" w:ascii="宋体" w:hAnsi="宋体" w:eastAsia="宋体" w:cs="宋体"/>
          <w:szCs w:val="28"/>
          <w:lang w:eastAsia="zh-CN"/>
        </w:rPr>
      </w:pPr>
      <w:r>
        <w:rPr>
          <w:rFonts w:hint="eastAsia" w:ascii="宋体" w:hAnsi="宋体" w:eastAsia="宋体" w:cs="宋体"/>
          <w:szCs w:val="28"/>
          <w:lang w:eastAsia="zh-CN"/>
        </w:rPr>
        <w:t>5.3.3.3 包气带防污性能</w:t>
      </w:r>
    </w:p>
    <w:p>
      <w:pPr>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bidi="ar"/>
        </w:rPr>
        <w:t>根据《莱芜钢铁集团鲁南矿业有限公司选矿工艺技术改造及尾矿利用综合项目环境影响报告书》（山东省冶金设计院股份有限公司，2017年3月）可知，项目所在地平均渗透系数5.64×10</w:t>
      </w:r>
      <w:r>
        <w:rPr>
          <w:rFonts w:hint="eastAsia" w:ascii="宋体" w:hAnsi="宋体" w:eastAsia="宋体" w:cs="宋体"/>
          <w:kern w:val="2"/>
          <w:szCs w:val="28"/>
          <w:vertAlign w:val="superscript"/>
          <w:lang w:eastAsia="zh-CN" w:bidi="ar"/>
        </w:rPr>
        <w:t xml:space="preserve"> -3</w:t>
      </w:r>
      <w:r>
        <w:rPr>
          <w:rFonts w:hint="eastAsia" w:ascii="宋体" w:hAnsi="宋体" w:eastAsia="宋体" w:cs="宋体"/>
          <w:kern w:val="2"/>
          <w:szCs w:val="28"/>
          <w:lang w:eastAsia="zh-CN" w:bidi="ar"/>
        </w:rPr>
        <w:t xml:space="preserve"> cm/s。根据《环境影响评价技术导则—地下水环境》》（HJ 610-2016）可知，项目场地天然包气带防污性能为“弱”。</w:t>
      </w:r>
    </w:p>
    <w:p>
      <w:pPr>
        <w:pStyle w:val="7"/>
        <w:rPr>
          <w:rFonts w:hint="eastAsia" w:ascii="宋体" w:hAnsi="宋体" w:eastAsia="宋体" w:cs="宋体"/>
          <w:lang w:eastAsia="zh-CN"/>
        </w:rPr>
      </w:pPr>
      <w:r>
        <w:rPr>
          <w:rFonts w:hint="eastAsia" w:ascii="宋体" w:hAnsi="宋体" w:eastAsia="宋体" w:cs="宋体"/>
          <w:lang w:eastAsia="zh-CN"/>
        </w:rPr>
        <w:t>5.3.4 监测点位</w:t>
      </w:r>
    </w:p>
    <w:p>
      <w:pPr>
        <w:widowControl/>
        <w:autoSpaceDE/>
        <w:autoSpaceDN/>
        <w:ind w:firstLine="560"/>
        <w:rPr>
          <w:rFonts w:hint="eastAsia" w:ascii="宋体" w:hAnsi="宋体" w:eastAsia="宋体" w:cs="宋体"/>
          <w:kern w:val="2"/>
          <w:szCs w:val="28"/>
          <w:lang w:eastAsia="zh-CN"/>
        </w:rPr>
      </w:pPr>
      <w:r>
        <w:rPr>
          <w:rFonts w:hint="eastAsia" w:cs="宋体"/>
          <w:kern w:val="2"/>
          <w:szCs w:val="28"/>
          <w:lang w:eastAsia="zh-CN"/>
        </w:rPr>
        <w:t>本项目</w:t>
      </w:r>
      <w:r>
        <w:rPr>
          <w:rFonts w:hint="eastAsia" w:ascii="宋体" w:hAnsi="宋体" w:eastAsia="宋体" w:cs="宋体"/>
          <w:kern w:val="2"/>
          <w:szCs w:val="28"/>
          <w:lang w:eastAsia="zh-CN"/>
        </w:rPr>
        <w:t>所在区域地下水流向为NW－SE。根据地下水流向及当地地下水特点等，在厂区周边布置3个现状监测点，4个水位监测点，具体见表5.3.4-1，图5.3.4-1。</w:t>
      </w:r>
    </w:p>
    <w:p>
      <w:pPr>
        <w:widowControl/>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表5.3.4-1 地下水监测布点一览表</w:t>
      </w:r>
    </w:p>
    <w:tbl>
      <w:tblPr>
        <w:tblStyle w:val="25"/>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07"/>
        <w:gridCol w:w="1818"/>
        <w:gridCol w:w="1213"/>
        <w:gridCol w:w="1584"/>
        <w:gridCol w:w="1179"/>
        <w:gridCol w:w="1469"/>
        <w:gridCol w:w="14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2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rPr>
              <w:t>编号</w:t>
            </w:r>
          </w:p>
        </w:tc>
        <w:tc>
          <w:tcPr>
            <w:tcW w:w="9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rPr>
              <w:t>名称</w:t>
            </w:r>
          </w:p>
        </w:tc>
        <w:tc>
          <w:tcPr>
            <w:tcW w:w="6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rPr>
              <w:t>相对工业场地方位</w:t>
            </w:r>
          </w:p>
        </w:tc>
        <w:tc>
          <w:tcPr>
            <w:tcW w:w="8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rPr>
              <w:t>与最近的工业场地距离（m）</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rPr>
              <w:t>与矿区距离（m）</w:t>
            </w:r>
          </w:p>
        </w:tc>
        <w:tc>
          <w:tcPr>
            <w:tcW w:w="7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功能意义</w:t>
            </w:r>
          </w:p>
        </w:tc>
        <w:tc>
          <w:tcPr>
            <w:tcW w:w="76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1#</w:t>
            </w:r>
          </w:p>
        </w:tc>
        <w:tc>
          <w:tcPr>
            <w:tcW w:w="9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韩旺三村</w:t>
            </w:r>
          </w:p>
        </w:tc>
        <w:tc>
          <w:tcPr>
            <w:tcW w:w="6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W</w:t>
            </w:r>
          </w:p>
        </w:tc>
        <w:tc>
          <w:tcPr>
            <w:tcW w:w="8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633</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2500</w:t>
            </w:r>
          </w:p>
        </w:tc>
        <w:tc>
          <w:tcPr>
            <w:tcW w:w="7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厂区上游</w:t>
            </w:r>
          </w:p>
        </w:tc>
        <w:tc>
          <w:tcPr>
            <w:tcW w:w="76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水质、水位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2#</w:t>
            </w:r>
          </w:p>
        </w:tc>
        <w:tc>
          <w:tcPr>
            <w:tcW w:w="9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耿家王峪</w:t>
            </w:r>
          </w:p>
        </w:tc>
        <w:tc>
          <w:tcPr>
            <w:tcW w:w="6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S</w:t>
            </w:r>
          </w:p>
        </w:tc>
        <w:tc>
          <w:tcPr>
            <w:tcW w:w="8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416</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799</w:t>
            </w:r>
          </w:p>
        </w:tc>
        <w:tc>
          <w:tcPr>
            <w:tcW w:w="7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矿区、尾矿库下游</w:t>
            </w:r>
          </w:p>
        </w:tc>
        <w:tc>
          <w:tcPr>
            <w:tcW w:w="76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水质、水位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3#</w:t>
            </w:r>
          </w:p>
        </w:tc>
        <w:tc>
          <w:tcPr>
            <w:tcW w:w="9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后文村</w:t>
            </w:r>
          </w:p>
        </w:tc>
        <w:tc>
          <w:tcPr>
            <w:tcW w:w="6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S</w:t>
            </w:r>
          </w:p>
        </w:tc>
        <w:tc>
          <w:tcPr>
            <w:tcW w:w="853"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897</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2660</w:t>
            </w:r>
          </w:p>
        </w:tc>
        <w:tc>
          <w:tcPr>
            <w:tcW w:w="7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厂区下游</w:t>
            </w:r>
          </w:p>
        </w:tc>
        <w:tc>
          <w:tcPr>
            <w:tcW w:w="76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水质、水位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2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4#</w:t>
            </w:r>
          </w:p>
        </w:tc>
        <w:tc>
          <w:tcPr>
            <w:tcW w:w="9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尾矿库西北侧监控井</w:t>
            </w:r>
          </w:p>
        </w:tc>
        <w:tc>
          <w:tcPr>
            <w:tcW w:w="6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矿区内</w:t>
            </w:r>
          </w:p>
        </w:tc>
        <w:tc>
          <w:tcPr>
            <w:tcW w:w="85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w:t>
            </w:r>
          </w:p>
        </w:tc>
        <w:tc>
          <w:tcPr>
            <w:tcW w:w="63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300</w:t>
            </w:r>
          </w:p>
        </w:tc>
        <w:tc>
          <w:tcPr>
            <w:tcW w:w="7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矿区侧向敏感点</w:t>
            </w:r>
          </w:p>
        </w:tc>
        <w:tc>
          <w:tcPr>
            <w:tcW w:w="76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水位</w:t>
            </w:r>
          </w:p>
        </w:tc>
      </w:tr>
    </w:tbl>
    <w:p>
      <w:pPr>
        <w:pStyle w:val="7"/>
        <w:rPr>
          <w:rFonts w:hint="eastAsia" w:ascii="宋体" w:hAnsi="宋体" w:eastAsia="宋体" w:cs="宋体"/>
          <w:lang w:eastAsia="zh-CN"/>
        </w:rPr>
      </w:pPr>
      <w:r>
        <w:rPr>
          <w:rFonts w:hint="eastAsia" w:ascii="宋体" w:hAnsi="宋体" w:eastAsia="宋体" w:cs="宋体"/>
          <w:lang w:eastAsia="zh-CN"/>
        </w:rPr>
        <w:t>5.3.5 监测项目</w:t>
      </w:r>
    </w:p>
    <w:p>
      <w:pPr>
        <w:pStyle w:val="16"/>
        <w:ind w:firstLine="560"/>
        <w:rPr>
          <w:rFonts w:hint="eastAsia" w:ascii="宋体" w:hAnsi="宋体" w:eastAsia="宋体" w:cs="宋体"/>
        </w:rPr>
      </w:pPr>
      <w:r>
        <w:rPr>
          <w:rFonts w:hint="eastAsia" w:ascii="宋体" w:hAnsi="宋体" w:eastAsia="宋体" w:cs="宋体"/>
        </w:rPr>
        <w:t>监测项目：pH值、溶解性总固体、亚硝酸盐（以N计）、硫酸盐、氯化物、氟化物、硝酸盐（以N计）、耗氧量（CODMn法，以O</w:t>
      </w:r>
      <w:r>
        <w:rPr>
          <w:rFonts w:hint="eastAsia" w:ascii="宋体" w:hAnsi="宋体" w:eastAsia="宋体" w:cs="宋体"/>
          <w:vertAlign w:val="subscript"/>
        </w:rPr>
        <w:t>2</w:t>
      </w:r>
      <w:r>
        <w:rPr>
          <w:rFonts w:hint="eastAsia" w:ascii="宋体" w:hAnsi="宋体" w:eastAsia="宋体" w:cs="宋体"/>
        </w:rPr>
        <w:t>计）、氨氮（以N计）、硫化物、铁、锰、铜、锌、汞、砷、铬（六价）、氰化物、挥发酚（以苯酚计）、总硬度、铅、镉、铝、镍、银、钾、钠、钙、镁、铬、总大肠菌群、菌落总数、石油类、碳酸根、碳酸氢根、钛、钴等共37项，同时测量地下水埋深、水温、井深等水温参数。</w:t>
      </w:r>
    </w:p>
    <w:p>
      <w:pPr>
        <w:pStyle w:val="7"/>
        <w:rPr>
          <w:rFonts w:hint="eastAsia" w:ascii="宋体" w:hAnsi="宋体" w:eastAsia="宋体" w:cs="宋体"/>
          <w:lang w:eastAsia="zh-CN"/>
        </w:rPr>
      </w:pPr>
      <w:r>
        <w:rPr>
          <w:rFonts w:hint="eastAsia" w:ascii="宋体" w:hAnsi="宋体" w:eastAsia="宋体" w:cs="宋体"/>
          <w:lang w:eastAsia="zh-CN"/>
        </w:rPr>
        <w:t>5.3.6 监测时间及频率</w:t>
      </w:r>
    </w:p>
    <w:p>
      <w:pPr>
        <w:pStyle w:val="16"/>
        <w:ind w:firstLine="560"/>
        <w:rPr>
          <w:rFonts w:hint="eastAsia" w:ascii="宋体" w:hAnsi="宋体" w:eastAsia="宋体" w:cs="宋体"/>
        </w:rPr>
      </w:pPr>
      <w:r>
        <w:rPr>
          <w:rFonts w:hint="eastAsia" w:ascii="宋体" w:hAnsi="宋体" w:eastAsia="宋体" w:cs="宋体"/>
        </w:rPr>
        <w:t>本次环评委托济南浩宏伟业检测技术有限公司对地下水水质水位进行采样分析。监测时间：2021.4.25；监测频次：1次/天，共1天。</w:t>
      </w:r>
    </w:p>
    <w:p>
      <w:pPr>
        <w:pStyle w:val="7"/>
        <w:rPr>
          <w:rFonts w:hint="eastAsia" w:ascii="宋体" w:hAnsi="宋体" w:eastAsia="宋体" w:cs="宋体"/>
          <w:lang w:eastAsia="zh-CN"/>
        </w:rPr>
      </w:pPr>
      <w:r>
        <w:rPr>
          <w:rFonts w:hint="eastAsia" w:ascii="宋体" w:hAnsi="宋体" w:eastAsia="宋体" w:cs="宋体"/>
          <w:lang w:eastAsia="zh-CN"/>
        </w:rPr>
        <w:t>5.3.7 监测分析方法</w:t>
      </w:r>
    </w:p>
    <w:p>
      <w:pPr>
        <w:widowControl/>
        <w:autoSpaceDE/>
        <w:autoSpaceDN/>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rPr>
        <w:t>采样和监测方法按《地下水监测技术规范》（HJ 164-2020）和《地下水质量标准》（GB/T 14848-2017）中规定执行，采样分析方法详见表5.3.7-1。</w:t>
      </w:r>
    </w:p>
    <w:p>
      <w:pPr>
        <w:widowControl/>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表5.3.7-1 地下水监测项目分析方法一览表</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24"/>
        <w:gridCol w:w="1518"/>
        <w:gridCol w:w="1905"/>
        <w:gridCol w:w="4111"/>
        <w:gridCol w:w="12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817" w:type="pct"/>
            <w:tcBorders>
              <w:tl2br w:val="nil"/>
              <w:tr2bl w:val="nil"/>
            </w:tcBorders>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监测项目</w:t>
            </w:r>
          </w:p>
        </w:tc>
        <w:tc>
          <w:tcPr>
            <w:tcW w:w="1026"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标准代号</w:t>
            </w:r>
          </w:p>
        </w:tc>
        <w:tc>
          <w:tcPr>
            <w:tcW w:w="2215"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标准名称</w:t>
            </w:r>
          </w:p>
        </w:tc>
        <w:tc>
          <w:tcPr>
            <w:tcW w:w="659"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检出限（mg/L）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33"/>
                <w:rFonts w:hint="eastAsia" w:ascii="宋体" w:hAnsi="宋体" w:eastAsia="宋体" w:cs="宋体"/>
                <w:lang w:bidi="ar"/>
              </w:rPr>
              <w:t>pH</w:t>
            </w:r>
            <w:r>
              <w:rPr>
                <w:rStyle w:val="44"/>
                <w:rFonts w:hint="eastAsia" w:ascii="宋体" w:hAnsi="宋体" w:eastAsia="宋体" w:cs="宋体"/>
                <w:vertAlign w:val="baseline"/>
                <w:lang w:bidi="ar"/>
              </w:rPr>
              <w:t>值</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GB/T5750.4-2006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rPr>
              <w:fldChar w:fldCharType="begin"/>
            </w:r>
            <w:r>
              <w:rPr>
                <w:rFonts w:hint="eastAsia" w:ascii="宋体" w:hAnsi="宋体" w:eastAsia="宋体" w:cs="宋体"/>
              </w:rPr>
              <w:instrText xml:space="preserve"> HYPERLINK "http://172.16.29.253:90/mst.dll?database=BZFT&amp;fmt=BZFTN&amp;op=I&amp;mfn=005942" \o "http://172.16.29.253:90/mst.dll?database=BZFT&amp;fmt=BZFTN&amp;op=I&amp;mfn=005942" </w:instrText>
            </w:r>
            <w:r>
              <w:rPr>
                <w:rFonts w:hint="eastAsia" w:ascii="宋体" w:hAnsi="宋体" w:eastAsia="宋体" w:cs="宋体"/>
              </w:rPr>
              <w:fldChar w:fldCharType="separate"/>
            </w:r>
            <w:r>
              <w:rPr>
                <w:rStyle w:val="44"/>
                <w:rFonts w:hint="eastAsia" w:ascii="宋体" w:hAnsi="宋体" w:eastAsia="宋体" w:cs="宋体"/>
                <w:vertAlign w:val="baseline"/>
                <w:lang w:eastAsia="zh-CN" w:bidi="ar"/>
              </w:rPr>
              <w:t>生活饮用水标准检验方法 感官性状和物理指标 5.1玻璃电极法</w:t>
            </w:r>
            <w:r>
              <w:rPr>
                <w:rStyle w:val="44"/>
                <w:rFonts w:hint="eastAsia" w:ascii="宋体" w:hAnsi="宋体" w:eastAsia="宋体" w:cs="宋体"/>
                <w:vertAlign w:val="baseline"/>
                <w:lang w:eastAsia="zh-CN" w:bidi="ar"/>
              </w:rPr>
              <w:fldChar w:fldCharType="end"/>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溶解性总固体</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 xml:space="preserve">GB/T 5750.4-2006 </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生活饮用水标准检验方法</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感官性状和物理指标</w:t>
            </w:r>
            <w:r>
              <w:rPr>
                <w:rStyle w:val="33"/>
                <w:rFonts w:hint="eastAsia" w:ascii="宋体" w:hAnsi="宋体" w:eastAsia="宋体" w:cs="宋体"/>
                <w:lang w:eastAsia="zh-CN" w:bidi="ar"/>
              </w:rPr>
              <w:t xml:space="preserve"> 8.1</w:t>
            </w:r>
            <w:r>
              <w:rPr>
                <w:rStyle w:val="44"/>
                <w:rFonts w:hint="eastAsia" w:ascii="宋体" w:hAnsi="宋体" w:eastAsia="宋体" w:cs="宋体"/>
                <w:vertAlign w:val="baseline"/>
                <w:lang w:eastAsia="zh-CN" w:bidi="ar"/>
              </w:rPr>
              <w:t>称量法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57"/>
                <w:rFonts w:hint="eastAsia" w:ascii="宋体" w:hAnsi="宋体" w:eastAsia="宋体" w:cs="宋体"/>
                <w:vertAlign w:val="baseline"/>
                <w:lang w:bidi="ar"/>
              </w:rPr>
              <w:t>亚硝酸盐（以</w:t>
            </w:r>
            <w:r>
              <w:rPr>
                <w:rFonts w:hint="eastAsia" w:ascii="宋体" w:hAnsi="宋体" w:eastAsia="宋体" w:cs="宋体"/>
                <w:color w:val="000000"/>
                <w:sz w:val="21"/>
                <w:szCs w:val="21"/>
                <w:lang w:bidi="ar"/>
              </w:rPr>
              <w:t xml:space="preserve"> N </w:t>
            </w:r>
            <w:r>
              <w:rPr>
                <w:rStyle w:val="57"/>
                <w:rFonts w:hint="eastAsia" w:ascii="宋体" w:hAnsi="宋体" w:eastAsia="宋体" w:cs="宋体"/>
                <w:vertAlign w:val="baseline"/>
                <w:lang w:bidi="ar"/>
              </w:rPr>
              <w:t>计）</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GB/T5750.5-2006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生活饮用水标准检验方法</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无机非金属指标</w:t>
            </w:r>
            <w:r>
              <w:rPr>
                <w:rStyle w:val="31"/>
                <w:rFonts w:hint="eastAsia" w:ascii="宋体" w:hAnsi="宋体" w:eastAsia="宋体" w:cs="宋体"/>
                <w:lang w:eastAsia="zh-CN" w:bidi="ar"/>
              </w:rPr>
              <w:t xml:space="preserve">  1.1</w:t>
            </w:r>
            <w:r>
              <w:rPr>
                <w:rFonts w:hint="eastAsia" w:ascii="宋体" w:hAnsi="宋体" w:eastAsia="宋体" w:cs="宋体"/>
                <w:color w:val="000000"/>
                <w:sz w:val="21"/>
                <w:szCs w:val="21"/>
                <w:lang w:eastAsia="zh-CN" w:bidi="ar"/>
              </w:rPr>
              <w:t>重氮偶合分光光度法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硫酸盐</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GB/T5750.5-2006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生活饮用水标准检验方法</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无机非金属指标</w:t>
            </w:r>
            <w:r>
              <w:rPr>
                <w:rStyle w:val="31"/>
                <w:rFonts w:hint="eastAsia" w:ascii="宋体" w:hAnsi="宋体" w:eastAsia="宋体" w:cs="宋体"/>
                <w:lang w:eastAsia="zh-CN" w:bidi="ar"/>
              </w:rPr>
              <w:t xml:space="preserve">  3.2 离子色谱法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氯化物</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 xml:space="preserve">GB/T 5750.5-2006 </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生活饮用水标准检验方法</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无机非金属指标</w:t>
            </w:r>
            <w:r>
              <w:rPr>
                <w:rStyle w:val="33"/>
                <w:rFonts w:hint="eastAsia" w:ascii="宋体" w:hAnsi="宋体" w:eastAsia="宋体" w:cs="宋体"/>
                <w:lang w:eastAsia="zh-CN" w:bidi="ar"/>
              </w:rPr>
              <w:t xml:space="preserve"> 2.1</w:t>
            </w:r>
            <w:r>
              <w:rPr>
                <w:rStyle w:val="44"/>
                <w:rFonts w:hint="eastAsia" w:ascii="宋体" w:hAnsi="宋体" w:eastAsia="宋体" w:cs="宋体"/>
                <w:vertAlign w:val="baseline"/>
                <w:lang w:eastAsia="zh-CN" w:bidi="ar"/>
              </w:rPr>
              <w:t>硝酸银容量法</w:t>
            </w:r>
            <w:r>
              <w:rPr>
                <w:rStyle w:val="33"/>
                <w:rFonts w:hint="eastAsia" w:ascii="宋体" w:hAnsi="宋体" w:eastAsia="宋体" w:cs="宋体"/>
                <w:lang w:eastAsia="zh-CN" w:bidi="ar"/>
              </w:rPr>
              <w:t xml:space="preserve"> </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氟化物</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 xml:space="preserve">GB/T 5750.5-2006 </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生活饮用水标准检验方法 无机非金属指标 3.1离子选择电极法 </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18"/>
                <w:szCs w:val="18"/>
                <w:lang w:eastAsia="zh-CN"/>
              </w:rPr>
            </w:pPr>
            <w:r>
              <w:rPr>
                <w:rStyle w:val="57"/>
                <w:rFonts w:hint="eastAsia" w:ascii="宋体" w:hAnsi="宋体" w:eastAsia="宋体" w:cs="宋体"/>
                <w:sz w:val="18"/>
                <w:szCs w:val="18"/>
                <w:vertAlign w:val="baseline"/>
                <w:lang w:bidi="ar"/>
              </w:rPr>
              <w:t>硝酸盐（以</w:t>
            </w:r>
            <w:r>
              <w:rPr>
                <w:rFonts w:hint="eastAsia" w:ascii="宋体" w:hAnsi="宋体" w:eastAsia="宋体" w:cs="宋体"/>
                <w:color w:val="000000"/>
                <w:sz w:val="18"/>
                <w:szCs w:val="18"/>
                <w:lang w:bidi="ar"/>
              </w:rPr>
              <w:t xml:space="preserve"> N </w:t>
            </w:r>
            <w:r>
              <w:rPr>
                <w:rStyle w:val="57"/>
                <w:rFonts w:hint="eastAsia" w:ascii="宋体" w:hAnsi="宋体" w:eastAsia="宋体" w:cs="宋体"/>
                <w:sz w:val="18"/>
                <w:szCs w:val="18"/>
                <w:vertAlign w:val="baseline"/>
                <w:lang w:bidi="ar"/>
              </w:rPr>
              <w:t>计）</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 xml:space="preserve">GB/T 5750.5-2006  </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生活饮用水标准检验方法 无机非金属指标  5.2紫外分光光度法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18"/>
                <w:szCs w:val="18"/>
                <w:lang w:eastAsia="zh-CN"/>
              </w:rPr>
            </w:pPr>
            <w:r>
              <w:rPr>
                <w:rStyle w:val="57"/>
                <w:rFonts w:hint="eastAsia" w:ascii="宋体" w:hAnsi="宋体" w:eastAsia="宋体" w:cs="宋体"/>
                <w:sz w:val="18"/>
                <w:szCs w:val="18"/>
                <w:vertAlign w:val="baseline"/>
                <w:lang w:bidi="ar"/>
              </w:rPr>
              <w:t>耗氧量（</w:t>
            </w:r>
            <w:r>
              <w:rPr>
                <w:rFonts w:hint="eastAsia" w:ascii="宋体" w:hAnsi="宋体" w:eastAsia="宋体" w:cs="宋体"/>
                <w:color w:val="000000"/>
                <w:sz w:val="18"/>
                <w:szCs w:val="18"/>
                <w:lang w:bidi="ar"/>
              </w:rPr>
              <w:t>CODMn</w:t>
            </w:r>
            <w:r>
              <w:rPr>
                <w:rStyle w:val="57"/>
                <w:rFonts w:hint="eastAsia" w:ascii="宋体" w:hAnsi="宋体" w:eastAsia="宋体" w:cs="宋体"/>
                <w:sz w:val="18"/>
                <w:szCs w:val="18"/>
                <w:vertAlign w:val="baseline"/>
                <w:lang w:bidi="ar"/>
              </w:rPr>
              <w:t>法，以</w:t>
            </w:r>
            <w:r>
              <w:rPr>
                <w:rFonts w:hint="eastAsia" w:ascii="宋体" w:hAnsi="宋体" w:eastAsia="宋体" w:cs="宋体"/>
                <w:color w:val="000000"/>
                <w:sz w:val="18"/>
                <w:szCs w:val="18"/>
                <w:lang w:bidi="ar"/>
              </w:rPr>
              <w:t>O</w:t>
            </w:r>
            <w:r>
              <w:rPr>
                <w:rFonts w:hint="eastAsia" w:ascii="宋体" w:hAnsi="宋体" w:eastAsia="宋体" w:cs="宋体"/>
                <w:color w:val="000000"/>
                <w:sz w:val="18"/>
                <w:szCs w:val="18"/>
                <w:vertAlign w:val="subscript"/>
                <w:lang w:bidi="ar"/>
              </w:rPr>
              <w:t>2</w:t>
            </w:r>
            <w:r>
              <w:rPr>
                <w:rStyle w:val="57"/>
                <w:rFonts w:hint="eastAsia" w:ascii="宋体" w:hAnsi="宋体" w:eastAsia="宋体" w:cs="宋体"/>
                <w:sz w:val="18"/>
                <w:szCs w:val="18"/>
                <w:vertAlign w:val="baseline"/>
                <w:lang w:bidi="ar"/>
              </w:rPr>
              <w:t>计）</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 5750.7-2006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生活饮用水标准检验方法</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有机物综合指标</w:t>
            </w:r>
            <w:r>
              <w:rPr>
                <w:rStyle w:val="33"/>
                <w:rFonts w:hint="eastAsia" w:ascii="宋体" w:hAnsi="宋体" w:eastAsia="宋体" w:cs="宋体"/>
                <w:lang w:eastAsia="zh-CN" w:bidi="ar"/>
              </w:rPr>
              <w:t xml:space="preserve">1.1 </w:t>
            </w:r>
            <w:r>
              <w:rPr>
                <w:rStyle w:val="44"/>
                <w:rFonts w:hint="eastAsia" w:ascii="宋体" w:hAnsi="宋体" w:eastAsia="宋体" w:cs="宋体"/>
                <w:vertAlign w:val="baseline"/>
                <w:lang w:eastAsia="zh-CN" w:bidi="ar"/>
              </w:rPr>
              <w:t>酸性高锰酸钾滴定法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57"/>
                <w:rFonts w:hint="eastAsia" w:ascii="宋体" w:hAnsi="宋体" w:eastAsia="宋体" w:cs="宋体"/>
                <w:vertAlign w:val="baseline"/>
                <w:lang w:bidi="ar"/>
              </w:rPr>
              <w:t>氨氮（以</w:t>
            </w:r>
            <w:r>
              <w:rPr>
                <w:rFonts w:hint="eastAsia" w:ascii="宋体" w:hAnsi="宋体" w:eastAsia="宋体" w:cs="宋体"/>
                <w:color w:val="000000"/>
                <w:sz w:val="21"/>
                <w:szCs w:val="21"/>
                <w:lang w:bidi="ar"/>
              </w:rPr>
              <w:t>N</w:t>
            </w:r>
            <w:r>
              <w:rPr>
                <w:rStyle w:val="57"/>
                <w:rFonts w:hint="eastAsia" w:ascii="宋体" w:hAnsi="宋体" w:eastAsia="宋体" w:cs="宋体"/>
                <w:vertAlign w:val="baseline"/>
                <w:lang w:bidi="ar"/>
              </w:rPr>
              <w:t>计）</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HJ 535-2009</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氨氮的测定</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纳氏试剂分光光度法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硫化物</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GB/T16489-1996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水质</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硫化物的测定</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亚甲基蓝分光光度法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铁</w:t>
            </w:r>
          </w:p>
        </w:tc>
        <w:tc>
          <w:tcPr>
            <w:tcW w:w="102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 11911-1989</w:t>
            </w:r>
          </w:p>
        </w:tc>
        <w:tc>
          <w:tcPr>
            <w:tcW w:w="221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铁、锰的测定</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火焰原子吸收分光光度法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锰</w:t>
            </w:r>
          </w:p>
        </w:tc>
        <w:tc>
          <w:tcPr>
            <w:tcW w:w="102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2215"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铜</w:t>
            </w:r>
          </w:p>
        </w:tc>
        <w:tc>
          <w:tcPr>
            <w:tcW w:w="102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 7475-1987</w:t>
            </w:r>
          </w:p>
        </w:tc>
        <w:tc>
          <w:tcPr>
            <w:tcW w:w="221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铜、锌、铅、镉的测定</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原子吸收分光光度法</w:t>
            </w:r>
            <w:r>
              <w:rPr>
                <w:rStyle w:val="33"/>
                <w:rFonts w:hint="eastAsia" w:ascii="宋体" w:hAnsi="宋体" w:eastAsia="宋体" w:cs="宋体"/>
                <w:lang w:eastAsia="zh-CN" w:bidi="ar"/>
              </w:rPr>
              <w:t xml:space="preserve">   </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锌</w:t>
            </w:r>
          </w:p>
        </w:tc>
        <w:tc>
          <w:tcPr>
            <w:tcW w:w="102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2215"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汞</w:t>
            </w:r>
          </w:p>
        </w:tc>
        <w:tc>
          <w:tcPr>
            <w:tcW w:w="102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HJ 694-2014</w:t>
            </w:r>
          </w:p>
        </w:tc>
        <w:tc>
          <w:tcPr>
            <w:tcW w:w="221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汞、砷、硒、铋和锑的测定</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原子荧光法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0.04µg/L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砷</w:t>
            </w:r>
          </w:p>
        </w:tc>
        <w:tc>
          <w:tcPr>
            <w:tcW w:w="102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2215"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0.3µg/L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铬（六价）</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 7467-1987</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六价铬的测定</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二苯碳酰二肼分光光度法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氰化物</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 xml:space="preserve">GB/T 5750.5-2006 </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生活饮用水标准检验方法</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无机非金属指标</w:t>
            </w:r>
            <w:r>
              <w:rPr>
                <w:rStyle w:val="33"/>
                <w:rFonts w:hint="eastAsia" w:ascii="宋体" w:hAnsi="宋体" w:eastAsia="宋体" w:cs="宋体"/>
                <w:lang w:eastAsia="zh-CN" w:bidi="ar"/>
              </w:rPr>
              <w:t xml:space="preserve">  4.1</w:t>
            </w:r>
            <w:r>
              <w:rPr>
                <w:rStyle w:val="44"/>
                <w:rFonts w:hint="eastAsia" w:ascii="宋体" w:hAnsi="宋体" w:eastAsia="宋体" w:cs="宋体"/>
                <w:vertAlign w:val="baseline"/>
                <w:lang w:eastAsia="zh-CN" w:bidi="ar"/>
              </w:rPr>
              <w:t>异烟酸</w:t>
            </w:r>
            <w:r>
              <w:rPr>
                <w:rStyle w:val="33"/>
                <w:rFonts w:hint="eastAsia" w:ascii="宋体" w:hAnsi="宋体" w:eastAsia="宋体" w:cs="宋体"/>
                <w:lang w:eastAsia="zh-CN" w:bidi="ar"/>
              </w:rPr>
              <w:t>-</w:t>
            </w:r>
            <w:r>
              <w:rPr>
                <w:rStyle w:val="44"/>
                <w:rFonts w:hint="eastAsia" w:ascii="宋体" w:hAnsi="宋体" w:eastAsia="宋体" w:cs="宋体"/>
                <w:vertAlign w:val="baseline"/>
                <w:lang w:eastAsia="zh-CN" w:bidi="ar"/>
              </w:rPr>
              <w:t>巴比妥酸分光光度法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挥发酚（以苯酚计）</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HJ 503-2009</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水质</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挥发酚的测定</w:t>
            </w:r>
            <w:r>
              <w:rPr>
                <w:rStyle w:val="31"/>
                <w:rFonts w:hint="eastAsia" w:ascii="宋体" w:hAnsi="宋体" w:eastAsia="宋体" w:cs="宋体"/>
                <w:lang w:eastAsia="zh-CN" w:bidi="ar"/>
              </w:rPr>
              <w:t xml:space="preserve"> 4-</w:t>
            </w:r>
            <w:r>
              <w:rPr>
                <w:rFonts w:hint="eastAsia" w:ascii="宋体" w:hAnsi="宋体" w:eastAsia="宋体" w:cs="宋体"/>
                <w:color w:val="000000"/>
                <w:sz w:val="21"/>
                <w:szCs w:val="21"/>
                <w:lang w:eastAsia="zh-CN" w:bidi="ar"/>
              </w:rPr>
              <w:t>氨基安替比林分光光度法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总硬度</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 xml:space="preserve">GB/T 5750.4-2006 </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生活饮用水标准检验方法</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感官性状和物理指标</w:t>
            </w:r>
            <w:r>
              <w:rPr>
                <w:rStyle w:val="33"/>
                <w:rFonts w:hint="eastAsia" w:ascii="宋体" w:hAnsi="宋体" w:eastAsia="宋体" w:cs="宋体"/>
                <w:lang w:eastAsia="zh-CN" w:bidi="ar"/>
              </w:rPr>
              <w:t xml:space="preserve"> 7.1</w:t>
            </w:r>
            <w:r>
              <w:rPr>
                <w:rStyle w:val="44"/>
                <w:rFonts w:hint="eastAsia" w:ascii="宋体" w:hAnsi="宋体" w:eastAsia="宋体" w:cs="宋体"/>
                <w:vertAlign w:val="baseline"/>
                <w:lang w:eastAsia="zh-CN" w:bidi="ar"/>
              </w:rPr>
              <w:t>乙二胺四乙酸二钠滴定法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21</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铅</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GB/T5750.6-2006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生活饮用水标准检验方法金属指标</w:t>
            </w:r>
            <w:r>
              <w:rPr>
                <w:rStyle w:val="31"/>
                <w:rFonts w:hint="eastAsia" w:ascii="宋体" w:hAnsi="宋体" w:eastAsia="宋体" w:cs="宋体"/>
                <w:lang w:eastAsia="zh-CN" w:bidi="ar"/>
              </w:rPr>
              <w:t xml:space="preserve">  11.1 </w:t>
            </w:r>
            <w:r>
              <w:rPr>
                <w:rFonts w:hint="eastAsia" w:ascii="宋体" w:hAnsi="宋体" w:eastAsia="宋体" w:cs="宋体"/>
                <w:color w:val="000000"/>
                <w:sz w:val="21"/>
                <w:szCs w:val="21"/>
                <w:lang w:eastAsia="zh-CN" w:bidi="ar"/>
              </w:rPr>
              <w:t>无火焰原子吸收分光光度法</w:t>
            </w:r>
            <w:r>
              <w:rPr>
                <w:rStyle w:val="31"/>
                <w:rFonts w:hint="eastAsia" w:ascii="宋体" w:hAnsi="宋体" w:eastAsia="宋体" w:cs="宋体"/>
                <w:lang w:eastAsia="zh-CN" w:bidi="ar"/>
              </w:rPr>
              <w:t xml:space="preserve"> </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22</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镉</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GB/T5750.6-2006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生活饮用水标准检验方法</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金属指标</w:t>
            </w:r>
            <w:r>
              <w:rPr>
                <w:rStyle w:val="31"/>
                <w:rFonts w:hint="eastAsia" w:ascii="宋体" w:hAnsi="宋体" w:eastAsia="宋体" w:cs="宋体"/>
                <w:lang w:eastAsia="zh-CN" w:bidi="ar"/>
              </w:rPr>
              <w:t xml:space="preserve">9.1 </w:t>
            </w:r>
            <w:r>
              <w:rPr>
                <w:rFonts w:hint="eastAsia" w:ascii="宋体" w:hAnsi="宋体" w:eastAsia="宋体" w:cs="宋体"/>
                <w:color w:val="000000"/>
                <w:sz w:val="21"/>
                <w:szCs w:val="21"/>
                <w:lang w:eastAsia="zh-CN" w:bidi="ar"/>
              </w:rPr>
              <w:t>无火焰原子吸收分光光度法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0.5µg/L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23</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铝</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 5750.6-2006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生活饮用水标准检验方法</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金属指标</w:t>
            </w:r>
            <w:r>
              <w:rPr>
                <w:rStyle w:val="33"/>
                <w:rFonts w:hint="eastAsia" w:ascii="宋体" w:hAnsi="宋体" w:eastAsia="宋体" w:cs="宋体"/>
                <w:lang w:eastAsia="zh-CN" w:bidi="ar"/>
              </w:rPr>
              <w:t xml:space="preserve"> 1.1</w:t>
            </w:r>
            <w:r>
              <w:rPr>
                <w:rStyle w:val="44"/>
                <w:rFonts w:hint="eastAsia" w:ascii="宋体" w:hAnsi="宋体" w:eastAsia="宋体" w:cs="宋体"/>
                <w:vertAlign w:val="baseline"/>
                <w:lang w:eastAsia="zh-CN" w:bidi="ar"/>
              </w:rPr>
              <w:t>铬天青</w:t>
            </w:r>
            <w:r>
              <w:rPr>
                <w:rStyle w:val="33"/>
                <w:rFonts w:hint="eastAsia" w:ascii="宋体" w:hAnsi="宋体" w:eastAsia="宋体" w:cs="宋体"/>
                <w:lang w:eastAsia="zh-CN" w:bidi="ar"/>
              </w:rPr>
              <w:t>S</w:t>
            </w:r>
            <w:r>
              <w:rPr>
                <w:rStyle w:val="44"/>
                <w:rFonts w:hint="eastAsia" w:ascii="宋体" w:hAnsi="宋体" w:eastAsia="宋体" w:cs="宋体"/>
                <w:vertAlign w:val="baseline"/>
                <w:lang w:eastAsia="zh-CN" w:bidi="ar"/>
              </w:rPr>
              <w:t>分光光度法</w:t>
            </w:r>
            <w:r>
              <w:rPr>
                <w:rStyle w:val="33"/>
                <w:rFonts w:hint="eastAsia" w:ascii="宋体" w:hAnsi="宋体" w:eastAsia="宋体" w:cs="宋体"/>
                <w:lang w:eastAsia="zh-CN" w:bidi="ar"/>
              </w:rPr>
              <w:t xml:space="preserve"> </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24</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镍</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GB/T5750.6-2006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生活饮用水标准检验方法</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金属指标</w:t>
            </w:r>
            <w:r>
              <w:rPr>
                <w:rStyle w:val="31"/>
                <w:rFonts w:hint="eastAsia" w:ascii="宋体" w:hAnsi="宋体" w:eastAsia="宋体" w:cs="宋体"/>
                <w:lang w:eastAsia="zh-CN" w:bidi="ar"/>
              </w:rPr>
              <w:t xml:space="preserve">  15.1</w:t>
            </w:r>
            <w:r>
              <w:rPr>
                <w:rFonts w:hint="eastAsia" w:ascii="宋体" w:hAnsi="宋体" w:eastAsia="宋体" w:cs="宋体"/>
                <w:color w:val="000000"/>
                <w:sz w:val="21"/>
                <w:szCs w:val="21"/>
                <w:lang w:eastAsia="zh-CN" w:bidi="ar"/>
              </w:rPr>
              <w:t>无火焰原子吸收分光光度法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银</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 xml:space="preserve">GB/T 5750.6-2006 </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生活饮用水标准检验方法</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金属指标</w:t>
            </w:r>
            <w:r>
              <w:rPr>
                <w:rStyle w:val="33"/>
                <w:rFonts w:hint="eastAsia" w:ascii="宋体" w:hAnsi="宋体" w:eastAsia="宋体" w:cs="宋体"/>
                <w:lang w:eastAsia="zh-CN" w:bidi="ar"/>
              </w:rPr>
              <w:t xml:space="preserve">  12.1</w:t>
            </w:r>
            <w:r>
              <w:rPr>
                <w:rStyle w:val="44"/>
                <w:rFonts w:hint="eastAsia" w:ascii="宋体" w:hAnsi="宋体" w:eastAsia="宋体" w:cs="宋体"/>
                <w:vertAlign w:val="baseline"/>
                <w:lang w:eastAsia="zh-CN" w:bidi="ar"/>
              </w:rPr>
              <w:t>无火焰原子吸收分光光度法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钾</w:t>
            </w:r>
          </w:p>
        </w:tc>
        <w:tc>
          <w:tcPr>
            <w:tcW w:w="102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 11904-1989</w:t>
            </w:r>
          </w:p>
        </w:tc>
        <w:tc>
          <w:tcPr>
            <w:tcW w:w="221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钾和钠的测定</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火焰原子吸收分光光度法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27</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钠</w:t>
            </w:r>
          </w:p>
        </w:tc>
        <w:tc>
          <w:tcPr>
            <w:tcW w:w="102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2215"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28</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钙</w:t>
            </w:r>
          </w:p>
        </w:tc>
        <w:tc>
          <w:tcPr>
            <w:tcW w:w="102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 /T 11905-1989</w:t>
            </w:r>
          </w:p>
        </w:tc>
        <w:tc>
          <w:tcPr>
            <w:tcW w:w="221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钙和镁的测定原子吸收分光光度法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镁</w:t>
            </w:r>
          </w:p>
        </w:tc>
        <w:tc>
          <w:tcPr>
            <w:tcW w:w="102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2215"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30</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铬</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HJ 757-2015</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铬的测定</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火焰原子吸收分光光度法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31</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总大肠菌群</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GB/T5750.12-2006</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生活饮用水标准检验方法</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微生物指标</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总大肠菌群</w:t>
            </w:r>
            <w:r>
              <w:rPr>
                <w:rStyle w:val="31"/>
                <w:rFonts w:hint="eastAsia" w:ascii="宋体" w:hAnsi="宋体" w:eastAsia="宋体" w:cs="宋体"/>
                <w:lang w:eastAsia="zh-CN" w:bidi="ar"/>
              </w:rPr>
              <w:t xml:space="preserve"> 2.1</w:t>
            </w:r>
            <w:r>
              <w:rPr>
                <w:rFonts w:hint="eastAsia" w:ascii="宋体" w:hAnsi="宋体" w:eastAsia="宋体" w:cs="宋体"/>
                <w:color w:val="000000"/>
                <w:sz w:val="21"/>
                <w:szCs w:val="21"/>
                <w:lang w:eastAsia="zh-CN" w:bidi="ar"/>
              </w:rPr>
              <w:t>多</w:t>
            </w:r>
            <w:r>
              <w:rPr>
                <w:rStyle w:val="31"/>
                <w:rFonts w:hint="eastAsia" w:ascii="宋体" w:hAnsi="宋体" w:eastAsia="宋体" w:cs="宋体"/>
                <w:lang w:eastAsia="zh-CN" w:bidi="ar"/>
              </w:rPr>
              <w:t xml:space="preserve"> </w:t>
            </w:r>
            <w:r>
              <w:rPr>
                <w:rFonts w:hint="eastAsia" w:ascii="宋体" w:hAnsi="宋体" w:eastAsia="宋体" w:cs="宋体"/>
                <w:color w:val="000000"/>
                <w:sz w:val="21"/>
                <w:szCs w:val="21"/>
                <w:lang w:eastAsia="zh-CN" w:bidi="ar"/>
              </w:rPr>
              <w:t>管发酵法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2.0MPN/</w:t>
            </w:r>
          </w:p>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100mL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32</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菌落总数</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 xml:space="preserve">GB/T 5750.12-2006  </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生活饮用水标准检验方法</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微生物指标</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菌落总数</w:t>
            </w:r>
            <w:r>
              <w:rPr>
                <w:rStyle w:val="33"/>
                <w:rFonts w:hint="eastAsia" w:ascii="宋体" w:hAnsi="宋体" w:eastAsia="宋体" w:cs="宋体"/>
                <w:lang w:eastAsia="zh-CN" w:bidi="ar"/>
              </w:rPr>
              <w:t xml:space="preserve">  1.1 </w:t>
            </w:r>
            <w:r>
              <w:rPr>
                <w:rStyle w:val="44"/>
                <w:rFonts w:hint="eastAsia" w:ascii="宋体" w:hAnsi="宋体" w:eastAsia="宋体" w:cs="宋体"/>
                <w:vertAlign w:val="baseline"/>
                <w:lang w:eastAsia="zh-CN" w:bidi="ar"/>
              </w:rPr>
              <w:t>平皿计数法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33</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石油类</w:t>
            </w:r>
          </w:p>
        </w:tc>
        <w:tc>
          <w:tcPr>
            <w:tcW w:w="1026"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HJ 970-2018</w:t>
            </w:r>
          </w:p>
        </w:tc>
        <w:tc>
          <w:tcPr>
            <w:tcW w:w="22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水质</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石油类的测定</w:t>
            </w:r>
            <w:r>
              <w:rPr>
                <w:rStyle w:val="33"/>
                <w:rFonts w:hint="eastAsia" w:ascii="宋体" w:hAnsi="宋体" w:eastAsia="宋体" w:cs="宋体"/>
                <w:lang w:eastAsia="zh-CN" w:bidi="ar"/>
              </w:rPr>
              <w:t xml:space="preserve"> </w:t>
            </w:r>
            <w:r>
              <w:rPr>
                <w:rStyle w:val="44"/>
                <w:rFonts w:hint="eastAsia" w:ascii="宋体" w:hAnsi="宋体" w:eastAsia="宋体" w:cs="宋体"/>
                <w:vertAlign w:val="baseline"/>
                <w:lang w:eastAsia="zh-CN" w:bidi="ar"/>
              </w:rPr>
              <w:t>紫外分光光度法（试行）水质</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34</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碳酸根</w:t>
            </w:r>
          </w:p>
        </w:tc>
        <w:tc>
          <w:tcPr>
            <w:tcW w:w="102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textAlignment w:val="top"/>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国家环境保护总局（2002）（第四版增补版）</w:t>
            </w:r>
          </w:p>
        </w:tc>
        <w:tc>
          <w:tcPr>
            <w:tcW w:w="221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textAlignment w:val="top"/>
              <w:rPr>
                <w:rFonts w:hint="eastAsia" w:ascii="宋体" w:hAnsi="宋体" w:eastAsia="宋体" w:cs="宋体"/>
                <w:kern w:val="2"/>
                <w:sz w:val="21"/>
                <w:szCs w:val="21"/>
                <w:lang w:eastAsia="zh-CN"/>
              </w:rPr>
            </w:pPr>
            <w:r>
              <w:rPr>
                <w:rStyle w:val="44"/>
                <w:rFonts w:hint="eastAsia" w:ascii="宋体" w:hAnsi="宋体" w:eastAsia="宋体" w:cs="宋体"/>
                <w:vertAlign w:val="baseline"/>
                <w:lang w:eastAsia="zh-CN" w:bidi="ar"/>
              </w:rPr>
              <w:t>水和废水监测分析方法 第三篇/第一章/十二（一）酸碱指示剂滴定法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35</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碳酸氢根</w:t>
            </w:r>
          </w:p>
        </w:tc>
        <w:tc>
          <w:tcPr>
            <w:tcW w:w="102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textAlignment w:val="top"/>
              <w:rPr>
                <w:rFonts w:hint="eastAsia" w:ascii="宋体" w:hAnsi="宋体" w:eastAsia="宋体" w:cs="宋体"/>
                <w:kern w:val="2"/>
                <w:sz w:val="21"/>
                <w:szCs w:val="21"/>
                <w:lang w:eastAsia="zh-CN"/>
              </w:rPr>
            </w:pPr>
          </w:p>
        </w:tc>
        <w:tc>
          <w:tcPr>
            <w:tcW w:w="2215"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textAlignment w:val="top"/>
              <w:rPr>
                <w:rFonts w:hint="eastAsia" w:ascii="宋体" w:hAnsi="宋体" w:eastAsia="宋体" w:cs="宋体"/>
                <w:kern w:val="2"/>
                <w:sz w:val="21"/>
                <w:szCs w:val="21"/>
                <w:lang w:eastAsia="zh-CN"/>
              </w:rPr>
            </w:pP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36</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钛</w:t>
            </w:r>
          </w:p>
        </w:tc>
        <w:tc>
          <w:tcPr>
            <w:tcW w:w="1026"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HJ 766-2015</w:t>
            </w:r>
          </w:p>
        </w:tc>
        <w:tc>
          <w:tcPr>
            <w:tcW w:w="2215"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水质 32种元素的测定 电感耦合等离子体发射光谱法</w:t>
            </w: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rPr>
              <w:t>1.0×10</w:t>
            </w:r>
            <w:r>
              <w:rPr>
                <w:rFonts w:hint="eastAsia" w:ascii="宋体" w:hAnsi="宋体" w:eastAsia="宋体" w:cs="宋体"/>
                <w:color w:val="000000"/>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82" w:type="pct"/>
            <w:tcBorders>
              <w:tl2br w:val="nil"/>
              <w:tr2bl w:val="nil"/>
            </w:tcBorders>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37</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bidi="ar"/>
              </w:rPr>
              <w:t>钴</w:t>
            </w:r>
          </w:p>
        </w:tc>
        <w:tc>
          <w:tcPr>
            <w:tcW w:w="1026"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2215"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p>
        </w:tc>
        <w:tc>
          <w:tcPr>
            <w:tcW w:w="659"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rPr>
              <w:t>1.0×10</w:t>
            </w:r>
            <w:r>
              <w:rPr>
                <w:rFonts w:hint="eastAsia" w:ascii="宋体" w:hAnsi="宋体" w:eastAsia="宋体" w:cs="宋体"/>
                <w:color w:val="000000"/>
                <w:sz w:val="21"/>
                <w:szCs w:val="21"/>
                <w:vertAlign w:val="superscript"/>
              </w:rPr>
              <w:t>-4</w:t>
            </w:r>
          </w:p>
        </w:tc>
      </w:tr>
    </w:tbl>
    <w:p>
      <w:pPr>
        <w:pStyle w:val="7"/>
        <w:rPr>
          <w:rFonts w:hint="eastAsia" w:ascii="宋体" w:hAnsi="宋体" w:eastAsia="宋体" w:cs="宋体"/>
          <w:lang w:eastAsia="zh-CN"/>
        </w:rPr>
      </w:pPr>
      <w:r>
        <w:rPr>
          <w:rFonts w:hint="eastAsia" w:ascii="宋体" w:hAnsi="宋体" w:eastAsia="宋体" w:cs="宋体"/>
          <w:lang w:eastAsia="zh-CN"/>
        </w:rPr>
        <w:t>5.3.8 监测结果</w:t>
      </w:r>
    </w:p>
    <w:p>
      <w:pPr>
        <w:ind w:firstLine="560"/>
        <w:rPr>
          <w:rFonts w:hint="eastAsia" w:ascii="宋体" w:hAnsi="宋体" w:eastAsia="宋体" w:cs="宋体"/>
          <w:lang w:eastAsia="zh-CN"/>
        </w:rPr>
      </w:pPr>
      <w:r>
        <w:rPr>
          <w:rFonts w:hint="eastAsia" w:ascii="宋体" w:hAnsi="宋体" w:eastAsia="宋体" w:cs="宋体"/>
          <w:lang w:eastAsia="zh-CN"/>
        </w:rPr>
        <w:t>根据济南浩宏伟业检测技术有限公司提供的报告编号为HHWY-202104H-03可知，项目周边地下水监测结果详见表5.3.8-1。</w:t>
      </w:r>
    </w:p>
    <w:p>
      <w:pPr>
        <w:pStyle w:val="16"/>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表5.3.8-1 地下水监测结果一览表</w:t>
      </w:r>
    </w:p>
    <w:tbl>
      <w:tblPr>
        <w:tblStyle w:val="24"/>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28"/>
        <w:gridCol w:w="2567"/>
        <w:gridCol w:w="1336"/>
        <w:gridCol w:w="1726"/>
        <w:gridCol w:w="1162"/>
        <w:gridCol w:w="146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55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383"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采样地点</w:t>
            </w:r>
          </w:p>
        </w:tc>
        <w:tc>
          <w:tcPr>
            <w:tcW w:w="72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单位</w:t>
            </w:r>
          </w:p>
        </w:tc>
        <w:tc>
          <w:tcPr>
            <w:tcW w:w="930"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韩旺三村</w:t>
            </w:r>
          </w:p>
        </w:tc>
        <w:tc>
          <w:tcPr>
            <w:tcW w:w="626"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耿家王峪</w:t>
            </w:r>
          </w:p>
        </w:tc>
        <w:tc>
          <w:tcPr>
            <w:tcW w:w="784" w:type="pct"/>
            <w:tcBorders>
              <w:tl2br w:val="nil"/>
              <w:tr2bl w:val="nil"/>
            </w:tcBorders>
            <w:shd w:val="clear" w:color="auto" w:fill="auto"/>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后文村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eastAsia="zh-CN"/>
              </w:rPr>
              <w:t>1</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pH值</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无量纲</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7.5</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7.3</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7.7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eastAsia="zh-CN"/>
              </w:rPr>
              <w:t>2</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溶解性总固体</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553</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483</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244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lang w:eastAsia="zh-CN"/>
              </w:rPr>
              <w:t>3</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亚硝酸盐（以 N 计）</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0.008</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0.011</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highlight w:val="yellow"/>
                <w:lang w:eastAsia="zh-CN"/>
              </w:rPr>
            </w:pPr>
            <w:r>
              <w:rPr>
                <w:rFonts w:hint="eastAsia" w:ascii="宋体" w:hAnsi="宋体" w:eastAsia="宋体" w:cs="宋体"/>
                <w:sz w:val="21"/>
                <w:szCs w:val="21"/>
              </w:rPr>
              <w:t>0.008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硫酸盐</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180</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120</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18.5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氯化物</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53.4</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55.4</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氟化物</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0.21</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0.37</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7</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sz w:val="21"/>
                <w:szCs w:val="21"/>
              </w:rPr>
              <w:t>硝酸盐（以 N 计）</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sz w:val="21"/>
                <w:szCs w:val="21"/>
              </w:rPr>
              <w:t>7.51</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sz w:val="21"/>
                <w:szCs w:val="21"/>
              </w:rPr>
              <w:t>7.61</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sz w:val="21"/>
                <w:szCs w:val="21"/>
              </w:rPr>
              <w:t>7.41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耗氧量</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0.39</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0.28</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氨氮（以N计）</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0.032</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0.036</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10</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硫化物</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0.005L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0.005L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铁</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锰</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0.01L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0.01L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0.01L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铜</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0.05L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0.05L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14</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锌</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0.05L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0.05L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15</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汞</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0.00068</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0.00055</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0.00084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16</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砷</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0.0004</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0.0003</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0.0003L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17</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铬（六价）</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0.004L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0.004L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0.004L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18</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氰化物</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挥发酚（以苯酚计）</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0.0003L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0.0003L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0.0003L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20</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总硬度</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383</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362</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21</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铅</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0.0025L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0.0025L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22</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镉</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0.0005L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0.0005L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0.0005L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23</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铝</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0.038</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0.031</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0.121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24</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镍</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0.005L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0.005L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25</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银</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0.0025L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0.0025L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0.0025L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钾</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7.72</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5.95</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27</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钠</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6.41</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4.85</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3.56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28</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钙</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95.0</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91.5</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49.8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29</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镁</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27.6</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24.9</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铬</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0.04</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0.03L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31</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总大肠菌群</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MPN/100mL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2.0L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2.0</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2.0L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32</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菌落总数</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cfu/m</w:t>
            </w:r>
            <w:r>
              <w:rPr>
                <w:rFonts w:hint="eastAsia" w:ascii="宋体" w:hAnsi="宋体" w:eastAsia="宋体" w:cs="宋体"/>
                <w:sz w:val="21"/>
                <w:szCs w:val="21"/>
                <w:lang w:eastAsia="zh-CN"/>
              </w:rPr>
              <w:t>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60</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100</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33</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石油类</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0.01L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0.01L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0.01L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34</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碳酸根</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35</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碳酸氢根</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203</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171</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36</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钛</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2.4×10</w:t>
            </w:r>
            <w:r>
              <w:rPr>
                <w:rFonts w:hint="eastAsia" w:ascii="宋体" w:hAnsi="宋体" w:eastAsia="宋体" w:cs="宋体"/>
                <w:sz w:val="21"/>
                <w:szCs w:val="21"/>
                <w:vertAlign w:val="superscript"/>
              </w:rPr>
              <w:t>-3</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4.6×10</w:t>
            </w:r>
            <w:r>
              <w:rPr>
                <w:rFonts w:hint="eastAsia" w:ascii="宋体" w:hAnsi="宋体" w:eastAsia="宋体" w:cs="宋体"/>
                <w:sz w:val="21"/>
                <w:szCs w:val="21"/>
                <w:vertAlign w:val="superscript"/>
              </w:rPr>
              <w:t>-3</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3.2×10</w:t>
            </w:r>
            <w:r>
              <w:rPr>
                <w:rFonts w:hint="eastAsia" w:ascii="宋体" w:hAnsi="宋体" w:eastAsia="宋体" w:cs="宋体"/>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54"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37</w:t>
            </w:r>
          </w:p>
        </w:tc>
        <w:tc>
          <w:tcPr>
            <w:tcW w:w="256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钴</w:t>
            </w:r>
          </w:p>
        </w:tc>
        <w:tc>
          <w:tcPr>
            <w:tcW w:w="133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mg/L</w:t>
            </w:r>
          </w:p>
        </w:tc>
        <w:tc>
          <w:tcPr>
            <w:tcW w:w="1726"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1.0×10</w:t>
            </w:r>
            <w:r>
              <w:rPr>
                <w:rFonts w:hint="eastAsia" w:ascii="宋体" w:hAnsi="宋体" w:eastAsia="宋体" w:cs="宋体"/>
                <w:sz w:val="21"/>
                <w:szCs w:val="21"/>
                <w:vertAlign w:val="superscript"/>
              </w:rPr>
              <w:t>-4</w:t>
            </w:r>
            <w:r>
              <w:rPr>
                <w:rFonts w:hint="eastAsia" w:ascii="宋体" w:hAnsi="宋体" w:eastAsia="宋体" w:cs="宋体"/>
                <w:sz w:val="21"/>
                <w:szCs w:val="21"/>
              </w:rPr>
              <w:t>L</w:t>
            </w:r>
          </w:p>
        </w:tc>
        <w:tc>
          <w:tcPr>
            <w:tcW w:w="1162"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1.0×10</w:t>
            </w:r>
            <w:r>
              <w:rPr>
                <w:rFonts w:hint="eastAsia" w:ascii="宋体" w:hAnsi="宋体" w:eastAsia="宋体" w:cs="宋体"/>
                <w:sz w:val="21"/>
                <w:szCs w:val="21"/>
                <w:vertAlign w:val="superscript"/>
              </w:rPr>
              <w:t>-4</w:t>
            </w:r>
            <w:r>
              <w:rPr>
                <w:rFonts w:hint="eastAsia" w:ascii="宋体" w:hAnsi="宋体" w:eastAsia="宋体" w:cs="宋体"/>
                <w:sz w:val="21"/>
                <w:szCs w:val="21"/>
              </w:rPr>
              <w:t xml:space="preserve"> L</w:t>
            </w:r>
          </w:p>
        </w:tc>
        <w:tc>
          <w:tcPr>
            <w:tcW w:w="1461" w:type="dxa"/>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1.0×10</w:t>
            </w:r>
            <w:r>
              <w:rPr>
                <w:rFonts w:hint="eastAsia" w:ascii="宋体" w:hAnsi="宋体" w:eastAsia="宋体" w:cs="宋体"/>
                <w:sz w:val="21"/>
                <w:szCs w:val="21"/>
                <w:vertAlign w:val="superscript"/>
              </w:rPr>
              <w:t xml:space="preserve">-4 </w:t>
            </w:r>
            <w:r>
              <w:rPr>
                <w:rFonts w:hint="eastAsia" w:ascii="宋体" w:hAnsi="宋体" w:eastAsia="宋体" w:cs="宋体"/>
                <w:sz w:val="21"/>
                <w:szCs w:val="21"/>
              </w:rPr>
              <w:t>L</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6"/>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备注：“检出限+L”表示未检出。</w:t>
            </w:r>
          </w:p>
        </w:tc>
      </w:tr>
    </w:tbl>
    <w:p>
      <w:pPr>
        <w:pStyle w:val="16"/>
        <w:ind w:firstLine="560"/>
        <w:rPr>
          <w:rFonts w:hint="eastAsia" w:ascii="宋体" w:hAnsi="宋体" w:eastAsia="宋体" w:cs="宋体"/>
        </w:rPr>
      </w:pPr>
      <w:r>
        <w:rPr>
          <w:rFonts w:hint="eastAsia" w:ascii="宋体" w:hAnsi="宋体" w:eastAsia="宋体" w:cs="宋体"/>
        </w:rPr>
        <w:t>地下水现状环境监测期间水文参数见表5.3.8-2。</w:t>
      </w:r>
    </w:p>
    <w:p>
      <w:pPr>
        <w:pStyle w:val="16"/>
        <w:spacing w:line="240" w:lineRule="auto"/>
        <w:ind w:firstLine="0" w:firstLineChars="0"/>
        <w:jc w:val="center"/>
        <w:rPr>
          <w:rFonts w:hint="eastAsia" w:ascii="宋体" w:hAnsi="宋体" w:eastAsia="宋体" w:cs="宋体"/>
        </w:rPr>
      </w:pPr>
      <w:r>
        <w:rPr>
          <w:rFonts w:hint="eastAsia" w:ascii="宋体" w:hAnsi="宋体" w:eastAsia="宋体" w:cs="宋体"/>
          <w:b/>
          <w:bCs/>
          <w:sz w:val="24"/>
        </w:rPr>
        <w:t>表5.3.8-2 地下水现状监测期间水文参数一览表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1537"/>
        <w:gridCol w:w="1331"/>
        <w:gridCol w:w="1381"/>
        <w:gridCol w:w="1347"/>
        <w:gridCol w:w="13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1" w:type="pct"/>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监测点位</w:t>
            </w:r>
          </w:p>
        </w:tc>
        <w:tc>
          <w:tcPr>
            <w:tcW w:w="1543" w:type="pct"/>
            <w:gridSpan w:val="2"/>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经纬度</w:t>
            </w:r>
          </w:p>
        </w:tc>
        <w:tc>
          <w:tcPr>
            <w:tcW w:w="743" w:type="pct"/>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埋深（m）</w:t>
            </w:r>
          </w:p>
        </w:tc>
        <w:tc>
          <w:tcPr>
            <w:tcW w:w="725" w:type="pct"/>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井深（m）</w:t>
            </w:r>
          </w:p>
        </w:tc>
        <w:tc>
          <w:tcPr>
            <w:tcW w:w="725" w:type="pct"/>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水温（℃）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1" w:type="pct"/>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27"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东经</w:t>
            </w:r>
          </w:p>
        </w:tc>
        <w:tc>
          <w:tcPr>
            <w:tcW w:w="715"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北纬</w:t>
            </w:r>
          </w:p>
        </w:tc>
        <w:tc>
          <w:tcPr>
            <w:tcW w:w="743" w:type="pct"/>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725" w:type="pct"/>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725" w:type="pct"/>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韩旺三村</w:t>
            </w:r>
          </w:p>
        </w:tc>
        <w:tc>
          <w:tcPr>
            <w:tcW w:w="153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118°26'07"</w:t>
            </w:r>
          </w:p>
        </w:tc>
        <w:tc>
          <w:tcPr>
            <w:tcW w:w="132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35°58'12"</w:t>
            </w:r>
          </w:p>
        </w:tc>
        <w:tc>
          <w:tcPr>
            <w:tcW w:w="13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12</w:t>
            </w:r>
            <w:r>
              <w:rPr>
                <w:rFonts w:hint="eastAsia" w:ascii="宋体" w:hAnsi="宋体" w:eastAsia="宋体" w:cs="宋体"/>
                <w:sz w:val="21"/>
                <w:szCs w:val="21"/>
                <w:lang w:eastAsia="zh-CN"/>
              </w:rPr>
              <w:t>.2</w:t>
            </w:r>
          </w:p>
        </w:tc>
        <w:tc>
          <w:tcPr>
            <w:tcW w:w="134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19</w:t>
            </w:r>
          </w:p>
        </w:tc>
        <w:tc>
          <w:tcPr>
            <w:tcW w:w="134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耿家王峪</w:t>
            </w:r>
          </w:p>
        </w:tc>
        <w:tc>
          <w:tcPr>
            <w:tcW w:w="153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118°28'45"</w:t>
            </w:r>
          </w:p>
        </w:tc>
        <w:tc>
          <w:tcPr>
            <w:tcW w:w="132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35°56'50"</w:t>
            </w:r>
          </w:p>
        </w:tc>
        <w:tc>
          <w:tcPr>
            <w:tcW w:w="13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2.4</w:t>
            </w:r>
            <w:r>
              <w:rPr>
                <w:rFonts w:hint="eastAsia" w:ascii="宋体" w:hAnsi="宋体" w:eastAsia="宋体" w:cs="宋体"/>
                <w:sz w:val="21"/>
                <w:szCs w:val="21"/>
                <w:lang w:eastAsia="zh-CN"/>
              </w:rPr>
              <w:t>1</w:t>
            </w:r>
          </w:p>
        </w:tc>
        <w:tc>
          <w:tcPr>
            <w:tcW w:w="134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4.7</w:t>
            </w:r>
          </w:p>
        </w:tc>
        <w:tc>
          <w:tcPr>
            <w:tcW w:w="134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17.1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后文村</w:t>
            </w:r>
          </w:p>
        </w:tc>
        <w:tc>
          <w:tcPr>
            <w:tcW w:w="153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 118°28'00"</w:t>
            </w:r>
          </w:p>
        </w:tc>
        <w:tc>
          <w:tcPr>
            <w:tcW w:w="132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35°55'24"</w:t>
            </w:r>
          </w:p>
        </w:tc>
        <w:tc>
          <w:tcPr>
            <w:tcW w:w="13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20</w:t>
            </w:r>
            <w:r>
              <w:rPr>
                <w:rFonts w:hint="eastAsia" w:ascii="宋体" w:hAnsi="宋体" w:eastAsia="宋体" w:cs="宋体"/>
                <w:sz w:val="21"/>
                <w:szCs w:val="21"/>
                <w:lang w:eastAsia="zh-CN"/>
              </w:rPr>
              <w:t>.0</w:t>
            </w:r>
          </w:p>
        </w:tc>
        <w:tc>
          <w:tcPr>
            <w:tcW w:w="134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26</w:t>
            </w:r>
          </w:p>
        </w:tc>
        <w:tc>
          <w:tcPr>
            <w:tcW w:w="134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尾矿库西北侧监控井</w:t>
            </w:r>
          </w:p>
        </w:tc>
        <w:tc>
          <w:tcPr>
            <w:tcW w:w="153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118°27′31″</w:t>
            </w:r>
          </w:p>
        </w:tc>
        <w:tc>
          <w:tcPr>
            <w:tcW w:w="132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35°57′32″</w:t>
            </w:r>
          </w:p>
        </w:tc>
        <w:tc>
          <w:tcPr>
            <w:tcW w:w="138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rPr>
              <w:t>3.2</w:t>
            </w:r>
            <w:r>
              <w:rPr>
                <w:rFonts w:hint="eastAsia" w:ascii="宋体" w:hAnsi="宋体" w:eastAsia="宋体" w:cs="宋体"/>
                <w:sz w:val="21"/>
                <w:szCs w:val="21"/>
                <w:lang w:eastAsia="zh-CN"/>
              </w:rPr>
              <w:t>1</w:t>
            </w:r>
          </w:p>
        </w:tc>
        <w:tc>
          <w:tcPr>
            <w:tcW w:w="134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w:t>
            </w:r>
          </w:p>
        </w:tc>
        <w:tc>
          <w:tcPr>
            <w:tcW w:w="1348"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w:t>
            </w:r>
          </w:p>
        </w:tc>
      </w:tr>
    </w:tbl>
    <w:p>
      <w:pPr>
        <w:pStyle w:val="7"/>
        <w:rPr>
          <w:rFonts w:hint="eastAsia" w:ascii="宋体" w:hAnsi="宋体" w:eastAsia="宋体" w:cs="宋体"/>
          <w:lang w:eastAsia="zh-CN"/>
        </w:rPr>
      </w:pPr>
      <w:r>
        <w:rPr>
          <w:rFonts w:hint="eastAsia" w:ascii="宋体" w:hAnsi="宋体" w:eastAsia="宋体" w:cs="宋体"/>
          <w:lang w:eastAsia="zh-CN"/>
        </w:rPr>
        <w:t>5.3.9 现状评价</w:t>
      </w:r>
    </w:p>
    <w:p>
      <w:pPr>
        <w:pStyle w:val="8"/>
        <w:rPr>
          <w:rFonts w:hint="eastAsia" w:ascii="宋体" w:hAnsi="宋体" w:eastAsia="宋体" w:cs="宋体"/>
          <w:lang w:eastAsia="zh-CN"/>
        </w:rPr>
      </w:pPr>
      <w:r>
        <w:rPr>
          <w:rFonts w:hint="eastAsia" w:ascii="宋体" w:hAnsi="宋体" w:eastAsia="宋体" w:cs="宋体"/>
          <w:lang w:eastAsia="zh-CN"/>
        </w:rPr>
        <w:t>5.3.9.1 评价标准</w:t>
      </w:r>
    </w:p>
    <w:p>
      <w:pPr>
        <w:ind w:firstLine="560"/>
        <w:rPr>
          <w:rFonts w:hint="eastAsia" w:ascii="宋体" w:hAnsi="宋体" w:eastAsia="宋体" w:cs="宋体"/>
          <w:lang w:eastAsia="zh-CN"/>
        </w:rPr>
      </w:pPr>
      <w:r>
        <w:rPr>
          <w:rFonts w:hint="eastAsia" w:ascii="宋体" w:hAnsi="宋体" w:eastAsia="宋体" w:cs="宋体"/>
          <w:lang w:eastAsia="zh-CN"/>
        </w:rPr>
        <w:t>本次地下水水质评价采用的标准参照《地下水质量标准》（GB/T14848-2017）中的Ⅲ类标准，详细见表1.4.1-3。</w:t>
      </w:r>
    </w:p>
    <w:p>
      <w:pPr>
        <w:pStyle w:val="8"/>
        <w:rPr>
          <w:rFonts w:hint="eastAsia" w:ascii="宋体" w:hAnsi="宋体" w:eastAsia="宋体" w:cs="宋体"/>
          <w:lang w:eastAsia="zh-CN"/>
        </w:rPr>
      </w:pPr>
      <w:r>
        <w:rPr>
          <w:rFonts w:hint="eastAsia" w:ascii="宋体" w:hAnsi="宋体" w:eastAsia="宋体" w:cs="宋体"/>
          <w:lang w:eastAsia="zh-CN"/>
        </w:rPr>
        <w:t>5.3.9.2 评价方法</w:t>
      </w:r>
    </w:p>
    <w:p>
      <w:pPr>
        <w:ind w:firstLine="560"/>
        <w:rPr>
          <w:rFonts w:hint="eastAsia" w:ascii="宋体" w:hAnsi="宋体" w:eastAsia="宋体" w:cs="宋体"/>
          <w:lang w:eastAsia="zh-CN"/>
        </w:rPr>
      </w:pPr>
      <w:r>
        <w:rPr>
          <w:rFonts w:hint="eastAsia" w:ascii="宋体" w:hAnsi="宋体" w:eastAsia="宋体" w:cs="宋体"/>
          <w:lang w:eastAsia="zh-CN"/>
        </w:rPr>
        <w:drawing>
          <wp:anchor distT="0" distB="0" distL="114300" distR="114300" simplePos="0" relativeHeight="251662336" behindDoc="0" locked="0" layoutInCell="1" allowOverlap="1">
            <wp:simplePos x="0" y="0"/>
            <wp:positionH relativeFrom="column">
              <wp:posOffset>2462530</wp:posOffset>
            </wp:positionH>
            <wp:positionV relativeFrom="paragraph">
              <wp:posOffset>396240</wp:posOffset>
            </wp:positionV>
            <wp:extent cx="647700" cy="457200"/>
            <wp:effectExtent l="0" t="0" r="0" b="0"/>
            <wp:wrapTopAndBottom/>
            <wp:docPr id="28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6"/>
                    <pic:cNvPicPr>
                      <a:picLocks noChangeAspect="1"/>
                    </pic:cNvPicPr>
                  </pic:nvPicPr>
                  <pic:blipFill>
                    <a:blip r:embed="rId121"/>
                    <a:stretch>
                      <a:fillRect/>
                    </a:stretch>
                  </pic:blipFill>
                  <pic:spPr>
                    <a:xfrm>
                      <a:off x="0" y="0"/>
                      <a:ext cx="647700" cy="457200"/>
                    </a:xfrm>
                    <a:prstGeom prst="rect">
                      <a:avLst/>
                    </a:prstGeom>
                    <a:noFill/>
                    <a:ln>
                      <a:noFill/>
                    </a:ln>
                  </pic:spPr>
                </pic:pic>
              </a:graphicData>
            </a:graphic>
          </wp:anchor>
        </w:drawing>
      </w:r>
      <w:r>
        <w:rPr>
          <w:rFonts w:hint="eastAsia" w:ascii="宋体" w:hAnsi="宋体" w:eastAsia="宋体" w:cs="宋体"/>
          <w:lang w:eastAsia="zh-CN"/>
        </w:rPr>
        <w:t>（1）地下水水质现状评价采用标准指数法进行评价，计算公式为：</w:t>
      </w:r>
    </w:p>
    <w:p>
      <w:pPr>
        <w:ind w:firstLine="560"/>
        <w:rPr>
          <w:rFonts w:hint="eastAsia" w:ascii="宋体" w:hAnsi="宋体" w:eastAsia="宋体" w:cs="宋体"/>
          <w:lang w:eastAsia="zh-CN"/>
        </w:rPr>
      </w:pPr>
      <w:r>
        <w:rPr>
          <w:rFonts w:hint="eastAsia" w:ascii="宋体" w:hAnsi="宋体" w:eastAsia="宋体" w:cs="宋体"/>
          <w:lang w:eastAsia="zh-CN"/>
        </w:rPr>
        <w:t>式中：I—为第i项评价因子的水质指数；</w:t>
      </w:r>
    </w:p>
    <w:p>
      <w:pPr>
        <w:ind w:firstLine="1200" w:firstLineChars="500"/>
        <w:rPr>
          <w:rFonts w:hint="eastAsia" w:ascii="宋体" w:hAnsi="宋体" w:eastAsia="宋体" w:cs="宋体"/>
          <w:lang w:eastAsia="zh-CN"/>
        </w:rPr>
      </w:pPr>
      <w:r>
        <w:rPr>
          <w:rFonts w:hint="eastAsia" w:ascii="宋体" w:hAnsi="宋体" w:eastAsia="宋体" w:cs="宋体"/>
          <w:lang w:eastAsia="zh-CN"/>
        </w:rPr>
        <w:t>C—为第i项评价因子的实测浓度(mg/L)；</w:t>
      </w:r>
    </w:p>
    <w:p>
      <w:pPr>
        <w:ind w:firstLine="1200" w:firstLineChars="500"/>
        <w:rPr>
          <w:rFonts w:hint="eastAsia" w:ascii="宋体" w:hAnsi="宋体" w:eastAsia="宋体" w:cs="宋体"/>
          <w:kern w:val="2"/>
          <w:szCs w:val="28"/>
          <w:lang w:eastAsia="zh-CN"/>
        </w:rPr>
      </w:pPr>
      <w:r>
        <w:rPr>
          <w:rFonts w:hint="eastAsia" w:ascii="宋体" w:hAnsi="宋体" w:eastAsia="宋体" w:cs="宋体"/>
          <w:lang w:eastAsia="zh-CN"/>
        </w:rPr>
        <w:t>C</w:t>
      </w:r>
      <w:r>
        <w:rPr>
          <w:rFonts w:hint="eastAsia" w:ascii="宋体" w:hAnsi="宋体" w:eastAsia="宋体" w:cs="宋体"/>
          <w:vertAlign w:val="subscript"/>
          <w:lang w:eastAsia="zh-CN"/>
        </w:rPr>
        <w:t>0</w:t>
      </w:r>
      <w:r>
        <w:rPr>
          <w:rFonts w:hint="eastAsia" w:ascii="宋体" w:hAnsi="宋体" w:eastAsia="宋体" w:cs="宋体"/>
          <w:lang w:eastAsia="zh-CN"/>
        </w:rPr>
        <w:t>—为第i项评价因子的评价标准(mg/L)</w:t>
      </w:r>
      <w:r>
        <w:rPr>
          <w:rFonts w:hint="eastAsia" w:ascii="宋体" w:hAnsi="宋体" w:eastAsia="宋体" w:cs="宋体"/>
          <w:kern w:val="2"/>
          <w:szCs w:val="28"/>
          <w:lang w:eastAsia="zh-CN"/>
        </w:rPr>
        <w:t>。</w:t>
      </w:r>
    </w:p>
    <w:p>
      <w:pPr>
        <w:pStyle w:val="16"/>
        <w:ind w:firstLine="560"/>
        <w:rPr>
          <w:rFonts w:hint="eastAsia" w:ascii="宋体" w:hAnsi="宋体" w:eastAsia="宋体" w:cs="宋体"/>
          <w:szCs w:val="28"/>
        </w:rPr>
      </w:pPr>
      <w:r>
        <w:rPr>
          <w:rFonts w:hint="eastAsia" w:ascii="宋体" w:hAnsi="宋体" w:eastAsia="宋体" w:cs="宋体"/>
          <w:szCs w:val="28"/>
        </w:rPr>
        <w:t>（2）pH计算公式为：</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9288" w:type="dxa"/>
            <w:tcBorders>
              <w:tl2br w:val="nil"/>
              <w:tr2bl w:val="nil"/>
            </w:tcBorders>
            <w:vAlign w:val="center"/>
          </w:tcPr>
          <w:p>
            <w:pPr>
              <w:pStyle w:val="16"/>
              <w:keepNext w:val="0"/>
              <w:keepLines w:val="0"/>
              <w:suppressLineNumbers w:val="0"/>
              <w:spacing w:before="0" w:beforeAutospacing="0" w:after="0" w:afterAutospacing="0"/>
              <w:ind w:left="0" w:right="0" w:firstLine="0" w:firstLineChars="0"/>
              <w:jc w:val="both"/>
              <w:rPr>
                <w:rFonts w:hint="eastAsia" w:ascii="宋体" w:hAnsi="宋体" w:eastAsia="宋体" w:cs="宋体"/>
                <w:szCs w:val="28"/>
              </w:rPr>
            </w:pPr>
            <w:r>
              <w:rPr>
                <w:rFonts w:hint="eastAsia" w:ascii="宋体" w:hAnsi="宋体" w:eastAsia="宋体" w:cs="宋体"/>
                <w:szCs w:val="28"/>
              </w:rPr>
              <w:drawing>
                <wp:anchor distT="0" distB="0" distL="114300" distR="114300" simplePos="0" relativeHeight="251679744" behindDoc="0" locked="0" layoutInCell="1" allowOverlap="1">
                  <wp:simplePos x="0" y="0"/>
                  <wp:positionH relativeFrom="column">
                    <wp:posOffset>1433830</wp:posOffset>
                  </wp:positionH>
                  <wp:positionV relativeFrom="paragraph">
                    <wp:posOffset>112395</wp:posOffset>
                  </wp:positionV>
                  <wp:extent cx="2752725" cy="1229995"/>
                  <wp:effectExtent l="0" t="0" r="9525" b="8255"/>
                  <wp:wrapTopAndBottom/>
                  <wp:docPr id="28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7"/>
                          <pic:cNvPicPr>
                            <a:picLocks noChangeAspect="1"/>
                          </pic:cNvPicPr>
                        </pic:nvPicPr>
                        <pic:blipFill>
                          <a:blip r:embed="rId122"/>
                          <a:stretch>
                            <a:fillRect/>
                          </a:stretch>
                        </pic:blipFill>
                        <pic:spPr>
                          <a:xfrm>
                            <a:off x="0" y="0"/>
                            <a:ext cx="2752725" cy="1229995"/>
                          </a:xfrm>
                          <a:prstGeom prst="rect">
                            <a:avLst/>
                          </a:prstGeom>
                          <a:noFill/>
                          <a:ln>
                            <a:noFill/>
                          </a:ln>
                        </pic:spPr>
                      </pic:pic>
                    </a:graphicData>
                  </a:graphic>
                </wp:anchor>
              </w:drawing>
            </w:r>
            <w:r>
              <w:rPr>
                <w:rFonts w:hint="eastAsia" w:ascii="宋体" w:hAnsi="宋体" w:eastAsia="宋体" w:cs="宋体"/>
                <w:szCs w:val="28"/>
              </w:rPr>
              <w:t>式中：I</w:t>
            </w:r>
            <w:r>
              <w:rPr>
                <w:rFonts w:hint="eastAsia" w:ascii="宋体" w:hAnsi="宋体" w:eastAsia="宋体" w:cs="宋体"/>
                <w:szCs w:val="28"/>
                <w:vertAlign w:val="subscript"/>
              </w:rPr>
              <w:t>pH</w:t>
            </w:r>
            <w:r>
              <w:rPr>
                <w:rFonts w:hint="eastAsia" w:ascii="宋体" w:hAnsi="宋体" w:eastAsia="宋体" w:cs="宋体"/>
                <w:szCs w:val="28"/>
              </w:rPr>
              <w:t>—pH值的水质指数；</w:t>
            </w:r>
          </w:p>
          <w:p>
            <w:pPr>
              <w:pStyle w:val="16"/>
              <w:keepNext w:val="0"/>
              <w:keepLines w:val="0"/>
              <w:suppressLineNumbers w:val="0"/>
              <w:spacing w:before="0" w:beforeAutospacing="0" w:after="0" w:afterAutospacing="0"/>
              <w:ind w:left="0" w:right="0" w:firstLine="720" w:firstLineChars="300"/>
              <w:jc w:val="both"/>
              <w:rPr>
                <w:rFonts w:hint="eastAsia" w:ascii="宋体" w:hAnsi="宋体" w:eastAsia="宋体" w:cs="宋体"/>
                <w:szCs w:val="28"/>
              </w:rPr>
            </w:pPr>
            <w:r>
              <w:rPr>
                <w:rFonts w:hint="eastAsia" w:ascii="宋体" w:hAnsi="宋体" w:eastAsia="宋体" w:cs="宋体"/>
                <w:szCs w:val="28"/>
              </w:rPr>
              <w:t>V</w:t>
            </w:r>
            <w:r>
              <w:rPr>
                <w:rFonts w:hint="eastAsia" w:ascii="宋体" w:hAnsi="宋体" w:eastAsia="宋体" w:cs="宋体"/>
                <w:szCs w:val="28"/>
                <w:vertAlign w:val="subscript"/>
              </w:rPr>
              <w:t>pH</w:t>
            </w:r>
            <w:r>
              <w:rPr>
                <w:rFonts w:hint="eastAsia" w:ascii="宋体" w:hAnsi="宋体" w:eastAsia="宋体" w:cs="宋体"/>
                <w:szCs w:val="28"/>
              </w:rPr>
              <w:t>—地下水pH值实测值；</w:t>
            </w:r>
          </w:p>
          <w:p>
            <w:pPr>
              <w:pStyle w:val="16"/>
              <w:keepNext w:val="0"/>
              <w:keepLines w:val="0"/>
              <w:suppressLineNumbers w:val="0"/>
              <w:spacing w:before="0" w:beforeAutospacing="0" w:after="0" w:afterAutospacing="0"/>
              <w:ind w:left="0" w:right="0" w:firstLine="720" w:firstLineChars="300"/>
              <w:jc w:val="both"/>
              <w:rPr>
                <w:rFonts w:hint="eastAsia" w:ascii="宋体" w:hAnsi="宋体" w:eastAsia="宋体" w:cs="宋体"/>
                <w:szCs w:val="28"/>
              </w:rPr>
            </w:pPr>
            <w:r>
              <w:rPr>
                <w:rFonts w:hint="eastAsia" w:ascii="宋体" w:hAnsi="宋体" w:eastAsia="宋体" w:cs="宋体"/>
                <w:szCs w:val="28"/>
              </w:rPr>
              <w:t>V</w:t>
            </w:r>
            <w:r>
              <w:rPr>
                <w:rFonts w:hint="eastAsia" w:ascii="宋体" w:hAnsi="宋体" w:eastAsia="宋体" w:cs="宋体"/>
                <w:szCs w:val="28"/>
                <w:vertAlign w:val="subscript"/>
              </w:rPr>
              <w:t>d</w:t>
            </w:r>
            <w:r>
              <w:rPr>
                <w:rFonts w:hint="eastAsia" w:ascii="宋体" w:hAnsi="宋体" w:eastAsia="宋体" w:cs="宋体"/>
                <w:szCs w:val="28"/>
              </w:rPr>
              <w:t>—pH值标准的下限值；</w:t>
            </w:r>
          </w:p>
          <w:p>
            <w:pPr>
              <w:pStyle w:val="16"/>
              <w:keepNext w:val="0"/>
              <w:keepLines w:val="0"/>
              <w:suppressLineNumbers w:val="0"/>
              <w:spacing w:before="0" w:beforeAutospacing="0" w:after="0" w:afterAutospacing="0"/>
              <w:ind w:left="0" w:right="0" w:firstLine="720" w:firstLineChars="300"/>
              <w:jc w:val="both"/>
              <w:rPr>
                <w:rFonts w:hint="eastAsia" w:ascii="宋体" w:hAnsi="宋体" w:eastAsia="宋体" w:cs="宋体"/>
                <w:szCs w:val="28"/>
              </w:rPr>
            </w:pPr>
            <w:r>
              <w:rPr>
                <w:rFonts w:hint="eastAsia" w:ascii="宋体" w:hAnsi="宋体" w:eastAsia="宋体" w:cs="宋体"/>
                <w:szCs w:val="28"/>
              </w:rPr>
              <w:t>V</w:t>
            </w:r>
            <w:r>
              <w:rPr>
                <w:rFonts w:hint="eastAsia" w:ascii="宋体" w:hAnsi="宋体" w:eastAsia="宋体" w:cs="宋体"/>
                <w:szCs w:val="28"/>
                <w:vertAlign w:val="subscript"/>
              </w:rPr>
              <w:t>u</w:t>
            </w:r>
            <w:r>
              <w:rPr>
                <w:rFonts w:hint="eastAsia" w:ascii="宋体" w:hAnsi="宋体" w:eastAsia="宋体" w:cs="宋体"/>
                <w:szCs w:val="28"/>
              </w:rPr>
              <w:t>—pH值标准的上限值。</w:t>
            </w:r>
          </w:p>
        </w:tc>
      </w:tr>
    </w:tbl>
    <w:p>
      <w:pPr>
        <w:pStyle w:val="8"/>
        <w:rPr>
          <w:rFonts w:hint="eastAsia" w:ascii="宋体" w:hAnsi="宋体" w:eastAsia="宋体" w:cs="宋体"/>
          <w:lang w:eastAsia="zh-CN"/>
        </w:rPr>
      </w:pPr>
      <w:r>
        <w:rPr>
          <w:rFonts w:hint="eastAsia" w:ascii="宋体" w:hAnsi="宋体" w:eastAsia="宋体" w:cs="宋体"/>
          <w:lang w:eastAsia="zh-CN"/>
        </w:rPr>
        <w:t>5.3.9.3 评价结果</w:t>
      </w:r>
    </w:p>
    <w:p>
      <w:pPr>
        <w:ind w:firstLine="560"/>
        <w:rPr>
          <w:rFonts w:hint="eastAsia" w:ascii="宋体" w:hAnsi="宋体" w:eastAsia="宋体" w:cs="宋体"/>
          <w:lang w:eastAsia="zh-CN"/>
        </w:rPr>
      </w:pPr>
      <w:r>
        <w:rPr>
          <w:rFonts w:hint="eastAsia" w:ascii="宋体" w:hAnsi="宋体" w:eastAsia="宋体" w:cs="宋体"/>
          <w:lang w:eastAsia="zh-CN"/>
        </w:rPr>
        <w:t>本次评价对未检出的项目不再进行评价，仅评价检出和有限值的项目。地下水评价结果见表5.3.9-1。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表5.3.9-1 地下水环境质量现状评价结果汇总表</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349"/>
        <w:gridCol w:w="2957"/>
        <w:gridCol w:w="1517"/>
        <w:gridCol w:w="1825"/>
        <w:gridCol w:w="163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27" w:type="pct"/>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1593" w:type="pct"/>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监测项目</w:t>
            </w:r>
          </w:p>
        </w:tc>
        <w:tc>
          <w:tcPr>
            <w:tcW w:w="2679" w:type="pct"/>
            <w:gridSpan w:val="3"/>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水质指数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27"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p>
        </w:tc>
        <w:tc>
          <w:tcPr>
            <w:tcW w:w="1593"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p>
        </w:tc>
        <w:tc>
          <w:tcPr>
            <w:tcW w:w="817"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韩旺三村</w:t>
            </w:r>
          </w:p>
        </w:tc>
        <w:tc>
          <w:tcPr>
            <w:tcW w:w="98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耿家王峪</w:t>
            </w:r>
          </w:p>
        </w:tc>
        <w:tc>
          <w:tcPr>
            <w:tcW w:w="87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后文村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pH值</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0.33</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0.2</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溶解性总固体</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0.55</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0.48</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0.24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亚硝酸盐（以 N 计）</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0.01</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0.01</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硫酸盐</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0.72</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0.48</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氯化物</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0.21</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0.22</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氟化物</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0.21</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0.37</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硝酸盐（以 N 计）</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0.38</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0.38</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0.37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耗氧量（COD</w:t>
            </w:r>
            <w:r>
              <w:rPr>
                <w:rFonts w:hint="eastAsia" w:ascii="宋体" w:hAnsi="宋体" w:eastAsia="宋体" w:cs="宋体"/>
                <w:sz w:val="21"/>
                <w:szCs w:val="21"/>
                <w:vertAlign w:val="subscript"/>
                <w:lang w:eastAsia="zh-CN"/>
              </w:rPr>
              <w:t>Mn</w:t>
            </w:r>
            <w:r>
              <w:rPr>
                <w:rFonts w:hint="eastAsia" w:ascii="宋体" w:hAnsi="宋体" w:eastAsia="宋体" w:cs="宋体"/>
                <w:sz w:val="21"/>
                <w:szCs w:val="21"/>
                <w:lang w:eastAsia="zh-CN"/>
              </w:rPr>
              <w:t>法，以O</w:t>
            </w:r>
            <w:r>
              <w:rPr>
                <w:rFonts w:hint="eastAsia" w:ascii="宋体" w:hAnsi="宋体" w:eastAsia="宋体" w:cs="宋体"/>
                <w:sz w:val="21"/>
                <w:szCs w:val="21"/>
                <w:vertAlign w:val="subscript"/>
                <w:lang w:eastAsia="zh-CN"/>
              </w:rPr>
              <w:t>2</w:t>
            </w:r>
            <w:r>
              <w:rPr>
                <w:rFonts w:hint="eastAsia" w:ascii="宋体" w:hAnsi="宋体" w:eastAsia="宋体" w:cs="宋体"/>
                <w:sz w:val="21"/>
                <w:szCs w:val="21"/>
                <w:lang w:eastAsia="zh-CN"/>
              </w:rPr>
              <w:t>计）</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0.13</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0.09</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氨氮（以N计）</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0.06</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0.07</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汞</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0.68</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0.55</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砷</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0.04</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0.03</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总硬度</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0.85</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0.80</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铝</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0.19</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0.16</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0.61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钠</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0.03</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0.02</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总大肠菌群</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0.67</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7" w:type="pct"/>
            <w:tcBorders>
              <w:tl2br w:val="nil"/>
              <w:tr2bl w:val="nil"/>
            </w:tcBorders>
            <w:shd w:val="clear" w:color="auto" w:fill="auto"/>
            <w:noWrap/>
            <w:vAlign w:val="center"/>
          </w:tcPr>
          <w:p>
            <w:pPr>
              <w:keepNext w:val="0"/>
              <w:keepLines w:val="0"/>
              <w:numPr>
                <w:ilvl w:val="0"/>
                <w:numId w:val="18"/>
              </w:numPr>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9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菌落总数</w:t>
            </w:r>
          </w:p>
        </w:tc>
        <w:tc>
          <w:tcPr>
            <w:tcW w:w="1517"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0.06</w:t>
            </w:r>
          </w:p>
        </w:tc>
        <w:tc>
          <w:tcPr>
            <w:tcW w:w="182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0.10</w:t>
            </w:r>
          </w:p>
        </w:tc>
        <w:tc>
          <w:tcPr>
            <w:tcW w:w="1633"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5"/>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备注：“-”表示监测项目未检出，不评价。</w:t>
            </w:r>
          </w:p>
        </w:tc>
      </w:tr>
    </w:tbl>
    <w:p>
      <w:pPr>
        <w:ind w:firstLine="560"/>
        <w:rPr>
          <w:rFonts w:hint="eastAsia" w:ascii="宋体" w:hAnsi="宋体" w:eastAsia="宋体" w:cs="宋体"/>
          <w:lang w:eastAsia="zh-CN"/>
        </w:rPr>
      </w:pPr>
      <w:r>
        <w:rPr>
          <w:rFonts w:hint="eastAsia" w:ascii="宋体" w:hAnsi="宋体" w:eastAsia="宋体" w:cs="宋体"/>
          <w:lang w:eastAsia="zh-CN"/>
        </w:rPr>
        <w:t>根据表5.3.9-1可知，韩旺三村、耿家王峪和后文村的指标均能满足《地下水质量标准》（GB/T 14848-2017）标准要求。</w:t>
      </w:r>
    </w:p>
    <w:p>
      <w:pPr>
        <w:pStyle w:val="6"/>
        <w:rPr>
          <w:rFonts w:hint="eastAsia" w:ascii="宋体" w:hAnsi="宋体" w:eastAsia="宋体" w:cs="宋体"/>
          <w:lang w:eastAsia="zh-CN"/>
        </w:rPr>
      </w:pPr>
      <w:bookmarkStart w:id="144" w:name="_Toc5262"/>
      <w:bookmarkStart w:id="145" w:name="_Toc28257"/>
      <w:r>
        <w:rPr>
          <w:rFonts w:hint="eastAsia" w:ascii="宋体" w:hAnsi="宋体" w:eastAsia="宋体" w:cs="宋体"/>
          <w:lang w:eastAsia="zh-CN"/>
        </w:rPr>
        <w:t>5.4 声环境现状调查与评价</w:t>
      </w:r>
      <w:bookmarkEnd w:id="144"/>
      <w:bookmarkEnd w:id="145"/>
    </w:p>
    <w:p>
      <w:pPr>
        <w:pStyle w:val="7"/>
        <w:rPr>
          <w:rFonts w:hint="eastAsia" w:ascii="宋体" w:hAnsi="宋体" w:eastAsia="宋体" w:cs="宋体"/>
          <w:lang w:eastAsia="zh-CN"/>
        </w:rPr>
      </w:pPr>
      <w:r>
        <w:rPr>
          <w:rFonts w:hint="eastAsia" w:ascii="宋体" w:hAnsi="宋体" w:eastAsia="宋体" w:cs="宋体"/>
          <w:lang w:eastAsia="zh-CN"/>
        </w:rPr>
        <w:t>5.4.1 监测点位</w:t>
      </w:r>
    </w:p>
    <w:p>
      <w:pPr>
        <w:widowControl/>
        <w:autoSpaceDE/>
        <w:autoSpaceDN/>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rPr>
        <w:t>根据工业场地的厂区平面布置及周边环境状况，在工业场地四周及敏感点布设监测点。噪声监测点布点情况详见表5.4.1-1及图5.4.1-1。</w:t>
      </w:r>
    </w:p>
    <w:p>
      <w:pPr>
        <w:pStyle w:val="16"/>
        <w:autoSpaceDE/>
        <w:autoSpaceDN/>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表5.4.1-1 噪声现状监测布点情况表</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21"/>
        <w:gridCol w:w="3544"/>
        <w:gridCol w:w="4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7"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908"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w:t>
            </w:r>
          </w:p>
        </w:tc>
        <w:tc>
          <w:tcPr>
            <w:tcW w:w="2163"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监测点布设意义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7"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1908"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鲁南矿业厂区南、北、西厂界</w:t>
            </w:r>
          </w:p>
        </w:tc>
        <w:tc>
          <w:tcPr>
            <w:tcW w:w="2163"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了解企业现有噪声情况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7"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w:t>
            </w:r>
          </w:p>
        </w:tc>
        <w:tc>
          <w:tcPr>
            <w:tcW w:w="1908"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耿家林村、崔家王峪</w:t>
            </w:r>
          </w:p>
        </w:tc>
        <w:tc>
          <w:tcPr>
            <w:tcW w:w="2163" w:type="pct"/>
            <w:tcBorders>
              <w:tl2br w:val="nil"/>
              <w:tr2bl w:val="nil"/>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周围环境敏感点</w:t>
            </w:r>
          </w:p>
        </w:tc>
      </w:tr>
    </w:tbl>
    <w:p>
      <w:pPr>
        <w:pStyle w:val="7"/>
        <w:rPr>
          <w:rFonts w:hint="eastAsia" w:ascii="宋体" w:hAnsi="宋体" w:eastAsia="宋体" w:cs="宋体"/>
          <w:lang w:eastAsia="zh-CN"/>
        </w:rPr>
      </w:pPr>
      <w:r>
        <w:rPr>
          <w:rFonts w:hint="eastAsia" w:ascii="宋体" w:hAnsi="宋体" w:eastAsia="宋体" w:cs="宋体"/>
          <w:lang w:eastAsia="zh-CN"/>
        </w:rPr>
        <w:t>5.4.2 监测项目、监测频次</w:t>
      </w:r>
    </w:p>
    <w:p>
      <w:pPr>
        <w:widowControl/>
        <w:autoSpaceDE/>
        <w:autoSpaceDN/>
        <w:ind w:firstLine="560"/>
        <w:rPr>
          <w:rFonts w:hint="eastAsia" w:ascii="宋体" w:hAnsi="宋体" w:eastAsia="宋体" w:cs="宋体"/>
          <w:kern w:val="2"/>
          <w:szCs w:val="28"/>
          <w:lang w:eastAsia="zh-CN"/>
        </w:rPr>
      </w:pPr>
      <w:r>
        <w:rPr>
          <w:rFonts w:hint="eastAsia" w:ascii="宋体" w:hAnsi="宋体" w:eastAsia="宋体" w:cs="宋体"/>
          <w:kern w:val="2"/>
          <w:szCs w:val="28"/>
          <w:lang w:eastAsia="zh-CN"/>
        </w:rPr>
        <w:t>噪声现状监测情况详见表5.4.2-1。</w:t>
      </w:r>
    </w:p>
    <w:p>
      <w:pPr>
        <w:widowControl/>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表5.4.2-1 噪声现状监测情况表</w:t>
      </w:r>
    </w:p>
    <w:tbl>
      <w:tblPr>
        <w:tblStyle w:val="25"/>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1462"/>
        <w:gridCol w:w="1863"/>
        <w:gridCol w:w="4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938" w:type="pct"/>
            <w:tcBorders>
              <w:top w:val="single" w:color="auto" w:sz="12" w:space="0"/>
              <w:lef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监测点位</w:t>
            </w:r>
          </w:p>
        </w:tc>
        <w:tc>
          <w:tcPr>
            <w:tcW w:w="787" w:type="pct"/>
            <w:tcBorders>
              <w:top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监测项目</w:t>
            </w:r>
          </w:p>
        </w:tc>
        <w:tc>
          <w:tcPr>
            <w:tcW w:w="1003" w:type="pct"/>
            <w:tcBorders>
              <w:top w:val="single" w:color="auto" w:sz="12" w:space="0"/>
              <w:righ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监测频次</w:t>
            </w:r>
          </w:p>
        </w:tc>
        <w:tc>
          <w:tcPr>
            <w:tcW w:w="2270" w:type="pct"/>
            <w:tcBorders>
              <w:top w:val="single" w:color="auto" w:sz="12" w:space="0"/>
              <w:righ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8" w:type="pct"/>
            <w:tcBorders>
              <w:left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鲁南矿业厂区南、北、西厂界</w:t>
            </w:r>
          </w:p>
        </w:tc>
        <w:tc>
          <w:tcPr>
            <w:tcW w:w="787" w:type="pct"/>
            <w:vMerge w:val="restart"/>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等效连续A声级Leq</w:t>
            </w:r>
          </w:p>
        </w:tc>
        <w:tc>
          <w:tcPr>
            <w:tcW w:w="1003" w:type="pct"/>
            <w:vMerge w:val="restart"/>
            <w:tcBorders>
              <w:righ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监测一天，昼、夜各一次</w:t>
            </w:r>
          </w:p>
        </w:tc>
        <w:tc>
          <w:tcPr>
            <w:tcW w:w="2270" w:type="pct"/>
            <w:tcBorders>
              <w:righ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《工业企业厂界环境噪声排放标准》（GB 12348-2008）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38" w:type="pct"/>
            <w:tcBorders>
              <w:left w:val="single" w:color="auto" w:sz="12" w:space="0"/>
              <w:bottom w:val="single" w:color="auto" w:sz="12" w:space="0"/>
            </w:tcBorders>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耿家林村、崔家王峪</w:t>
            </w:r>
          </w:p>
        </w:tc>
        <w:tc>
          <w:tcPr>
            <w:tcW w:w="787" w:type="pct"/>
            <w:vMerge w:val="continue"/>
            <w:tcBorders>
              <w:bottom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003" w:type="pct"/>
            <w:vMerge w:val="continue"/>
            <w:tcBorders>
              <w:bottom w:val="single" w:color="auto" w:sz="12" w:space="0"/>
              <w:righ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2270" w:type="pct"/>
            <w:tcBorders>
              <w:bottom w:val="single" w:color="auto" w:sz="12" w:space="0"/>
              <w:right w:val="single" w:color="auto"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《声环境质量标准》（GB 3096-2008）</w:t>
            </w:r>
          </w:p>
        </w:tc>
      </w:tr>
    </w:tbl>
    <w:p>
      <w:pPr>
        <w:pStyle w:val="7"/>
        <w:rPr>
          <w:rFonts w:hint="eastAsia" w:ascii="宋体" w:hAnsi="宋体" w:eastAsia="宋体" w:cs="宋体"/>
          <w:lang w:eastAsia="zh-CN"/>
        </w:rPr>
      </w:pPr>
      <w:r>
        <w:rPr>
          <w:rFonts w:hint="eastAsia" w:ascii="宋体" w:hAnsi="宋体" w:eastAsia="宋体" w:cs="宋体"/>
          <w:lang w:eastAsia="zh-CN"/>
        </w:rPr>
        <w:t>5.4.3 监测方法</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采样和监测方法按《工业企业厂界环境噪声排放标准》（GB 12348-2008）和《声环境质量标准》（GB 3096-2008）中规定执行，采样分析方法详见表5.4.3-1。</w:t>
      </w:r>
    </w:p>
    <w:p>
      <w:pPr>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表5.4.3-1 噪声检测方法一览表</w:t>
      </w:r>
    </w:p>
    <w:tbl>
      <w:tblPr>
        <w:tblStyle w:val="2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54"/>
        <w:gridCol w:w="1874"/>
        <w:gridCol w:w="1963"/>
        <w:gridCol w:w="459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460" w:type="pct"/>
            <w:tcBorders>
              <w:tl2br w:val="nil"/>
              <w:tr2bl w:val="nil"/>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100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监测项目</w:t>
            </w:r>
          </w:p>
        </w:tc>
        <w:tc>
          <w:tcPr>
            <w:tcW w:w="1057" w:type="pct"/>
            <w:tcBorders>
              <w:tl2br w:val="nil"/>
              <w:tr2bl w:val="nil"/>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标准代号</w:t>
            </w:r>
          </w:p>
        </w:tc>
        <w:tc>
          <w:tcPr>
            <w:tcW w:w="2472" w:type="pct"/>
            <w:tcBorders>
              <w:tl2br w:val="nil"/>
              <w:tr2bl w:val="nil"/>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标准名称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0" w:type="pct"/>
            <w:tcBorders>
              <w:tl2br w:val="nil"/>
              <w:tr2bl w:val="nil"/>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009"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噪声</w:t>
            </w:r>
          </w:p>
        </w:tc>
        <w:tc>
          <w:tcPr>
            <w:tcW w:w="1057"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GB 12348-2008</w:t>
            </w:r>
          </w:p>
        </w:tc>
        <w:tc>
          <w:tcPr>
            <w:tcW w:w="2472"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工业企业厂界环境噪声排放标准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460" w:type="pct"/>
            <w:tcBorders>
              <w:tl2br w:val="nil"/>
              <w:tr2bl w:val="nil"/>
            </w:tcBorders>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009"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057"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GB 3096-2008</w:t>
            </w:r>
          </w:p>
        </w:tc>
        <w:tc>
          <w:tcPr>
            <w:tcW w:w="2472" w:type="pct"/>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声环境质量标准</w:t>
            </w:r>
          </w:p>
        </w:tc>
      </w:tr>
    </w:tbl>
    <w:p>
      <w:pPr>
        <w:pStyle w:val="7"/>
        <w:rPr>
          <w:rFonts w:hint="eastAsia" w:ascii="宋体" w:hAnsi="宋体" w:eastAsia="宋体" w:cs="宋体"/>
          <w:lang w:eastAsia="zh-CN"/>
        </w:rPr>
      </w:pPr>
      <w:r>
        <w:rPr>
          <w:rFonts w:hint="eastAsia" w:ascii="宋体" w:hAnsi="宋体" w:eastAsia="宋体" w:cs="宋体"/>
          <w:lang w:eastAsia="zh-CN"/>
        </w:rPr>
        <w:t>5.4.4 监测结果</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根据济南浩宏伟业检测技术有限公司出具的报告编号为HHWY-202109H-04，可知噪声监测结果见表5.4.4-1。</w:t>
      </w:r>
    </w:p>
    <w:p>
      <w:pPr>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表5.4.4-1 噪声监测结果汇总表（单位：dB（A））</w:t>
      </w:r>
    </w:p>
    <w:tbl>
      <w:tblPr>
        <w:tblStyle w:val="24"/>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2554"/>
        <w:gridCol w:w="1678"/>
        <w:gridCol w:w="1682"/>
        <w:gridCol w:w="1682"/>
        <w:gridCol w:w="16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37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厂区</w:t>
            </w:r>
          </w:p>
        </w:tc>
        <w:tc>
          <w:tcPr>
            <w:tcW w:w="90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监测点位</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编号</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昼间</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76" w:type="pct"/>
            <w:vMerge w:val="restar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鲁南矿业厂区</w:t>
            </w:r>
          </w:p>
        </w:tc>
        <w:tc>
          <w:tcPr>
            <w:tcW w:w="90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北厂界</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41.1</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7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0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西厂界</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58.1</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7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0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南厂界</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46.7</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76"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耿家林村</w:t>
            </w:r>
          </w:p>
        </w:tc>
        <w:tc>
          <w:tcPr>
            <w:tcW w:w="90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村外1m</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53.7</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376" w:type="pct"/>
            <w:tcBorders>
              <w:tl2br w:val="nil"/>
              <w:tr2bl w:val="nil"/>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崔家王峪</w:t>
            </w:r>
          </w:p>
        </w:tc>
        <w:tc>
          <w:tcPr>
            <w:tcW w:w="90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村外1m</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57.5</w:t>
            </w:r>
          </w:p>
        </w:tc>
        <w:tc>
          <w:tcPr>
            <w:tcW w:w="90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备注：西厂界靠近S234，厂界噪声受公路影响。</w:t>
            </w:r>
          </w:p>
        </w:tc>
      </w:tr>
    </w:tbl>
    <w:p>
      <w:pPr>
        <w:autoSpaceDE/>
        <w:autoSpaceDN/>
        <w:spacing w:line="360" w:lineRule="auto"/>
        <w:ind w:firstLine="0" w:firstLineChars="0"/>
        <w:jc w:val="center"/>
        <w:rPr>
          <w:rFonts w:hint="eastAsia" w:ascii="宋体" w:hAnsi="宋体" w:eastAsia="宋体" w:cs="宋体"/>
          <w:kern w:val="2"/>
          <w:sz w:val="21"/>
          <w:szCs w:val="22"/>
          <w:lang w:eastAsia="zh-CN"/>
        </w:rPr>
      </w:pPr>
      <w:r>
        <w:rPr>
          <w:rFonts w:hint="eastAsia" w:ascii="宋体" w:hAnsi="宋体" w:eastAsia="宋体" w:cs="宋体"/>
          <w:b/>
          <w:kern w:val="2"/>
          <w:sz w:val="24"/>
          <w:lang w:eastAsia="zh-CN"/>
        </w:rPr>
        <w:t>表5.4.4-2 噪声监测期间车流量一览表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89"/>
        <w:gridCol w:w="1989"/>
        <w:gridCol w:w="1833"/>
        <w:gridCol w:w="1833"/>
        <w:gridCol w:w="18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4" w:type="pct"/>
            <w:vMerge w:val="restart"/>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监测地点</w:t>
            </w:r>
          </w:p>
        </w:tc>
        <w:tc>
          <w:tcPr>
            <w:tcW w:w="1071" w:type="pct"/>
            <w:vMerge w:val="restart"/>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监测时间</w:t>
            </w:r>
          </w:p>
        </w:tc>
        <w:tc>
          <w:tcPr>
            <w:tcW w:w="2963" w:type="pct"/>
            <w:gridSpan w:val="3"/>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车流量（辆/10min）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4" w:type="pct"/>
            <w:vMerge w:val="continue"/>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p>
        </w:tc>
        <w:tc>
          <w:tcPr>
            <w:tcW w:w="1071" w:type="pct"/>
            <w:vMerge w:val="continue"/>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p>
        </w:tc>
        <w:tc>
          <w:tcPr>
            <w:tcW w:w="987" w:type="pct"/>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大</w:t>
            </w:r>
          </w:p>
        </w:tc>
        <w:tc>
          <w:tcPr>
            <w:tcW w:w="987" w:type="pct"/>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中</w:t>
            </w:r>
          </w:p>
        </w:tc>
        <w:tc>
          <w:tcPr>
            <w:tcW w:w="989" w:type="pct"/>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4" w:type="pct"/>
            <w:vMerge w:val="restart"/>
            <w:tcBorders>
              <w:tl2br w:val="nil"/>
              <w:tr2bl w:val="nil"/>
            </w:tcBorders>
            <w:shd w:val="clear" w:color="auto" w:fill="auto"/>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color w:val="000000"/>
                <w:sz w:val="21"/>
                <w:szCs w:val="21"/>
                <w:lang w:eastAsia="zh-CN"/>
              </w:rPr>
            </w:pPr>
            <w:r>
              <w:rPr>
                <w:rFonts w:hint="eastAsia" w:ascii="宋体" w:hAnsi="宋体" w:eastAsia="宋体" w:cs="宋体"/>
                <w:b/>
                <w:color w:val="000000"/>
                <w:sz w:val="21"/>
                <w:szCs w:val="21"/>
                <w:lang w:eastAsia="zh-CN"/>
              </w:rPr>
              <w:t>西厂界</w:t>
            </w:r>
          </w:p>
        </w:tc>
        <w:tc>
          <w:tcPr>
            <w:tcW w:w="1071" w:type="pct"/>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昼间</w:t>
            </w:r>
          </w:p>
        </w:tc>
        <w:tc>
          <w:tcPr>
            <w:tcW w:w="98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37</w:t>
            </w:r>
          </w:p>
        </w:tc>
        <w:tc>
          <w:tcPr>
            <w:tcW w:w="98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0</w:t>
            </w:r>
          </w:p>
        </w:tc>
        <w:tc>
          <w:tcPr>
            <w:tcW w:w="989"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64" w:type="pct"/>
            <w:vMerge w:val="continue"/>
            <w:tcBorders>
              <w:tl2br w:val="nil"/>
              <w:tr2bl w:val="nil"/>
            </w:tcBorders>
            <w:shd w:val="clear" w:color="auto" w:fill="auto"/>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071" w:type="pct"/>
            <w:tcBorders>
              <w:tl2br w:val="nil"/>
              <w:tr2bl w:val="nil"/>
            </w:tcBorders>
            <w:shd w:val="clear" w:color="auto" w:fill="auto"/>
            <w:vAlign w:val="center"/>
          </w:tcPr>
          <w:p>
            <w:pPr>
              <w:keepNext w:val="0"/>
              <w:keepLines w:val="0"/>
              <w:widowControl/>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夜间</w:t>
            </w:r>
          </w:p>
        </w:tc>
        <w:tc>
          <w:tcPr>
            <w:tcW w:w="98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25</w:t>
            </w:r>
          </w:p>
        </w:tc>
        <w:tc>
          <w:tcPr>
            <w:tcW w:w="98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11</w:t>
            </w:r>
          </w:p>
        </w:tc>
        <w:tc>
          <w:tcPr>
            <w:tcW w:w="989"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r>
    </w:tbl>
    <w:p>
      <w:pPr>
        <w:pStyle w:val="7"/>
        <w:rPr>
          <w:rFonts w:hint="eastAsia" w:ascii="宋体" w:hAnsi="宋体" w:eastAsia="宋体" w:cs="宋体"/>
          <w:lang w:eastAsia="zh-CN"/>
        </w:rPr>
      </w:pPr>
      <w:r>
        <w:rPr>
          <w:rFonts w:hint="eastAsia" w:ascii="宋体" w:hAnsi="宋体" w:eastAsia="宋体" w:cs="宋体"/>
          <w:lang w:eastAsia="zh-CN"/>
        </w:rPr>
        <w:t>5.4.5 现状评价</w:t>
      </w:r>
    </w:p>
    <w:p>
      <w:pPr>
        <w:pStyle w:val="8"/>
        <w:rPr>
          <w:rFonts w:hint="eastAsia" w:ascii="宋体" w:hAnsi="宋体" w:eastAsia="宋体" w:cs="宋体"/>
          <w:lang w:eastAsia="zh-CN"/>
        </w:rPr>
      </w:pPr>
      <w:r>
        <w:rPr>
          <w:rFonts w:hint="eastAsia" w:ascii="宋体" w:hAnsi="宋体" w:eastAsia="宋体" w:cs="宋体"/>
          <w:lang w:eastAsia="zh-CN"/>
        </w:rPr>
        <w:t>5.4.5.1 评价标准</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工业场地厂界执行《工业企业厂界环境噪声排放标准》（GB 12348-2008）2类标准，即昼间60dB(A)、夜间50dB(A)。</w:t>
      </w:r>
    </w:p>
    <w:p>
      <w:pPr>
        <w:pStyle w:val="16"/>
        <w:ind w:firstLine="560"/>
        <w:rPr>
          <w:rFonts w:hint="eastAsia" w:ascii="宋体" w:hAnsi="宋体" w:eastAsia="宋体" w:cs="宋体"/>
        </w:rPr>
      </w:pPr>
      <w:r>
        <w:rPr>
          <w:rFonts w:hint="eastAsia" w:ascii="宋体" w:hAnsi="宋体" w:eastAsia="宋体" w:cs="宋体"/>
        </w:rPr>
        <w:t>西厂界靠近S234省道，受交通影响大，执行《工业企业厂界环境噪声排放标准》（GB 12348-2008）4类标准，即昼间70dB(A)、夜间55dB(A)。</w:t>
      </w:r>
    </w:p>
    <w:p>
      <w:pPr>
        <w:pStyle w:val="16"/>
        <w:ind w:firstLine="560"/>
        <w:rPr>
          <w:rFonts w:hint="eastAsia" w:ascii="宋体" w:hAnsi="宋体" w:eastAsia="宋体" w:cs="宋体"/>
        </w:rPr>
      </w:pPr>
      <w:r>
        <w:rPr>
          <w:rFonts w:hint="eastAsia" w:ascii="宋体" w:hAnsi="宋体" w:eastAsia="宋体" w:cs="宋体"/>
        </w:rPr>
        <w:t>周边敏感点执行《声环境质量标准》(GB 3096-2008)2类标准，即昼间60dB(A)、夜间50dB(A)。</w:t>
      </w:r>
    </w:p>
    <w:p>
      <w:pPr>
        <w:pStyle w:val="8"/>
        <w:rPr>
          <w:rFonts w:hint="eastAsia" w:ascii="宋体" w:hAnsi="宋体" w:eastAsia="宋体" w:cs="宋体"/>
          <w:lang w:eastAsia="zh-CN"/>
        </w:rPr>
      </w:pPr>
      <w:r>
        <w:rPr>
          <w:rFonts w:hint="eastAsia" w:ascii="宋体" w:hAnsi="宋体" w:eastAsia="宋体" w:cs="宋体"/>
          <w:lang w:eastAsia="zh-CN"/>
        </w:rPr>
        <w:t>5.4.5.2 评价方法</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采用超标值法进行声环境现状评价，计算公式为：</w:t>
      </w:r>
    </w:p>
    <w:p>
      <w:pPr>
        <w:autoSpaceDE/>
        <w:autoSpaceDN/>
        <w:ind w:firstLine="3120" w:firstLineChars="1300"/>
        <w:rPr>
          <w:rFonts w:hint="eastAsia" w:ascii="宋体" w:hAnsi="宋体" w:eastAsia="宋体" w:cs="宋体"/>
          <w:lang w:eastAsia="zh-CN"/>
        </w:rPr>
      </w:pPr>
      <w:r>
        <w:rPr>
          <w:rFonts w:hint="eastAsia" w:ascii="宋体" w:hAnsi="宋体" w:eastAsia="宋体" w:cs="宋体"/>
          <w:kern w:val="2"/>
          <w:lang w:eastAsia="zh-CN"/>
        </w:rPr>
        <w:t>P=L</w:t>
      </w:r>
      <w:r>
        <w:rPr>
          <w:rFonts w:hint="eastAsia" w:ascii="宋体" w:hAnsi="宋体" w:eastAsia="宋体" w:cs="宋体"/>
          <w:kern w:val="2"/>
          <w:vertAlign w:val="subscript"/>
          <w:lang w:eastAsia="zh-CN"/>
        </w:rPr>
        <w:t>eq</w:t>
      </w:r>
      <w:r>
        <w:rPr>
          <w:rFonts w:hint="eastAsia" w:ascii="宋体" w:hAnsi="宋体" w:eastAsia="宋体" w:cs="宋体"/>
          <w:kern w:val="2"/>
          <w:lang w:eastAsia="zh-CN"/>
        </w:rPr>
        <w:t>-L</w:t>
      </w:r>
      <w:r>
        <w:rPr>
          <w:rFonts w:hint="eastAsia" w:ascii="宋体" w:hAnsi="宋体" w:eastAsia="宋体" w:cs="宋体"/>
          <w:kern w:val="2"/>
          <w:vertAlign w:val="subscript"/>
          <w:lang w:eastAsia="zh-CN"/>
        </w:rPr>
        <w:t>b</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式中：P—超标值，dB（A）；</w:t>
      </w:r>
    </w:p>
    <w:p>
      <w:pPr>
        <w:autoSpaceDE/>
        <w:autoSpaceDN/>
        <w:ind w:firstLine="1200" w:firstLineChars="500"/>
        <w:rPr>
          <w:rFonts w:hint="eastAsia" w:ascii="宋体" w:hAnsi="宋体" w:eastAsia="宋体" w:cs="宋体"/>
          <w:kern w:val="2"/>
          <w:lang w:eastAsia="zh-CN"/>
        </w:rPr>
      </w:pPr>
      <w:r>
        <w:rPr>
          <w:rFonts w:hint="eastAsia" w:ascii="宋体" w:hAnsi="宋体" w:eastAsia="宋体" w:cs="宋体"/>
          <w:kern w:val="2"/>
          <w:lang w:eastAsia="zh-CN"/>
        </w:rPr>
        <w:t>L</w:t>
      </w:r>
      <w:r>
        <w:rPr>
          <w:rFonts w:hint="eastAsia" w:ascii="宋体" w:hAnsi="宋体" w:eastAsia="宋体" w:cs="宋体"/>
          <w:kern w:val="2"/>
          <w:vertAlign w:val="subscript"/>
          <w:lang w:eastAsia="zh-CN"/>
        </w:rPr>
        <w:t>eq</w:t>
      </w:r>
      <w:r>
        <w:rPr>
          <w:rFonts w:hint="eastAsia" w:ascii="宋体" w:hAnsi="宋体" w:eastAsia="宋体" w:cs="宋体"/>
          <w:kern w:val="2"/>
          <w:lang w:eastAsia="zh-CN"/>
        </w:rPr>
        <w:t>—监测点等效连续 A 声级，dB（A）；</w:t>
      </w:r>
    </w:p>
    <w:p>
      <w:pPr>
        <w:autoSpaceDE/>
        <w:autoSpaceDN/>
        <w:ind w:firstLine="1200" w:firstLineChars="500"/>
        <w:rPr>
          <w:rFonts w:hint="eastAsia" w:ascii="宋体" w:hAnsi="宋体" w:eastAsia="宋体" w:cs="宋体"/>
          <w:kern w:val="2"/>
          <w:lang w:eastAsia="zh-CN"/>
        </w:rPr>
      </w:pPr>
      <w:r>
        <w:rPr>
          <w:rFonts w:hint="eastAsia" w:ascii="宋体" w:hAnsi="宋体" w:eastAsia="宋体" w:cs="宋体"/>
          <w:kern w:val="2"/>
          <w:lang w:eastAsia="zh-CN"/>
        </w:rPr>
        <w:t>L</w:t>
      </w:r>
      <w:r>
        <w:rPr>
          <w:rFonts w:hint="eastAsia" w:ascii="宋体" w:hAnsi="宋体" w:eastAsia="宋体" w:cs="宋体"/>
          <w:kern w:val="2"/>
          <w:vertAlign w:val="subscript"/>
          <w:lang w:eastAsia="zh-CN"/>
        </w:rPr>
        <w:t>b</w:t>
      </w:r>
      <w:r>
        <w:rPr>
          <w:rFonts w:hint="eastAsia" w:ascii="宋体" w:hAnsi="宋体" w:eastAsia="宋体" w:cs="宋体"/>
          <w:kern w:val="2"/>
          <w:lang w:eastAsia="zh-CN"/>
        </w:rPr>
        <w:t>—评价标准值，dB（A）。</w:t>
      </w:r>
    </w:p>
    <w:p>
      <w:pPr>
        <w:pStyle w:val="8"/>
        <w:rPr>
          <w:rFonts w:hint="eastAsia" w:ascii="宋体" w:hAnsi="宋体" w:eastAsia="宋体" w:cs="宋体"/>
          <w:lang w:eastAsia="zh-CN"/>
        </w:rPr>
      </w:pPr>
      <w:r>
        <w:rPr>
          <w:rFonts w:hint="eastAsia" w:ascii="宋体" w:hAnsi="宋体" w:eastAsia="宋体" w:cs="宋体"/>
          <w:lang w:eastAsia="zh-CN"/>
        </w:rPr>
        <w:t>5.4.5.3 评价结果</w:t>
      </w:r>
    </w:p>
    <w:p>
      <w:pPr>
        <w:ind w:firstLine="560"/>
        <w:rPr>
          <w:rFonts w:hint="eastAsia" w:ascii="宋体" w:hAnsi="宋体" w:eastAsia="宋体" w:cs="宋体"/>
          <w:lang w:eastAsia="zh-CN"/>
        </w:rPr>
      </w:pPr>
      <w:r>
        <w:rPr>
          <w:rFonts w:hint="eastAsia" w:ascii="宋体" w:hAnsi="宋体" w:eastAsia="宋体" w:cs="宋体"/>
          <w:lang w:eastAsia="zh-CN"/>
        </w:rPr>
        <w:t>噪声评价结果见表5.4.5-1。</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表5.4.5-1 噪声现状评价结果（单位：dB（A））</w:t>
      </w:r>
    </w:p>
    <w:tbl>
      <w:tblPr>
        <w:tblStyle w:val="24"/>
        <w:tblW w:w="4996" w:type="pct"/>
        <w:tblInd w:w="0" w:type="dxa"/>
        <w:tblLayout w:type="autofit"/>
        <w:tblCellMar>
          <w:top w:w="0" w:type="dxa"/>
          <w:left w:w="108" w:type="dxa"/>
          <w:bottom w:w="0" w:type="dxa"/>
          <w:right w:w="108" w:type="dxa"/>
        </w:tblCellMar>
      </w:tblPr>
      <w:tblGrid>
        <w:gridCol w:w="2555"/>
        <w:gridCol w:w="1677"/>
        <w:gridCol w:w="1683"/>
        <w:gridCol w:w="1683"/>
        <w:gridCol w:w="1683"/>
      </w:tblGrid>
      <w:tr>
        <w:tblPrEx>
          <w:tblCellMar>
            <w:top w:w="0" w:type="dxa"/>
            <w:left w:w="108" w:type="dxa"/>
            <w:bottom w:w="0" w:type="dxa"/>
            <w:right w:w="108" w:type="dxa"/>
          </w:tblCellMar>
        </w:tblPrEx>
        <w:trPr>
          <w:trHeight w:val="340" w:hRule="atLeast"/>
          <w:tblHeader/>
        </w:trPr>
        <w:tc>
          <w:tcPr>
            <w:tcW w:w="1376" w:type="pct"/>
            <w:tcBorders>
              <w:top w:val="single" w:color="000000" w:sz="12" w:space="0"/>
              <w:left w:val="single" w:color="000000" w:sz="12"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厂区</w:t>
            </w:r>
          </w:p>
        </w:tc>
        <w:tc>
          <w:tcPr>
            <w:tcW w:w="903" w:type="pct"/>
            <w:tcBorders>
              <w:top w:val="single" w:color="000000" w:sz="12"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监测点位</w:t>
            </w:r>
          </w:p>
        </w:tc>
        <w:tc>
          <w:tcPr>
            <w:tcW w:w="906" w:type="pct"/>
            <w:tcBorders>
              <w:top w:val="single" w:color="000000" w:sz="12"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编号</w:t>
            </w:r>
          </w:p>
        </w:tc>
        <w:tc>
          <w:tcPr>
            <w:tcW w:w="906" w:type="pct"/>
            <w:tcBorders>
              <w:top w:val="single" w:color="000000" w:sz="12"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昼间</w:t>
            </w:r>
          </w:p>
        </w:tc>
        <w:tc>
          <w:tcPr>
            <w:tcW w:w="906" w:type="pct"/>
            <w:tcBorders>
              <w:top w:val="single" w:color="000000" w:sz="12" w:space="0"/>
              <w:left w:val="single" w:color="000000" w:sz="4" w:space="0"/>
              <w:bottom w:val="single" w:color="000000" w:sz="4" w:space="0"/>
              <w:right w:val="single" w:color="000000" w:sz="12"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夜间</w:t>
            </w:r>
          </w:p>
        </w:tc>
      </w:tr>
      <w:tr>
        <w:tblPrEx>
          <w:tblCellMar>
            <w:top w:w="0" w:type="dxa"/>
            <w:left w:w="108" w:type="dxa"/>
            <w:bottom w:w="0" w:type="dxa"/>
            <w:right w:w="108" w:type="dxa"/>
          </w:tblCellMar>
        </w:tblPrEx>
        <w:trPr>
          <w:trHeight w:val="340" w:hRule="atLeast"/>
        </w:trPr>
        <w:tc>
          <w:tcPr>
            <w:tcW w:w="2555" w:type="dxa"/>
            <w:vMerge w:val="restart"/>
            <w:tcBorders>
              <w:top w:val="single" w:color="000000" w:sz="4" w:space="0"/>
              <w:left w:val="single" w:color="000000" w:sz="12" w:space="0"/>
              <w:right w:val="single" w:color="000000" w:sz="4" w:space="0"/>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鲁南矿业厂区</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北厂界</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-18.9</w:t>
            </w:r>
          </w:p>
        </w:tc>
        <w:tc>
          <w:tcPr>
            <w:tcW w:w="1683"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-3.6</w:t>
            </w:r>
          </w:p>
        </w:tc>
      </w:tr>
      <w:tr>
        <w:tblPrEx>
          <w:tblCellMar>
            <w:top w:w="0" w:type="dxa"/>
            <w:left w:w="108" w:type="dxa"/>
            <w:bottom w:w="0" w:type="dxa"/>
            <w:right w:w="108" w:type="dxa"/>
          </w:tblCellMar>
        </w:tblPrEx>
        <w:trPr>
          <w:trHeight w:val="340" w:hRule="atLeast"/>
        </w:trPr>
        <w:tc>
          <w:tcPr>
            <w:tcW w:w="1376" w:type="pct"/>
            <w:vMerge w:val="continue"/>
            <w:tcBorders>
              <w:left w:val="single" w:color="000000" w:sz="12" w:space="0"/>
              <w:right w:val="single" w:color="000000" w:sz="4" w:space="0"/>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西厂界</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-11.9</w:t>
            </w:r>
          </w:p>
        </w:tc>
        <w:tc>
          <w:tcPr>
            <w:tcW w:w="1683"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b/>
                <w:bCs/>
                <w:kern w:val="2"/>
                <w:sz w:val="21"/>
                <w:szCs w:val="21"/>
                <w:lang w:eastAsia="zh-CN"/>
              </w:rPr>
              <w:t>6.6</w:t>
            </w:r>
          </w:p>
        </w:tc>
      </w:tr>
      <w:tr>
        <w:tblPrEx>
          <w:tblCellMar>
            <w:top w:w="0" w:type="dxa"/>
            <w:left w:w="108" w:type="dxa"/>
            <w:bottom w:w="0" w:type="dxa"/>
            <w:right w:w="108" w:type="dxa"/>
          </w:tblCellMar>
        </w:tblPrEx>
        <w:trPr>
          <w:trHeight w:val="340" w:hRule="atLeast"/>
        </w:trPr>
        <w:tc>
          <w:tcPr>
            <w:tcW w:w="1376" w:type="pct"/>
            <w:vMerge w:val="continue"/>
            <w:tcBorders>
              <w:left w:val="single" w:color="000000" w:sz="12" w:space="0"/>
              <w:bottom w:val="single" w:color="000000" w:sz="4" w:space="0"/>
              <w:right w:val="single" w:color="000000" w:sz="4" w:space="0"/>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南厂界</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-13.3</w:t>
            </w:r>
          </w:p>
        </w:tc>
        <w:tc>
          <w:tcPr>
            <w:tcW w:w="1683"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-4.8</w:t>
            </w:r>
          </w:p>
        </w:tc>
      </w:tr>
      <w:tr>
        <w:tblPrEx>
          <w:tblCellMar>
            <w:top w:w="0" w:type="dxa"/>
            <w:left w:w="108" w:type="dxa"/>
            <w:bottom w:w="0" w:type="dxa"/>
            <w:right w:w="108" w:type="dxa"/>
          </w:tblCellMar>
        </w:tblPrEx>
        <w:trPr>
          <w:trHeight w:val="340" w:hRule="atLeast"/>
        </w:trPr>
        <w:tc>
          <w:tcPr>
            <w:tcW w:w="2555" w:type="dxa"/>
            <w:tcBorders>
              <w:top w:val="single" w:color="000000" w:sz="4" w:space="0"/>
              <w:left w:val="single" w:color="000000" w:sz="12" w:space="0"/>
              <w:bottom w:val="single" w:color="000000" w:sz="4" w:space="0"/>
              <w:right w:val="single" w:color="000000" w:sz="4" w:space="0"/>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耿家林村</w:t>
            </w:r>
          </w:p>
        </w:tc>
        <w:tc>
          <w:tcPr>
            <w:tcW w:w="9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村外1m</w:t>
            </w:r>
          </w:p>
        </w:tc>
        <w:tc>
          <w:tcPr>
            <w:tcW w:w="9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68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-6.3</w:t>
            </w:r>
          </w:p>
        </w:tc>
        <w:tc>
          <w:tcPr>
            <w:tcW w:w="1683" w:type="dxa"/>
            <w:tcBorders>
              <w:top w:val="single" w:color="000000" w:sz="4" w:space="0"/>
              <w:left w:val="single" w:color="000000" w:sz="4" w:space="0"/>
              <w:bottom w:val="single" w:color="000000" w:sz="4" w:space="0"/>
              <w:right w:val="single" w:color="000000" w:sz="12"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-1.6</w:t>
            </w:r>
          </w:p>
        </w:tc>
      </w:tr>
      <w:tr>
        <w:tblPrEx>
          <w:tblCellMar>
            <w:top w:w="0" w:type="dxa"/>
            <w:left w:w="108" w:type="dxa"/>
            <w:bottom w:w="0" w:type="dxa"/>
            <w:right w:w="108" w:type="dxa"/>
          </w:tblCellMar>
        </w:tblPrEx>
        <w:trPr>
          <w:trHeight w:val="340" w:hRule="atLeast"/>
        </w:trPr>
        <w:tc>
          <w:tcPr>
            <w:tcW w:w="2555" w:type="dxa"/>
            <w:tcBorders>
              <w:top w:val="single" w:color="000000" w:sz="4" w:space="0"/>
              <w:left w:val="single" w:color="000000" w:sz="12" w:space="0"/>
              <w:bottom w:val="single" w:color="000000" w:sz="12" w:space="0"/>
              <w:right w:val="single" w:color="000000" w:sz="4" w:space="0"/>
            </w:tcBorders>
            <w:shd w:val="clear" w:color="auto" w:fill="auto"/>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崔家王峪</w:t>
            </w:r>
          </w:p>
        </w:tc>
        <w:tc>
          <w:tcPr>
            <w:tcW w:w="903"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村外1m</w:t>
            </w:r>
          </w:p>
        </w:tc>
        <w:tc>
          <w:tcPr>
            <w:tcW w:w="906" w:type="pct"/>
            <w:tcBorders>
              <w:top w:val="single" w:color="000000" w:sz="4" w:space="0"/>
              <w:left w:val="single" w:color="000000" w:sz="4" w:space="0"/>
              <w:bottom w:val="single" w:color="000000" w:sz="12" w:space="0"/>
              <w:right w:val="single" w:color="000000" w:sz="4" w:space="0"/>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683" w:type="dxa"/>
            <w:tcBorders>
              <w:top w:val="single" w:color="000000" w:sz="4" w:space="0"/>
              <w:left w:val="single" w:color="000000" w:sz="4" w:space="0"/>
              <w:bottom w:val="single" w:color="000000" w:sz="12" w:space="0"/>
              <w:right w:val="single" w:color="000000" w:sz="4"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-2.5</w:t>
            </w:r>
          </w:p>
        </w:tc>
        <w:tc>
          <w:tcPr>
            <w:tcW w:w="1683" w:type="dxa"/>
            <w:tcBorders>
              <w:top w:val="single" w:color="000000" w:sz="4" w:space="0"/>
              <w:left w:val="single" w:color="000000" w:sz="4" w:space="0"/>
              <w:bottom w:val="single" w:color="000000" w:sz="12" w:space="0"/>
              <w:right w:val="single" w:color="000000" w:sz="12" w:space="0"/>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-4.9</w:t>
            </w:r>
          </w:p>
        </w:tc>
      </w:tr>
    </w:tbl>
    <w:p>
      <w:pPr>
        <w:pStyle w:val="16"/>
        <w:ind w:firstLine="560"/>
        <w:rPr>
          <w:rFonts w:hint="eastAsia" w:ascii="宋体" w:hAnsi="宋体" w:eastAsia="宋体" w:cs="宋体"/>
        </w:rPr>
      </w:pPr>
      <w:r>
        <w:rPr>
          <w:rFonts w:hint="eastAsia" w:ascii="宋体" w:hAnsi="宋体" w:eastAsia="宋体" w:cs="宋体"/>
        </w:rPr>
        <w:t>根据表5.4.5-1可知，除鲁南矿业西厂界夜间噪声超标外，南厂界和北厂界均能满足《工业企业厂界环境噪声排放标准》（GB 12348-2008）限值要求，耿家林、崔家王峪噪声满足《声环境质量标准》（GB 3096-2008）限值要求。</w:t>
      </w:r>
    </w:p>
    <w:p>
      <w:pPr>
        <w:pStyle w:val="16"/>
        <w:ind w:firstLine="560"/>
        <w:rPr>
          <w:rFonts w:hint="eastAsia" w:ascii="宋体" w:hAnsi="宋体" w:eastAsia="宋体" w:cs="宋体"/>
        </w:rPr>
      </w:pPr>
      <w:r>
        <w:rPr>
          <w:rFonts w:hint="eastAsia" w:ascii="宋体" w:hAnsi="宋体" w:eastAsia="宋体" w:cs="宋体"/>
        </w:rPr>
        <w:t>西厂界因靠近S234省道，主要受交通噪声影响，监测期间，交通噪声结果见表5.4.4-2。</w:t>
      </w:r>
    </w:p>
    <w:p>
      <w:pPr>
        <w:pStyle w:val="6"/>
        <w:rPr>
          <w:rFonts w:hint="eastAsia" w:ascii="宋体" w:hAnsi="宋体" w:eastAsia="宋体" w:cs="宋体"/>
          <w:lang w:eastAsia="zh-CN"/>
        </w:rPr>
      </w:pPr>
      <w:bookmarkStart w:id="146" w:name="_Toc24466"/>
      <w:bookmarkStart w:id="147" w:name="_Toc19790"/>
      <w:r>
        <w:rPr>
          <w:rFonts w:hint="eastAsia" w:ascii="宋体" w:hAnsi="宋体" w:eastAsia="宋体" w:cs="宋体"/>
          <w:lang w:eastAsia="zh-CN"/>
        </w:rPr>
        <w:t>5.5 土壤环境现状调查与评价</w:t>
      </w:r>
      <w:bookmarkEnd w:id="146"/>
      <w:bookmarkEnd w:id="147"/>
    </w:p>
    <w:p>
      <w:pPr>
        <w:pStyle w:val="7"/>
        <w:rPr>
          <w:rFonts w:hint="eastAsia" w:ascii="宋体" w:hAnsi="宋体" w:eastAsia="宋体" w:cs="宋体"/>
          <w:lang w:eastAsia="zh-CN"/>
        </w:rPr>
      </w:pPr>
      <w:r>
        <w:rPr>
          <w:rFonts w:hint="eastAsia" w:ascii="宋体" w:hAnsi="宋体" w:eastAsia="宋体" w:cs="宋体"/>
          <w:lang w:eastAsia="zh-CN"/>
        </w:rPr>
        <w:t>5.5.1 工程占地现状调查</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鲁南矿业现有工程占地情况见表5.5.1-1。。</w:t>
      </w:r>
    </w:p>
    <w:p>
      <w:pPr>
        <w:pStyle w:val="16"/>
        <w:autoSpaceDE/>
        <w:autoSpaceDN/>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表5.5.1-1 占地情况一览表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49"/>
        <w:gridCol w:w="1646"/>
        <w:gridCol w:w="1990"/>
        <w:gridCol w:w="2858"/>
        <w:gridCol w:w="18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957" w:type="pct"/>
            <w:gridSpan w:val="2"/>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类型</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占地面积（公顷）</w:t>
            </w:r>
          </w:p>
        </w:tc>
        <w:tc>
          <w:tcPr>
            <w:tcW w:w="992"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合计（hm</w:t>
            </w:r>
            <w:r>
              <w:rPr>
                <w:rFonts w:hint="eastAsia" w:ascii="宋体" w:hAnsi="宋体" w:eastAsia="宋体" w:cs="宋体"/>
                <w:b/>
                <w:bCs/>
                <w:sz w:val="21"/>
                <w:szCs w:val="21"/>
                <w:vertAlign w:val="superscript"/>
              </w:rPr>
              <w:t>2</w:t>
            </w:r>
            <w:r>
              <w:rPr>
                <w:rFonts w:hint="eastAsia" w:ascii="宋体" w:hAnsi="宋体" w:eastAsia="宋体" w:cs="宋体"/>
                <w:b/>
                <w:bCs/>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886" w:type="pct"/>
            <w:vMerge w:val="restar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露天采场</w:t>
            </w: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上河</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28.58</w:t>
            </w:r>
          </w:p>
        </w:tc>
        <w:tc>
          <w:tcPr>
            <w:tcW w:w="992" w:type="pct"/>
            <w:vMerge w:val="restar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王峪</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22.65</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886" w:type="pct"/>
            <w:vMerge w:val="restar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上河</w:t>
            </w: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北风井</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0.28</w:t>
            </w:r>
          </w:p>
        </w:tc>
        <w:tc>
          <w:tcPr>
            <w:tcW w:w="992" w:type="pct"/>
            <w:vMerge w:val="restar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89.79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中央回风井</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0.06</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斜坡道</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0.20</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主副井</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3.59</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886" w:type="pct"/>
            <w:vMerge w:val="restar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b/>
                <w:bCs/>
                <w:sz w:val="21"/>
                <w:szCs w:val="21"/>
              </w:rPr>
              <w:t>王峪</w:t>
            </w: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北风井</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0.21</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中央回风井</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0.45</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南风井</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0.47</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皮带斜井</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0.86</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1957" w:type="pct"/>
            <w:gridSpan w:val="2"/>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充填站</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0.83</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1957" w:type="pct"/>
            <w:gridSpan w:val="2"/>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废石堆场</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1.89</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886" w:type="pct"/>
            <w:vMerge w:val="restar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排土场</w:t>
            </w: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4.87</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7.36</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886" w:type="pct"/>
            <w:vMerge w:val="restar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尾矿库</w:t>
            </w: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20.64</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14.76</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尾矿坝</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8.86</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1957" w:type="pct"/>
            <w:gridSpan w:val="2"/>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选矿、球团及机修</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24.46</w:t>
            </w:r>
          </w:p>
        </w:tc>
        <w:tc>
          <w:tcPr>
            <w:tcW w:w="992"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19</w:t>
            </w:r>
          </w:p>
        </w:tc>
        <w:tc>
          <w:tcPr>
            <w:tcW w:w="886" w:type="pct"/>
            <w:vMerge w:val="restar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办公及其他</w:t>
            </w: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道路</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c>
          <w:tcPr>
            <w:tcW w:w="992"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办公区等</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33.61</w:t>
            </w:r>
          </w:p>
        </w:tc>
        <w:tc>
          <w:tcPr>
            <w:tcW w:w="992"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w:t>
            </w:r>
          </w:p>
        </w:tc>
        <w:tc>
          <w:tcPr>
            <w:tcW w:w="886" w:type="pct"/>
            <w:vMerge w:val="continue"/>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07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职工宿舍</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1.11</w:t>
            </w:r>
          </w:p>
        </w:tc>
        <w:tc>
          <w:tcPr>
            <w:tcW w:w="992"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11"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22</w:t>
            </w:r>
          </w:p>
        </w:tc>
        <w:tc>
          <w:tcPr>
            <w:tcW w:w="1957" w:type="pct"/>
            <w:gridSpan w:val="2"/>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合计</w:t>
            </w:r>
          </w:p>
        </w:tc>
        <w:tc>
          <w:tcPr>
            <w:tcW w:w="1538"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176.74</w:t>
            </w:r>
          </w:p>
        </w:tc>
        <w:tc>
          <w:tcPr>
            <w:tcW w:w="992" w:type="pct"/>
            <w:tcBorders>
              <w:tl2br w:val="nil"/>
              <w:tr2bl w:val="nil"/>
            </w:tcBorders>
            <w:noWrap/>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r>
    </w:tbl>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在企业现有工况用地上建设，不在新增占地。根据表5.5.1-1可知，</w:t>
      </w:r>
      <w:r>
        <w:rPr>
          <w:rFonts w:hint="eastAsia" w:cs="宋体"/>
          <w:lang w:eastAsia="zh-CN"/>
        </w:rPr>
        <w:t>本项目</w:t>
      </w:r>
      <w:r>
        <w:rPr>
          <w:rFonts w:hint="eastAsia" w:ascii="宋体" w:hAnsi="宋体" w:eastAsia="宋体" w:cs="宋体"/>
          <w:lang w:eastAsia="zh-CN"/>
        </w:rPr>
        <w:t>占地1.99hm</w:t>
      </w:r>
      <w:r>
        <w:rPr>
          <w:rFonts w:hint="eastAsia" w:ascii="宋体" w:hAnsi="宋体" w:eastAsia="宋体" w:cs="宋体"/>
          <w:vertAlign w:val="superscript"/>
          <w:lang w:eastAsia="zh-CN"/>
        </w:rPr>
        <w:t>2</w:t>
      </w:r>
      <w:r>
        <w:rPr>
          <w:rFonts w:hint="eastAsia" w:ascii="宋体" w:hAnsi="宋体" w:eastAsia="宋体" w:cs="宋体"/>
          <w:lang w:eastAsia="zh-CN"/>
        </w:rPr>
        <w:t>。</w:t>
      </w:r>
    </w:p>
    <w:p>
      <w:pPr>
        <w:pStyle w:val="7"/>
        <w:rPr>
          <w:rFonts w:hint="eastAsia" w:ascii="宋体" w:hAnsi="宋体" w:eastAsia="宋体" w:cs="宋体"/>
          <w:lang w:eastAsia="zh-CN"/>
        </w:rPr>
      </w:pPr>
      <w:r>
        <w:rPr>
          <w:rFonts w:hint="eastAsia" w:ascii="宋体" w:hAnsi="宋体" w:eastAsia="宋体" w:cs="宋体"/>
          <w:lang w:eastAsia="zh-CN"/>
        </w:rPr>
        <w:t>5.5.2 监测点位</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根据建设项目土壤环境影响类型、评价工作等级、土地利用类型确定，在开采区及工业场地占地范围内设置5个柱状样点，5个表层样点，在占地范围外设置5个表层点，具体见表5.5.2-1和图5.5.2-1。</w:t>
      </w:r>
    </w:p>
    <w:p>
      <w:pPr>
        <w:pStyle w:val="16"/>
        <w:autoSpaceDE/>
        <w:autoSpaceDN/>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表5.5.2-1 土壤现状监测布点</w:t>
      </w:r>
    </w:p>
    <w:tbl>
      <w:tblPr>
        <w:tblStyle w:val="24"/>
        <w:tblW w:w="499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36"/>
        <w:gridCol w:w="846"/>
        <w:gridCol w:w="1370"/>
        <w:gridCol w:w="1307"/>
        <w:gridCol w:w="599"/>
        <w:gridCol w:w="1791"/>
        <w:gridCol w:w="1896"/>
        <w:gridCol w:w="83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349" w:type="pct"/>
            <w:vMerge w:val="restar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编号</w:t>
            </w:r>
          </w:p>
        </w:tc>
        <w:tc>
          <w:tcPr>
            <w:tcW w:w="1437" w:type="pct"/>
            <w:gridSpan w:val="2"/>
            <w:vMerge w:val="restar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w:t>
            </w:r>
          </w:p>
        </w:tc>
        <w:tc>
          <w:tcPr>
            <w:tcW w:w="787" w:type="pct"/>
            <w:vMerge w:val="restart"/>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lang w:eastAsia="zh-CN"/>
              </w:rPr>
            </w:pPr>
            <w:r>
              <w:rPr>
                <w:rFonts w:hint="eastAsia" w:ascii="宋体" w:hAnsi="宋体" w:eastAsia="宋体" w:cs="宋体"/>
                <w:b/>
                <w:bCs/>
                <w:sz w:val="21"/>
                <w:lang w:eastAsia="zh-CN"/>
              </w:rPr>
              <w:t>设置意义</w:t>
            </w:r>
          </w:p>
        </w:tc>
        <w:tc>
          <w:tcPr>
            <w:tcW w:w="406" w:type="pct"/>
            <w:vMerge w:val="restart"/>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rPr>
            </w:pPr>
            <w:r>
              <w:rPr>
                <w:rFonts w:hint="eastAsia" w:ascii="宋体" w:hAnsi="宋体" w:eastAsia="宋体" w:cs="宋体"/>
                <w:b/>
                <w:bCs/>
                <w:sz w:val="21"/>
              </w:rPr>
              <w:t>土地</w:t>
            </w:r>
          </w:p>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lang w:eastAsia="zh-CN"/>
              </w:rPr>
            </w:pPr>
            <w:r>
              <w:rPr>
                <w:rFonts w:hint="eastAsia" w:ascii="宋体" w:hAnsi="宋体" w:eastAsia="宋体" w:cs="宋体"/>
                <w:b/>
                <w:bCs/>
                <w:sz w:val="21"/>
                <w:lang w:eastAsia="zh-CN"/>
              </w:rPr>
              <w:t>类型</w:t>
            </w:r>
          </w:p>
        </w:tc>
        <w:tc>
          <w:tcPr>
            <w:tcW w:w="1485" w:type="pct"/>
            <w:gridSpan w:val="2"/>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rPr>
            </w:pPr>
            <w:r>
              <w:rPr>
                <w:rFonts w:hint="eastAsia" w:ascii="宋体" w:hAnsi="宋体" w:eastAsia="宋体" w:cs="宋体"/>
                <w:b/>
                <w:bCs/>
                <w:sz w:val="21"/>
                <w:lang w:eastAsia="zh-CN"/>
              </w:rPr>
              <w:t>坐标</w:t>
            </w:r>
          </w:p>
        </w:tc>
        <w:tc>
          <w:tcPr>
            <w:tcW w:w="533" w:type="pct"/>
            <w:vMerge w:val="restart"/>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lang w:eastAsia="zh-CN"/>
              </w:rPr>
            </w:pPr>
            <w:r>
              <w:rPr>
                <w:rFonts w:hint="eastAsia" w:ascii="宋体" w:hAnsi="宋体" w:eastAsia="宋体" w:cs="宋体"/>
                <w:b/>
                <w:bCs/>
                <w:sz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trPr>
        <w:tc>
          <w:tcPr>
            <w:tcW w:w="349" w:type="pct"/>
            <w:vMerge w:val="continue"/>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437" w:type="pct"/>
            <w:gridSpan w:val="2"/>
            <w:vMerge w:val="continue"/>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787"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rPr>
            </w:pPr>
          </w:p>
        </w:tc>
        <w:tc>
          <w:tcPr>
            <w:tcW w:w="406"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rPr>
            </w:pPr>
          </w:p>
        </w:tc>
        <w:tc>
          <w:tcPr>
            <w:tcW w:w="714" w:type="pct"/>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lang w:eastAsia="zh-CN"/>
              </w:rPr>
            </w:pPr>
            <w:r>
              <w:rPr>
                <w:rFonts w:hint="eastAsia" w:ascii="宋体" w:hAnsi="宋体" w:eastAsia="宋体" w:cs="宋体"/>
                <w:b/>
                <w:bCs/>
                <w:sz w:val="21"/>
                <w:lang w:eastAsia="zh-CN"/>
              </w:rPr>
              <w:t>东经</w:t>
            </w:r>
          </w:p>
        </w:tc>
        <w:tc>
          <w:tcPr>
            <w:tcW w:w="771" w:type="pct"/>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lang w:eastAsia="zh-CN"/>
              </w:rPr>
            </w:pPr>
            <w:r>
              <w:rPr>
                <w:rFonts w:hint="eastAsia" w:ascii="宋体" w:hAnsi="宋体" w:eastAsia="宋体" w:cs="宋体"/>
                <w:b/>
                <w:bCs/>
                <w:sz w:val="21"/>
                <w:lang w:eastAsia="zh-CN"/>
              </w:rPr>
              <w:t>北纬</w:t>
            </w:r>
          </w:p>
        </w:tc>
        <w:tc>
          <w:tcPr>
            <w:tcW w:w="533"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b/>
                <w:bCs/>
                <w:sz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S1#</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选矿厂原矿石堆场</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了解矿石堆场土壤现状</w:t>
            </w:r>
          </w:p>
        </w:tc>
        <w:tc>
          <w:tcPr>
            <w:tcW w:w="406"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建设</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用地</w:t>
            </w: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35°56′39.83″</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118°26′48.92″</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S2#</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排土场</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了解矿石堆场土壤现状</w:t>
            </w:r>
          </w:p>
        </w:tc>
        <w:tc>
          <w:tcPr>
            <w:tcW w:w="40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35°57′28.95″</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118°27′46.39″</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S3#</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1#与2#尾矿库之间</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了解坍塌区周围土壤现状</w:t>
            </w:r>
          </w:p>
        </w:tc>
        <w:tc>
          <w:tcPr>
            <w:tcW w:w="40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35°57′26.44″</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118°28′05.69″</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S4#</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王峪南风井涌水池</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了解回水池周围土壤现状</w:t>
            </w:r>
          </w:p>
        </w:tc>
        <w:tc>
          <w:tcPr>
            <w:tcW w:w="406"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sz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 35°56'24"</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 118°28'12"</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S5#</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王峪中央回风井</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了解中央回风井周围土壤现状</w:t>
            </w:r>
          </w:p>
        </w:tc>
        <w:tc>
          <w:tcPr>
            <w:tcW w:w="406"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sz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35°57'00"</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118°27'36"</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S6#</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耿家王峪</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了解上风向土壤现状背景值</w:t>
            </w:r>
          </w:p>
        </w:tc>
        <w:tc>
          <w:tcPr>
            <w:tcW w:w="406" w:type="pct"/>
            <w:vMerge w:val="restart"/>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sz w:val="21"/>
                <w:lang w:eastAsia="zh-CN"/>
              </w:rPr>
            </w:pPr>
            <w:r>
              <w:rPr>
                <w:rFonts w:hint="eastAsia" w:ascii="宋体" w:hAnsi="宋体" w:eastAsia="宋体" w:cs="宋体"/>
                <w:bCs/>
                <w:sz w:val="21"/>
              </w:rPr>
              <w:t>农用地</w:t>
            </w: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sz w:val="21"/>
                <w:szCs w:val="21"/>
                <w:lang w:eastAsia="zh-CN"/>
              </w:rPr>
              <w:t>35°56′48.60″</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sz w:val="21"/>
                <w:szCs w:val="21"/>
                <w:lang w:eastAsia="zh-CN"/>
              </w:rPr>
              <w:t>118°28′00.96″</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Cs/>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S7#</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新民官村</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了解上风向土壤现状背景值</w:t>
            </w:r>
          </w:p>
        </w:tc>
        <w:tc>
          <w:tcPr>
            <w:tcW w:w="406"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sz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35°55′59.44″</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118°28′14.56″</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S8#</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张耿村地</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了解土壤现状背景值</w:t>
            </w:r>
          </w:p>
        </w:tc>
        <w:tc>
          <w:tcPr>
            <w:tcW w:w="406"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sz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35°56′19.60″</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118°26′53.16″</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S9#</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耿家林村地</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了解厂区下风向土壤现状背景值</w:t>
            </w:r>
          </w:p>
        </w:tc>
        <w:tc>
          <w:tcPr>
            <w:tcW w:w="406"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sz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35°57′32.05″</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118°27′25.49″</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S10#</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韩旺三村</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787"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了解土壤现状背景值</w:t>
            </w:r>
          </w:p>
        </w:tc>
        <w:tc>
          <w:tcPr>
            <w:tcW w:w="406" w:type="pct"/>
            <w:vMerge w:val="continue"/>
            <w:vAlign w:val="center"/>
          </w:tcPr>
          <w:p>
            <w:pPr>
              <w:pStyle w:val="45"/>
              <w:keepNext w:val="0"/>
              <w:keepLines w:val="0"/>
              <w:suppressLineNumbers w:val="0"/>
              <w:spacing w:before="0" w:beforeLines="0" w:beforeAutospacing="0" w:after="0" w:afterLines="0" w:afterAutospacing="0" w:line="240" w:lineRule="auto"/>
              <w:ind w:left="0" w:right="0" w:firstLine="0" w:firstLineChars="0"/>
              <w:rPr>
                <w:rFonts w:hint="eastAsia" w:ascii="宋体" w:hAnsi="宋体" w:eastAsia="宋体" w:cs="宋体"/>
                <w:sz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35°58′23.88″</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118°25′34.23″</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W1#</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选矿厂浓密池（深3.6m）</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柱状样，0~0.5、0.5~1.5、1.5~3m、3~5m分别取样</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了解污染程度</w:t>
            </w:r>
          </w:p>
        </w:tc>
        <w:tc>
          <w:tcPr>
            <w:tcW w:w="406" w:type="pct"/>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建设</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用地</w:t>
            </w: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35°56′25.88″</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118°27′46.56″</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W2#</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球团厂铁精粉仓库</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柱状样，0~0.5、0.5~1.5、1.5~3m分别取样</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了解污染程度</w:t>
            </w:r>
          </w:p>
        </w:tc>
        <w:tc>
          <w:tcPr>
            <w:tcW w:w="40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35°56′36.96″</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118°27′40.96″</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W3#</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球团沉淀池（深3m）</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柱状样，0~0.5、0.5~1.5、1.5~3m、3~5m分别取样</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了解污染程度</w:t>
            </w:r>
          </w:p>
        </w:tc>
        <w:tc>
          <w:tcPr>
            <w:tcW w:w="40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35°56′42.75″</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118°27′26.73″</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W4#</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尾矿库渗滤液回水池（深2.5m）</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柱状样，0~0.5、0.5~1.5、1.5~3m分别取样</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了解污染程度</w:t>
            </w:r>
          </w:p>
        </w:tc>
        <w:tc>
          <w:tcPr>
            <w:tcW w:w="40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35°57′27.82″</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118°27′34.90″</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349"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W5#</w:t>
            </w:r>
          </w:p>
        </w:tc>
        <w:tc>
          <w:tcPr>
            <w:tcW w:w="595"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主井周边</w:t>
            </w:r>
          </w:p>
        </w:tc>
        <w:tc>
          <w:tcPr>
            <w:tcW w:w="842" w:type="pct"/>
            <w:vAlign w:val="center"/>
          </w:tcPr>
          <w:p>
            <w:pPr>
              <w:pStyle w:val="16"/>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柱状样，0~0.5、0.5~1.5、1.5~3m分别取样</w:t>
            </w:r>
          </w:p>
        </w:tc>
        <w:tc>
          <w:tcPr>
            <w:tcW w:w="7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rPr>
              <w:t>了解污染程度</w:t>
            </w:r>
          </w:p>
        </w:tc>
        <w:tc>
          <w:tcPr>
            <w:tcW w:w="406" w:type="pct"/>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71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35°57′32.55″</w:t>
            </w:r>
          </w:p>
        </w:tc>
        <w:tc>
          <w:tcPr>
            <w:tcW w:w="77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118°27′05.85″</w:t>
            </w:r>
          </w:p>
        </w:tc>
        <w:tc>
          <w:tcPr>
            <w:tcW w:w="533"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lang w:eastAsia="zh-CN"/>
              </w:rPr>
              <w:t>/</w:t>
            </w:r>
          </w:p>
        </w:tc>
      </w:tr>
    </w:tbl>
    <w:p>
      <w:pPr>
        <w:pStyle w:val="7"/>
        <w:rPr>
          <w:rFonts w:hint="eastAsia" w:ascii="宋体" w:hAnsi="宋体" w:eastAsia="宋体" w:cs="宋体"/>
          <w:lang w:eastAsia="zh-CN"/>
        </w:rPr>
      </w:pPr>
      <w:r>
        <w:rPr>
          <w:rFonts w:hint="eastAsia" w:ascii="宋体" w:hAnsi="宋体" w:eastAsia="宋体" w:cs="宋体"/>
          <w:lang w:eastAsia="zh-CN"/>
        </w:rPr>
        <w:t>5.5.3 监测项目</w:t>
      </w:r>
    </w:p>
    <w:p>
      <w:pPr>
        <w:pStyle w:val="16"/>
        <w:ind w:firstLine="560"/>
        <w:rPr>
          <w:rFonts w:hint="eastAsia" w:ascii="宋体" w:hAnsi="宋体" w:eastAsia="宋体" w:cs="宋体"/>
        </w:rPr>
      </w:pPr>
      <w:r>
        <w:rPr>
          <w:rFonts w:hint="eastAsia" w:ascii="宋体" w:hAnsi="宋体" w:eastAsia="宋体" w:cs="宋体"/>
        </w:rPr>
        <w:t>根据相关标准及工程特征可知，</w:t>
      </w:r>
      <w:r>
        <w:rPr>
          <w:rFonts w:hint="eastAsia" w:ascii="宋体" w:hAnsi="宋体" w:cs="宋体"/>
          <w:lang w:eastAsia="zh-CN"/>
        </w:rPr>
        <w:t>本项目</w:t>
      </w:r>
      <w:r>
        <w:rPr>
          <w:rFonts w:hint="eastAsia" w:ascii="宋体" w:hAnsi="宋体" w:eastAsia="宋体" w:cs="宋体"/>
        </w:rPr>
        <w:t>监测指标见表5.5.3-1。</w:t>
      </w:r>
    </w:p>
    <w:p>
      <w:pPr>
        <w:pStyle w:val="16"/>
        <w:autoSpaceDE/>
        <w:autoSpaceDN/>
        <w:spacing w:line="24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表5.5.3-1 土壤监测指标</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295"/>
        <w:gridCol w:w="1172"/>
        <w:gridCol w:w="60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3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序号</w:t>
            </w:r>
          </w:p>
        </w:tc>
        <w:tc>
          <w:tcPr>
            <w:tcW w:w="69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监测点位</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监测深度</w:t>
            </w:r>
          </w:p>
        </w:tc>
        <w:tc>
          <w:tcPr>
            <w:tcW w:w="324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color w:val="000000"/>
                <w:kern w:val="2"/>
                <w:sz w:val="21"/>
                <w:szCs w:val="21"/>
                <w:lang w:eastAsia="zh-CN"/>
              </w:rPr>
            </w:pPr>
            <w:r>
              <w:rPr>
                <w:rFonts w:hint="eastAsia" w:ascii="宋体" w:hAnsi="宋体" w:eastAsia="宋体" w:cs="宋体"/>
                <w:b/>
                <w:bCs/>
                <w:color w:val="000000"/>
                <w:kern w:val="2"/>
                <w:sz w:val="21"/>
                <w:szCs w:val="21"/>
                <w:lang w:eastAsia="zh-CN"/>
              </w:rPr>
              <w:t>监测指标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431"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p>
        </w:tc>
        <w:tc>
          <w:tcPr>
            <w:tcW w:w="697"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W1#、W3#</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0~0.5m</w:t>
            </w:r>
          </w:p>
        </w:tc>
        <w:tc>
          <w:tcPr>
            <w:tcW w:w="3240"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pH值、全盐量；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铁、铝、钙、镁、锰、锌、钛、银、铬、钴、水溶性氟化物、总氟化物、总氰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431"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p>
        </w:tc>
        <w:tc>
          <w:tcPr>
            <w:tcW w:w="697"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lang w:eastAsia="zh-CN"/>
              </w:rPr>
            </w:pP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0.5~1.5m</w:t>
            </w:r>
          </w:p>
        </w:tc>
        <w:tc>
          <w:tcPr>
            <w:tcW w:w="324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431"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p>
        </w:tc>
        <w:tc>
          <w:tcPr>
            <w:tcW w:w="697"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1.5~3m</w:t>
            </w:r>
          </w:p>
        </w:tc>
        <w:tc>
          <w:tcPr>
            <w:tcW w:w="324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431"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p>
        </w:tc>
        <w:tc>
          <w:tcPr>
            <w:tcW w:w="697"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3~5m</w:t>
            </w:r>
          </w:p>
        </w:tc>
        <w:tc>
          <w:tcPr>
            <w:tcW w:w="324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69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S1#、S4#、S5#、S9#</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0～0.2m</w:t>
            </w:r>
          </w:p>
        </w:tc>
        <w:tc>
          <w:tcPr>
            <w:tcW w:w="324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420"/>
              <w:jc w:val="both"/>
              <w:rPr>
                <w:rFonts w:hint="eastAsia" w:ascii="宋体" w:hAnsi="宋体" w:eastAsia="宋体" w:cs="宋体"/>
                <w:color w:val="000000"/>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431"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697"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W2#、W4#、W5#</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0~0.5m</w:t>
            </w:r>
          </w:p>
        </w:tc>
        <w:tc>
          <w:tcPr>
            <w:tcW w:w="3240"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pH值、全盐量、砷、镉、铬（六价）、铜、铅、汞、镍、铁、铝、钙、镁、锰、锌、钛、银、铬、钴、水溶性氟化物、总氟化物、总氰化物。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431"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p>
        </w:tc>
        <w:tc>
          <w:tcPr>
            <w:tcW w:w="697"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lang w:eastAsia="zh-CN"/>
              </w:rPr>
            </w:pP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0.5~1.5m</w:t>
            </w:r>
          </w:p>
        </w:tc>
        <w:tc>
          <w:tcPr>
            <w:tcW w:w="324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 w:hRule="atLeast"/>
        </w:trPr>
        <w:tc>
          <w:tcPr>
            <w:tcW w:w="431"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p>
        </w:tc>
        <w:tc>
          <w:tcPr>
            <w:tcW w:w="697"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1.5~3m</w:t>
            </w:r>
          </w:p>
        </w:tc>
        <w:tc>
          <w:tcPr>
            <w:tcW w:w="324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4</w:t>
            </w:r>
          </w:p>
        </w:tc>
        <w:tc>
          <w:tcPr>
            <w:tcW w:w="69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S2#、S3#、S6#、S7#、S8#、S10#</w:t>
            </w:r>
          </w:p>
        </w:tc>
        <w:tc>
          <w:tcPr>
            <w:tcW w:w="6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0～0.2m</w:t>
            </w:r>
          </w:p>
        </w:tc>
        <w:tc>
          <w:tcPr>
            <w:tcW w:w="3240"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420"/>
              <w:jc w:val="both"/>
              <w:rPr>
                <w:rFonts w:hint="eastAsia" w:ascii="宋体" w:hAnsi="宋体" w:eastAsia="宋体" w:cs="宋体"/>
                <w:color w:val="000000"/>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3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5</w:t>
            </w:r>
          </w:p>
        </w:tc>
        <w:tc>
          <w:tcPr>
            <w:tcW w:w="1328" w:type="pct"/>
            <w:gridSpan w:val="2"/>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W1#、W3#</w:t>
            </w:r>
          </w:p>
        </w:tc>
        <w:tc>
          <w:tcPr>
            <w:tcW w:w="324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同时测量土壤理化特性，包括土壤阳离子交换量、氧化还原电位、饱和导水率、土壤容重、孔隙度的实验室测定和土壤颜色、结构、质地、砂砾含量、其他异物的现场记录，并给出带标尺的土壤剖面照片及其背景照片。</w:t>
            </w:r>
          </w:p>
        </w:tc>
      </w:tr>
    </w:tbl>
    <w:p>
      <w:pPr>
        <w:pStyle w:val="7"/>
        <w:rPr>
          <w:rFonts w:hint="eastAsia" w:ascii="宋体" w:hAnsi="宋体" w:eastAsia="宋体" w:cs="宋体"/>
          <w:lang w:eastAsia="zh-CN"/>
        </w:rPr>
      </w:pPr>
      <w:r>
        <w:rPr>
          <w:rFonts w:hint="eastAsia" w:ascii="宋体" w:hAnsi="宋体" w:eastAsia="宋体" w:cs="宋体"/>
          <w:lang w:eastAsia="zh-CN"/>
        </w:rPr>
        <w:t>5.5.4 监测时间与频率</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青岛普尼有限公司2021年7月2日至7月6日进行监测，监测点位主要包括S1#-S3#、S6#-S10#、W1#-W5#。济南浩宏伟业检测技术有限公司于2021年6月25日对S4#和S5#进行采样监测。</w:t>
      </w:r>
      <w:r>
        <w:rPr>
          <w:rFonts w:hint="eastAsia" w:cs="宋体"/>
          <w:kern w:val="2"/>
          <w:lang w:eastAsia="zh-CN"/>
        </w:rPr>
        <w:t>本项目</w:t>
      </w:r>
      <w:r>
        <w:rPr>
          <w:rFonts w:hint="eastAsia" w:ascii="宋体" w:hAnsi="宋体" w:eastAsia="宋体" w:cs="宋体"/>
          <w:kern w:val="2"/>
          <w:lang w:eastAsia="zh-CN"/>
        </w:rPr>
        <w:t>土壤监测共采集一次，采样一天。</w:t>
      </w:r>
    </w:p>
    <w:p>
      <w:pPr>
        <w:pStyle w:val="7"/>
        <w:rPr>
          <w:rFonts w:hint="eastAsia" w:ascii="宋体" w:hAnsi="宋体" w:eastAsia="宋体" w:cs="宋体"/>
          <w:lang w:eastAsia="zh-CN"/>
        </w:rPr>
      </w:pPr>
      <w:r>
        <w:rPr>
          <w:rFonts w:hint="eastAsia" w:ascii="宋体" w:hAnsi="宋体" w:eastAsia="宋体" w:cs="宋体"/>
          <w:lang w:eastAsia="zh-CN"/>
        </w:rPr>
        <w:t>5.5.5 监测分析方法</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 xml:space="preserve">分析方法执行《土壤环境质量 建设用地土壤污染风险管控标准》（试行）(GB36600-2018)和《土壤环境质量 农用地土壤污染风险管控标准（试行）》（GB 15618-2018）配套测定方法的要求执行。 </w:t>
      </w:r>
    </w:p>
    <w:p>
      <w:pPr>
        <w:autoSpaceDE/>
        <w:autoSpaceDN/>
        <w:ind w:firstLine="560"/>
        <w:rPr>
          <w:rFonts w:hint="eastAsia" w:ascii="宋体" w:hAnsi="宋体" w:eastAsia="宋体" w:cs="宋体"/>
          <w:kern w:val="2"/>
          <w:lang w:eastAsia="zh-CN"/>
        </w:rPr>
      </w:pPr>
      <w:r>
        <w:rPr>
          <w:rFonts w:hint="eastAsia" w:ascii="宋体" w:hAnsi="宋体" w:eastAsia="宋体" w:cs="宋体"/>
          <w:kern w:val="2"/>
          <w:lang w:eastAsia="zh-CN"/>
        </w:rPr>
        <w:t>监测方法和检出限见表5.5.5-1。</w:t>
      </w:r>
    </w:p>
    <w:p>
      <w:pPr>
        <w:autoSpaceDE/>
        <w:autoSpaceDN/>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表5.5.5-1 土壤检测方法一览表</w:t>
      </w:r>
    </w:p>
    <w:tbl>
      <w:tblPr>
        <w:tblStyle w:val="2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92"/>
        <w:gridCol w:w="394"/>
        <w:gridCol w:w="1728"/>
        <w:gridCol w:w="1481"/>
        <w:gridCol w:w="3184"/>
        <w:gridCol w:w="1272"/>
        <w:gridCol w:w="7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监测项目</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检测标准</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检测方法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检出限（mg/kg）</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pH值</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962-2018</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 pH值的测定 电位法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浩宏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砷</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GB/T22105.2-2008</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土壤质量 总汞、总砷、总铅的测定 原子荧光法 第2部分：土壤中总砷的测定</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镉</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GB/T17141-1997</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土壤质量 铅、镉的测定 石墨炉原子吸收分光光度法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铬（六价）</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1082-2019</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六价铬的测定 碱溶液提取-火焰原子吸收分光光度法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0.5</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汞</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GB/T22105.1-2008</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土壤质量 总汞、总砷、总铅的测定 原子荧光法 第1部分：土壤中总汞的测定</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0.002</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铜</w:t>
            </w:r>
          </w:p>
        </w:tc>
        <w:tc>
          <w:tcPr>
            <w:tcW w:w="797"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491-2019</w:t>
            </w:r>
          </w:p>
        </w:tc>
        <w:tc>
          <w:tcPr>
            <w:tcW w:w="171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铜、锌、铅、镍、铬的测定 火焰原子吸收分光光度法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镍</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铬</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锌</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铅</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GB/T17141-1997</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土壤质量 铅、镉的测定 石墨炉原子吸收分光光度法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w:t>
            </w:r>
          </w:p>
        </w:tc>
        <w:tc>
          <w:tcPr>
            <w:tcW w:w="212" w:type="pct"/>
            <w:vMerge w:val="restar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TVOC</w:t>
            </w:r>
          </w:p>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四氯化碳</w:t>
            </w:r>
          </w:p>
        </w:tc>
        <w:tc>
          <w:tcPr>
            <w:tcW w:w="797"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741-2015</w:t>
            </w:r>
          </w:p>
        </w:tc>
        <w:tc>
          <w:tcPr>
            <w:tcW w:w="171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挥发性有机物的测定 顶空气相色谱法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0.03</w:t>
            </w:r>
          </w:p>
        </w:tc>
        <w:tc>
          <w:tcPr>
            <w:tcW w:w="39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浩宏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氯仿</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1,1-二氯乙烷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1,2-二氯乙烷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1,1-二氯乙烯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顺-1,2-二氯乙烯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0.008</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17</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反-1,2-二氯乙烯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18</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二氯甲烷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1,2-二氯丙烷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0.008</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1,1,1,2-四氯乙烷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21</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1,1,2,2-四氯乙烷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22</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四氯乙烯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23</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1,1,1-三氯乙烷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24</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1,1,2-三氯乙烷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25</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三氯乙烯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0.009</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26</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1,2,3-三氯丙烷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27</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28</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0.005</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30</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1,2-二氯苯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31</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1,4-二氯苯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0.008</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32</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乙苯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0.006</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33</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34</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甲苯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0.006</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35</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间二甲苯+对二甲苯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0.009</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36</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邻二甲苯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37</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氯甲烷</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HJ 736-2015 </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挥发性卤代烃的测定 顶空气相色谱-质谱法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0.003</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浩宏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38</w:t>
            </w:r>
          </w:p>
        </w:tc>
        <w:tc>
          <w:tcPr>
            <w:tcW w:w="212" w:type="pct"/>
            <w:vMerge w:val="restar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TVOC</w:t>
            </w: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四氯化碳</w:t>
            </w:r>
          </w:p>
        </w:tc>
        <w:tc>
          <w:tcPr>
            <w:tcW w:w="797"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605-2011</w:t>
            </w:r>
          </w:p>
        </w:tc>
        <w:tc>
          <w:tcPr>
            <w:tcW w:w="171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挥发性有机物的测定 吹扫捕集气相色谱-质谱法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0.0013</w:t>
            </w:r>
          </w:p>
        </w:tc>
        <w:tc>
          <w:tcPr>
            <w:tcW w:w="39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谱尼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39</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氯仿</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40</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氯甲烷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41</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1,1-二氯乙烷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42</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1,2-二氯乙烷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0.0013</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43</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1,1-二氯乙烯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44</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顺-1,2-二氯乙烯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0.0013</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45</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反-1,2-二氯乙烯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0.0014</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46</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二氯甲烷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0.0015</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47</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1,2-二氯丙烷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48</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1,1,1,2-四氯乙烷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49</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1,1,2,2-四氯乙烷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50</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四氯乙烯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0.0014</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51</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1,1,1-三氯乙烷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0.0013</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52</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1,1,2-三氯乙烷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53</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三氯乙烯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54</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1,2,3-三氯丙烷</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55</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56</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0.0019</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57</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氯苯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58</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1,2-二氯苯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0.0015</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59</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1,4-二氯苯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0.0015</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60</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乙苯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61</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苯乙烯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0.0011</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62</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甲苯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0.0013</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63</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间二甲苯+对二甲苯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64</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邻二甲苯</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0.0012</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65</w:t>
            </w:r>
          </w:p>
        </w:tc>
        <w:tc>
          <w:tcPr>
            <w:tcW w:w="212" w:type="pct"/>
            <w:vMerge w:val="restar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VOC</w:t>
            </w: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硝基苯</w:t>
            </w:r>
          </w:p>
        </w:tc>
        <w:tc>
          <w:tcPr>
            <w:tcW w:w="797"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834-2017</w:t>
            </w:r>
          </w:p>
        </w:tc>
        <w:tc>
          <w:tcPr>
            <w:tcW w:w="171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半挥发性有机物的测定 气相色谱-质谱法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0.09</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66</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苯胺</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0.09</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67</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2-氯酚</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0.06</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68</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苯并[a]蒽</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69</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苯并[a]芘</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70</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苯并[b]荧蒽</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71</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苯并[k]荧蒽</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72</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䓛</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73</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二苯并[a,h]蒽</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74</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茚并[1,2,3-cd]芘</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75</w:t>
            </w:r>
          </w:p>
        </w:tc>
        <w:tc>
          <w:tcPr>
            <w:tcW w:w="212"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930"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萘</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0.09</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76</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全盐量</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NY/T1121.16-2006</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土壤检测 第16部分：土壤水溶性盐总量的测定</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77</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水溶性氟化物</w:t>
            </w:r>
          </w:p>
        </w:tc>
        <w:tc>
          <w:tcPr>
            <w:tcW w:w="797"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873-2017</w:t>
            </w:r>
          </w:p>
        </w:tc>
        <w:tc>
          <w:tcPr>
            <w:tcW w:w="171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 水溶性氟化物和总氟化物的测定 离子选择电极法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0.7</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78</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总氟化物</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63</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79</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总氰化物</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745-2015</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 氰化物和总氰化物的测定分光光度法</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0.04</w:t>
            </w:r>
          </w:p>
        </w:tc>
        <w:tc>
          <w:tcPr>
            <w:tcW w:w="39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80</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钙</w:t>
            </w:r>
          </w:p>
        </w:tc>
        <w:tc>
          <w:tcPr>
            <w:tcW w:w="797"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NY/T</w:t>
            </w:r>
          </w:p>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296-1995</w:t>
            </w:r>
          </w:p>
        </w:tc>
        <w:tc>
          <w:tcPr>
            <w:tcW w:w="171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土壤全量钙、镁、钠的测定</w:t>
            </w: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394" w:type="pct"/>
            <w:vMerge w:val="restar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浩宏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81</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镁</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394"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82</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钙</w:t>
            </w:r>
          </w:p>
        </w:tc>
        <w:tc>
          <w:tcPr>
            <w:tcW w:w="797" w:type="pct"/>
            <w:vMerge w:val="restar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974-2018</w:t>
            </w:r>
          </w:p>
        </w:tc>
        <w:tc>
          <w:tcPr>
            <w:tcW w:w="171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11种元素的测定 碱熔-电感耦合等离子体发射光谱法</w:t>
            </w:r>
          </w:p>
        </w:tc>
        <w:tc>
          <w:tcPr>
            <w:tcW w:w="68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100</w:t>
            </w:r>
          </w:p>
        </w:tc>
        <w:tc>
          <w:tcPr>
            <w:tcW w:w="394" w:type="pct"/>
            <w:vMerge w:val="restar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谱尼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83</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镁</w:t>
            </w:r>
          </w:p>
        </w:tc>
        <w:tc>
          <w:tcPr>
            <w:tcW w:w="797"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100</w:t>
            </w:r>
          </w:p>
        </w:tc>
        <w:tc>
          <w:tcPr>
            <w:tcW w:w="394" w:type="pct"/>
            <w:vMerge w:val="continue"/>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84</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铁</w:t>
            </w:r>
          </w:p>
        </w:tc>
        <w:tc>
          <w:tcPr>
            <w:tcW w:w="797"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974-2018</w:t>
            </w:r>
          </w:p>
        </w:tc>
        <w:tc>
          <w:tcPr>
            <w:tcW w:w="171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11种元素的测定 碱熔-电感耦合等离子体发射光谱法</w:t>
            </w:r>
          </w:p>
        </w:tc>
        <w:tc>
          <w:tcPr>
            <w:tcW w:w="68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200</w:t>
            </w:r>
          </w:p>
        </w:tc>
        <w:tc>
          <w:tcPr>
            <w:tcW w:w="394" w:type="pct"/>
            <w:vMerge w:val="restar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85</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铝</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300</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86</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锰</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87</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钛</w:t>
            </w:r>
          </w:p>
        </w:tc>
        <w:tc>
          <w:tcPr>
            <w:tcW w:w="797"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71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68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394" w:type="pct"/>
            <w:vMerge w:val="continue"/>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88</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钴</w:t>
            </w:r>
          </w:p>
        </w:tc>
        <w:tc>
          <w:tcPr>
            <w:tcW w:w="797"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HJ 1081-2019</w:t>
            </w:r>
          </w:p>
        </w:tc>
        <w:tc>
          <w:tcPr>
            <w:tcW w:w="1714"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土壤和沉积物 钴的测定 火焰原子吸收分光光度法</w:t>
            </w:r>
          </w:p>
        </w:tc>
        <w:tc>
          <w:tcPr>
            <w:tcW w:w="68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394"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6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89</w:t>
            </w:r>
          </w:p>
        </w:tc>
        <w:tc>
          <w:tcPr>
            <w:tcW w:w="1142" w:type="pct"/>
            <w:gridSpan w:val="2"/>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银</w:t>
            </w:r>
          </w:p>
        </w:tc>
        <w:tc>
          <w:tcPr>
            <w:tcW w:w="797"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EPA6010D:2014</w:t>
            </w:r>
          </w:p>
        </w:tc>
        <w:tc>
          <w:tcPr>
            <w:tcW w:w="1714" w:type="pct"/>
            <w:tcBorders>
              <w:tl2br w:val="nil"/>
              <w:tr2bl w:val="nil"/>
            </w:tcBorders>
            <w:shd w:val="clear" w:color="auto" w:fill="auto"/>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电感耦合等离子体原子发射光谱法</w:t>
            </w:r>
          </w:p>
        </w:tc>
        <w:tc>
          <w:tcPr>
            <w:tcW w:w="685"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394" w:type="pct"/>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谱尼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000" w:type="pct"/>
            <w:gridSpan w:val="7"/>
            <w:tcBorders>
              <w:tl2br w:val="nil"/>
              <w:tr2bl w:val="nil"/>
            </w:tcBorders>
            <w:shd w:val="clear" w:color="auto" w:fill="auto"/>
            <w:noWrap/>
            <w:vAlign w:val="center"/>
          </w:tcPr>
          <w:p>
            <w:pPr>
              <w:keepNext w:val="0"/>
              <w:keepLines w:val="0"/>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b/>
                <w:bCs/>
                <w:kern w:val="2"/>
                <w:sz w:val="21"/>
                <w:szCs w:val="21"/>
                <w:lang w:eastAsia="zh-CN"/>
              </w:rPr>
              <w:t>备注：</w:t>
            </w:r>
            <w:r>
              <w:rPr>
                <w:rFonts w:hint="eastAsia" w:ascii="宋体" w:hAnsi="宋体" w:eastAsia="宋体" w:cs="宋体"/>
                <w:kern w:val="2"/>
                <w:sz w:val="21"/>
                <w:szCs w:val="21"/>
                <w:lang w:eastAsia="zh-CN"/>
              </w:rPr>
              <w:t>浩宏为济南浩宏伟业检测技术有限公司；谱尼为</w:t>
            </w:r>
            <w:r>
              <w:rPr>
                <w:rFonts w:hint="eastAsia" w:ascii="宋体" w:hAnsi="宋体" w:eastAsia="宋体" w:cs="宋体"/>
              </w:rPr>
              <w:fldChar w:fldCharType="begin"/>
            </w:r>
            <w:r>
              <w:rPr>
                <w:rFonts w:hint="eastAsia" w:ascii="宋体" w:hAnsi="宋体" w:eastAsia="宋体" w:cs="宋体"/>
              </w:rPr>
              <w:instrText xml:space="preserve"> HYPERLINK "https://qdponytest.51pla.com/" \o "青岛谱尼测试有限公司" </w:instrText>
            </w:r>
            <w:r>
              <w:rPr>
                <w:rFonts w:hint="eastAsia" w:ascii="宋体" w:hAnsi="宋体" w:eastAsia="宋体" w:cs="宋体"/>
              </w:rPr>
              <w:fldChar w:fldCharType="separate"/>
            </w:r>
            <w:r>
              <w:rPr>
                <w:rFonts w:hint="eastAsia" w:ascii="宋体" w:hAnsi="宋体" w:eastAsia="宋体" w:cs="宋体"/>
                <w:kern w:val="2"/>
                <w:sz w:val="21"/>
                <w:szCs w:val="21"/>
                <w:lang w:eastAsia="zh-CN"/>
              </w:rPr>
              <w:t>青岛谱尼测试有限公司</w:t>
            </w:r>
            <w:r>
              <w:rPr>
                <w:rFonts w:hint="eastAsia" w:ascii="宋体" w:hAnsi="宋体" w:eastAsia="宋体" w:cs="宋体"/>
                <w:kern w:val="2"/>
                <w:sz w:val="21"/>
                <w:szCs w:val="21"/>
                <w:lang w:eastAsia="zh-CN"/>
              </w:rPr>
              <w:fldChar w:fldCharType="end"/>
            </w:r>
            <w:r>
              <w:rPr>
                <w:rFonts w:hint="eastAsia" w:ascii="宋体" w:hAnsi="宋体" w:eastAsia="宋体" w:cs="宋体"/>
                <w:kern w:val="2"/>
                <w:sz w:val="21"/>
                <w:szCs w:val="21"/>
                <w:lang w:eastAsia="zh-CN"/>
              </w:rPr>
              <w:t>；/代表两个公司均使用的方法。</w:t>
            </w:r>
          </w:p>
        </w:tc>
      </w:tr>
    </w:tbl>
    <w:p>
      <w:pPr>
        <w:pStyle w:val="7"/>
        <w:rPr>
          <w:rFonts w:hint="eastAsia" w:ascii="宋体" w:hAnsi="宋体" w:eastAsia="宋体" w:cs="宋体"/>
          <w:lang w:eastAsia="zh-CN"/>
        </w:rPr>
      </w:pPr>
      <w:r>
        <w:rPr>
          <w:rFonts w:hint="eastAsia" w:ascii="宋体" w:hAnsi="宋体" w:eastAsia="宋体" w:cs="宋体"/>
          <w:lang w:eastAsia="zh-CN"/>
        </w:rPr>
        <w:t>5.5.6 监测结果</w:t>
      </w:r>
    </w:p>
    <w:p>
      <w:pPr>
        <w:pStyle w:val="16"/>
        <w:ind w:firstLine="560"/>
        <w:rPr>
          <w:rFonts w:hint="eastAsia" w:ascii="宋体" w:hAnsi="宋体" w:eastAsia="宋体" w:cs="宋体"/>
        </w:rPr>
      </w:pPr>
      <w:r>
        <w:rPr>
          <w:rFonts w:hint="eastAsia" w:ascii="宋体" w:hAnsi="宋体" w:eastAsia="宋体" w:cs="宋体"/>
        </w:rPr>
        <w:t>根据</w:t>
      </w:r>
      <w:r>
        <w:rPr>
          <w:rFonts w:hint="eastAsia" w:ascii="宋体" w:hAnsi="宋体" w:eastAsia="宋体" w:cs="宋体"/>
        </w:rPr>
        <w:fldChar w:fldCharType="begin"/>
      </w:r>
      <w:r>
        <w:rPr>
          <w:rFonts w:hint="eastAsia" w:ascii="宋体" w:hAnsi="宋体" w:eastAsia="宋体" w:cs="宋体"/>
        </w:rPr>
        <w:instrText xml:space="preserve"> HYPERLINK "https://qdponytest.51pla.com/" \o "青岛谱尼测试有限公司" </w:instrText>
      </w:r>
      <w:r>
        <w:rPr>
          <w:rFonts w:hint="eastAsia" w:ascii="宋体" w:hAnsi="宋体" w:eastAsia="宋体" w:cs="宋体"/>
        </w:rPr>
        <w:fldChar w:fldCharType="separate"/>
      </w:r>
      <w:r>
        <w:rPr>
          <w:rFonts w:hint="eastAsia" w:ascii="宋体" w:hAnsi="宋体" w:eastAsia="宋体" w:cs="宋体"/>
        </w:rPr>
        <w:t>青岛谱尼测试有限公司</w:t>
      </w:r>
      <w:r>
        <w:rPr>
          <w:rFonts w:hint="eastAsia" w:ascii="宋体" w:hAnsi="宋体" w:eastAsia="宋体" w:cs="宋体"/>
        </w:rPr>
        <w:fldChar w:fldCharType="end"/>
      </w:r>
      <w:r>
        <w:rPr>
          <w:rFonts w:hint="eastAsia" w:ascii="宋体" w:hAnsi="宋体" w:eastAsia="宋体" w:cs="宋体"/>
        </w:rPr>
        <w:t>出具的报告编号为NPBYL7GM638035H9Z、NPBYL7GM638415H9Z，以及济南浩宏伟业检测技术有限公司出具的报告编号为HHWY-202106H03，可知土壤现状及理化性质监测结果，详见表5.5.6-1、表5.5.6-2。</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表5.5.6-1 土壤现状监测结果一览表（单位：mg/kg）</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62"/>
        <w:gridCol w:w="379"/>
        <w:gridCol w:w="1511"/>
        <w:gridCol w:w="1143"/>
        <w:gridCol w:w="1155"/>
        <w:gridCol w:w="1155"/>
        <w:gridCol w:w="1156"/>
        <w:gridCol w:w="1156"/>
        <w:gridCol w:w="116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49"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018" w:type="pct"/>
            <w:gridSpan w:val="2"/>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监测指标</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S1#</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S4#</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S5#</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S9#</w:t>
            </w:r>
          </w:p>
        </w:tc>
        <w:tc>
          <w:tcPr>
            <w:tcW w:w="1248" w:type="pct"/>
            <w:gridSpan w:val="2"/>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W4#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4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018" w:type="pct"/>
            <w:gridSpan w:val="2"/>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0-0.5m</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0.5-1.5m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pH值（无量纲）</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7.20</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7.46 </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7.60 </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7.50</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7.68</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2.54</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3.75</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2.62</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10.9</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18.0</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镉</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0.12</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0.24</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0.16</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0.12</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0.41</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铬（六价）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汞</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0.028</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0.013</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0.017</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铜</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47</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52</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80</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铅</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21.4</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15.8</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17.8</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31.6</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58.2</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镍</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120</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89</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39</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34</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44</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259</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216</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115</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锌</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54</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76</w:t>
            </w:r>
          </w:p>
        </w:tc>
        <w:tc>
          <w:tcPr>
            <w:tcW w:w="1155" w:type="dxa"/>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80</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77</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157</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TVOC</w:t>
            </w: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四氯化碳</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氯仿</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氯甲烷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1,1-二氯乙烷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1,2-二氯乙烷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1,1-二氯乙烯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顺-1,2-二氯乙烯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反-1,2-二氯乙烯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二氯甲烷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1,2-二氯丙烷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1,1,1,2-四氯乙烷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1,1,2,2-四氯乙烷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四氯乙烯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1,1,1-三氯乙烷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1,1,2-三氯乙烷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三氯乙烯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1,2,3-三氯丙烷</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氯乙烯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1,2-二氯苯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1,4-二氯苯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乙苯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苯乙烯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甲苯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间二甲苯+对二甲苯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邻二甲苯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VOC</w:t>
            </w: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硝基苯</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苯胺</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2-氯酚</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苯并[a]蒽</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苯并[a]芘</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苯并[b]荧蒽</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苯并[k]荧蒽</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䓛</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二苯并[a,h]蒽</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茚并[1,2,3-cd]芘</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20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8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萘</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全盐量（g/kg）</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0.14</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0.88</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0.74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水溶性氟化物</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4.9</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4.1</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21.6</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总氟化物</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610</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1.27×10</w:t>
            </w:r>
            <w:r>
              <w:rPr>
                <w:rFonts w:hint="eastAsia" w:ascii="宋体" w:hAnsi="宋体" w:eastAsia="宋体" w:cs="宋体"/>
                <w:sz w:val="21"/>
                <w:szCs w:val="21"/>
                <w:vertAlign w:val="superscript"/>
              </w:rPr>
              <w:t>3</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308</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450</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847</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562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总氰化物</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钙</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4.62×10</w:t>
            </w:r>
            <w:r>
              <w:rPr>
                <w:rFonts w:hint="eastAsia" w:ascii="宋体" w:hAnsi="宋体" w:eastAsia="宋体" w:cs="宋体"/>
                <w:sz w:val="21"/>
                <w:szCs w:val="21"/>
                <w:vertAlign w:val="superscript"/>
              </w:rPr>
              <w:t>4</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4.08×10</w:t>
            </w:r>
            <w:r>
              <w:rPr>
                <w:rFonts w:hint="eastAsia" w:ascii="宋体" w:hAnsi="宋体" w:eastAsia="宋体" w:cs="宋体"/>
                <w:sz w:val="21"/>
                <w:szCs w:val="21"/>
                <w:vertAlign w:val="superscript"/>
              </w:rPr>
              <w:t>4</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4.21×10</w:t>
            </w:r>
            <w:r>
              <w:rPr>
                <w:rFonts w:hint="eastAsia" w:ascii="宋体" w:hAnsi="宋体" w:eastAsia="宋体" w:cs="宋体"/>
                <w:sz w:val="21"/>
                <w:szCs w:val="21"/>
                <w:vertAlign w:val="superscript"/>
              </w:rPr>
              <w:t>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2.44×10</w:t>
            </w:r>
            <w:r>
              <w:rPr>
                <w:rFonts w:hint="eastAsia" w:ascii="宋体" w:hAnsi="宋体" w:eastAsia="宋体" w:cs="宋体"/>
                <w:sz w:val="21"/>
                <w:szCs w:val="21"/>
                <w:vertAlign w:val="superscript"/>
              </w:rPr>
              <w:t>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4.64×10</w:t>
            </w:r>
            <w:r>
              <w:rPr>
                <w:rFonts w:hint="eastAsia" w:ascii="宋体" w:hAnsi="宋体" w:eastAsia="宋体" w:cs="宋体"/>
                <w:sz w:val="21"/>
                <w:szCs w:val="21"/>
                <w:vertAlign w:val="superscript"/>
              </w:rPr>
              <w:t>4</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2.66×10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镁</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1.84×10</w:t>
            </w:r>
            <w:r>
              <w:rPr>
                <w:rFonts w:hint="eastAsia" w:ascii="宋体" w:hAnsi="宋体" w:eastAsia="宋体" w:cs="宋体"/>
                <w:sz w:val="21"/>
                <w:szCs w:val="21"/>
                <w:vertAlign w:val="superscript"/>
              </w:rPr>
              <w:t>4</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2.59×10</w:t>
            </w:r>
            <w:r>
              <w:rPr>
                <w:rFonts w:hint="eastAsia" w:ascii="宋体" w:hAnsi="宋体" w:eastAsia="宋体" w:cs="宋体"/>
                <w:sz w:val="21"/>
                <w:szCs w:val="21"/>
                <w:vertAlign w:val="superscript"/>
              </w:rPr>
              <w:t>4</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2.56×10</w:t>
            </w:r>
            <w:r>
              <w:rPr>
                <w:rFonts w:hint="eastAsia" w:ascii="宋体" w:hAnsi="宋体" w:eastAsia="宋体" w:cs="宋体"/>
                <w:sz w:val="21"/>
                <w:szCs w:val="21"/>
                <w:vertAlign w:val="superscript"/>
              </w:rPr>
              <w:t>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2.06×10</w:t>
            </w:r>
            <w:r>
              <w:rPr>
                <w:rFonts w:hint="eastAsia" w:ascii="宋体" w:hAnsi="宋体" w:eastAsia="宋体" w:cs="宋体"/>
                <w:sz w:val="21"/>
                <w:szCs w:val="21"/>
                <w:vertAlign w:val="superscript"/>
              </w:rPr>
              <w:t>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3.18×10</w:t>
            </w:r>
            <w:r>
              <w:rPr>
                <w:rFonts w:hint="eastAsia" w:ascii="宋体" w:hAnsi="宋体" w:eastAsia="宋体" w:cs="宋体"/>
                <w:sz w:val="21"/>
                <w:szCs w:val="21"/>
                <w:vertAlign w:val="superscript"/>
              </w:rPr>
              <w:t>4</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2.44×10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铁</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5.46×10</w:t>
            </w:r>
            <w:r>
              <w:rPr>
                <w:rFonts w:hint="eastAsia" w:ascii="宋体" w:hAnsi="宋体" w:eastAsia="宋体" w:cs="宋体"/>
                <w:sz w:val="21"/>
                <w:szCs w:val="21"/>
                <w:vertAlign w:val="superscript"/>
              </w:rPr>
              <w:t>4</w:t>
            </w:r>
          </w:p>
        </w:tc>
        <w:tc>
          <w:tcPr>
            <w:tcW w:w="62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1.59×10</w:t>
            </w:r>
            <w:r>
              <w:rPr>
                <w:rFonts w:hint="eastAsia" w:ascii="宋体" w:hAnsi="宋体" w:eastAsia="宋体" w:cs="宋体"/>
                <w:kern w:val="2"/>
                <w:sz w:val="21"/>
                <w:szCs w:val="21"/>
                <w:vertAlign w:val="superscript"/>
                <w:lang w:eastAsia="zh-CN"/>
              </w:rPr>
              <w:t>5</w:t>
            </w:r>
          </w:p>
        </w:tc>
        <w:tc>
          <w:tcPr>
            <w:tcW w:w="62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3.41×10</w:t>
            </w:r>
            <w:r>
              <w:rPr>
                <w:rFonts w:hint="eastAsia" w:ascii="宋体" w:hAnsi="宋体" w:eastAsia="宋体" w:cs="宋体"/>
                <w:kern w:val="2"/>
                <w:sz w:val="21"/>
                <w:szCs w:val="21"/>
                <w:vertAlign w:val="superscript"/>
                <w:lang w:eastAsia="zh-CN"/>
              </w:rPr>
              <w:t>5</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6.70×10</w:t>
            </w:r>
            <w:r>
              <w:rPr>
                <w:rFonts w:hint="eastAsia" w:ascii="宋体" w:hAnsi="宋体" w:eastAsia="宋体" w:cs="宋体"/>
                <w:sz w:val="21"/>
                <w:szCs w:val="21"/>
                <w:vertAlign w:val="superscript"/>
              </w:rPr>
              <w:t>4</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1.91×10</w:t>
            </w:r>
            <w:r>
              <w:rPr>
                <w:rFonts w:hint="eastAsia" w:ascii="宋体" w:hAnsi="宋体" w:eastAsia="宋体" w:cs="宋体"/>
                <w:sz w:val="21"/>
                <w:szCs w:val="21"/>
                <w:vertAlign w:val="superscript"/>
              </w:rPr>
              <w:t>5</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7.12×10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铝</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1.34×10</w:t>
            </w:r>
            <w:r>
              <w:rPr>
                <w:rFonts w:hint="eastAsia" w:ascii="宋体" w:hAnsi="宋体" w:eastAsia="宋体" w:cs="宋体"/>
                <w:sz w:val="21"/>
                <w:szCs w:val="21"/>
                <w:vertAlign w:val="superscript"/>
              </w:rPr>
              <w:t>5</w:t>
            </w:r>
          </w:p>
        </w:tc>
        <w:tc>
          <w:tcPr>
            <w:tcW w:w="62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2.94×10</w:t>
            </w:r>
            <w:r>
              <w:rPr>
                <w:rFonts w:hint="eastAsia" w:ascii="宋体" w:hAnsi="宋体" w:eastAsia="宋体" w:cs="宋体"/>
                <w:kern w:val="2"/>
                <w:sz w:val="21"/>
                <w:szCs w:val="21"/>
                <w:vertAlign w:val="superscript"/>
                <w:lang w:eastAsia="zh-CN"/>
              </w:rPr>
              <w:t>5</w:t>
            </w:r>
          </w:p>
        </w:tc>
        <w:tc>
          <w:tcPr>
            <w:tcW w:w="62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2.43×10</w:t>
            </w:r>
            <w:r>
              <w:rPr>
                <w:rFonts w:hint="eastAsia" w:ascii="宋体" w:hAnsi="宋体" w:eastAsia="宋体" w:cs="宋体"/>
                <w:kern w:val="2"/>
                <w:sz w:val="21"/>
                <w:szCs w:val="21"/>
                <w:vertAlign w:val="superscript"/>
                <w:lang w:eastAsia="zh-CN"/>
              </w:rPr>
              <w:t>5</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1.15×10</w:t>
            </w:r>
            <w:r>
              <w:rPr>
                <w:rFonts w:hint="eastAsia" w:ascii="宋体" w:hAnsi="宋体" w:eastAsia="宋体" w:cs="宋体"/>
                <w:sz w:val="21"/>
                <w:szCs w:val="21"/>
                <w:vertAlign w:val="superscript"/>
              </w:rPr>
              <w:t>5</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8.84×10</w:t>
            </w:r>
            <w:r>
              <w:rPr>
                <w:rFonts w:hint="eastAsia" w:ascii="宋体" w:hAnsi="宋体" w:eastAsia="宋体" w:cs="宋体"/>
                <w:sz w:val="21"/>
                <w:szCs w:val="21"/>
                <w:vertAlign w:val="superscript"/>
              </w:rPr>
              <w:t>4</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1.10×10</w:t>
            </w:r>
            <w:r>
              <w:rPr>
                <w:rFonts w:hint="eastAsia" w:ascii="宋体" w:hAnsi="宋体" w:eastAsia="宋体" w:cs="宋体"/>
                <w:sz w:val="21"/>
                <w:szCs w:val="21"/>
                <w:vertAlign w:val="superscript"/>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锰</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432</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730</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1.17×10</w:t>
            </w:r>
            <w:r>
              <w:rPr>
                <w:rFonts w:hint="eastAsia" w:ascii="宋体" w:hAnsi="宋体" w:eastAsia="宋体" w:cs="宋体"/>
                <w:sz w:val="21"/>
                <w:szCs w:val="21"/>
                <w:vertAlign w:val="superscript"/>
              </w:rPr>
              <w:t>3</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736</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1.16×10</w:t>
            </w:r>
            <w:r>
              <w:rPr>
                <w:rFonts w:hint="eastAsia" w:ascii="宋体" w:hAnsi="宋体" w:eastAsia="宋体" w:cs="宋体"/>
                <w:sz w:val="21"/>
                <w:szCs w:val="21"/>
                <w:vertAlign w:val="superscript"/>
              </w:rPr>
              <w:t>3</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钛</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5.41×10</w:t>
            </w:r>
            <w:r>
              <w:rPr>
                <w:rFonts w:hint="eastAsia" w:ascii="宋体" w:hAnsi="宋体" w:eastAsia="宋体" w:cs="宋体"/>
                <w:sz w:val="21"/>
                <w:szCs w:val="21"/>
                <w:vertAlign w:val="superscript"/>
              </w:rPr>
              <w:t>3</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65.5</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32.8</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3.66×10</w:t>
            </w:r>
            <w:r>
              <w:rPr>
                <w:rFonts w:hint="eastAsia" w:ascii="宋体" w:hAnsi="宋体" w:eastAsia="宋体" w:cs="宋体"/>
                <w:sz w:val="21"/>
                <w:szCs w:val="21"/>
                <w:vertAlign w:val="superscript"/>
              </w:rPr>
              <w:t>3</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2.01×10</w:t>
            </w:r>
            <w:r>
              <w:rPr>
                <w:rFonts w:hint="eastAsia" w:ascii="宋体" w:hAnsi="宋体" w:eastAsia="宋体" w:cs="宋体"/>
                <w:sz w:val="21"/>
                <w:szCs w:val="21"/>
                <w:vertAlign w:val="superscript"/>
              </w:rPr>
              <w:t>3</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3.77×10</w:t>
            </w:r>
            <w:r>
              <w:rPr>
                <w:rFonts w:hint="eastAsia" w:ascii="宋体" w:hAnsi="宋体" w:eastAsia="宋体" w:cs="宋体"/>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钴</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0.09</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0.16</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49" w:type="pct"/>
            <w:tcBorders>
              <w:tl2br w:val="nil"/>
              <w:tr2bl w:val="nil"/>
            </w:tcBorders>
            <w:shd w:val="clear" w:color="auto" w:fill="auto"/>
            <w:noWrap/>
            <w:vAlign w:val="center"/>
          </w:tcPr>
          <w:p>
            <w:pPr>
              <w:pStyle w:val="16"/>
              <w:keepNext w:val="0"/>
              <w:keepLines w:val="0"/>
              <w:numPr>
                <w:ilvl w:val="0"/>
                <w:numId w:val="19"/>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018"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银</w:t>
            </w:r>
          </w:p>
        </w:tc>
        <w:tc>
          <w:tcPr>
            <w:tcW w:w="61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9"/>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备注：ND代表为检出；/代表无此监测指标；W4#点1.5m之下均为含水层，无法采样。</w:t>
            </w:r>
          </w:p>
        </w:tc>
      </w:tr>
    </w:tbl>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续表5.5.6-1 土壤现状监测结果一览表（单位：mg/kg）</w:t>
      </w:r>
    </w:p>
    <w:tbl>
      <w:tblPr>
        <w:tblStyle w:val="2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2"/>
        <w:gridCol w:w="258"/>
        <w:gridCol w:w="1144"/>
        <w:gridCol w:w="1187"/>
        <w:gridCol w:w="888"/>
        <w:gridCol w:w="888"/>
        <w:gridCol w:w="892"/>
        <w:gridCol w:w="888"/>
        <w:gridCol w:w="888"/>
        <w:gridCol w:w="888"/>
        <w:gridCol w:w="8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54"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755" w:type="pct"/>
            <w:gridSpan w:val="2"/>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监测指标</w:t>
            </w:r>
          </w:p>
        </w:tc>
        <w:tc>
          <w:tcPr>
            <w:tcW w:w="2075" w:type="pct"/>
            <w:gridSpan w:val="4"/>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W1#</w:t>
            </w:r>
          </w:p>
        </w:tc>
        <w:tc>
          <w:tcPr>
            <w:tcW w:w="1914" w:type="pct"/>
            <w:gridSpan w:val="4"/>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W3#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54"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755" w:type="pct"/>
            <w:gridSpan w:val="2"/>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15"/>
                <w:szCs w:val="15"/>
              </w:rPr>
            </w:pPr>
            <w:r>
              <w:rPr>
                <w:rFonts w:hint="eastAsia" w:ascii="宋体" w:hAnsi="宋体" w:eastAsia="宋体" w:cs="宋体"/>
                <w:b/>
                <w:bCs/>
                <w:sz w:val="15"/>
                <w:szCs w:val="15"/>
              </w:rPr>
              <w:t>0-0.5m</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15"/>
                <w:szCs w:val="15"/>
              </w:rPr>
            </w:pPr>
            <w:r>
              <w:rPr>
                <w:rFonts w:hint="eastAsia" w:ascii="宋体" w:hAnsi="宋体" w:eastAsia="宋体" w:cs="宋体"/>
                <w:b/>
                <w:bCs/>
                <w:sz w:val="15"/>
                <w:szCs w:val="15"/>
              </w:rPr>
              <w:t>0.5-1.5m</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15"/>
                <w:szCs w:val="15"/>
              </w:rPr>
            </w:pPr>
            <w:r>
              <w:rPr>
                <w:rFonts w:hint="eastAsia" w:ascii="宋体" w:hAnsi="宋体" w:eastAsia="宋体" w:cs="宋体"/>
                <w:b/>
                <w:bCs/>
                <w:sz w:val="15"/>
                <w:szCs w:val="15"/>
              </w:rPr>
              <w:t>1.5-3.0m</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15"/>
                <w:szCs w:val="15"/>
              </w:rPr>
            </w:pPr>
            <w:r>
              <w:rPr>
                <w:rFonts w:hint="eastAsia" w:ascii="宋体" w:hAnsi="宋体" w:eastAsia="宋体" w:cs="宋体"/>
                <w:b/>
                <w:bCs/>
                <w:sz w:val="15"/>
                <w:szCs w:val="15"/>
              </w:rPr>
              <w:t>3.0-5.0m</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15"/>
                <w:szCs w:val="15"/>
              </w:rPr>
            </w:pPr>
            <w:r>
              <w:rPr>
                <w:rFonts w:hint="eastAsia" w:ascii="宋体" w:hAnsi="宋体" w:eastAsia="宋体" w:cs="宋体"/>
                <w:b/>
                <w:bCs/>
                <w:sz w:val="15"/>
                <w:szCs w:val="15"/>
              </w:rPr>
              <w:t>0-0.5m</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15"/>
                <w:szCs w:val="15"/>
              </w:rPr>
            </w:pPr>
            <w:r>
              <w:rPr>
                <w:rFonts w:hint="eastAsia" w:ascii="宋体" w:hAnsi="宋体" w:eastAsia="宋体" w:cs="宋体"/>
                <w:b/>
                <w:bCs/>
                <w:sz w:val="15"/>
                <w:szCs w:val="15"/>
              </w:rPr>
              <w:t>0.5-1.5m</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15"/>
                <w:szCs w:val="15"/>
              </w:rPr>
            </w:pPr>
            <w:r>
              <w:rPr>
                <w:rFonts w:hint="eastAsia" w:ascii="宋体" w:hAnsi="宋体" w:eastAsia="宋体" w:cs="宋体"/>
                <w:b/>
                <w:bCs/>
                <w:sz w:val="15"/>
                <w:szCs w:val="15"/>
              </w:rPr>
              <w:t>1.5-3.0m</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15"/>
                <w:szCs w:val="15"/>
              </w:rPr>
            </w:pPr>
            <w:r>
              <w:rPr>
                <w:rFonts w:hint="eastAsia" w:ascii="宋体" w:hAnsi="宋体" w:eastAsia="宋体" w:cs="宋体"/>
                <w:b/>
                <w:bCs/>
                <w:sz w:val="15"/>
                <w:szCs w:val="15"/>
              </w:rPr>
              <w:t>3.0-5.0m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pH值（无量纲）</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7.80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7.98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7.83</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7.60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7.67</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7.72</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7.76</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7.64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8.11</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13.2</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10.1</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8.99</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9.06</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镉</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0.11</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0.11</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0.11</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0.12</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铬（六价）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汞</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0.005</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0.006</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铜</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28</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铅</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30.7</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27.0</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30.6</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29.9</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27.5</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镍</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32</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72</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66</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81</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70</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锌</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72</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76</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67</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75</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TVOC</w:t>
            </w: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四氯化碳</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氯仿</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氯甲烷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1,1-二氯乙烷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1,2-二氯乙烷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1,1-二氯乙烯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顺-1,2-二氯乙烯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反-1,2-二氯乙烯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二氯甲烷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1,2-二氯丙烷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1,1,1,2-四氯乙烷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1,1,2,2-四氯乙烷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四氯乙烯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1,1,1-三氯乙烷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1,1,2-三氯乙烷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三氯乙烯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1,2,3-三氯丙烷</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氯乙烯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氯苯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1,2-二氯苯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1,4-二氯苯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乙苯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苯乙烯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甲苯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间二甲苯+对二甲苯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邻二甲苯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VOC</w:t>
            </w: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硝基苯</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苯胺</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2-氯酚</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苯并[a]蒽</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苯并[a]芘</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苯并[b]荧蒽</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苯并[k]荧蒽</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䓛</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二苯并[a,h]蒽</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茚并[1,2,3-cd]芘</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139"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61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萘</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全盐量（g/kg）</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0.88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0.61</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0.36</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0.22</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0.47</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0.47</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水溶性氟化物</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4.9</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4.1</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4.0</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总氟化物</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425</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594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572</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666</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598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614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577</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584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总氰化物</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钙</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1.57×10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1.16×10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1.23×10</w:t>
            </w:r>
            <w:r>
              <w:rPr>
                <w:rFonts w:hint="default" w:ascii="Times New Roman" w:hAnsi="Times New Roman" w:eastAsia="宋体" w:cs="Times New Roman"/>
                <w:sz w:val="18"/>
                <w:szCs w:val="18"/>
                <w:vertAlign w:val="superscript"/>
              </w:rPr>
              <w:t>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1.23×10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1.79×10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1.86×10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1.84×10</w:t>
            </w:r>
            <w:r>
              <w:rPr>
                <w:rFonts w:hint="default" w:ascii="Times New Roman" w:hAnsi="Times New Roman" w:eastAsia="宋体" w:cs="Times New Roman"/>
                <w:sz w:val="18"/>
                <w:szCs w:val="18"/>
                <w:vertAlign w:val="superscript"/>
              </w:rPr>
              <w:t>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2.12×10</w:t>
            </w:r>
            <w:r>
              <w:rPr>
                <w:rFonts w:hint="default" w:ascii="Times New Roman" w:hAnsi="Times New Roman" w:eastAsia="宋体" w:cs="Times New Roman"/>
                <w:sz w:val="18"/>
                <w:szCs w:val="18"/>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镁</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1.13×10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1.52×10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1.67×10</w:t>
            </w:r>
            <w:r>
              <w:rPr>
                <w:rFonts w:hint="default" w:ascii="Times New Roman" w:hAnsi="Times New Roman" w:eastAsia="宋体" w:cs="Times New Roman"/>
                <w:sz w:val="18"/>
                <w:szCs w:val="18"/>
                <w:vertAlign w:val="superscript"/>
              </w:rPr>
              <w:t>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1.63×10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1.95×10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1.79×10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1.81×10</w:t>
            </w:r>
            <w:r>
              <w:rPr>
                <w:rFonts w:hint="default" w:ascii="Times New Roman" w:hAnsi="Times New Roman" w:eastAsia="宋体" w:cs="Times New Roman"/>
                <w:sz w:val="18"/>
                <w:szCs w:val="18"/>
                <w:vertAlign w:val="superscript"/>
              </w:rPr>
              <w:t>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2.04×10</w:t>
            </w:r>
            <w:r>
              <w:rPr>
                <w:rFonts w:hint="default" w:ascii="Times New Roman" w:hAnsi="Times New Roman" w:eastAsia="宋体" w:cs="Times New Roman"/>
                <w:sz w:val="18"/>
                <w:szCs w:val="18"/>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铁</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4.84×10</w:t>
            </w:r>
            <w:r>
              <w:rPr>
                <w:rFonts w:hint="default" w:ascii="Times New Roman" w:hAnsi="Times New Roman" w:eastAsia="宋体" w:cs="Times New Roman"/>
                <w:sz w:val="18"/>
                <w:szCs w:val="18"/>
                <w:vertAlign w:val="superscript"/>
              </w:rPr>
              <w:t>5</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6.84×10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6.23×10</w:t>
            </w:r>
            <w:r>
              <w:rPr>
                <w:rFonts w:hint="default" w:ascii="Times New Roman" w:hAnsi="Times New Roman" w:eastAsia="宋体" w:cs="Times New Roman"/>
                <w:sz w:val="18"/>
                <w:szCs w:val="18"/>
                <w:vertAlign w:val="superscript"/>
              </w:rPr>
              <w:t>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7.02×10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6.41×10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5.52×10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6.03×10</w:t>
            </w:r>
            <w:r>
              <w:rPr>
                <w:rFonts w:hint="default" w:ascii="Times New Roman" w:hAnsi="Times New Roman" w:eastAsia="宋体" w:cs="Times New Roman"/>
                <w:sz w:val="18"/>
                <w:szCs w:val="18"/>
                <w:vertAlign w:val="superscript"/>
              </w:rPr>
              <w:t>4</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6.05×10</w:t>
            </w:r>
            <w:r>
              <w:rPr>
                <w:rFonts w:hint="default" w:ascii="Times New Roman" w:hAnsi="Times New Roman" w:eastAsia="宋体" w:cs="Times New Roman"/>
                <w:sz w:val="18"/>
                <w:szCs w:val="18"/>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铝</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7.87×10</w:t>
            </w:r>
            <w:r>
              <w:rPr>
                <w:rFonts w:hint="default" w:ascii="Times New Roman" w:hAnsi="Times New Roman" w:eastAsia="宋体" w:cs="Times New Roman"/>
                <w:sz w:val="18"/>
                <w:szCs w:val="18"/>
                <w:vertAlign w:val="superscript"/>
              </w:rPr>
              <w:t>4</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1.44×10</w:t>
            </w:r>
            <w:r>
              <w:rPr>
                <w:rFonts w:hint="default" w:ascii="Times New Roman" w:hAnsi="Times New Roman" w:eastAsia="宋体" w:cs="Times New Roman"/>
                <w:sz w:val="18"/>
                <w:szCs w:val="18"/>
                <w:vertAlign w:val="superscript"/>
              </w:rPr>
              <w:t>5</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1.42×10</w:t>
            </w:r>
            <w:r>
              <w:rPr>
                <w:rFonts w:hint="default" w:ascii="Times New Roman" w:hAnsi="Times New Roman" w:eastAsia="宋体" w:cs="Times New Roman"/>
                <w:sz w:val="18"/>
                <w:szCs w:val="18"/>
                <w:vertAlign w:val="superscript"/>
              </w:rPr>
              <w:t>5</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1.37×10</w:t>
            </w:r>
            <w:r>
              <w:rPr>
                <w:rFonts w:hint="default" w:ascii="Times New Roman" w:hAnsi="Times New Roman" w:eastAsia="宋体" w:cs="Times New Roman"/>
                <w:sz w:val="18"/>
                <w:szCs w:val="18"/>
                <w:vertAlign w:val="superscript"/>
              </w:rPr>
              <w:t>5</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1.53×10</w:t>
            </w:r>
            <w:r>
              <w:rPr>
                <w:rFonts w:hint="default" w:ascii="Times New Roman" w:hAnsi="Times New Roman" w:eastAsia="宋体" w:cs="Times New Roman"/>
                <w:sz w:val="18"/>
                <w:szCs w:val="18"/>
                <w:vertAlign w:val="superscript"/>
              </w:rPr>
              <w:t>5</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1.28×10</w:t>
            </w:r>
            <w:r>
              <w:rPr>
                <w:rFonts w:hint="default" w:ascii="Times New Roman" w:hAnsi="Times New Roman" w:eastAsia="宋体" w:cs="Times New Roman"/>
                <w:sz w:val="18"/>
                <w:szCs w:val="18"/>
                <w:vertAlign w:val="superscript"/>
              </w:rPr>
              <w:t>5</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1.32×10</w:t>
            </w:r>
            <w:r>
              <w:rPr>
                <w:rFonts w:hint="default" w:ascii="Times New Roman" w:hAnsi="Times New Roman" w:eastAsia="宋体" w:cs="Times New Roman"/>
                <w:sz w:val="18"/>
                <w:szCs w:val="18"/>
                <w:vertAlign w:val="superscript"/>
              </w:rPr>
              <w:t>5</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1.21×10</w:t>
            </w:r>
            <w:r>
              <w:rPr>
                <w:rFonts w:hint="default" w:ascii="Times New Roman" w:hAnsi="Times New Roman" w:eastAsia="宋体" w:cs="Times New Roman"/>
                <w:sz w:val="18"/>
                <w:szCs w:val="18"/>
                <w:vertAlign w:val="superscript"/>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锰</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526</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662</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742</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767</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668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707</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749</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792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钛</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1.24×10</w:t>
            </w:r>
            <w:r>
              <w:rPr>
                <w:rFonts w:hint="default" w:ascii="Times New Roman" w:hAnsi="Times New Roman" w:eastAsia="宋体" w:cs="Times New Roman"/>
                <w:sz w:val="18"/>
                <w:szCs w:val="18"/>
                <w:vertAlign w:val="superscript"/>
              </w:rPr>
              <w:t>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3.81×10</w:t>
            </w:r>
            <w:r>
              <w:rPr>
                <w:rFonts w:hint="default" w:ascii="Times New Roman" w:hAnsi="Times New Roman" w:eastAsia="宋体" w:cs="Times New Roman"/>
                <w:sz w:val="18"/>
                <w:szCs w:val="18"/>
                <w:vertAlign w:val="superscript"/>
              </w:rPr>
              <w:t>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4.52×10</w:t>
            </w:r>
            <w:r>
              <w:rPr>
                <w:rFonts w:hint="default" w:ascii="Times New Roman" w:hAnsi="Times New Roman" w:eastAsia="宋体" w:cs="Times New Roman"/>
                <w:sz w:val="18"/>
                <w:szCs w:val="18"/>
                <w:vertAlign w:val="superscript"/>
              </w:rPr>
              <w:t>3</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4.86×10</w:t>
            </w:r>
            <w:r>
              <w:rPr>
                <w:rFonts w:hint="default" w:ascii="Times New Roman" w:hAnsi="Times New Roman" w:eastAsia="宋体" w:cs="Times New Roman"/>
                <w:sz w:val="18"/>
                <w:szCs w:val="18"/>
                <w:vertAlign w:val="superscript"/>
              </w:rPr>
              <w:t>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4.65×10</w:t>
            </w:r>
            <w:r>
              <w:rPr>
                <w:rFonts w:hint="default" w:ascii="Times New Roman" w:hAnsi="Times New Roman" w:eastAsia="宋体" w:cs="Times New Roman"/>
                <w:sz w:val="18"/>
                <w:szCs w:val="18"/>
                <w:vertAlign w:val="superscript"/>
              </w:rPr>
              <w:t>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4.36×10</w:t>
            </w:r>
            <w:r>
              <w:rPr>
                <w:rFonts w:hint="default" w:ascii="Times New Roman" w:hAnsi="Times New Roman" w:eastAsia="宋体" w:cs="Times New Roman"/>
                <w:sz w:val="18"/>
                <w:szCs w:val="18"/>
                <w:vertAlign w:val="superscript"/>
              </w:rPr>
              <w:t>3</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4.30×10</w:t>
            </w:r>
            <w:r>
              <w:rPr>
                <w:rFonts w:hint="default" w:ascii="Times New Roman" w:hAnsi="Times New Roman" w:eastAsia="宋体" w:cs="Times New Roman"/>
                <w:sz w:val="18"/>
                <w:szCs w:val="18"/>
                <w:vertAlign w:val="superscript"/>
              </w:rPr>
              <w:t>3</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sz w:val="18"/>
                <w:szCs w:val="18"/>
              </w:rPr>
            </w:pPr>
            <w:r>
              <w:rPr>
                <w:rFonts w:hint="default" w:ascii="Times New Roman" w:hAnsi="Times New Roman" w:eastAsia="宋体" w:cs="Times New Roman"/>
                <w:sz w:val="18"/>
                <w:szCs w:val="18"/>
              </w:rPr>
              <w:t>4.42×10</w:t>
            </w:r>
            <w:r>
              <w:rPr>
                <w:rFonts w:hint="default" w:ascii="Times New Roman" w:hAnsi="Times New Roman" w:eastAsia="宋体" w:cs="Times New Roman"/>
                <w:sz w:val="18"/>
                <w:szCs w:val="18"/>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钴</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254" w:type="pct"/>
            <w:tcBorders>
              <w:tl2br w:val="nil"/>
              <w:tr2bl w:val="nil"/>
            </w:tcBorders>
            <w:shd w:val="clear" w:color="auto" w:fill="auto"/>
            <w:noWrap/>
            <w:vAlign w:val="center"/>
          </w:tcPr>
          <w:p>
            <w:pPr>
              <w:pStyle w:val="16"/>
              <w:keepNext w:val="0"/>
              <w:keepLines w:val="0"/>
              <w:numPr>
                <w:ilvl w:val="0"/>
                <w:numId w:val="20"/>
              </w:numPr>
              <w:suppressLineNumbers w:val="0"/>
              <w:spacing w:before="0" w:beforeAutospacing="0" w:after="0" w:afterAutospacing="0" w:line="240" w:lineRule="auto"/>
              <w:ind w:right="0" w:firstLineChars="0"/>
              <w:rPr>
                <w:rFonts w:hint="eastAsia" w:ascii="宋体" w:hAnsi="宋体" w:eastAsia="宋体" w:cs="宋体"/>
                <w:sz w:val="21"/>
                <w:szCs w:val="21"/>
              </w:rPr>
            </w:pPr>
          </w:p>
        </w:tc>
        <w:tc>
          <w:tcPr>
            <w:tcW w:w="755"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银</w:t>
            </w:r>
          </w:p>
        </w:tc>
        <w:tc>
          <w:tcPr>
            <w:tcW w:w="63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7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48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11"/>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备注：ND代表为检出</w:t>
            </w:r>
          </w:p>
        </w:tc>
      </w:tr>
    </w:tbl>
    <w:p>
      <w:pPr>
        <w:pStyle w:val="16"/>
        <w:ind w:firstLine="0" w:firstLineChars="0"/>
        <w:jc w:val="center"/>
        <w:rPr>
          <w:rFonts w:hint="eastAsia" w:ascii="宋体" w:hAnsi="宋体" w:eastAsia="宋体" w:cs="宋体"/>
        </w:rPr>
      </w:pPr>
      <w:r>
        <w:rPr>
          <w:rFonts w:hint="eastAsia" w:ascii="宋体" w:hAnsi="宋体" w:eastAsia="宋体" w:cs="宋体"/>
          <w:b/>
          <w:bCs/>
          <w:sz w:val="24"/>
        </w:rPr>
        <w:t>续表5.5.6-1 土壤现状监测结果一览表（单位：mg/kg</w:t>
      </w:r>
      <w:r>
        <w:rPr>
          <w:rFonts w:hint="eastAsia" w:ascii="宋体" w:hAnsi="宋体" w:eastAsia="宋体" w:cs="宋体"/>
        </w:rPr>
        <w:t>）</w:t>
      </w:r>
    </w:p>
    <w:tbl>
      <w:tblPr>
        <w:tblStyle w:val="24"/>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80"/>
        <w:gridCol w:w="1818"/>
        <w:gridCol w:w="1233"/>
        <w:gridCol w:w="1109"/>
        <w:gridCol w:w="1109"/>
        <w:gridCol w:w="1109"/>
        <w:gridCol w:w="1109"/>
        <w:gridCol w:w="111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67"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980"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监测指标</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S2#</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S7#</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S8#</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S10#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jc w:val="center"/>
        </w:trPr>
        <w:tc>
          <w:tcPr>
            <w:tcW w:w="367"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980"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0-0.2m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pH值（无量纲）</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7.78</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8.90</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7.64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8.03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8.10</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9.89</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7.95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镉</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0.09</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0.22</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0.18</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0.21</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铬（六价）</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汞</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0.011</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0.008</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铜</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49</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38</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铅</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23.6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32.3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25.0</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31.2</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镍</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52</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87</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57</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140</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280</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锌</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82</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97</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全盐量（g/kg）</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0.28</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0.37</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水溶性氟化物</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总氟化物</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679</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502</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644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346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533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总氰化物</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钙</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3.01×10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3.89×10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2.90×10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4.29×10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5.31×10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1.86×10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镁</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2.25×10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2.77×10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2.50×10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1.50×10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4.11×10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1.58×10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铁</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5.79×10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3.04×10</w:t>
            </w:r>
            <w:r>
              <w:rPr>
                <w:rFonts w:hint="eastAsia" w:ascii="宋体" w:hAnsi="宋体" w:eastAsia="宋体" w:cs="宋体"/>
                <w:sz w:val="21"/>
                <w:szCs w:val="21"/>
                <w:vertAlign w:val="superscript"/>
              </w:rPr>
              <w:t>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6.20×10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6.44×10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1.15×10</w:t>
            </w:r>
            <w:r>
              <w:rPr>
                <w:rFonts w:hint="eastAsia" w:ascii="宋体" w:hAnsi="宋体" w:eastAsia="宋体" w:cs="宋体"/>
                <w:sz w:val="21"/>
                <w:szCs w:val="21"/>
                <w:vertAlign w:val="superscript"/>
              </w:rPr>
              <w:t>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5.39×10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铝</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1.38×10</w:t>
            </w:r>
            <w:r>
              <w:rPr>
                <w:rFonts w:hint="eastAsia" w:ascii="宋体" w:hAnsi="宋体" w:eastAsia="宋体" w:cs="宋体"/>
                <w:sz w:val="21"/>
                <w:szCs w:val="21"/>
                <w:vertAlign w:val="superscript"/>
              </w:rPr>
              <w:t>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3.83×10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1.34×10</w:t>
            </w:r>
            <w:r>
              <w:rPr>
                <w:rFonts w:hint="eastAsia" w:ascii="宋体" w:hAnsi="宋体" w:eastAsia="宋体" w:cs="宋体"/>
                <w:sz w:val="21"/>
                <w:szCs w:val="21"/>
                <w:vertAlign w:val="superscript"/>
              </w:rPr>
              <w:t>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9.76×10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9.64×10</w:t>
            </w:r>
            <w:r>
              <w:rPr>
                <w:rFonts w:hint="eastAsia" w:ascii="宋体" w:hAnsi="宋体" w:eastAsia="宋体" w:cs="宋体"/>
                <w:sz w:val="21"/>
                <w:szCs w:val="21"/>
                <w:vertAlign w:val="superscript"/>
              </w:rPr>
              <w:t>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1.34×10</w:t>
            </w:r>
            <w:r>
              <w:rPr>
                <w:rFonts w:hint="eastAsia" w:ascii="宋体" w:hAnsi="宋体" w:eastAsia="宋体" w:cs="宋体"/>
                <w:sz w:val="21"/>
                <w:szCs w:val="21"/>
                <w:vertAlign w:val="superscript"/>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锰</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824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914</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735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772</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906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钛</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3.86×10</w:t>
            </w:r>
            <w:r>
              <w:rPr>
                <w:rFonts w:hint="eastAsia" w:ascii="宋体" w:hAnsi="宋体" w:eastAsia="宋体" w:cs="宋体"/>
                <w:sz w:val="21"/>
                <w:szCs w:val="21"/>
                <w:vertAlign w:val="superscript"/>
              </w:rPr>
              <w:t>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735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3.53×10</w:t>
            </w:r>
            <w:r>
              <w:rPr>
                <w:rFonts w:hint="eastAsia" w:ascii="宋体" w:hAnsi="宋体" w:eastAsia="宋体" w:cs="宋体"/>
                <w:sz w:val="21"/>
                <w:szCs w:val="21"/>
                <w:vertAlign w:val="superscript"/>
              </w:rPr>
              <w:t>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3.51×10</w:t>
            </w:r>
            <w:r>
              <w:rPr>
                <w:rFonts w:hint="eastAsia" w:ascii="宋体" w:hAnsi="宋体" w:eastAsia="宋体" w:cs="宋体"/>
                <w:sz w:val="21"/>
                <w:szCs w:val="21"/>
                <w:vertAlign w:val="superscript"/>
              </w:rPr>
              <w:t>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2.59×10</w:t>
            </w:r>
            <w:r>
              <w:rPr>
                <w:rFonts w:hint="eastAsia" w:ascii="宋体" w:hAnsi="宋体" w:eastAsia="宋体" w:cs="宋体"/>
                <w:sz w:val="21"/>
                <w:szCs w:val="21"/>
                <w:vertAlign w:val="superscript"/>
              </w:rPr>
              <w:t>3</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3.87×10</w:t>
            </w:r>
            <w:r>
              <w:rPr>
                <w:rFonts w:hint="eastAsia" w:ascii="宋体" w:hAnsi="宋体" w:eastAsia="宋体" w:cs="宋体"/>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钴</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19</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367" w:type="pct"/>
            <w:tcBorders>
              <w:tl2br w:val="nil"/>
              <w:tr2bl w:val="nil"/>
            </w:tcBorders>
            <w:shd w:val="clear" w:color="auto" w:fill="auto"/>
            <w:noWrap/>
            <w:vAlign w:val="center"/>
          </w:tcPr>
          <w:p>
            <w:pPr>
              <w:pStyle w:val="16"/>
              <w:keepNext w:val="0"/>
              <w:keepLines w:val="0"/>
              <w:numPr>
                <w:ilvl w:val="0"/>
                <w:numId w:val="21"/>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980"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银</w:t>
            </w:r>
          </w:p>
        </w:tc>
        <w:tc>
          <w:tcPr>
            <w:tcW w:w="6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597"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5000" w:type="pct"/>
            <w:gridSpan w:val="8"/>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备注：ND代表为检出</w:t>
            </w:r>
          </w:p>
        </w:tc>
      </w:tr>
    </w:tbl>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续表5.5.6-1 土壤现状监测结果一览表（单位：mg/kg）</w:t>
      </w:r>
    </w:p>
    <w:tbl>
      <w:tblPr>
        <w:tblStyle w:val="24"/>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00"/>
        <w:gridCol w:w="2066"/>
        <w:gridCol w:w="1281"/>
        <w:gridCol w:w="1281"/>
        <w:gridCol w:w="1285"/>
        <w:gridCol w:w="1281"/>
        <w:gridCol w:w="12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31"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113"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监测指标</w:t>
            </w:r>
          </w:p>
        </w:tc>
        <w:tc>
          <w:tcPr>
            <w:tcW w:w="2072" w:type="pct"/>
            <w:gridSpan w:val="3"/>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W2#</w:t>
            </w:r>
          </w:p>
        </w:tc>
        <w:tc>
          <w:tcPr>
            <w:tcW w:w="1381" w:type="pct"/>
            <w:gridSpan w:val="2"/>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W5#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431"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113"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0-0.5m</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0.5-1.5m</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1.5-3.0m</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0-0.5m</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0.5-1.5m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pH值（无量纲）</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7.46</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7.16</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7.23</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7.86</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7.81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12.9</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12.1</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10.9</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6.21</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6.98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镉</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0.09</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0.11</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0.06</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铬（六价）</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汞</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铜</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28</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铅</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24.8</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26.6</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25.1</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30.7</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34.6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镍</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33</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铬</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67</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64</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60</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92</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锌</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77</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81</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78</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62</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全盐量（g/kg）</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1.44</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2.10</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1.60</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0.16</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水溶性氟化物</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23.3</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8.4</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总氟化物</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676</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658</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682</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526</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558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总氰化物</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钙</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1.33×10</w:t>
            </w:r>
            <w:r>
              <w:rPr>
                <w:rFonts w:hint="eastAsia" w:ascii="宋体" w:hAnsi="宋体" w:eastAsia="宋体" w:cs="宋体"/>
                <w:sz w:val="21"/>
                <w:szCs w:val="21"/>
                <w:vertAlign w:val="superscript"/>
              </w:rPr>
              <w:t>4</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1.33×10</w:t>
            </w:r>
            <w:r>
              <w:rPr>
                <w:rFonts w:hint="eastAsia" w:ascii="宋体" w:hAnsi="宋体" w:eastAsia="宋体" w:cs="宋体"/>
                <w:sz w:val="21"/>
                <w:szCs w:val="21"/>
                <w:vertAlign w:val="superscript"/>
              </w:rPr>
              <w:t>4</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1.25×10</w:t>
            </w:r>
            <w:r>
              <w:rPr>
                <w:rFonts w:hint="eastAsia" w:ascii="宋体" w:hAnsi="宋体" w:eastAsia="宋体" w:cs="宋体"/>
                <w:sz w:val="21"/>
                <w:szCs w:val="21"/>
                <w:vertAlign w:val="superscript"/>
              </w:rPr>
              <w:t>4</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2.77×10</w:t>
            </w:r>
            <w:r>
              <w:rPr>
                <w:rFonts w:hint="eastAsia" w:ascii="宋体" w:hAnsi="宋体" w:eastAsia="宋体" w:cs="宋体"/>
                <w:sz w:val="21"/>
                <w:szCs w:val="21"/>
                <w:vertAlign w:val="superscript"/>
              </w:rPr>
              <w:t>4</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3.60×10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镁</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1.79×10</w:t>
            </w:r>
            <w:r>
              <w:rPr>
                <w:rFonts w:hint="eastAsia" w:ascii="宋体" w:hAnsi="宋体" w:eastAsia="宋体" w:cs="宋体"/>
                <w:sz w:val="21"/>
                <w:szCs w:val="21"/>
                <w:vertAlign w:val="superscript"/>
              </w:rPr>
              <w:t>4</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1.82×10</w:t>
            </w:r>
            <w:r>
              <w:rPr>
                <w:rFonts w:hint="eastAsia" w:ascii="宋体" w:hAnsi="宋体" w:eastAsia="宋体" w:cs="宋体"/>
                <w:sz w:val="21"/>
                <w:szCs w:val="21"/>
                <w:vertAlign w:val="superscript"/>
              </w:rPr>
              <w:t>4</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1.81×10</w:t>
            </w:r>
            <w:r>
              <w:rPr>
                <w:rFonts w:hint="eastAsia" w:ascii="宋体" w:hAnsi="宋体" w:eastAsia="宋体" w:cs="宋体"/>
                <w:sz w:val="21"/>
                <w:szCs w:val="21"/>
                <w:vertAlign w:val="superscript"/>
              </w:rPr>
              <w:t>4</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2.14×10</w:t>
            </w:r>
            <w:r>
              <w:rPr>
                <w:rFonts w:hint="eastAsia" w:ascii="宋体" w:hAnsi="宋体" w:eastAsia="宋体" w:cs="宋体"/>
                <w:sz w:val="21"/>
                <w:szCs w:val="21"/>
                <w:vertAlign w:val="superscript"/>
              </w:rPr>
              <w:t>4</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2.80×10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铁</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7.70×10</w:t>
            </w:r>
            <w:r>
              <w:rPr>
                <w:rFonts w:hint="eastAsia" w:ascii="宋体" w:hAnsi="宋体" w:eastAsia="宋体" w:cs="宋体"/>
                <w:sz w:val="21"/>
                <w:szCs w:val="21"/>
                <w:vertAlign w:val="superscript"/>
              </w:rPr>
              <w:t>4</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5.69×10</w:t>
            </w:r>
            <w:r>
              <w:rPr>
                <w:rFonts w:hint="eastAsia" w:ascii="宋体" w:hAnsi="宋体" w:eastAsia="宋体" w:cs="宋体"/>
                <w:sz w:val="21"/>
                <w:szCs w:val="21"/>
                <w:vertAlign w:val="superscript"/>
              </w:rPr>
              <w:t>4</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5.60×10</w:t>
            </w:r>
            <w:r>
              <w:rPr>
                <w:rFonts w:hint="eastAsia" w:ascii="宋体" w:hAnsi="宋体" w:eastAsia="宋体" w:cs="宋体"/>
                <w:sz w:val="21"/>
                <w:szCs w:val="21"/>
                <w:vertAlign w:val="superscript"/>
              </w:rPr>
              <w:t>4</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5.64×10</w:t>
            </w:r>
            <w:r>
              <w:rPr>
                <w:rFonts w:hint="eastAsia" w:ascii="宋体" w:hAnsi="宋体" w:eastAsia="宋体" w:cs="宋体"/>
                <w:sz w:val="21"/>
                <w:szCs w:val="21"/>
                <w:vertAlign w:val="superscript"/>
              </w:rPr>
              <w:t>4</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6.37×10</w:t>
            </w:r>
            <w:r>
              <w:rPr>
                <w:rFonts w:hint="eastAsia" w:ascii="宋体" w:hAnsi="宋体" w:eastAsia="宋体" w:cs="宋体"/>
                <w:sz w:val="21"/>
                <w:szCs w:val="21"/>
                <w:vertAlign w:val="superscript"/>
              </w:rPr>
              <w:t>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铝</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1.37×10</w:t>
            </w:r>
            <w:r>
              <w:rPr>
                <w:rFonts w:hint="eastAsia" w:ascii="宋体" w:hAnsi="宋体" w:eastAsia="宋体" w:cs="宋体"/>
                <w:sz w:val="21"/>
                <w:szCs w:val="21"/>
                <w:vertAlign w:val="superscript"/>
              </w:rPr>
              <w:t>5</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1.27×10</w:t>
            </w:r>
            <w:r>
              <w:rPr>
                <w:rFonts w:hint="eastAsia" w:ascii="宋体" w:hAnsi="宋体" w:eastAsia="宋体" w:cs="宋体"/>
                <w:sz w:val="21"/>
                <w:szCs w:val="21"/>
                <w:vertAlign w:val="superscript"/>
              </w:rPr>
              <w:t>5</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1.22×10</w:t>
            </w:r>
            <w:r>
              <w:rPr>
                <w:rFonts w:hint="eastAsia" w:ascii="宋体" w:hAnsi="宋体" w:eastAsia="宋体" w:cs="宋体"/>
                <w:sz w:val="21"/>
                <w:szCs w:val="21"/>
                <w:vertAlign w:val="superscript"/>
              </w:rPr>
              <w:t>5</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1.48×10</w:t>
            </w:r>
            <w:r>
              <w:rPr>
                <w:rFonts w:hint="eastAsia" w:ascii="宋体" w:hAnsi="宋体" w:eastAsia="宋体" w:cs="宋体"/>
                <w:sz w:val="21"/>
                <w:szCs w:val="21"/>
                <w:vertAlign w:val="superscript"/>
              </w:rPr>
              <w:t>5</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1.44×10</w:t>
            </w:r>
            <w:r>
              <w:rPr>
                <w:rFonts w:hint="eastAsia" w:ascii="宋体" w:hAnsi="宋体" w:eastAsia="宋体" w:cs="宋体"/>
                <w:sz w:val="21"/>
                <w:szCs w:val="21"/>
                <w:vertAlign w:val="superscript"/>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锰</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840</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787</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802</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662</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钛</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4.00×10</w:t>
            </w:r>
            <w:r>
              <w:rPr>
                <w:rFonts w:hint="eastAsia" w:ascii="宋体" w:hAnsi="宋体" w:eastAsia="宋体" w:cs="宋体"/>
                <w:sz w:val="21"/>
                <w:szCs w:val="21"/>
                <w:vertAlign w:val="superscript"/>
              </w:rPr>
              <w:t>3</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4.39×10</w:t>
            </w:r>
            <w:r>
              <w:rPr>
                <w:rFonts w:hint="eastAsia" w:ascii="宋体" w:hAnsi="宋体" w:eastAsia="宋体" w:cs="宋体"/>
                <w:sz w:val="21"/>
                <w:szCs w:val="21"/>
                <w:vertAlign w:val="superscript"/>
              </w:rPr>
              <w:t>3</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4.50×10</w:t>
            </w:r>
            <w:r>
              <w:rPr>
                <w:rFonts w:hint="eastAsia" w:ascii="宋体" w:hAnsi="宋体" w:eastAsia="宋体" w:cs="宋体"/>
                <w:sz w:val="21"/>
                <w:szCs w:val="21"/>
                <w:vertAlign w:val="superscript"/>
              </w:rPr>
              <w:t>3</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3.93×10</w:t>
            </w:r>
            <w:r>
              <w:rPr>
                <w:rFonts w:hint="eastAsia" w:ascii="宋体" w:hAnsi="宋体" w:eastAsia="宋体" w:cs="宋体"/>
                <w:sz w:val="21"/>
                <w:szCs w:val="21"/>
                <w:vertAlign w:val="superscript"/>
              </w:rPr>
              <w:t>3</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3.86×10</w:t>
            </w:r>
            <w:r>
              <w:rPr>
                <w:rFonts w:hint="eastAsia" w:ascii="宋体" w:hAnsi="宋体" w:eastAsia="宋体" w:cs="宋体"/>
                <w:sz w:val="21"/>
                <w:szCs w:val="21"/>
                <w:vertAlign w:val="superscript"/>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钴</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31" w:type="pct"/>
            <w:tcBorders>
              <w:tl2br w:val="nil"/>
              <w:tr2bl w:val="nil"/>
            </w:tcBorders>
            <w:shd w:val="clear" w:color="auto" w:fill="auto"/>
            <w:noWrap/>
            <w:vAlign w:val="center"/>
          </w:tcPr>
          <w:p>
            <w:pPr>
              <w:pStyle w:val="16"/>
              <w:keepNext w:val="0"/>
              <w:keepLines w:val="0"/>
              <w:numPr>
                <w:ilvl w:val="0"/>
                <w:numId w:val="22"/>
              </w:numPr>
              <w:suppressLineNumbers w:val="0"/>
              <w:spacing w:before="0" w:beforeAutospacing="0" w:after="0" w:afterAutospacing="0" w:line="240" w:lineRule="auto"/>
              <w:ind w:right="0" w:firstLineChars="0"/>
              <w:jc w:val="center"/>
              <w:rPr>
                <w:rFonts w:hint="eastAsia" w:ascii="宋体" w:hAnsi="宋体" w:eastAsia="宋体" w:cs="宋体"/>
                <w:sz w:val="21"/>
                <w:szCs w:val="21"/>
              </w:rPr>
            </w:pPr>
          </w:p>
        </w:tc>
        <w:tc>
          <w:tcPr>
            <w:tcW w:w="111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银</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0"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c>
          <w:tcPr>
            <w:tcW w:w="6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ND</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7"/>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备注：ND代表为检出；W5#点1.5m之下为石头，无法采样。</w:t>
            </w:r>
          </w:p>
        </w:tc>
      </w:tr>
    </w:tbl>
    <w:p>
      <w:pPr>
        <w:ind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t>表5.5.6-2 土壤理化性质结果</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3"/>
        <w:gridCol w:w="1076"/>
        <w:gridCol w:w="1970"/>
        <w:gridCol w:w="1568"/>
        <w:gridCol w:w="1327"/>
        <w:gridCol w:w="1327"/>
        <w:gridCol w:w="13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69" w:type="dxa"/>
            <w:gridSpan w:val="2"/>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监测点位</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阳离子交换量</w:t>
            </w:r>
          </w:p>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（cmol（+）/kg）</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氧化还原电位（mV）</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饱和导水率（mm/h）</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土壤容重（g/cm</w:t>
            </w:r>
            <w:r>
              <w:rPr>
                <w:rFonts w:hint="eastAsia" w:ascii="宋体" w:hAnsi="宋体" w:eastAsia="宋体" w:cs="宋体"/>
                <w:b/>
                <w:bCs/>
                <w:sz w:val="21"/>
                <w:szCs w:val="21"/>
                <w:vertAlign w:val="superscript"/>
              </w:rPr>
              <w:t>3</w:t>
            </w:r>
            <w:r>
              <w:rPr>
                <w:rFonts w:hint="eastAsia" w:ascii="宋体" w:hAnsi="宋体" w:eastAsia="宋体" w:cs="宋体"/>
                <w:b/>
                <w:bCs/>
                <w:sz w:val="21"/>
                <w:szCs w:val="21"/>
              </w:rPr>
              <w:t>）</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孔隙度（%）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W1#</w:t>
            </w:r>
          </w:p>
        </w:tc>
        <w:tc>
          <w:tcPr>
            <w:tcW w:w="107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15.6</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485</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97.8</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1.62</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07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0.5-1.5m</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16.7</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483</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2.61</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1.34</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07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1.5-3.0m</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17.8</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476</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2.14</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1.55</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07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3.0-5.0m</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12.2</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476</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3.48</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1.45</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W3#</w:t>
            </w:r>
          </w:p>
        </w:tc>
        <w:tc>
          <w:tcPr>
            <w:tcW w:w="107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18.9</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571</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2.24</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1.46</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07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0.5-1.5m</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12.6</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569</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4.40</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1.51</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07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1.5-3.0m</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18.0</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541</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2.93</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1.49</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3"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07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3.0-5.0m</w:t>
            </w:r>
          </w:p>
        </w:tc>
        <w:tc>
          <w:tcPr>
            <w:tcW w:w="1970"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14.6</w:t>
            </w:r>
          </w:p>
        </w:tc>
        <w:tc>
          <w:tcPr>
            <w:tcW w:w="156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549</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3.88</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1.30</w:t>
            </w:r>
          </w:p>
        </w:tc>
        <w:tc>
          <w:tcPr>
            <w:tcW w:w="132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37.5</w:t>
            </w:r>
          </w:p>
        </w:tc>
      </w:tr>
    </w:tbl>
    <w:p>
      <w:pPr>
        <w:pStyle w:val="16"/>
        <w:ind w:firstLine="560"/>
        <w:rPr>
          <w:rFonts w:hint="eastAsia" w:ascii="宋体" w:hAnsi="宋体" w:eastAsia="宋体" w:cs="宋体"/>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644"/>
        <w:gridCol w:w="46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644" w:type="dxa"/>
            <w:tcBorders>
              <w:tl2br w:val="nil"/>
              <w:tr2bl w:val="nil"/>
            </w:tcBorders>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rPr>
            </w:pPr>
            <w:r>
              <w:rPr>
                <w:rFonts w:hint="eastAsia" w:ascii="宋体" w:hAnsi="宋体" w:eastAsia="宋体" w:cs="宋体"/>
                <w:b/>
                <w:bCs/>
                <w:sz w:val="24"/>
              </w:rPr>
              <w:t>W1#土壤柱状图</w:t>
            </w:r>
            <w:r>
              <w:rPr>
                <w:rFonts w:hint="eastAsia" w:ascii="宋体" w:hAnsi="宋体" w:eastAsia="宋体" w:cs="宋体"/>
              </w:rPr>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2705100" cy="2238375"/>
                  <wp:effectExtent l="0" t="0" r="0" b="9525"/>
                  <wp:wrapTopAndBottom/>
                  <wp:docPr id="2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5"/>
                          <pic:cNvPicPr>
                            <a:picLocks noChangeAspect="1"/>
                          </pic:cNvPicPr>
                        </pic:nvPicPr>
                        <pic:blipFill>
                          <a:blip r:embed="rId123"/>
                          <a:stretch>
                            <a:fillRect/>
                          </a:stretch>
                        </pic:blipFill>
                        <pic:spPr>
                          <a:xfrm>
                            <a:off x="0" y="0"/>
                            <a:ext cx="2705100" cy="2238375"/>
                          </a:xfrm>
                          <a:prstGeom prst="rect">
                            <a:avLst/>
                          </a:prstGeom>
                          <a:noFill/>
                          <a:ln>
                            <a:noFill/>
                          </a:ln>
                        </pic:spPr>
                      </pic:pic>
                    </a:graphicData>
                  </a:graphic>
                </wp:anchor>
              </w:drawing>
            </w:r>
          </w:p>
        </w:tc>
        <w:tc>
          <w:tcPr>
            <w:tcW w:w="4644" w:type="dxa"/>
            <w:tcBorders>
              <w:tl2br w:val="nil"/>
              <w:tr2bl w:val="nil"/>
            </w:tcBorders>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rPr>
            </w:pPr>
            <w:r>
              <w:rPr>
                <w:rFonts w:hint="eastAsia" w:ascii="宋体" w:hAnsi="宋体" w:eastAsia="宋体" w:cs="宋体"/>
                <w:b/>
                <w:bCs/>
                <w:sz w:val="24"/>
              </w:rPr>
              <w:drawing>
                <wp:anchor distT="0" distB="0" distL="114300" distR="114300" simplePos="0" relativeHeight="251678720" behindDoc="0" locked="0" layoutInCell="1" allowOverlap="1">
                  <wp:simplePos x="0" y="0"/>
                  <wp:positionH relativeFrom="column">
                    <wp:posOffset>-15240</wp:posOffset>
                  </wp:positionH>
                  <wp:positionV relativeFrom="paragraph">
                    <wp:posOffset>0</wp:posOffset>
                  </wp:positionV>
                  <wp:extent cx="2886075" cy="2228850"/>
                  <wp:effectExtent l="0" t="0" r="9525" b="0"/>
                  <wp:wrapTopAndBottom/>
                  <wp:docPr id="30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图片 6"/>
                          <pic:cNvPicPr>
                            <a:picLocks noChangeAspect="1"/>
                          </pic:cNvPicPr>
                        </pic:nvPicPr>
                        <pic:blipFill>
                          <a:blip r:embed="rId124"/>
                          <a:stretch>
                            <a:fillRect/>
                          </a:stretch>
                        </pic:blipFill>
                        <pic:spPr>
                          <a:xfrm>
                            <a:off x="0" y="0"/>
                            <a:ext cx="2886075" cy="2228850"/>
                          </a:xfrm>
                          <a:prstGeom prst="rect">
                            <a:avLst/>
                          </a:prstGeom>
                          <a:noFill/>
                          <a:ln>
                            <a:noFill/>
                          </a:ln>
                        </pic:spPr>
                      </pic:pic>
                    </a:graphicData>
                  </a:graphic>
                </wp:anchor>
              </w:drawing>
            </w:r>
            <w:r>
              <w:rPr>
                <w:rFonts w:hint="eastAsia" w:ascii="宋体" w:hAnsi="宋体" w:eastAsia="宋体" w:cs="宋体"/>
                <w:b/>
                <w:bCs/>
                <w:sz w:val="24"/>
              </w:rPr>
              <w:t>W3#土壤柱状图</w:t>
            </w:r>
          </w:p>
        </w:tc>
      </w:tr>
    </w:tbl>
    <w:p>
      <w:pPr>
        <w:pStyle w:val="7"/>
        <w:rPr>
          <w:rFonts w:hint="eastAsia" w:ascii="宋体" w:hAnsi="宋体" w:eastAsia="宋体" w:cs="宋体"/>
          <w:lang w:eastAsia="zh-CN"/>
        </w:rPr>
      </w:pPr>
      <w:r>
        <w:rPr>
          <w:rFonts w:hint="eastAsia" w:ascii="宋体" w:hAnsi="宋体" w:eastAsia="宋体" w:cs="宋体"/>
          <w:lang w:eastAsia="zh-CN"/>
        </w:rPr>
        <w:t>5.5.7 土壤环境质量现状评价</w:t>
      </w:r>
    </w:p>
    <w:p>
      <w:pPr>
        <w:pStyle w:val="8"/>
        <w:rPr>
          <w:rFonts w:hint="eastAsia" w:ascii="宋体" w:hAnsi="宋体" w:eastAsia="宋体" w:cs="宋体"/>
          <w:lang w:eastAsia="zh-CN"/>
        </w:rPr>
      </w:pPr>
      <w:r>
        <w:rPr>
          <w:rFonts w:hint="eastAsia" w:ascii="宋体" w:hAnsi="宋体" w:eastAsia="宋体" w:cs="宋体"/>
          <w:lang w:eastAsia="zh-CN"/>
        </w:rPr>
        <w:t>5.5.7.1 评价标准</w:t>
      </w:r>
    </w:p>
    <w:p>
      <w:pPr>
        <w:pStyle w:val="16"/>
        <w:ind w:firstLine="560"/>
        <w:rPr>
          <w:rFonts w:hint="eastAsia" w:ascii="宋体" w:hAnsi="宋体" w:eastAsia="宋体" w:cs="宋体"/>
        </w:rPr>
      </w:pPr>
      <w:r>
        <w:rPr>
          <w:rFonts w:hint="eastAsia" w:ascii="宋体" w:hAnsi="宋体" w:eastAsia="宋体" w:cs="宋体"/>
        </w:rPr>
        <w:t>评价区工业场地所在的建设用地土壤环境质量执行《土壤环境质量 建设用地土壤污染风险管控标准（试行）》（GB36600-2018）表一中二类用地筛选值，点位包括S1#~S5#和W1#~W5#；工业场地外农用地土壤环境质量执行《土壤环境质量 农用地土壤污染风险管控标准（试行）》（GB 15618-2018）表一中的筛选值，点位包括S6#~S10#。具体限值详见表1.4.1-5。</w:t>
      </w:r>
    </w:p>
    <w:p>
      <w:pPr>
        <w:pStyle w:val="8"/>
        <w:rPr>
          <w:rFonts w:hint="eastAsia" w:ascii="宋体" w:hAnsi="宋体" w:eastAsia="宋体" w:cs="宋体"/>
          <w:lang w:eastAsia="zh-CN"/>
        </w:rPr>
      </w:pPr>
      <w:r>
        <w:rPr>
          <w:rFonts w:hint="eastAsia" w:ascii="宋体" w:hAnsi="宋体" w:eastAsia="宋体" w:cs="宋体"/>
          <w:lang w:eastAsia="zh-CN"/>
        </w:rPr>
        <w:t>5.5.7.2 评价方法</w:t>
      </w:r>
    </w:p>
    <w:p>
      <w:pPr>
        <w:pStyle w:val="16"/>
        <w:ind w:firstLine="562"/>
        <w:rPr>
          <w:rFonts w:hint="eastAsia" w:ascii="宋体" w:hAnsi="宋体" w:eastAsia="宋体" w:cs="宋体"/>
          <w:b/>
          <w:bCs/>
        </w:rPr>
      </w:pPr>
      <w:r>
        <w:rPr>
          <w:rFonts w:hint="eastAsia" w:ascii="宋体" w:hAnsi="宋体" w:eastAsia="宋体" w:cs="宋体"/>
          <w:b/>
          <w:bCs/>
        </w:rPr>
        <w:t>1、单因子指数法</w:t>
      </w:r>
    </w:p>
    <w:p>
      <w:pPr>
        <w:pStyle w:val="16"/>
        <w:ind w:firstLine="560"/>
        <w:rPr>
          <w:rFonts w:hint="eastAsia" w:ascii="宋体" w:hAnsi="宋体" w:eastAsia="宋体" w:cs="宋体"/>
        </w:rPr>
      </w:pPr>
      <w:r>
        <w:rPr>
          <w:rFonts w:hint="eastAsia" w:ascii="宋体" w:hAnsi="宋体" w:eastAsia="宋体" w:cs="宋体"/>
        </w:rPr>
        <w:t>单因子指数法即计算实测浓度值与评价标准值之比。公式如下：</w:t>
      </w:r>
    </w:p>
    <w:p>
      <w:pPr>
        <w:pStyle w:val="16"/>
        <w:ind w:firstLine="3120" w:firstLineChars="1300"/>
        <w:rPr>
          <w:rFonts w:hint="eastAsia" w:ascii="宋体" w:hAnsi="宋体" w:eastAsia="宋体" w:cs="宋体"/>
        </w:rPr>
      </w:pPr>
      <w:r>
        <w:rPr>
          <w:rFonts w:hint="eastAsia" w:ascii="宋体" w:hAnsi="宋体" w:eastAsia="宋体" w:cs="宋体"/>
        </w:rPr>
        <w:t>S</w:t>
      </w:r>
      <w:r>
        <w:rPr>
          <w:rFonts w:hint="eastAsia" w:ascii="宋体" w:hAnsi="宋体" w:eastAsia="宋体" w:cs="宋体"/>
          <w:vertAlign w:val="subscript"/>
        </w:rPr>
        <w:t>i</w:t>
      </w:r>
      <w:r>
        <w:rPr>
          <w:rFonts w:hint="eastAsia" w:ascii="宋体" w:hAnsi="宋体" w:eastAsia="宋体" w:cs="宋体"/>
        </w:rPr>
        <w:t>＝C</w:t>
      </w:r>
      <w:r>
        <w:rPr>
          <w:rFonts w:hint="eastAsia" w:ascii="宋体" w:hAnsi="宋体" w:eastAsia="宋体" w:cs="宋体"/>
          <w:vertAlign w:val="subscript"/>
        </w:rPr>
        <w:t>i</w:t>
      </w:r>
      <w:r>
        <w:rPr>
          <w:rFonts w:hint="eastAsia" w:ascii="宋体" w:hAnsi="宋体" w:eastAsia="宋体" w:cs="宋体"/>
        </w:rPr>
        <w:t>/C</w:t>
      </w:r>
      <w:r>
        <w:rPr>
          <w:rFonts w:hint="eastAsia" w:ascii="宋体" w:hAnsi="宋体" w:eastAsia="宋体" w:cs="宋体"/>
          <w:vertAlign w:val="subscript"/>
        </w:rPr>
        <w:t>si</w:t>
      </w:r>
    </w:p>
    <w:p>
      <w:pPr>
        <w:pStyle w:val="16"/>
        <w:ind w:firstLine="560"/>
        <w:rPr>
          <w:rFonts w:hint="eastAsia" w:ascii="宋体" w:hAnsi="宋体" w:eastAsia="宋体" w:cs="宋体"/>
        </w:rPr>
      </w:pPr>
      <w:r>
        <w:rPr>
          <w:rFonts w:hint="eastAsia" w:ascii="宋体" w:hAnsi="宋体" w:eastAsia="宋体" w:cs="宋体"/>
        </w:rPr>
        <w:t>式中：S</w:t>
      </w:r>
      <w:r>
        <w:rPr>
          <w:rFonts w:hint="eastAsia" w:ascii="宋体" w:hAnsi="宋体" w:eastAsia="宋体" w:cs="宋体"/>
          <w:vertAlign w:val="subscript"/>
        </w:rPr>
        <w:t>i</w:t>
      </w:r>
      <w:r>
        <w:rPr>
          <w:rFonts w:hint="eastAsia" w:ascii="宋体" w:hAnsi="宋体" w:eastAsia="宋体" w:cs="宋体"/>
        </w:rPr>
        <w:t>——污染物单因子指数；</w:t>
      </w:r>
    </w:p>
    <w:p>
      <w:pPr>
        <w:pStyle w:val="16"/>
        <w:ind w:firstLine="1200" w:firstLineChars="500"/>
        <w:rPr>
          <w:rFonts w:hint="eastAsia" w:ascii="宋体" w:hAnsi="宋体" w:eastAsia="宋体" w:cs="宋体"/>
        </w:rPr>
      </w:pPr>
      <w:r>
        <w:rPr>
          <w:rFonts w:hint="eastAsia" w:ascii="宋体" w:hAnsi="宋体" w:eastAsia="宋体" w:cs="宋体"/>
        </w:rPr>
        <w:t>C</w:t>
      </w:r>
      <w:r>
        <w:rPr>
          <w:rFonts w:hint="eastAsia" w:ascii="宋体" w:hAnsi="宋体" w:eastAsia="宋体" w:cs="宋体"/>
          <w:vertAlign w:val="subscript"/>
        </w:rPr>
        <w:t>i</w:t>
      </w:r>
      <w:r>
        <w:rPr>
          <w:rFonts w:hint="eastAsia" w:ascii="宋体" w:hAnsi="宋体" w:eastAsia="宋体" w:cs="宋体"/>
        </w:rPr>
        <w:t>——i污染物的浓度值，mg/kg；</w:t>
      </w:r>
    </w:p>
    <w:p>
      <w:pPr>
        <w:pStyle w:val="16"/>
        <w:ind w:firstLine="1200" w:firstLineChars="500"/>
        <w:rPr>
          <w:rFonts w:hint="eastAsia" w:ascii="宋体" w:hAnsi="宋体" w:eastAsia="宋体" w:cs="宋体"/>
        </w:rPr>
      </w:pPr>
      <w:r>
        <w:rPr>
          <w:rFonts w:hint="eastAsia" w:ascii="宋体" w:hAnsi="宋体" w:eastAsia="宋体" w:cs="宋体"/>
        </w:rPr>
        <w:t>C</w:t>
      </w:r>
      <w:r>
        <w:rPr>
          <w:rFonts w:hint="eastAsia" w:ascii="宋体" w:hAnsi="宋体" w:eastAsia="宋体" w:cs="宋体"/>
          <w:vertAlign w:val="subscript"/>
        </w:rPr>
        <w:t>si</w:t>
      </w:r>
      <w:r>
        <w:rPr>
          <w:rFonts w:hint="eastAsia" w:ascii="宋体" w:hAnsi="宋体" w:eastAsia="宋体" w:cs="宋体"/>
        </w:rPr>
        <w:t>——i污染物的评价标准值，mg/kg。</w:t>
      </w:r>
    </w:p>
    <w:p>
      <w:pPr>
        <w:pStyle w:val="16"/>
        <w:ind w:firstLine="562"/>
        <w:rPr>
          <w:rFonts w:hint="eastAsia" w:ascii="宋体" w:hAnsi="宋体" w:eastAsia="宋体" w:cs="宋体"/>
          <w:b/>
          <w:bCs/>
        </w:rPr>
      </w:pPr>
      <w:r>
        <w:rPr>
          <w:rFonts w:hint="eastAsia" w:ascii="宋体" w:hAnsi="宋体" w:eastAsia="宋体" w:cs="宋体"/>
          <w:b/>
          <w:bCs/>
        </w:rPr>
        <w:t>2、土壤盐化</w:t>
      </w:r>
    </w:p>
    <w:p>
      <w:pPr>
        <w:pStyle w:val="16"/>
        <w:ind w:firstLine="560"/>
        <w:rPr>
          <w:rFonts w:hint="eastAsia" w:ascii="宋体" w:hAnsi="宋体" w:eastAsia="宋体" w:cs="宋体"/>
        </w:rPr>
      </w:pPr>
      <w:r>
        <w:rPr>
          <w:rFonts w:hint="eastAsia" w:ascii="宋体" w:hAnsi="宋体" w:eastAsia="宋体" w:cs="宋体"/>
        </w:rPr>
        <w:t>土壤盐化按照《环境影响评价技术导则 土壤环境（试行）》（HJ 964-2018）附录D中表D.1土壤盐化分级标准进行评价。</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表D.1 土壤酸化、碱化分级标准</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096"/>
        <w:gridCol w:w="3096"/>
        <w:gridCol w:w="30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96" w:type="dxa"/>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分级</w:t>
            </w:r>
          </w:p>
        </w:tc>
        <w:tc>
          <w:tcPr>
            <w:tcW w:w="6192" w:type="dxa"/>
            <w:gridSpan w:val="2"/>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土壤含盐量（SSC）/（g/kg）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96"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滨海、半湿润和半干旱地区</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干旱、半荒漠和荒漠地区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SSC＜1</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SSC＜2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轻度盐化</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1≤SSC＜2</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2≤SSC＜3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中度盐化</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2≤SSC＜4</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3≤SSC＜5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重度盐化</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4≤SSC＜6</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5≤SSC＜10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极重度盐化</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SSC≥6</w:t>
            </w:r>
          </w:p>
        </w:tc>
        <w:tc>
          <w:tcPr>
            <w:tcW w:w="3096"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SSC≥10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8" w:type="dxa"/>
            <w:gridSpan w:val="3"/>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注：根据区域自然背景状况适当调整</w:t>
            </w:r>
          </w:p>
        </w:tc>
      </w:tr>
    </w:tbl>
    <w:p>
      <w:pPr>
        <w:pStyle w:val="8"/>
        <w:rPr>
          <w:rFonts w:hint="eastAsia" w:ascii="宋体" w:hAnsi="宋体" w:eastAsia="宋体" w:cs="宋体"/>
          <w:lang w:eastAsia="zh-CN"/>
        </w:rPr>
      </w:pPr>
      <w:r>
        <w:rPr>
          <w:rFonts w:hint="eastAsia" w:ascii="宋体" w:hAnsi="宋体" w:eastAsia="宋体" w:cs="宋体"/>
          <w:lang w:eastAsia="zh-CN"/>
        </w:rPr>
        <w:t>5.5.7.3 评价结果</w:t>
      </w:r>
    </w:p>
    <w:p>
      <w:pPr>
        <w:pStyle w:val="16"/>
        <w:ind w:firstLine="562"/>
        <w:rPr>
          <w:rFonts w:hint="eastAsia" w:ascii="宋体" w:hAnsi="宋体" w:eastAsia="宋体" w:cs="宋体"/>
          <w:b/>
          <w:bCs/>
        </w:rPr>
      </w:pPr>
      <w:r>
        <w:rPr>
          <w:rFonts w:hint="eastAsia" w:ascii="宋体" w:hAnsi="宋体" w:eastAsia="宋体" w:cs="宋体"/>
          <w:b/>
          <w:bCs/>
        </w:rPr>
        <w:t>1、单因子指数法评价结果</w:t>
      </w:r>
    </w:p>
    <w:p>
      <w:pPr>
        <w:pStyle w:val="16"/>
        <w:ind w:firstLine="560"/>
        <w:rPr>
          <w:rFonts w:hint="eastAsia" w:ascii="宋体" w:hAnsi="宋体" w:eastAsia="宋体" w:cs="宋体"/>
        </w:rPr>
      </w:pPr>
      <w:r>
        <w:rPr>
          <w:rFonts w:hint="eastAsia" w:ascii="宋体" w:hAnsi="宋体" w:eastAsia="宋体" w:cs="宋体"/>
        </w:rPr>
        <w:t>本次评价对未检出的项目不再进行评价，仅评价检出和有限值的项目。</w:t>
      </w:r>
    </w:p>
    <w:p>
      <w:pPr>
        <w:pStyle w:val="16"/>
        <w:ind w:firstLine="560"/>
        <w:rPr>
          <w:rFonts w:hint="eastAsia" w:ascii="宋体" w:hAnsi="宋体" w:eastAsia="宋体" w:cs="宋体"/>
        </w:rPr>
      </w:pPr>
      <w:r>
        <w:rPr>
          <w:rFonts w:hint="eastAsia" w:ascii="宋体" w:hAnsi="宋体" w:eastAsia="宋体" w:cs="宋体"/>
        </w:rPr>
        <w:t>土壤环境质量现状评价结果见表5.5.7-1、表5.5.7-2。</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表5.5.7-1 建设用地土壤评价结果</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68"/>
        <w:gridCol w:w="1467"/>
        <w:gridCol w:w="1049"/>
        <w:gridCol w:w="1160"/>
        <w:gridCol w:w="1271"/>
        <w:gridCol w:w="1160"/>
        <w:gridCol w:w="1050"/>
        <w:gridCol w:w="105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367" w:type="pct"/>
            <w:gridSpan w:val="2"/>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监测指标</w:t>
            </w:r>
          </w:p>
        </w:tc>
        <w:tc>
          <w:tcPr>
            <w:tcW w:w="565"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砷</w:t>
            </w:r>
          </w:p>
        </w:tc>
        <w:tc>
          <w:tcPr>
            <w:tcW w:w="625"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镉</w:t>
            </w:r>
          </w:p>
        </w:tc>
        <w:tc>
          <w:tcPr>
            <w:tcW w:w="685"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汞</w:t>
            </w:r>
          </w:p>
        </w:tc>
        <w:tc>
          <w:tcPr>
            <w:tcW w:w="625"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铜</w:t>
            </w:r>
          </w:p>
        </w:tc>
        <w:tc>
          <w:tcPr>
            <w:tcW w:w="565"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铅</w:t>
            </w:r>
          </w:p>
        </w:tc>
        <w:tc>
          <w:tcPr>
            <w:tcW w:w="565"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12" w:hRule="atLeast"/>
          <w:tblHeader/>
        </w:trPr>
        <w:tc>
          <w:tcPr>
            <w:tcW w:w="1367" w:type="pct"/>
            <w:gridSpan w:val="2"/>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5"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625"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685"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625"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5"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565"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S1#</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0.001</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S2#</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0.001</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S3#</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0.16</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0.003</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0.0001</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S4#</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4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0.06 </w:t>
            </w:r>
          </w:p>
        </w:tc>
        <w:tc>
          <w:tcPr>
            <w:tcW w:w="116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0.004 </w:t>
            </w:r>
          </w:p>
        </w:tc>
        <w:tc>
          <w:tcPr>
            <w:tcW w:w="127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0.0007 </w:t>
            </w:r>
          </w:p>
        </w:tc>
        <w:tc>
          <w:tcPr>
            <w:tcW w:w="116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0.003 </w:t>
            </w:r>
          </w:p>
        </w:tc>
        <w:tc>
          <w:tcPr>
            <w:tcW w:w="104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0.02 </w:t>
            </w:r>
          </w:p>
        </w:tc>
        <w:tc>
          <w:tcPr>
            <w:tcW w:w="10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S5#</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4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0.04 </w:t>
            </w:r>
          </w:p>
        </w:tc>
        <w:tc>
          <w:tcPr>
            <w:tcW w:w="116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0.002 </w:t>
            </w:r>
          </w:p>
        </w:tc>
        <w:tc>
          <w:tcPr>
            <w:tcW w:w="1271"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0.0009 </w:t>
            </w:r>
          </w:p>
        </w:tc>
        <w:tc>
          <w:tcPr>
            <w:tcW w:w="1160"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0.003 </w:t>
            </w:r>
          </w:p>
        </w:tc>
        <w:tc>
          <w:tcPr>
            <w:tcW w:w="1049"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0.02 </w:t>
            </w:r>
          </w:p>
        </w:tc>
        <w:tc>
          <w:tcPr>
            <w:tcW w:w="1055" w:type="dxa"/>
            <w:tcBorders>
              <w:tl2br w:val="nil"/>
              <w:tr2bl w:val="nil"/>
            </w:tcBorders>
            <w:shd w:val="clear" w:color="auto" w:fill="auto"/>
            <w:noWrap/>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color w:val="000000"/>
                <w:sz w:val="21"/>
                <w:szCs w:val="21"/>
                <w:lang w:eastAsia="zh-CN" w:bidi="ar"/>
              </w:rPr>
              <w:t xml:space="preserve">0.10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W1#</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0.14</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0.003</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0.0001</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0.001</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0.21</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1.5-3.0m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0.22</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0.0001</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3.0-5.0m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0.22</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0.0002</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W2#</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0.22</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0.001</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0.0003</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0.20</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1.5-3.0m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0.18</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W3#</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0.17</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0.15</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1.5-3.0m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0.15</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3.0-5.0m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0.15</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W4#</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0.30</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0.006</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0.0004</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0.07</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0.21</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0.0003</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W5#</w:t>
            </w: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0.001</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0.001</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76"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791"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0.5-1.5m</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0.12</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68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62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0.002</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0.04</w:t>
            </w:r>
          </w:p>
        </w:tc>
        <w:tc>
          <w:tcPr>
            <w:tcW w:w="56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5000" w:type="pct"/>
            <w:gridSpan w:val="8"/>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备注：/代表监测结果为未检出，不评价。</w:t>
            </w:r>
          </w:p>
        </w:tc>
      </w:tr>
    </w:tbl>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表5.5.7-2 农用地土壤评价结果</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821"/>
        <w:gridCol w:w="1036"/>
        <w:gridCol w:w="928"/>
        <w:gridCol w:w="928"/>
        <w:gridCol w:w="928"/>
        <w:gridCol w:w="928"/>
        <w:gridCol w:w="928"/>
        <w:gridCol w:w="928"/>
        <w:gridCol w:w="928"/>
        <w:gridCol w:w="9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000" w:type="pct"/>
            <w:gridSpan w:val="2"/>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监测指标</w:t>
            </w:r>
          </w:p>
        </w:tc>
        <w:tc>
          <w:tcPr>
            <w:tcW w:w="4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砷</w:t>
            </w:r>
          </w:p>
        </w:tc>
        <w:tc>
          <w:tcPr>
            <w:tcW w:w="4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镉</w:t>
            </w:r>
          </w:p>
        </w:tc>
        <w:tc>
          <w:tcPr>
            <w:tcW w:w="4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汞</w:t>
            </w:r>
          </w:p>
        </w:tc>
        <w:tc>
          <w:tcPr>
            <w:tcW w:w="4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铜</w:t>
            </w:r>
          </w:p>
        </w:tc>
        <w:tc>
          <w:tcPr>
            <w:tcW w:w="4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铅</w:t>
            </w:r>
          </w:p>
        </w:tc>
        <w:tc>
          <w:tcPr>
            <w:tcW w:w="4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镍</w:t>
            </w:r>
          </w:p>
        </w:tc>
        <w:tc>
          <w:tcPr>
            <w:tcW w:w="4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铬</w:t>
            </w:r>
          </w:p>
        </w:tc>
        <w:tc>
          <w:tcPr>
            <w:tcW w:w="4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1000" w:type="pct"/>
            <w:gridSpan w:val="2"/>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4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4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4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4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4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4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4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4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S6#</w:t>
            </w:r>
          </w:p>
        </w:tc>
        <w:tc>
          <w:tcPr>
            <w:tcW w:w="55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0.32</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0.27</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0.25</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0.19</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0.27</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0.56</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S7#</w:t>
            </w:r>
          </w:p>
        </w:tc>
        <w:tc>
          <w:tcPr>
            <w:tcW w:w="55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0.42</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0.30</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0.00</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0.19</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0.15</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0.14</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0.33</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S8#</w:t>
            </w:r>
          </w:p>
        </w:tc>
        <w:tc>
          <w:tcPr>
            <w:tcW w:w="55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0.66</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0.35</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0.17</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0.18</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0.46</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1.12</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S9#</w:t>
            </w:r>
          </w:p>
        </w:tc>
        <w:tc>
          <w:tcPr>
            <w:tcW w:w="55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0.36</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0.40</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0.01</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0.17</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0.26</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0.39</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0.52</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42"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S10#</w:t>
            </w:r>
          </w:p>
        </w:tc>
        <w:tc>
          <w:tcPr>
            <w:tcW w:w="558"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0.38</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0.17</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0.12</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0.12</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0.14</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0.29</w:t>
            </w:r>
          </w:p>
        </w:tc>
        <w:tc>
          <w:tcPr>
            <w:tcW w:w="49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0.19</w:t>
            </w:r>
          </w:p>
        </w:tc>
      </w:tr>
    </w:tbl>
    <w:p>
      <w:pPr>
        <w:pStyle w:val="16"/>
        <w:ind w:firstLine="560"/>
        <w:rPr>
          <w:rFonts w:hint="eastAsia" w:ascii="宋体" w:hAnsi="宋体" w:eastAsia="宋体" w:cs="宋体"/>
        </w:rPr>
      </w:pPr>
      <w:r>
        <w:rPr>
          <w:rFonts w:hint="eastAsia" w:ascii="宋体" w:hAnsi="宋体" w:eastAsia="宋体" w:cs="宋体"/>
        </w:rPr>
        <w:t>根据表5.5.7-1可知，S1#~S5#、W1#~W5#各评价因子均满足《土壤质量标准 建设用地土壤污染风险管控标准》（试行）（GB36600-2018）第二类工业用地筛选值标准；</w:t>
      </w:r>
    </w:p>
    <w:p>
      <w:pPr>
        <w:pStyle w:val="16"/>
        <w:ind w:firstLine="560"/>
        <w:rPr>
          <w:rFonts w:hint="eastAsia" w:ascii="宋体" w:hAnsi="宋体" w:eastAsia="宋体" w:cs="宋体"/>
        </w:rPr>
      </w:pPr>
      <w:r>
        <w:rPr>
          <w:rFonts w:hint="eastAsia" w:ascii="宋体" w:hAnsi="宋体" w:eastAsia="宋体" w:cs="宋体"/>
        </w:rPr>
        <w:t>根据表5.5.7-2可知，S6#~S10#土壤各评价因子均满足《土壤质量标准 农用地土壤污染风险管控标准》（试行）（GB15618-2018）中表1筛选值标准。</w:t>
      </w:r>
    </w:p>
    <w:p>
      <w:pPr>
        <w:pStyle w:val="16"/>
        <w:ind w:firstLine="562"/>
        <w:rPr>
          <w:rFonts w:hint="eastAsia" w:ascii="宋体" w:hAnsi="宋体" w:eastAsia="宋体" w:cs="宋体"/>
          <w:b/>
          <w:bCs/>
        </w:rPr>
      </w:pPr>
      <w:r>
        <w:rPr>
          <w:rFonts w:hint="eastAsia" w:ascii="宋体" w:hAnsi="宋体" w:eastAsia="宋体" w:cs="宋体"/>
          <w:b/>
          <w:bCs/>
        </w:rPr>
        <w:t>2、土壤盐化评价结果</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表5.5.7-3 土壤盐化评价结果</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55"/>
        <w:gridCol w:w="2644"/>
        <w:gridCol w:w="1892"/>
        <w:gridCol w:w="279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blHeader/>
        </w:trPr>
        <w:tc>
          <w:tcPr>
            <w:tcW w:w="2477" w:type="pct"/>
            <w:gridSpan w:val="2"/>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监测点位</w:t>
            </w:r>
          </w:p>
        </w:tc>
        <w:tc>
          <w:tcPr>
            <w:tcW w:w="101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全盐量（g/kg）</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盐化程度</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S1#</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0.14</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S2#</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S3#</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0.36</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S4#</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S5#</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W1#</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0.88</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W2#</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1.44</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轻度盐化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W3#</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0.44</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W4#</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0.88</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W5#</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0.16</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S6#</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0.28</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S7#</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0.44</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S8#</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0.37</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S9#</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0.24</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105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S10#</w:t>
            </w:r>
          </w:p>
        </w:tc>
        <w:tc>
          <w:tcPr>
            <w:tcW w:w="142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0-0.2m</w:t>
            </w:r>
          </w:p>
        </w:tc>
        <w:tc>
          <w:tcPr>
            <w:tcW w:w="1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0.18</w:t>
            </w:r>
          </w:p>
        </w:tc>
        <w:tc>
          <w:tcPr>
            <w:tcW w:w="1503"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未盐化</w:t>
            </w:r>
          </w:p>
        </w:tc>
      </w:tr>
    </w:tbl>
    <w:p>
      <w:pPr>
        <w:pStyle w:val="16"/>
        <w:ind w:firstLine="560"/>
        <w:rPr>
          <w:rFonts w:hint="eastAsia" w:ascii="宋体" w:hAnsi="宋体" w:eastAsia="宋体" w:cs="宋体"/>
        </w:rPr>
      </w:pPr>
      <w:r>
        <w:rPr>
          <w:rFonts w:hint="eastAsia" w:ascii="宋体" w:hAnsi="宋体" w:eastAsia="宋体" w:cs="宋体"/>
        </w:rPr>
        <w:t>根据表5.5.7-3可知，S1#~S10#、W1#、W3#~W5#处土壤均为未盐化；w2#处为轻度盐化土壤。</w:t>
      </w:r>
    </w:p>
    <w:p>
      <w:pPr>
        <w:pStyle w:val="6"/>
        <w:rPr>
          <w:rFonts w:hint="eastAsia" w:ascii="宋体" w:hAnsi="宋体" w:eastAsia="宋体" w:cs="宋体"/>
          <w:lang w:eastAsia="zh-CN"/>
        </w:rPr>
      </w:pPr>
      <w:bookmarkStart w:id="148" w:name="_Toc5413"/>
      <w:bookmarkStart w:id="149" w:name="_Toc9761"/>
      <w:r>
        <w:rPr>
          <w:rFonts w:hint="eastAsia" w:ascii="宋体" w:hAnsi="宋体" w:eastAsia="宋体" w:cs="宋体"/>
          <w:lang w:eastAsia="zh-CN"/>
        </w:rPr>
        <w:t>5.6 生态现状调查与评价</w:t>
      </w:r>
      <w:bookmarkEnd w:id="148"/>
      <w:bookmarkEnd w:id="149"/>
    </w:p>
    <w:p>
      <w:pPr>
        <w:pStyle w:val="7"/>
        <w:rPr>
          <w:rFonts w:hint="eastAsia" w:ascii="宋体" w:hAnsi="宋体" w:eastAsia="宋体" w:cs="宋体"/>
          <w:lang w:eastAsia="zh-CN"/>
        </w:rPr>
      </w:pPr>
      <w:r>
        <w:rPr>
          <w:rFonts w:hint="eastAsia" w:ascii="宋体" w:hAnsi="宋体" w:eastAsia="宋体" w:cs="宋体"/>
          <w:lang w:eastAsia="zh-CN"/>
        </w:rPr>
        <w:t>5.6.1 生态环境现状调查</w:t>
      </w:r>
    </w:p>
    <w:p>
      <w:pPr>
        <w:pStyle w:val="8"/>
        <w:rPr>
          <w:rFonts w:hint="eastAsia" w:ascii="宋体" w:hAnsi="宋体" w:eastAsia="宋体" w:cs="宋体"/>
          <w:lang w:eastAsia="zh-CN"/>
        </w:rPr>
      </w:pPr>
      <w:r>
        <w:rPr>
          <w:rFonts w:hint="eastAsia" w:ascii="宋体" w:hAnsi="宋体" w:eastAsia="宋体" w:cs="宋体"/>
          <w:lang w:eastAsia="zh-CN"/>
        </w:rPr>
        <w:t>5.6.1.1 生态系统</w:t>
      </w:r>
    </w:p>
    <w:p>
      <w:pPr>
        <w:ind w:firstLine="560"/>
        <w:rPr>
          <w:rFonts w:hint="eastAsia" w:ascii="宋体" w:hAnsi="宋体" w:eastAsia="宋体" w:cs="宋体"/>
          <w:lang w:eastAsia="zh-CN"/>
        </w:rPr>
      </w:pPr>
      <w:r>
        <w:rPr>
          <w:rFonts w:hint="eastAsia" w:ascii="宋体" w:hAnsi="宋体" w:eastAsia="宋体" w:cs="宋体"/>
          <w:lang w:eastAsia="zh-CN"/>
        </w:rPr>
        <w:t>经实地调查，生态系统评价区内全部为人工生态或半人工生态系统。按照生境和生物群落特征，评价区主要划分为农田、果园、村镇、工矿、路际、水域等6种生态系统类型。</w:t>
      </w:r>
    </w:p>
    <w:p>
      <w:pPr>
        <w:ind w:firstLine="560"/>
        <w:rPr>
          <w:rFonts w:hint="eastAsia" w:ascii="宋体" w:hAnsi="宋体" w:eastAsia="宋体" w:cs="宋体"/>
          <w:lang w:eastAsia="zh-CN"/>
        </w:rPr>
      </w:pPr>
      <w:r>
        <w:rPr>
          <w:rFonts w:hint="eastAsia" w:ascii="宋体" w:hAnsi="宋体" w:eastAsia="宋体" w:cs="宋体"/>
          <w:lang w:eastAsia="zh-CN"/>
        </w:rPr>
        <w:t>其中农田生态系统，片状分布于评价区西北侧；果园生态系统，片状分布于评价区内和评价区西南侧；村镇生态系统中生产、生活建筑、绿地和非农用地有序排列，片状分布全区；路际生态系统中S234省道由西北-东南贯穿评价区；工矿生态系统主要是</w:t>
      </w:r>
      <w:r>
        <w:rPr>
          <w:rFonts w:hint="eastAsia" w:cs="宋体"/>
          <w:lang w:eastAsia="zh-CN"/>
        </w:rPr>
        <w:t>本项目</w:t>
      </w:r>
      <w:r>
        <w:rPr>
          <w:rFonts w:hint="eastAsia" w:ascii="宋体" w:hAnsi="宋体" w:eastAsia="宋体" w:cs="宋体"/>
          <w:lang w:eastAsia="zh-CN"/>
        </w:rPr>
        <w:t>的工业场地，成块状分布在评价区内；水域生态系统呈条带状贯穿评价区西南侧。评价区内生态系统类型及特征见表5.6.1-1。</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表5.6.1-1 评价区内生态系统类型及特征</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4"/>
        <w:gridCol w:w="1840"/>
        <w:gridCol w:w="3944"/>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dxa"/>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840"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生态系统类型</w:t>
            </w:r>
          </w:p>
        </w:tc>
        <w:tc>
          <w:tcPr>
            <w:tcW w:w="3944"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主要物种</w:t>
            </w:r>
          </w:p>
        </w:tc>
        <w:tc>
          <w:tcPr>
            <w:tcW w:w="2620" w:type="dxa"/>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分布情况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840"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农田生态系统</w:t>
            </w:r>
          </w:p>
        </w:tc>
        <w:tc>
          <w:tcPr>
            <w:tcW w:w="394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小麦、玉米等</w:t>
            </w:r>
          </w:p>
        </w:tc>
        <w:tc>
          <w:tcPr>
            <w:tcW w:w="2620"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片状分布于评价区西北侧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840"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果园生态系统</w:t>
            </w:r>
          </w:p>
        </w:tc>
        <w:tc>
          <w:tcPr>
            <w:tcW w:w="394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桃、苹果等</w:t>
            </w:r>
          </w:p>
        </w:tc>
        <w:tc>
          <w:tcPr>
            <w:tcW w:w="2620"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片状分布于评价区内和评价区西南侧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840"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村镇生态系统</w:t>
            </w:r>
          </w:p>
        </w:tc>
        <w:tc>
          <w:tcPr>
            <w:tcW w:w="394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人、家畜与绿色植物 </w:t>
            </w:r>
          </w:p>
        </w:tc>
        <w:tc>
          <w:tcPr>
            <w:tcW w:w="2620"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片状分布全区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840"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工矿生态系统</w:t>
            </w:r>
          </w:p>
        </w:tc>
        <w:tc>
          <w:tcPr>
            <w:tcW w:w="394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人、绿色植物 </w:t>
            </w:r>
          </w:p>
        </w:tc>
        <w:tc>
          <w:tcPr>
            <w:tcW w:w="2620"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成块状分布在评价区内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840"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路际生态系统</w:t>
            </w:r>
          </w:p>
        </w:tc>
        <w:tc>
          <w:tcPr>
            <w:tcW w:w="394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人、绿色植物</w:t>
            </w:r>
          </w:p>
        </w:tc>
        <w:tc>
          <w:tcPr>
            <w:tcW w:w="2620"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S234省道由西北-东南贯穿评价区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84"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1840"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水域生态系统</w:t>
            </w:r>
          </w:p>
        </w:tc>
        <w:tc>
          <w:tcPr>
            <w:tcW w:w="394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芦苇等水生植物，鱼虾等水生动物</w:t>
            </w:r>
          </w:p>
        </w:tc>
        <w:tc>
          <w:tcPr>
            <w:tcW w:w="2620"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条带状贯穿评价区西南侧</w:t>
            </w:r>
          </w:p>
        </w:tc>
      </w:tr>
    </w:tbl>
    <w:p>
      <w:pPr>
        <w:pStyle w:val="8"/>
        <w:rPr>
          <w:rFonts w:hint="eastAsia" w:ascii="宋体" w:hAnsi="宋体" w:eastAsia="宋体" w:cs="宋体"/>
          <w:lang w:eastAsia="zh-CN"/>
        </w:rPr>
      </w:pPr>
      <w:r>
        <w:rPr>
          <w:rFonts w:hint="eastAsia" w:ascii="宋体" w:hAnsi="宋体" w:eastAsia="宋体" w:cs="宋体"/>
          <w:lang w:eastAsia="zh-CN"/>
        </w:rPr>
        <w:t>5.6.1.2 植被现状</w:t>
      </w:r>
    </w:p>
    <w:p>
      <w:pPr>
        <w:ind w:firstLine="562"/>
        <w:rPr>
          <w:rFonts w:hint="eastAsia" w:ascii="宋体" w:hAnsi="宋体" w:eastAsia="宋体" w:cs="宋体"/>
          <w:b/>
          <w:bCs/>
          <w:lang w:eastAsia="zh-CN"/>
        </w:rPr>
      </w:pPr>
      <w:r>
        <w:rPr>
          <w:rFonts w:hint="eastAsia" w:ascii="宋体" w:hAnsi="宋体" w:eastAsia="宋体" w:cs="宋体"/>
          <w:b/>
          <w:bCs/>
          <w:lang w:eastAsia="zh-CN"/>
        </w:rPr>
        <w:t>1、植被区系</w:t>
      </w:r>
    </w:p>
    <w:p>
      <w:pPr>
        <w:ind w:firstLine="560"/>
        <w:rPr>
          <w:rFonts w:hint="eastAsia" w:ascii="宋体" w:hAnsi="宋体" w:eastAsia="宋体" w:cs="宋体"/>
          <w:lang w:eastAsia="zh-CN"/>
        </w:rPr>
      </w:pPr>
      <w:r>
        <w:rPr>
          <w:rFonts w:hint="eastAsia" w:ascii="宋体" w:hAnsi="宋体" w:eastAsia="宋体" w:cs="宋体"/>
          <w:lang w:eastAsia="zh-CN"/>
        </w:rPr>
        <w:t>参考张新时主编的《中国植被》，山东省植物区系分区属于泛北极植物区的中国—日本森林植物亚区—华北地区中的辽东、山东丘陵亚地区。</w:t>
      </w:r>
    </w:p>
    <w:p>
      <w:pPr>
        <w:ind w:firstLine="562"/>
        <w:rPr>
          <w:rFonts w:hint="eastAsia" w:ascii="宋体" w:hAnsi="宋体" w:eastAsia="宋体" w:cs="宋体"/>
          <w:b/>
          <w:bCs/>
          <w:lang w:eastAsia="zh-CN"/>
        </w:rPr>
      </w:pPr>
      <w:r>
        <w:rPr>
          <w:rFonts w:hint="eastAsia" w:ascii="宋体" w:hAnsi="宋体" w:eastAsia="宋体" w:cs="宋体"/>
          <w:b/>
          <w:bCs/>
          <w:lang w:eastAsia="zh-CN"/>
        </w:rPr>
        <w:t>2、植被类型</w:t>
      </w:r>
    </w:p>
    <w:p>
      <w:pPr>
        <w:ind w:firstLine="562"/>
        <w:rPr>
          <w:rFonts w:hint="eastAsia" w:ascii="宋体" w:hAnsi="宋体" w:eastAsia="宋体" w:cs="宋体"/>
          <w:b/>
          <w:bCs/>
          <w:lang w:eastAsia="zh-CN"/>
        </w:rPr>
      </w:pPr>
      <w:r>
        <w:rPr>
          <w:rFonts w:hint="eastAsia" w:ascii="宋体" w:hAnsi="宋体" w:eastAsia="宋体" w:cs="宋体"/>
          <w:b/>
          <w:bCs/>
          <w:lang w:eastAsia="zh-CN"/>
        </w:rPr>
        <w:t>（1）陆生植被类型</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所在地区属暖温带落叶阔叶林区，经人类长期生产活动，天然植被已逐步被人工植被所代替，现有的天然植被具有明显的次生性质。经实地调查和资料分析，草本植物种类较为丰富，农田植被主要是小麦、花生、玉米等粮食作物，无珍稀、濒危植物。</w:t>
      </w:r>
    </w:p>
    <w:p>
      <w:pPr>
        <w:ind w:firstLine="560"/>
        <w:rPr>
          <w:rFonts w:hint="eastAsia" w:ascii="宋体" w:hAnsi="宋体" w:eastAsia="宋体" w:cs="宋体"/>
          <w:lang w:eastAsia="zh-CN"/>
        </w:rPr>
      </w:pPr>
      <w:r>
        <w:rPr>
          <w:rFonts w:hint="eastAsia" w:ascii="宋体" w:hAnsi="宋体" w:eastAsia="宋体" w:cs="宋体"/>
          <w:lang w:eastAsia="zh-CN"/>
        </w:rPr>
        <w:t>农业：评价区内基本上为丘陵区，常年生产粮食、果蔬。以粮食作物为主，包括小麦、玉米等。另有果园，有苹果、桃等。</w:t>
      </w:r>
    </w:p>
    <w:p>
      <w:pPr>
        <w:ind w:firstLine="560"/>
        <w:rPr>
          <w:rFonts w:hint="eastAsia" w:ascii="宋体" w:hAnsi="宋体" w:eastAsia="宋体" w:cs="宋体"/>
          <w:lang w:eastAsia="zh-CN"/>
        </w:rPr>
      </w:pPr>
      <w:r>
        <w:rPr>
          <w:rFonts w:hint="eastAsia" w:ascii="宋体" w:hAnsi="宋体" w:eastAsia="宋体" w:cs="宋体"/>
          <w:lang w:eastAsia="zh-CN"/>
        </w:rPr>
        <w:t>林地：树木类型主要有落叶阔叶林，多是人工林，包括林粮间作及四旁植树，属于农田防护林。评价区内的林木主要分布在道路、沟渠两侧，果园和苗圃中。林木覆盖率较低，主要植被物种有松、杨、柳等。</w:t>
      </w:r>
    </w:p>
    <w:p>
      <w:pPr>
        <w:ind w:firstLine="562"/>
        <w:rPr>
          <w:rFonts w:hint="eastAsia" w:ascii="宋体" w:hAnsi="宋体" w:eastAsia="宋体" w:cs="宋体"/>
          <w:b/>
          <w:bCs/>
          <w:lang w:eastAsia="zh-CN"/>
        </w:rPr>
      </w:pPr>
      <w:r>
        <w:rPr>
          <w:rFonts w:hint="eastAsia" w:ascii="宋体" w:hAnsi="宋体" w:eastAsia="宋体" w:cs="宋体"/>
          <w:b/>
          <w:bCs/>
          <w:lang w:eastAsia="zh-CN"/>
        </w:rPr>
        <w:t>（2）水生植被类型</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评价范围内有山东沂水国家湿地公园，经湿地调查及查阅资料可知，湿地公园内能构成植物群落的优势植物30余种，且分布较有规律。共3门85科194属294种。其中水生（湿生）植物计有136种（变种），优势种有黑杨（Populus nigra Linn.）、水蓼（Polygonum hydropiper）、芦苇（Phragmintes communis）、菱（Trapa bisponosa）、穗花狐尾藻（Myriophyllum spicatum）、轮叶黑藻（Hydrilla verticillata）、金鱼藻（Ceratophyllum demersum）、喜旱莲子草（Alternanthera philoxeroides）、水鳖（Hydrocharis dubia）和稗（Echinochloa crusgalli）等。主要植物群系类型有：黑杨群系、芦苇群系、稗群系和香蒲群系等。</w:t>
      </w:r>
    </w:p>
    <w:p>
      <w:pPr>
        <w:pStyle w:val="8"/>
        <w:rPr>
          <w:rFonts w:hint="eastAsia" w:ascii="宋体" w:hAnsi="宋体" w:eastAsia="宋体" w:cs="宋体"/>
          <w:lang w:eastAsia="zh-CN"/>
        </w:rPr>
      </w:pPr>
      <w:r>
        <w:rPr>
          <w:rFonts w:hint="eastAsia" w:ascii="宋体" w:hAnsi="宋体" w:eastAsia="宋体" w:cs="宋体"/>
          <w:lang w:eastAsia="zh-CN"/>
        </w:rPr>
        <w:t>5.1.6.3 动物资源现状</w:t>
      </w:r>
    </w:p>
    <w:p>
      <w:pPr>
        <w:ind w:firstLine="560"/>
        <w:rPr>
          <w:rFonts w:hint="eastAsia" w:ascii="宋体" w:hAnsi="宋体" w:eastAsia="宋体" w:cs="宋体"/>
          <w:lang w:eastAsia="zh-CN"/>
        </w:rPr>
      </w:pPr>
      <w:r>
        <w:rPr>
          <w:rFonts w:hint="eastAsia" w:ascii="宋体" w:hAnsi="宋体" w:eastAsia="宋体" w:cs="宋体"/>
          <w:lang w:eastAsia="zh-CN"/>
        </w:rPr>
        <w:t>评价区野生动物组成比较简单，种类较少，常见野生动物有：爬行纲主要是蛇类与蜥蜴；兽纲主要有老鼠；鸟纲中有百灵、喜鹊、家燕、麻雀、斑鸠、鹌鹑、大嘴乌鸦、小嘴乌鸦等；昆虫纲主要有天牛、蝼蛄、椿象、透翅蛾、刺蛾、金龟子、地老虎、红蜘蛛、瓢虫、蚜虫等。野生动物均为常见种和广布种。评价区内无国家保护动物和珍稀濒危动物。</w:t>
      </w:r>
    </w:p>
    <w:p>
      <w:pPr>
        <w:pStyle w:val="8"/>
        <w:rPr>
          <w:rFonts w:hint="eastAsia" w:ascii="宋体" w:hAnsi="宋体" w:eastAsia="宋体" w:cs="宋体"/>
          <w:lang w:eastAsia="zh-CN"/>
        </w:rPr>
      </w:pPr>
      <w:r>
        <w:rPr>
          <w:rFonts w:hint="eastAsia" w:ascii="宋体" w:hAnsi="宋体" w:eastAsia="宋体" w:cs="宋体"/>
          <w:lang w:eastAsia="zh-CN"/>
        </w:rPr>
        <w:t>5.6.1.4 土地利用现状</w:t>
      </w:r>
    </w:p>
    <w:p>
      <w:pPr>
        <w:ind w:firstLine="560"/>
        <w:rPr>
          <w:rFonts w:hint="eastAsia" w:ascii="宋体" w:hAnsi="宋体" w:eastAsia="宋体" w:cs="宋体"/>
          <w:lang w:eastAsia="zh-CN"/>
        </w:rPr>
      </w:pPr>
      <w:r>
        <w:rPr>
          <w:rFonts w:hint="eastAsia" w:ascii="宋体" w:hAnsi="宋体" w:eastAsia="宋体" w:cs="宋体"/>
          <w:lang w:eastAsia="zh-CN"/>
        </w:rPr>
        <w:t>矿区周围无省市级重点文物保护单位、名胜古迹及自然保护区。矿区农业生产以种植业为主。乡镇企业发达，主要为铁矿开采、机械加工等工业。根据淄博市沂源县土地利用现状图、临沂市沂水县土地利用现状图（2000国家大地坐标系，1985国家高程基准，2018年12月调绘），矿区土地利用类型主要包含：旱地、果园、乔木林地、其他林地、其他草地、采矿用地（原地类为旱地、果园、其他林地和其他草地）、农村宅基地、公路用地、农村道路、河流水面、坑塘水面、水工建筑物、设施农用地、裸岩石砾地等，矿区内不存在永久基本农田；矿山挖损、压占单位内未破坏永久基本农田；土地权属为沂源县韩旺四村和莱芜钢铁集团鲁南矿业有限公司（原为沂源县韩旺四村、石马山村和沂水县耿家王峪村）证号为：沂国用（2006）第0204号、沂国用（2004）第732号、沂国用（2004）第733号、沂国用（2009）第0102号、源国用（2004）第110号、源国用（2008）第013号、源国用（2008）第014号。矿区土地利用现状见图5.6.1-1。</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tcBorders>
              <w:tl2br w:val="nil"/>
              <w:tr2bl w:val="nil"/>
            </w:tcBorders>
          </w:tcPr>
          <w:p>
            <w:pPr>
              <w:pStyle w:val="2"/>
              <w:keepNext w:val="0"/>
              <w:keepLines w:val="0"/>
              <w:suppressLineNumbers w:val="0"/>
              <w:spacing w:before="0" w:beforeAutospacing="0" w:afterAutospacing="0" w:line="240" w:lineRule="auto"/>
              <w:ind w:right="0"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drawing>
                <wp:anchor distT="0" distB="0" distL="114300" distR="114300" simplePos="0" relativeHeight="251706368" behindDoc="0" locked="0" layoutInCell="1" allowOverlap="1">
                  <wp:simplePos x="0" y="0"/>
                  <wp:positionH relativeFrom="column">
                    <wp:posOffset>0</wp:posOffset>
                  </wp:positionH>
                  <wp:positionV relativeFrom="paragraph">
                    <wp:posOffset>0</wp:posOffset>
                  </wp:positionV>
                  <wp:extent cx="5801360" cy="3117215"/>
                  <wp:effectExtent l="0" t="0" r="8890" b="6985"/>
                  <wp:wrapTopAndBottom/>
                  <wp:docPr id="6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9"/>
                          <pic:cNvPicPr>
                            <a:picLocks noChangeAspect="1"/>
                          </pic:cNvPicPr>
                        </pic:nvPicPr>
                        <pic:blipFill>
                          <a:blip r:embed="rId125"/>
                          <a:stretch>
                            <a:fillRect/>
                          </a:stretch>
                        </pic:blipFill>
                        <pic:spPr>
                          <a:xfrm>
                            <a:off x="0" y="0"/>
                            <a:ext cx="5801360" cy="3117215"/>
                          </a:xfrm>
                          <a:prstGeom prst="rect">
                            <a:avLst/>
                          </a:prstGeom>
                          <a:noFill/>
                          <a:ln>
                            <a:noFill/>
                          </a:ln>
                        </pic:spPr>
                      </pic:pic>
                    </a:graphicData>
                  </a:graphic>
                </wp:anchor>
              </w:drawing>
            </w:r>
            <w:r>
              <w:rPr>
                <w:rFonts w:hint="eastAsia" w:ascii="宋体" w:hAnsi="宋体" w:eastAsia="宋体" w:cs="宋体"/>
                <w:b/>
                <w:bCs/>
                <w:sz w:val="24"/>
                <w:lang w:eastAsia="zh-CN"/>
              </w:rPr>
              <w:t>图5.6.1-1 矿区土地利用现状图</w:t>
            </w:r>
          </w:p>
        </w:tc>
      </w:tr>
    </w:tbl>
    <w:p>
      <w:pPr>
        <w:ind w:firstLine="560"/>
        <w:rPr>
          <w:rFonts w:hint="eastAsia" w:ascii="宋体" w:hAnsi="宋体" w:eastAsia="宋体" w:cs="宋体"/>
          <w:lang w:eastAsia="zh-CN"/>
        </w:rPr>
      </w:pPr>
      <w:r>
        <w:rPr>
          <w:rFonts w:hint="eastAsia" w:ascii="宋体" w:hAnsi="宋体" w:eastAsia="宋体" w:cs="宋体"/>
          <w:lang w:eastAsia="zh-CN"/>
        </w:rPr>
        <w:t>矿区范围内共有耕地面积5.14hm</w:t>
      </w:r>
      <w:r>
        <w:rPr>
          <w:rFonts w:hint="eastAsia" w:ascii="宋体" w:hAnsi="宋体" w:eastAsia="宋体" w:cs="宋体"/>
          <w:vertAlign w:val="superscript"/>
          <w:lang w:eastAsia="zh-CN"/>
        </w:rPr>
        <w:t>2</w:t>
      </w:r>
      <w:r>
        <w:rPr>
          <w:rFonts w:hint="eastAsia" w:ascii="宋体" w:hAnsi="宋体" w:eastAsia="宋体" w:cs="宋体"/>
          <w:lang w:eastAsia="zh-CN"/>
        </w:rPr>
        <w:t>，占矿区总面积的4.44%。土壤主要为沙壤土。矿区内土层厚度100cm（耕作层30cm），pH值6.5左右，土壤有机质含量丰富，当地旱地农作物多种植小麦、玉米等年亩产约500kg，耕地等别12等。矿区范围内共有园地面积28.77hm</w:t>
      </w:r>
      <w:r>
        <w:rPr>
          <w:rFonts w:hint="eastAsia" w:ascii="宋体" w:hAnsi="宋体" w:eastAsia="宋体" w:cs="宋体"/>
          <w:vertAlign w:val="superscript"/>
          <w:lang w:eastAsia="zh-CN"/>
        </w:rPr>
        <w:t>2</w:t>
      </w:r>
      <w:r>
        <w:rPr>
          <w:rFonts w:hint="eastAsia" w:ascii="宋体" w:hAnsi="宋体" w:eastAsia="宋体" w:cs="宋体"/>
          <w:lang w:eastAsia="zh-CN"/>
        </w:rPr>
        <w:t>，全部为果园，占矿区总面积的24.83%。土壤为沙壤土，土层厚度约70cm，pH值平均为6.5，有机质含量较丰富。矿区范围内共林地面积2.60hm</w:t>
      </w:r>
      <w:r>
        <w:rPr>
          <w:rFonts w:hint="eastAsia" w:ascii="宋体" w:hAnsi="宋体" w:eastAsia="宋体" w:cs="宋体"/>
          <w:vertAlign w:val="superscript"/>
          <w:lang w:eastAsia="zh-CN"/>
        </w:rPr>
        <w:t>2</w:t>
      </w:r>
      <w:r>
        <w:rPr>
          <w:rFonts w:hint="eastAsia" w:ascii="宋体" w:hAnsi="宋体" w:eastAsia="宋体" w:cs="宋体"/>
          <w:lang w:eastAsia="zh-CN"/>
        </w:rPr>
        <w:t>，其有中乔木林地2.22hm</w:t>
      </w:r>
      <w:r>
        <w:rPr>
          <w:rFonts w:hint="eastAsia" w:ascii="宋体" w:hAnsi="宋体" w:eastAsia="宋体" w:cs="宋体"/>
          <w:vertAlign w:val="superscript"/>
          <w:lang w:eastAsia="zh-CN"/>
        </w:rPr>
        <w:t>2</w:t>
      </w:r>
      <w:r>
        <w:rPr>
          <w:rFonts w:hint="eastAsia" w:ascii="宋体" w:hAnsi="宋体" w:eastAsia="宋体" w:cs="宋体"/>
          <w:lang w:eastAsia="zh-CN"/>
        </w:rPr>
        <w:t>，其他林地0.38hm</w:t>
      </w:r>
      <w:r>
        <w:rPr>
          <w:rFonts w:hint="eastAsia" w:ascii="宋体" w:hAnsi="宋体" w:eastAsia="宋体" w:cs="宋体"/>
          <w:vertAlign w:val="superscript"/>
          <w:lang w:eastAsia="zh-CN"/>
        </w:rPr>
        <w:t>2</w:t>
      </w:r>
      <w:r>
        <w:rPr>
          <w:rFonts w:hint="eastAsia" w:ascii="宋体" w:hAnsi="宋体" w:eastAsia="宋体" w:cs="宋体"/>
          <w:lang w:eastAsia="zh-CN"/>
        </w:rPr>
        <w:t>，占矿区总面积的2.25%。土壤质地为沙壤土，土层厚度约70cm，肥力一般，pH值6.5左右，有机质含量丰富。矿区草地面积为19.32hm</w:t>
      </w:r>
      <w:r>
        <w:rPr>
          <w:rFonts w:hint="eastAsia" w:ascii="宋体" w:hAnsi="宋体" w:eastAsia="宋体" w:cs="宋体"/>
          <w:vertAlign w:val="superscript"/>
          <w:lang w:eastAsia="zh-CN"/>
        </w:rPr>
        <w:t>2</w:t>
      </w:r>
      <w:r>
        <w:rPr>
          <w:rFonts w:hint="eastAsia" w:ascii="宋体" w:hAnsi="宋体" w:eastAsia="宋体" w:cs="宋体"/>
          <w:lang w:eastAsia="zh-CN"/>
        </w:rPr>
        <w:t>，占矿区面积的2.32%，土壤类型为褐土，土层厚度平均为0.10m，土壤质地为沙壤土，有机质含量较高，土壤PH值约6.4。矿区土地利用现状详见表5.6.1-2，矿区土地利用现状见附图四。</w:t>
      </w:r>
    </w:p>
    <w:p>
      <w:pPr>
        <w:pStyle w:val="16"/>
        <w:spacing w:line="360" w:lineRule="auto"/>
        <w:ind w:firstLine="0" w:firstLineChars="0"/>
        <w:jc w:val="center"/>
        <w:rPr>
          <w:rFonts w:hint="eastAsia" w:ascii="宋体" w:hAnsi="宋体" w:eastAsia="宋体" w:cs="宋体"/>
          <w:b/>
          <w:bCs/>
          <w:sz w:val="24"/>
        </w:rPr>
      </w:pPr>
      <w:r>
        <w:rPr>
          <w:rFonts w:hint="eastAsia" w:ascii="宋体" w:hAnsi="宋体" w:eastAsia="宋体" w:cs="宋体"/>
          <w:b/>
          <w:bCs/>
          <w:sz w:val="24"/>
        </w:rPr>
        <w:t>表5.6.1-2 矿区土地利用现状表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8"/>
        <w:gridCol w:w="1548"/>
        <w:gridCol w:w="1318"/>
        <w:gridCol w:w="1588"/>
        <w:gridCol w:w="1614"/>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96" w:type="dxa"/>
            <w:gridSpan w:val="2"/>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一级地类</w:t>
            </w:r>
          </w:p>
        </w:tc>
        <w:tc>
          <w:tcPr>
            <w:tcW w:w="2906" w:type="dxa"/>
            <w:gridSpan w:val="2"/>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二级地类</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面积（hm</w:t>
            </w:r>
            <w:r>
              <w:rPr>
                <w:rFonts w:hint="eastAsia" w:ascii="宋体" w:hAnsi="宋体" w:eastAsia="宋体" w:cs="宋体"/>
                <w:b/>
                <w:bCs/>
                <w:sz w:val="21"/>
                <w:szCs w:val="21"/>
                <w:vertAlign w:val="superscript"/>
              </w:rPr>
              <w:t>2</w:t>
            </w:r>
            <w:r>
              <w:rPr>
                <w:rFonts w:hint="eastAsia" w:ascii="宋体" w:hAnsi="宋体" w:eastAsia="宋体" w:cs="宋体"/>
                <w:b/>
                <w:bCs/>
                <w:sz w:val="21"/>
                <w:szCs w:val="21"/>
              </w:rPr>
              <w:t>）</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占地面积比例%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w:t>
            </w:r>
          </w:p>
        </w:tc>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耕地</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0103</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旱地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5.14</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w:t>
            </w:r>
          </w:p>
        </w:tc>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园地</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0201</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果园</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28.77</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w:t>
            </w:r>
          </w:p>
        </w:tc>
        <w:tc>
          <w:tcPr>
            <w:tcW w:w="1548"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林地</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0301</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乔木林地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2.22</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0304</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其他林地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0.38</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w:t>
            </w:r>
          </w:p>
        </w:tc>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草地</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0404</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其他草地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19.32</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w:t>
            </w:r>
          </w:p>
        </w:tc>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工矿仓储用地</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0602</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采矿用地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51.52</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06</w:t>
            </w:r>
          </w:p>
        </w:tc>
        <w:tc>
          <w:tcPr>
            <w:tcW w:w="154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住宅用地</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0702</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农村宅基地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1.73</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07</w:t>
            </w:r>
          </w:p>
        </w:tc>
        <w:tc>
          <w:tcPr>
            <w:tcW w:w="1548"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交通运输用地</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1003</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公路用地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2.55</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1006</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农村道路</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1.32</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08</w:t>
            </w:r>
          </w:p>
        </w:tc>
        <w:tc>
          <w:tcPr>
            <w:tcW w:w="1548"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水域及水利设施</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1101</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河流水面</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1.41</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1104</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坑塘水面</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0.39</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1109</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水工建筑用地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0.06</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09</w:t>
            </w:r>
          </w:p>
        </w:tc>
        <w:tc>
          <w:tcPr>
            <w:tcW w:w="1548" w:type="dxa"/>
            <w:vMerge w:val="restar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其他土地</w:t>
            </w: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1202</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设施农田用地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0.07</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548"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31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1207</w:t>
            </w:r>
          </w:p>
        </w:tc>
        <w:tc>
          <w:tcPr>
            <w:tcW w:w="158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裸岩石砾地</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1.02</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02" w:type="dxa"/>
            <w:gridSpan w:val="4"/>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合计</w:t>
            </w:r>
          </w:p>
        </w:tc>
        <w:tc>
          <w:tcPr>
            <w:tcW w:w="161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115.90</w:t>
            </w:r>
          </w:p>
        </w:tc>
        <w:tc>
          <w:tcPr>
            <w:tcW w:w="167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100</w:t>
            </w:r>
          </w:p>
        </w:tc>
      </w:tr>
    </w:tbl>
    <w:p>
      <w:pPr>
        <w:pStyle w:val="8"/>
        <w:rPr>
          <w:rFonts w:hint="eastAsia" w:ascii="宋体" w:hAnsi="宋体" w:eastAsia="宋体" w:cs="宋体"/>
          <w:lang w:eastAsia="zh-CN"/>
        </w:rPr>
      </w:pPr>
      <w:r>
        <w:rPr>
          <w:rFonts w:hint="eastAsia" w:ascii="宋体" w:hAnsi="宋体" w:eastAsia="宋体" w:cs="宋体"/>
          <w:lang w:eastAsia="zh-CN"/>
        </w:rPr>
        <w:t>5.6.1.5 水土流失及土壤侵蚀现状</w:t>
      </w:r>
    </w:p>
    <w:p>
      <w:pPr>
        <w:ind w:firstLine="560"/>
        <w:rPr>
          <w:rFonts w:hint="eastAsia" w:ascii="宋体" w:hAnsi="宋体" w:eastAsia="宋体" w:cs="宋体"/>
          <w:lang w:eastAsia="zh-CN"/>
        </w:rPr>
      </w:pPr>
      <w:r>
        <w:rPr>
          <w:rFonts w:hint="eastAsia" w:ascii="宋体" w:hAnsi="宋体" w:eastAsia="宋体" w:cs="宋体"/>
          <w:lang w:eastAsia="zh-CN"/>
        </w:rPr>
        <w:t>根据《莱钢集团鲁南矿业有限公司王峪矿区（150万t/a）资源开发项目水土保持设施验收报告》（淄博银丰工程咨询有限公司，2021年4月）编写。</w:t>
      </w:r>
    </w:p>
    <w:p>
      <w:pPr>
        <w:ind w:firstLine="560"/>
        <w:rPr>
          <w:rFonts w:hint="eastAsia" w:ascii="宋体" w:hAnsi="宋体" w:eastAsia="宋体" w:cs="宋体"/>
          <w:lang w:eastAsia="zh-CN"/>
        </w:rPr>
      </w:pPr>
      <w:r>
        <w:rPr>
          <w:rFonts w:hint="eastAsia" w:ascii="宋体" w:hAnsi="宋体" w:eastAsia="宋体" w:cs="宋体"/>
          <w:lang w:eastAsia="zh-CN"/>
        </w:rPr>
        <w:t>项目区所在地沂水县及沂源县为Ⅲ-4-2t北方土石区-泰沂及胶东山地丘陵区-鲁中南低山丘陵土壤保持区，该区域水土保持功能以土壤保持为主，项目区属于沂蒙山泰山国家级水土流失重点治理区。具体见图5.6.1-2。</w:t>
      </w:r>
    </w:p>
    <w:p>
      <w:pPr>
        <w:ind w:firstLine="560"/>
        <w:rPr>
          <w:rFonts w:hint="eastAsia" w:ascii="宋体" w:hAnsi="宋体" w:eastAsia="宋体" w:cs="宋体"/>
          <w:lang w:eastAsia="zh-CN"/>
        </w:rPr>
      </w:pPr>
      <w:r>
        <w:rPr>
          <w:rFonts w:hint="eastAsia" w:ascii="宋体" w:hAnsi="宋体" w:eastAsia="宋体" w:cs="宋体"/>
          <w:lang w:eastAsia="zh-CN"/>
        </w:rPr>
        <w:t>项目区土壤侵蚀类型主要为水力侵蚀，侵蚀强度以中度为主，现状平均土壤侵蚀模数为1800t/（km</w:t>
      </w:r>
      <w:r>
        <w:rPr>
          <w:rFonts w:hint="eastAsia" w:ascii="宋体" w:hAnsi="宋体" w:eastAsia="宋体" w:cs="宋体"/>
          <w:vertAlign w:val="superscript"/>
          <w:lang w:eastAsia="zh-CN"/>
        </w:rPr>
        <w:t>2</w:t>
      </w:r>
      <w:r>
        <w:rPr>
          <w:rFonts w:hint="eastAsia" w:ascii="宋体" w:hAnsi="宋体" w:eastAsia="宋体" w:cs="宋体"/>
          <w:lang w:eastAsia="zh-CN"/>
        </w:rPr>
        <w:t>·a）。根据《土壤侵蚀分类分级标准》（SL 190-2007）的划分，项目区属于北方土石山区，容许土壤流失量为 200t/km</w:t>
      </w:r>
      <w:r>
        <w:rPr>
          <w:rFonts w:hint="eastAsia" w:ascii="宋体" w:hAnsi="宋体" w:eastAsia="宋体" w:cs="宋体"/>
          <w:vertAlign w:val="superscript"/>
          <w:lang w:eastAsia="zh-CN"/>
        </w:rPr>
        <w:t>2</w:t>
      </w:r>
      <w:r>
        <w:rPr>
          <w:rFonts w:hint="eastAsia" w:ascii="宋体" w:hAnsi="宋体" w:eastAsia="宋体" w:cs="宋体"/>
          <w:lang w:eastAsia="zh-CN"/>
        </w:rPr>
        <w:t>·a。</w:t>
      </w:r>
    </w:p>
    <w:p>
      <w:pPr>
        <w:ind w:firstLine="560"/>
        <w:rPr>
          <w:rFonts w:hint="eastAsia" w:ascii="宋体" w:hAnsi="宋体" w:eastAsia="宋体" w:cs="宋体"/>
          <w:lang w:eastAsia="zh-CN"/>
        </w:rPr>
      </w:pPr>
      <w:r>
        <w:rPr>
          <w:rFonts w:hint="eastAsia" w:ascii="宋体" w:hAnsi="宋体" w:eastAsia="宋体" w:cs="宋体"/>
          <w:lang w:eastAsia="zh-CN"/>
        </w:rPr>
        <w:t>项目区所在影响水土流失的自然因素主要是降水、地形、土壤和植被，其中降水和地形处于非常不利的状态。开发建设过程中的乱挖乱采、乱堆乱放以及陡坡开荒、铲草皮、乱砍滥伐等不合理的人为活动，产生或加剧了水土流失。</w:t>
      </w:r>
    </w:p>
    <w:p>
      <w:pPr>
        <w:pStyle w:val="8"/>
        <w:rPr>
          <w:rFonts w:hint="eastAsia" w:ascii="宋体" w:hAnsi="宋体" w:eastAsia="宋体" w:cs="宋体"/>
          <w:lang w:eastAsia="zh-CN"/>
        </w:rPr>
      </w:pPr>
      <w:r>
        <w:rPr>
          <w:rFonts w:hint="eastAsia" w:ascii="宋体" w:hAnsi="宋体" w:eastAsia="宋体" w:cs="宋体"/>
          <w:lang w:eastAsia="zh-CN"/>
        </w:rPr>
        <w:t>5.6.1.6 生态敏感目标</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生态评价范围内有山东沂水湿地国家湿地公园，属于重要湿地。</w:t>
      </w:r>
      <w:r>
        <w:rPr>
          <w:rFonts w:hint="eastAsia" w:ascii="宋体" w:hAnsi="宋体" w:cs="宋体"/>
          <w:lang w:eastAsia="zh-CN"/>
        </w:rPr>
        <w:t>本项目</w:t>
      </w:r>
      <w:r>
        <w:rPr>
          <w:rFonts w:hint="eastAsia" w:ascii="宋体" w:hAnsi="宋体" w:eastAsia="宋体" w:cs="宋体"/>
        </w:rPr>
        <w:t>在山东沂水湿地国家湿地公园的东北侧，距离约为474m，具体相对位置见图5.6.1-2。</w:t>
      </w:r>
    </w:p>
    <w:p>
      <w:pPr>
        <w:pStyle w:val="16"/>
        <w:ind w:firstLine="560"/>
        <w:rPr>
          <w:rFonts w:hint="eastAsia" w:ascii="宋体" w:hAnsi="宋体" w:eastAsia="宋体" w:cs="宋体"/>
        </w:rPr>
      </w:pPr>
      <w:r>
        <w:rPr>
          <w:rFonts w:hint="eastAsia" w:ascii="宋体" w:hAnsi="宋体" w:eastAsia="宋体" w:cs="宋体"/>
        </w:rPr>
        <w:t>沂水国家湿地公园位于沂水县境中部，北起沂河沂水县北界，经跋山水库，沿沂河南至沂水县南界，以跋山水库和沂河河道为主体，总面积3394公顷，其中湿地面积约2709.3公顷，湿地率79.83%，分为生态保育区、生态恢复区、科普宣教区、合理利用区和管理服务区等五大功能区。</w:t>
      </w:r>
    </w:p>
    <w:p>
      <w:pPr>
        <w:pStyle w:val="16"/>
        <w:ind w:firstLine="560"/>
        <w:rPr>
          <w:rFonts w:hint="eastAsia" w:ascii="宋体" w:hAnsi="宋体" w:eastAsia="宋体" w:cs="宋体"/>
        </w:rPr>
      </w:pPr>
      <w:r>
        <w:rPr>
          <w:rFonts w:hint="eastAsia" w:ascii="宋体" w:hAnsi="宋体" w:eastAsia="宋体" w:cs="宋体"/>
        </w:rPr>
        <w:t>该湿地公园于2013年被原国家林业局批准为国家湿地公园试点单位。湿地公园拥有着优美的库塘景观、芦苇荡景观、荷塘景观等自然景观和丰富的野生动植物资源。</w:t>
      </w:r>
    </w:p>
    <w:p>
      <w:pPr>
        <w:pStyle w:val="7"/>
        <w:rPr>
          <w:rFonts w:hint="eastAsia" w:ascii="宋体" w:hAnsi="宋体" w:eastAsia="宋体" w:cs="宋体"/>
          <w:lang w:eastAsia="zh-CN"/>
        </w:rPr>
      </w:pPr>
      <w:r>
        <w:rPr>
          <w:rFonts w:hint="eastAsia" w:ascii="宋体" w:hAnsi="宋体" w:eastAsia="宋体" w:cs="宋体"/>
          <w:lang w:eastAsia="zh-CN"/>
        </w:rPr>
        <w:t>5.6.2 小结</w:t>
      </w:r>
    </w:p>
    <w:p>
      <w:pPr>
        <w:pStyle w:val="16"/>
        <w:ind w:firstLine="560"/>
        <w:rPr>
          <w:rFonts w:hint="eastAsia" w:ascii="宋体" w:hAnsi="宋体" w:eastAsia="宋体" w:cs="宋体"/>
        </w:rPr>
      </w:pPr>
      <w:r>
        <w:rPr>
          <w:rFonts w:hint="eastAsia" w:ascii="宋体" w:hAnsi="宋体" w:eastAsia="宋体" w:cs="宋体"/>
        </w:rPr>
        <w:t>（1）评价区域内主要划分为农田、果园、村镇、工矿、路际、水域等6种生态系统类型。</w:t>
      </w:r>
    </w:p>
    <w:p>
      <w:pPr>
        <w:pStyle w:val="16"/>
        <w:ind w:firstLine="560"/>
        <w:rPr>
          <w:rFonts w:hint="eastAsia" w:ascii="宋体" w:hAnsi="宋体" w:eastAsia="宋体" w:cs="宋体"/>
        </w:rPr>
      </w:pPr>
      <w:r>
        <w:rPr>
          <w:rFonts w:hint="eastAsia" w:ascii="宋体" w:hAnsi="宋体" w:eastAsia="宋体" w:cs="宋体"/>
        </w:rPr>
        <w:t>（2）</w:t>
      </w:r>
      <w:r>
        <w:rPr>
          <w:rFonts w:hint="eastAsia" w:ascii="宋体" w:hAnsi="宋体" w:cs="宋体"/>
          <w:lang w:eastAsia="zh-CN"/>
        </w:rPr>
        <w:t>本项目</w:t>
      </w:r>
      <w:r>
        <w:rPr>
          <w:rFonts w:hint="eastAsia" w:ascii="宋体" w:hAnsi="宋体" w:eastAsia="宋体" w:cs="宋体"/>
        </w:rPr>
        <w:t>所在地区属暖温带落叶阔叶林区。现有植被主要为农业的主要植被物种有小麦、玉米、苹果、桃等；林业的主要植被物种有松、杨、柳等。评价区内无国家保护动物和珍稀濒危动物。</w:t>
      </w:r>
    </w:p>
    <w:p>
      <w:pPr>
        <w:pStyle w:val="16"/>
        <w:ind w:firstLine="560"/>
        <w:rPr>
          <w:rFonts w:hint="eastAsia" w:ascii="宋体" w:hAnsi="宋体" w:eastAsia="宋体" w:cs="宋体"/>
        </w:rPr>
      </w:pPr>
      <w:r>
        <w:rPr>
          <w:rFonts w:hint="eastAsia" w:ascii="宋体" w:hAnsi="宋体" w:eastAsia="宋体" w:cs="宋体"/>
        </w:rPr>
        <w:t>（3）矿区土地利用类型主要包含：耕地、园地、林地、草地、工矿仓储用地、住宅用地、交通运输用地、水域及水利设施及其他土地。</w:t>
      </w:r>
    </w:p>
    <w:p>
      <w:pPr>
        <w:pStyle w:val="16"/>
        <w:ind w:firstLine="560"/>
        <w:rPr>
          <w:rFonts w:hint="eastAsia" w:ascii="宋体" w:hAnsi="宋体" w:eastAsia="宋体" w:cs="宋体"/>
        </w:rPr>
      </w:pPr>
      <w:r>
        <w:rPr>
          <w:rFonts w:hint="eastAsia" w:ascii="宋体" w:hAnsi="宋体" w:eastAsia="宋体" w:cs="宋体"/>
        </w:rPr>
        <w:t>（4）建设项目所在地水土流失属于国家级重点治理区，为轻度水力侵蚀。</w:t>
      </w:r>
    </w:p>
    <w:p>
      <w:pPr>
        <w:pStyle w:val="16"/>
        <w:ind w:firstLine="560"/>
        <w:rPr>
          <w:rFonts w:hint="eastAsia" w:ascii="宋体" w:hAnsi="宋体" w:eastAsia="宋体" w:cs="宋体"/>
        </w:rPr>
      </w:pPr>
      <w:r>
        <w:rPr>
          <w:rFonts w:hint="eastAsia" w:ascii="宋体" w:hAnsi="宋体" w:eastAsia="宋体" w:cs="宋体"/>
        </w:rPr>
        <w:t>（5）评价区域内有重要生态敏感区——山东沂水湿地国家湿地公园。</w:t>
      </w:r>
    </w:p>
    <w:p>
      <w:pPr>
        <w:pStyle w:val="16"/>
        <w:ind w:firstLine="560"/>
        <w:rPr>
          <w:rFonts w:hint="eastAsia" w:ascii="宋体" w:hAnsi="宋体" w:eastAsia="宋体" w:cs="宋体"/>
        </w:rPr>
      </w:pPr>
    </w:p>
    <w:p>
      <w:pPr>
        <w:pStyle w:val="16"/>
        <w:ind w:firstLine="560"/>
        <w:rPr>
          <w:rFonts w:hint="eastAsia" w:ascii="宋体" w:hAnsi="宋体" w:eastAsia="宋体" w:cs="宋体"/>
        </w:rPr>
      </w:pPr>
    </w:p>
    <w:p>
      <w:pPr>
        <w:pStyle w:val="16"/>
        <w:ind w:firstLine="560"/>
        <w:rPr>
          <w:rFonts w:hint="eastAsia" w:ascii="宋体" w:hAnsi="宋体" w:eastAsia="宋体" w:cs="宋体"/>
        </w:rPr>
        <w:sectPr>
          <w:headerReference r:id="rId69" w:type="default"/>
          <w:footerReference r:id="rId71" w:type="default"/>
          <w:headerReference r:id="rId70" w:type="even"/>
          <w:footerReference r:id="rId72" w:type="even"/>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pStyle w:val="5"/>
        <w:spacing w:before="156" w:after="156"/>
        <w:rPr>
          <w:rFonts w:hint="eastAsia" w:ascii="宋体" w:hAnsi="宋体" w:eastAsia="宋体" w:cs="宋体"/>
          <w:lang w:eastAsia="zh-CN"/>
        </w:rPr>
      </w:pPr>
      <w:bookmarkStart w:id="150" w:name="_Toc5574"/>
      <w:bookmarkStart w:id="151" w:name="_Toc5759"/>
      <w:r>
        <w:rPr>
          <w:rFonts w:hint="eastAsia" w:ascii="宋体" w:hAnsi="宋体" w:eastAsia="宋体" w:cs="宋体"/>
          <w:lang w:eastAsia="zh-CN"/>
        </w:rPr>
        <w:t>第六章 环境影响预测与评价</w:t>
      </w:r>
      <w:bookmarkEnd w:id="150"/>
      <w:bookmarkEnd w:id="151"/>
    </w:p>
    <w:p>
      <w:pPr>
        <w:pStyle w:val="6"/>
        <w:rPr>
          <w:rFonts w:hint="eastAsia" w:ascii="宋体" w:hAnsi="宋体" w:eastAsia="宋体" w:cs="宋体"/>
          <w:lang w:eastAsia="zh-CN"/>
        </w:rPr>
      </w:pPr>
      <w:bookmarkStart w:id="152" w:name="_Toc16421"/>
      <w:bookmarkStart w:id="153" w:name="_Toc501"/>
      <w:r>
        <w:rPr>
          <w:rFonts w:hint="eastAsia" w:ascii="宋体" w:hAnsi="宋体" w:eastAsia="宋体" w:cs="宋体"/>
          <w:lang w:eastAsia="zh-CN"/>
        </w:rPr>
        <w:t>6.1 施工期环境影响预测与评价</w:t>
      </w:r>
      <w:bookmarkEnd w:id="152"/>
      <w:bookmarkEnd w:id="153"/>
    </w:p>
    <w:p>
      <w:pPr>
        <w:pStyle w:val="7"/>
        <w:rPr>
          <w:rFonts w:hint="eastAsia" w:ascii="宋体" w:hAnsi="宋体" w:eastAsia="宋体" w:cs="宋体"/>
          <w:lang w:eastAsia="zh-CN"/>
        </w:rPr>
      </w:pPr>
      <w:r>
        <w:rPr>
          <w:rFonts w:hint="eastAsia" w:ascii="宋体" w:hAnsi="宋体" w:eastAsia="宋体" w:cs="宋体"/>
          <w:lang w:eastAsia="zh-CN"/>
        </w:rPr>
        <w:t>6.1.1 施工扬尘对周围环境的影响分析</w:t>
      </w:r>
    </w:p>
    <w:p>
      <w:pPr>
        <w:ind w:firstLine="560"/>
        <w:rPr>
          <w:rFonts w:hint="eastAsia" w:ascii="宋体" w:hAnsi="宋体" w:eastAsia="宋体" w:cs="宋体"/>
          <w:kern w:val="2"/>
          <w:lang w:eastAsia="zh-CN"/>
        </w:rPr>
      </w:pPr>
      <w:r>
        <w:rPr>
          <w:rFonts w:hint="eastAsia" w:ascii="宋体" w:hAnsi="宋体" w:eastAsia="宋体" w:cs="宋体"/>
          <w:kern w:val="2"/>
          <w:lang w:eastAsia="zh-CN"/>
        </w:rPr>
        <w:t>施工期大气污染源主要是井筒延深、废石装卸车时产生的粉尘以及交通运输引起的扬尘等，主要来源如下：</w:t>
      </w:r>
    </w:p>
    <w:p>
      <w:pPr>
        <w:ind w:firstLine="560"/>
        <w:rPr>
          <w:rFonts w:hint="eastAsia" w:ascii="宋体" w:hAnsi="宋体" w:eastAsia="宋体" w:cs="宋体"/>
          <w:kern w:val="2"/>
          <w:lang w:eastAsia="zh-CN"/>
        </w:rPr>
      </w:pPr>
      <w:r>
        <w:rPr>
          <w:rFonts w:hint="eastAsia" w:ascii="宋体" w:hAnsi="宋体" w:eastAsia="宋体" w:cs="宋体"/>
          <w:kern w:val="2"/>
          <w:lang w:eastAsia="zh-CN"/>
        </w:rPr>
        <w:t>1、井筒延深、废石装卸车时粉尘</w:t>
      </w:r>
    </w:p>
    <w:p>
      <w:pPr>
        <w:ind w:firstLine="560"/>
        <w:rPr>
          <w:rFonts w:hint="eastAsia" w:ascii="宋体" w:hAnsi="宋体" w:eastAsia="宋体" w:cs="宋体"/>
          <w:kern w:val="2"/>
          <w:lang w:eastAsia="zh-CN"/>
        </w:rPr>
      </w:pPr>
      <w:r>
        <w:rPr>
          <w:rFonts w:hint="eastAsia" w:ascii="宋体" w:hAnsi="宋体" w:eastAsia="宋体" w:cs="宋体"/>
          <w:kern w:val="2"/>
          <w:lang w:eastAsia="zh-CN"/>
        </w:rPr>
        <w:t>井筒延深、废石装卸车时粉尘在采取洒水降尘、通风等措施后，井筒延深、废石装卸车时产生的粉尘对周围环境影响较小。</w:t>
      </w:r>
    </w:p>
    <w:p>
      <w:pPr>
        <w:ind w:firstLine="560"/>
        <w:rPr>
          <w:rFonts w:hint="eastAsia" w:ascii="宋体" w:hAnsi="宋体" w:eastAsia="宋体" w:cs="宋体"/>
          <w:kern w:val="2"/>
          <w:lang w:eastAsia="zh-CN"/>
        </w:rPr>
      </w:pPr>
      <w:r>
        <w:rPr>
          <w:rFonts w:hint="eastAsia" w:ascii="宋体" w:hAnsi="宋体" w:eastAsia="宋体" w:cs="宋体"/>
          <w:kern w:val="2"/>
          <w:lang w:eastAsia="zh-CN"/>
        </w:rPr>
        <w:t>2、交通运输粉尘</w:t>
      </w:r>
    </w:p>
    <w:p>
      <w:pPr>
        <w:ind w:firstLine="560"/>
        <w:rPr>
          <w:rFonts w:hint="eastAsia" w:ascii="宋体" w:hAnsi="宋体" w:eastAsia="宋体" w:cs="宋体"/>
          <w:kern w:val="2"/>
          <w:lang w:eastAsia="zh-CN"/>
        </w:rPr>
      </w:pPr>
      <w:r>
        <w:rPr>
          <w:rFonts w:hint="eastAsia" w:ascii="宋体" w:hAnsi="宋体" w:eastAsia="宋体" w:cs="宋体"/>
          <w:kern w:val="2"/>
          <w:lang w:eastAsia="zh-CN"/>
        </w:rPr>
        <w:t>各类施工材料、掘进废石的运输使车流量增加，加之路面洒落的粉尘等，会产生交通运输扬尘。</w:t>
      </w:r>
    </w:p>
    <w:p>
      <w:pPr>
        <w:ind w:firstLine="560"/>
        <w:rPr>
          <w:rFonts w:hint="eastAsia" w:ascii="宋体" w:hAnsi="宋体" w:eastAsia="宋体" w:cs="宋体"/>
          <w:kern w:val="2"/>
          <w:lang w:eastAsia="zh-CN"/>
        </w:rPr>
      </w:pPr>
      <w:r>
        <w:rPr>
          <w:rFonts w:hint="eastAsia" w:ascii="宋体" w:hAnsi="宋体" w:eastAsia="宋体" w:cs="宋体"/>
          <w:kern w:val="2"/>
          <w:lang w:eastAsia="zh-CN"/>
        </w:rPr>
        <w:t>据有关调查显示，运输车辆行驶产生的扬尘，与道路路面及车辆行驶速度有关。在完全干燥的情况下，可按经验公式计算：</w:t>
      </w:r>
    </w:p>
    <w:p>
      <w:pPr>
        <w:ind w:firstLine="560"/>
        <w:rPr>
          <w:rFonts w:hint="eastAsia" w:ascii="宋体" w:hAnsi="宋体" w:eastAsia="宋体" w:cs="宋体"/>
          <w:kern w:val="2"/>
          <w:lang w:eastAsia="zh-CN"/>
        </w:rPr>
      </w:pPr>
      <w:r>
        <w:rPr>
          <w:rFonts w:hint="eastAsia" w:ascii="宋体" w:hAnsi="宋体" w:eastAsia="宋体" w:cs="宋体"/>
          <w:kern w:val="2"/>
          <w:lang w:eastAsia="zh-CN"/>
        </w:rPr>
        <w:drawing>
          <wp:anchor distT="0" distB="0" distL="114300" distR="114300" simplePos="0" relativeHeight="251717632" behindDoc="0" locked="0" layoutInCell="1" allowOverlap="1">
            <wp:simplePos x="0" y="0"/>
            <wp:positionH relativeFrom="column">
              <wp:posOffset>1635125</wp:posOffset>
            </wp:positionH>
            <wp:positionV relativeFrom="paragraph">
              <wp:posOffset>6350</wp:posOffset>
            </wp:positionV>
            <wp:extent cx="2238375" cy="476250"/>
            <wp:effectExtent l="0" t="0" r="9525" b="0"/>
            <wp:wrapTopAndBottom/>
            <wp:docPr id="27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4"/>
                    <pic:cNvPicPr>
                      <a:picLocks noChangeAspect="1"/>
                    </pic:cNvPicPr>
                  </pic:nvPicPr>
                  <pic:blipFill>
                    <a:blip r:embed="rId126"/>
                    <a:stretch>
                      <a:fillRect/>
                    </a:stretch>
                  </pic:blipFill>
                  <pic:spPr>
                    <a:xfrm>
                      <a:off x="0" y="0"/>
                      <a:ext cx="2238375" cy="476250"/>
                    </a:xfrm>
                    <a:prstGeom prst="rect">
                      <a:avLst/>
                    </a:prstGeom>
                    <a:noFill/>
                    <a:ln>
                      <a:noFill/>
                    </a:ln>
                  </pic:spPr>
                </pic:pic>
              </a:graphicData>
            </a:graphic>
          </wp:anchor>
        </w:drawing>
      </w:r>
      <w:r>
        <w:rPr>
          <w:rFonts w:hint="eastAsia" w:ascii="宋体" w:hAnsi="宋体" w:eastAsia="宋体" w:cs="宋体"/>
          <w:kern w:val="2"/>
          <w:lang w:eastAsia="zh-CN"/>
        </w:rPr>
        <w:t>式中：Q-汽车行驶的扬尘，kg/km·辆；</w:t>
      </w:r>
    </w:p>
    <w:p>
      <w:pPr>
        <w:ind w:firstLine="1200" w:firstLineChars="500"/>
        <w:rPr>
          <w:rFonts w:hint="eastAsia" w:ascii="宋体" w:hAnsi="宋体" w:eastAsia="宋体" w:cs="宋体"/>
          <w:kern w:val="2"/>
          <w:lang w:eastAsia="zh-CN"/>
        </w:rPr>
      </w:pPr>
      <w:r>
        <w:rPr>
          <w:rFonts w:hint="eastAsia" w:ascii="宋体" w:hAnsi="宋体" w:eastAsia="宋体" w:cs="宋体"/>
          <w:kern w:val="2"/>
          <w:lang w:eastAsia="zh-CN"/>
        </w:rPr>
        <w:t>v-汽车速度，km/h；</w:t>
      </w:r>
    </w:p>
    <w:p>
      <w:pPr>
        <w:ind w:firstLine="1200" w:firstLineChars="500"/>
        <w:rPr>
          <w:rFonts w:hint="eastAsia" w:ascii="宋体" w:hAnsi="宋体" w:eastAsia="宋体" w:cs="宋体"/>
          <w:kern w:val="2"/>
          <w:lang w:eastAsia="zh-CN"/>
        </w:rPr>
      </w:pPr>
      <w:r>
        <w:rPr>
          <w:rFonts w:hint="eastAsia" w:ascii="宋体" w:hAnsi="宋体" w:eastAsia="宋体" w:cs="宋体"/>
          <w:kern w:val="2"/>
          <w:lang w:eastAsia="zh-CN"/>
        </w:rPr>
        <w:t>W-汽车载重量，t；</w:t>
      </w:r>
    </w:p>
    <w:p>
      <w:pPr>
        <w:ind w:firstLine="1200" w:firstLineChars="500"/>
        <w:rPr>
          <w:rFonts w:hint="eastAsia" w:ascii="宋体" w:hAnsi="宋体" w:eastAsia="宋体" w:cs="宋体"/>
          <w:kern w:val="2"/>
          <w:lang w:eastAsia="zh-CN"/>
        </w:rPr>
      </w:pPr>
      <w:r>
        <w:rPr>
          <w:rFonts w:hint="eastAsia" w:ascii="宋体" w:hAnsi="宋体" w:eastAsia="宋体" w:cs="宋体"/>
          <w:kern w:val="2"/>
          <w:lang w:eastAsia="zh-CN"/>
        </w:rPr>
        <w:t>P-道路表面粉尘量，km/m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w:t>
      </w:r>
    </w:p>
    <w:p>
      <w:pPr>
        <w:ind w:firstLine="560"/>
        <w:rPr>
          <w:rFonts w:hint="eastAsia" w:ascii="宋体" w:hAnsi="宋体" w:eastAsia="宋体" w:cs="宋体"/>
          <w:kern w:val="2"/>
          <w:lang w:eastAsia="zh-CN"/>
        </w:rPr>
      </w:pPr>
      <w:r>
        <w:rPr>
          <w:rFonts w:hint="eastAsia" w:ascii="宋体" w:hAnsi="宋体" w:eastAsia="宋体" w:cs="宋体"/>
          <w:kern w:val="2"/>
          <w:lang w:eastAsia="zh-CN"/>
        </w:rPr>
        <w:t>一辆载重5t的卡车，通过一段长度为500m的路面时，在不同表面清洁程度与行驶速度情况下产生的扬尘量，如下表所示。</w:t>
      </w:r>
    </w:p>
    <w:p>
      <w:pPr>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表6.1.1-1 不同车速和地面清洁程度时的汽车扬尘（单位：kg/km·辆）</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3"/>
        <w:gridCol w:w="1519"/>
        <w:gridCol w:w="1277"/>
        <w:gridCol w:w="1277"/>
        <w:gridCol w:w="1277"/>
        <w:gridCol w:w="1277"/>
        <w:gridCol w:w="12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83" w:type="dxa"/>
            <w:vMerge w:val="restar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车速（km/h）</w:t>
            </w:r>
          </w:p>
        </w:tc>
        <w:tc>
          <w:tcPr>
            <w:tcW w:w="7905" w:type="dxa"/>
            <w:gridSpan w:val="6"/>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P（kg/m</w:t>
            </w:r>
            <w:r>
              <w:rPr>
                <w:rFonts w:hint="eastAsia" w:ascii="宋体" w:hAnsi="宋体" w:eastAsia="宋体" w:cs="宋体"/>
                <w:b/>
                <w:bCs/>
                <w:kern w:val="2"/>
                <w:sz w:val="21"/>
                <w:szCs w:val="21"/>
                <w:vertAlign w:val="superscript"/>
                <w:lang w:eastAsia="zh-CN"/>
              </w:rPr>
              <w:t>2</w:t>
            </w:r>
            <w:r>
              <w:rPr>
                <w:rFonts w:hint="eastAsia" w:ascii="宋体" w:hAnsi="宋体" w:eastAsia="宋体" w:cs="宋体"/>
                <w:b/>
                <w:bCs/>
                <w:kern w:val="2"/>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83"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p>
        </w:tc>
        <w:tc>
          <w:tcPr>
            <w:tcW w:w="151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0.1</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0.2</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0.3</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0.4</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0.5</w:t>
            </w:r>
          </w:p>
        </w:tc>
        <w:tc>
          <w:tcPr>
            <w:tcW w:w="1278"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151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0.0283</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0.0476</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0.0646</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0.0801</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0.0947</w:t>
            </w:r>
          </w:p>
        </w:tc>
        <w:tc>
          <w:tcPr>
            <w:tcW w:w="1278"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w:t>
            </w:r>
          </w:p>
        </w:tc>
        <w:tc>
          <w:tcPr>
            <w:tcW w:w="151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0.0566</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0.0953</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0.1291</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0.1602</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0.1894</w:t>
            </w:r>
          </w:p>
        </w:tc>
        <w:tc>
          <w:tcPr>
            <w:tcW w:w="1278"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0.3186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w:t>
            </w:r>
          </w:p>
        </w:tc>
        <w:tc>
          <w:tcPr>
            <w:tcW w:w="151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0.0850</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0.1429</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0.1937</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0.2403</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0.2841</w:t>
            </w:r>
          </w:p>
        </w:tc>
        <w:tc>
          <w:tcPr>
            <w:tcW w:w="1278"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0.4778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83"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1519"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0.1133</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0.1905</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0.2583</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0.3204</w:t>
            </w:r>
          </w:p>
        </w:tc>
        <w:tc>
          <w:tcPr>
            <w:tcW w:w="127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0.3788</w:t>
            </w:r>
          </w:p>
        </w:tc>
        <w:tc>
          <w:tcPr>
            <w:tcW w:w="1278"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0.6371</w:t>
            </w:r>
          </w:p>
        </w:tc>
      </w:tr>
    </w:tbl>
    <w:p>
      <w:pPr>
        <w:ind w:firstLine="560"/>
        <w:rPr>
          <w:rFonts w:hint="eastAsia" w:ascii="宋体" w:hAnsi="宋体" w:eastAsia="宋体" w:cs="宋体"/>
          <w:lang w:eastAsia="zh-CN"/>
        </w:rPr>
      </w:pPr>
      <w:r>
        <w:rPr>
          <w:rFonts w:hint="eastAsia" w:ascii="宋体" w:hAnsi="宋体" w:eastAsia="宋体" w:cs="宋体"/>
          <w:lang w:eastAsia="zh-CN"/>
        </w:rPr>
        <w:t>由上表可见，在同样路面情况下，车速越快，扬尘量越大：在同样车速情况下，路面清洁度越差，则扬尘量越大。一般情况下，施工交通道路在自然风作用下产生的扬尘影响的范围在100m以内。</w:t>
      </w:r>
    </w:p>
    <w:p>
      <w:pPr>
        <w:ind w:firstLine="560"/>
        <w:rPr>
          <w:rFonts w:hint="eastAsia" w:ascii="宋体" w:hAnsi="宋体" w:eastAsia="宋体" w:cs="宋体"/>
          <w:lang w:eastAsia="zh-CN"/>
        </w:rPr>
      </w:pPr>
      <w:r>
        <w:rPr>
          <w:rFonts w:hint="eastAsia" w:ascii="宋体" w:hAnsi="宋体" w:eastAsia="宋体" w:cs="宋体"/>
          <w:lang w:eastAsia="zh-CN"/>
        </w:rPr>
        <w:t>如果在施工期间对车辆行驶的路面实施洒水抑尘，可防止施工扬尘的污染。表6.1.1-2为施工场地洒水抑尘的试验结果，结果表明实施每天洒水 4～5次进行抑尘，可有效地控制施工扬尘，可将TSP污染的影响范围缩小到 20～50m。因此，限速行驶及保持路面清洁，同时适当洒水是减少汽车扬尘的有效手段。</w:t>
      </w:r>
    </w:p>
    <w:p>
      <w:pPr>
        <w:spacing w:line="36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表6.1.1-2 施工场地洒水抑尘试验结果</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616"/>
        <w:gridCol w:w="1525"/>
        <w:gridCol w:w="1542"/>
        <w:gridCol w:w="1535"/>
        <w:gridCol w:w="1535"/>
        <w:gridCol w:w="15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141" w:type="dxa"/>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距离（m）</w:t>
            </w:r>
          </w:p>
        </w:tc>
        <w:tc>
          <w:tcPr>
            <w:tcW w:w="154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50</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TSP小时平均浓度（mg/m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w:t>
            </w:r>
          </w:p>
        </w:tc>
        <w:tc>
          <w:tcPr>
            <w:tcW w:w="152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不洒水</w:t>
            </w:r>
          </w:p>
        </w:tc>
        <w:tc>
          <w:tcPr>
            <w:tcW w:w="154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10.14</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2.89</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1.15</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1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152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洒水</w:t>
            </w:r>
          </w:p>
        </w:tc>
        <w:tc>
          <w:tcPr>
            <w:tcW w:w="154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2.01</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1.40</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0.67</w:t>
            </w:r>
          </w:p>
        </w:tc>
        <w:tc>
          <w:tcPr>
            <w:tcW w:w="153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0.60</w:t>
            </w:r>
          </w:p>
        </w:tc>
      </w:tr>
    </w:tbl>
    <w:p>
      <w:pPr>
        <w:pStyle w:val="7"/>
        <w:rPr>
          <w:rFonts w:hint="eastAsia" w:ascii="宋体" w:hAnsi="宋体" w:eastAsia="宋体" w:cs="宋体"/>
          <w:lang w:eastAsia="zh-CN"/>
        </w:rPr>
      </w:pPr>
      <w:r>
        <w:rPr>
          <w:rFonts w:hint="eastAsia" w:ascii="宋体" w:hAnsi="宋体" w:eastAsia="宋体" w:cs="宋体"/>
          <w:lang w:eastAsia="zh-CN"/>
        </w:rPr>
        <w:t>6.1.2 施工废水对周围水环境的影响分析</w:t>
      </w:r>
    </w:p>
    <w:p>
      <w:pPr>
        <w:ind w:firstLine="560"/>
        <w:rPr>
          <w:rFonts w:hint="eastAsia" w:ascii="宋体" w:hAnsi="宋体" w:eastAsia="宋体" w:cs="宋体"/>
          <w:lang w:eastAsia="zh-CN"/>
        </w:rPr>
      </w:pPr>
      <w:r>
        <w:rPr>
          <w:rFonts w:hint="eastAsia" w:ascii="宋体" w:hAnsi="宋体" w:eastAsia="宋体" w:cs="宋体"/>
          <w:lang w:eastAsia="zh-CN"/>
        </w:rPr>
        <w:t>施工期废水主要为井下涌水、生活污水。</w:t>
      </w:r>
    </w:p>
    <w:p>
      <w:pPr>
        <w:ind w:firstLine="562"/>
        <w:rPr>
          <w:rFonts w:hint="eastAsia" w:ascii="宋体" w:hAnsi="宋体" w:eastAsia="宋体" w:cs="宋体"/>
          <w:b/>
          <w:bCs/>
          <w:lang w:eastAsia="zh-CN"/>
        </w:rPr>
      </w:pPr>
      <w:r>
        <w:rPr>
          <w:rFonts w:hint="eastAsia" w:ascii="宋体" w:hAnsi="宋体" w:eastAsia="宋体" w:cs="宋体"/>
          <w:b/>
          <w:bCs/>
          <w:lang w:eastAsia="zh-CN"/>
        </w:rPr>
        <w:t>（1）井下涌水</w:t>
      </w:r>
    </w:p>
    <w:p>
      <w:pPr>
        <w:ind w:firstLine="560"/>
        <w:rPr>
          <w:rFonts w:hint="eastAsia" w:ascii="宋体" w:hAnsi="宋体" w:eastAsia="宋体" w:cs="宋体"/>
          <w:lang w:eastAsia="zh-CN"/>
        </w:rPr>
      </w:pPr>
      <w:r>
        <w:rPr>
          <w:rFonts w:hint="eastAsia" w:ascii="宋体" w:hAnsi="宋体" w:eastAsia="宋体" w:cs="宋体"/>
          <w:lang w:eastAsia="zh-CN"/>
        </w:rPr>
        <w:t>施工期井下涌水主要是井下巷道掘进时形成的基岩渗水和井下施工涌水。施工期矿井排水中的主要污染物为SS。SS浓度一般在200mg/L左右，经沉淀处理后可以回用于生产中。</w:t>
      </w:r>
    </w:p>
    <w:p>
      <w:pPr>
        <w:ind w:firstLine="562"/>
        <w:rPr>
          <w:rFonts w:hint="eastAsia" w:ascii="宋体" w:hAnsi="宋体" w:eastAsia="宋体" w:cs="宋体"/>
          <w:b/>
          <w:bCs/>
          <w:lang w:eastAsia="zh-CN"/>
        </w:rPr>
      </w:pPr>
      <w:r>
        <w:rPr>
          <w:rFonts w:hint="eastAsia" w:ascii="宋体" w:hAnsi="宋体" w:eastAsia="宋体" w:cs="宋体"/>
          <w:b/>
          <w:bCs/>
          <w:lang w:eastAsia="zh-CN"/>
        </w:rPr>
        <w:t>（2）生活污水</w:t>
      </w:r>
    </w:p>
    <w:p>
      <w:pPr>
        <w:ind w:firstLine="560"/>
        <w:rPr>
          <w:rFonts w:hint="eastAsia" w:ascii="宋体" w:hAnsi="宋体" w:eastAsia="宋体" w:cs="宋体"/>
          <w:lang w:eastAsia="zh-CN"/>
        </w:rPr>
      </w:pPr>
      <w:r>
        <w:rPr>
          <w:rFonts w:hint="eastAsia" w:ascii="宋体" w:hAnsi="宋体" w:eastAsia="宋体" w:cs="宋体"/>
          <w:lang w:eastAsia="zh-CN"/>
        </w:rPr>
        <w:t>施工人员生活污水中含有CODcr、BOD</w:t>
      </w:r>
      <w:r>
        <w:rPr>
          <w:rFonts w:hint="eastAsia" w:ascii="宋体" w:hAnsi="宋体" w:eastAsia="宋体" w:cs="宋体"/>
          <w:vertAlign w:val="subscript"/>
          <w:lang w:eastAsia="zh-CN"/>
        </w:rPr>
        <w:t>5</w:t>
      </w:r>
      <w:r>
        <w:rPr>
          <w:rFonts w:hint="eastAsia" w:ascii="宋体" w:hAnsi="宋体" w:eastAsia="宋体" w:cs="宋体"/>
          <w:lang w:eastAsia="zh-CN"/>
        </w:rPr>
        <w:t>以及NH</w:t>
      </w:r>
      <w:r>
        <w:rPr>
          <w:rFonts w:hint="eastAsia" w:ascii="宋体" w:hAnsi="宋体" w:eastAsia="宋体" w:cs="宋体"/>
          <w:vertAlign w:val="subscript"/>
          <w:lang w:eastAsia="zh-CN"/>
        </w:rPr>
        <w:t>3</w:t>
      </w:r>
      <w:r>
        <w:rPr>
          <w:rFonts w:hint="eastAsia" w:ascii="宋体" w:hAnsi="宋体" w:eastAsia="宋体" w:cs="宋体"/>
          <w:lang w:eastAsia="zh-CN"/>
        </w:rPr>
        <w:t>-N和油类，依托现有化粪池处理后排入市政污水管网。</w:t>
      </w:r>
    </w:p>
    <w:p>
      <w:pPr>
        <w:ind w:firstLine="560"/>
        <w:rPr>
          <w:rFonts w:hint="eastAsia" w:ascii="宋体" w:hAnsi="宋体" w:eastAsia="宋体" w:cs="宋体"/>
          <w:lang w:eastAsia="zh-CN"/>
        </w:rPr>
      </w:pPr>
      <w:r>
        <w:rPr>
          <w:rFonts w:hint="eastAsia" w:ascii="宋体" w:hAnsi="宋体" w:eastAsia="宋体" w:cs="宋体"/>
          <w:lang w:eastAsia="zh-CN"/>
        </w:rPr>
        <w:t>综上所述，施工期废水均能得到妥善处置，不会对周边环境造成污染影响。</w:t>
      </w:r>
    </w:p>
    <w:p>
      <w:pPr>
        <w:pStyle w:val="7"/>
        <w:rPr>
          <w:rFonts w:hint="eastAsia" w:ascii="宋体" w:hAnsi="宋体" w:eastAsia="宋体" w:cs="宋体"/>
          <w:lang w:eastAsia="zh-CN"/>
        </w:rPr>
      </w:pPr>
      <w:r>
        <w:rPr>
          <w:rFonts w:hint="eastAsia" w:ascii="宋体" w:hAnsi="宋体" w:eastAsia="宋体" w:cs="宋体"/>
          <w:lang w:eastAsia="zh-CN"/>
        </w:rPr>
        <w:t>6.1.3 施工噪声对周围环境的影响分析</w:t>
      </w:r>
    </w:p>
    <w:p>
      <w:pPr>
        <w:ind w:firstLine="560"/>
        <w:rPr>
          <w:rFonts w:hint="eastAsia" w:ascii="宋体" w:hAnsi="宋体" w:eastAsia="宋体" w:cs="宋体"/>
          <w:lang w:eastAsia="zh-CN"/>
        </w:rPr>
      </w:pPr>
      <w:r>
        <w:rPr>
          <w:rFonts w:hint="eastAsia" w:ascii="宋体" w:hAnsi="宋体" w:eastAsia="宋体" w:cs="宋体"/>
          <w:lang w:eastAsia="zh-CN"/>
        </w:rPr>
        <w:t>施工期噪声影响，主要来自工业场地地面工程施工作业噪声和施工材料运输产生的车辆交通运输噪声。</w:t>
      </w:r>
    </w:p>
    <w:p>
      <w:pPr>
        <w:ind w:firstLine="562"/>
        <w:rPr>
          <w:rFonts w:hint="eastAsia" w:ascii="宋体" w:hAnsi="宋体" w:eastAsia="宋体" w:cs="宋体"/>
          <w:b/>
          <w:bCs/>
          <w:lang w:eastAsia="zh-CN"/>
        </w:rPr>
      </w:pPr>
      <w:r>
        <w:rPr>
          <w:rFonts w:hint="eastAsia" w:ascii="宋体" w:hAnsi="宋体" w:eastAsia="宋体" w:cs="宋体"/>
          <w:b/>
          <w:bCs/>
          <w:lang w:eastAsia="zh-CN"/>
        </w:rPr>
        <w:t>（1）噪声源强</w:t>
      </w:r>
    </w:p>
    <w:p>
      <w:pPr>
        <w:ind w:firstLine="560"/>
        <w:rPr>
          <w:rFonts w:hint="eastAsia" w:ascii="宋体" w:hAnsi="宋体" w:eastAsia="宋体" w:cs="宋体"/>
          <w:lang w:eastAsia="zh-CN"/>
        </w:rPr>
      </w:pPr>
      <w:r>
        <w:rPr>
          <w:rFonts w:hint="eastAsia" w:ascii="宋体" w:hAnsi="宋体" w:eastAsia="宋体" w:cs="宋体"/>
          <w:lang w:eastAsia="zh-CN"/>
        </w:rPr>
        <w:t>施工期噪声主要是施工机械和运输车辆的影响，由于施工期施工项目较少，施工机械简单，其噪声源声级在75-95dB(A)，且施工期噪声为间歇性噪声。经类比，本工程施工期主要噪声源及其噪声级情况见表6.1.</w:t>
      </w:r>
      <w:r>
        <w:rPr>
          <w:rFonts w:hint="eastAsia" w:cs="宋体"/>
          <w:lang w:val="en-US" w:eastAsia="zh-CN"/>
        </w:rPr>
        <w:t>3-1</w:t>
      </w:r>
      <w:r>
        <w:rPr>
          <w:rFonts w:hint="eastAsia" w:ascii="宋体" w:hAnsi="宋体" w:eastAsia="宋体" w:cs="宋体"/>
          <w:lang w:eastAsia="zh-CN"/>
        </w:rPr>
        <w:t>。</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表6.1.</w:t>
      </w:r>
      <w:r>
        <w:rPr>
          <w:rFonts w:hint="eastAsia" w:cs="宋体"/>
          <w:b/>
          <w:bCs/>
          <w:sz w:val="24"/>
          <w:lang w:val="en-US" w:eastAsia="zh-CN"/>
        </w:rPr>
        <w:t>3-1</w:t>
      </w:r>
      <w:r>
        <w:rPr>
          <w:rFonts w:hint="eastAsia" w:ascii="宋体" w:hAnsi="宋体" w:eastAsia="宋体" w:cs="宋体"/>
          <w:b/>
          <w:bCs/>
          <w:sz w:val="24"/>
          <w:lang w:eastAsia="zh-CN"/>
        </w:rPr>
        <w:t xml:space="preserve"> 施工期主要噪声源及噪声级情况</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13"/>
        <w:gridCol w:w="2091"/>
        <w:gridCol w:w="3137"/>
        <w:gridCol w:w="27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31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209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施工设备名称</w:t>
            </w:r>
          </w:p>
        </w:tc>
        <w:tc>
          <w:tcPr>
            <w:tcW w:w="313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测点最大声级(dB（A）)</w:t>
            </w:r>
          </w:p>
        </w:tc>
        <w:tc>
          <w:tcPr>
            <w:tcW w:w="274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209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空压机</w:t>
            </w:r>
          </w:p>
        </w:tc>
        <w:tc>
          <w:tcPr>
            <w:tcW w:w="313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rPr>
            </w:pPr>
            <w:r>
              <w:rPr>
                <w:rStyle w:val="30"/>
                <w:rFonts w:hint="eastAsia" w:cs="宋体"/>
                <w:lang w:val="en-US" w:eastAsia="zh-CN"/>
              </w:rPr>
              <w:t>80</w:t>
            </w:r>
          </w:p>
        </w:tc>
        <w:tc>
          <w:tcPr>
            <w:tcW w:w="274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距声源1m，固定稳定源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1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209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提升机</w:t>
            </w:r>
          </w:p>
        </w:tc>
        <w:tc>
          <w:tcPr>
            <w:tcW w:w="313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default" w:ascii="宋体" w:hAnsi="宋体" w:eastAsia="宋体" w:cs="宋体"/>
                <w:kern w:val="2"/>
                <w:sz w:val="21"/>
                <w:szCs w:val="21"/>
                <w:lang w:val="en-US" w:eastAsia="zh-CN"/>
              </w:rPr>
            </w:pPr>
            <w:r>
              <w:rPr>
                <w:rFonts w:hint="eastAsia" w:cs="宋体"/>
                <w:kern w:val="2"/>
                <w:sz w:val="21"/>
                <w:szCs w:val="21"/>
                <w:lang w:val="en-US" w:eastAsia="zh-CN"/>
              </w:rPr>
              <w:t>75</w:t>
            </w:r>
          </w:p>
        </w:tc>
        <w:tc>
          <w:tcPr>
            <w:tcW w:w="2747"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距声源1m，固定稳定源</w:t>
            </w:r>
          </w:p>
        </w:tc>
      </w:tr>
    </w:tbl>
    <w:p>
      <w:pPr>
        <w:ind w:firstLine="562"/>
        <w:rPr>
          <w:rFonts w:hint="eastAsia" w:ascii="宋体" w:hAnsi="宋体" w:eastAsia="宋体" w:cs="宋体"/>
          <w:b/>
          <w:bCs/>
          <w:lang w:eastAsia="zh-CN"/>
        </w:rPr>
      </w:pPr>
      <w:r>
        <w:rPr>
          <w:rFonts w:hint="eastAsia" w:ascii="宋体" w:hAnsi="宋体" w:eastAsia="宋体" w:cs="宋体"/>
          <w:b/>
          <w:bCs/>
          <w:lang w:eastAsia="zh-CN"/>
        </w:rPr>
        <w:t>（2）施工期噪声预测</w:t>
      </w:r>
    </w:p>
    <w:p>
      <w:pPr>
        <w:ind w:firstLine="560"/>
        <w:rPr>
          <w:rFonts w:hint="eastAsia" w:ascii="宋体" w:hAnsi="宋体" w:eastAsia="宋体" w:cs="宋体"/>
          <w:lang w:eastAsia="zh-CN"/>
        </w:rPr>
      </w:pPr>
      <w:r>
        <w:rPr>
          <w:rFonts w:hint="eastAsia" w:ascii="宋体" w:hAnsi="宋体" w:eastAsia="宋体" w:cs="宋体"/>
          <w:lang w:eastAsia="zh-CN"/>
        </w:rPr>
        <w:t>施工期噪声主要属中低频噪声，故建设期噪声对周边环境的影响只考虑扩散衰减，采用点源噪声衰减模式进行预测，预测模式为：</w:t>
      </w:r>
    </w:p>
    <w:p>
      <w:pPr>
        <w:ind w:firstLine="560"/>
        <w:rPr>
          <w:rFonts w:hint="eastAsia" w:ascii="宋体" w:hAnsi="宋体" w:eastAsia="宋体" w:cs="宋体"/>
          <w:kern w:val="2"/>
          <w:lang w:eastAsia="zh-CN"/>
        </w:rPr>
      </w:pPr>
      <w:r>
        <w:rPr>
          <w:rFonts w:hint="eastAsia" w:ascii="宋体" w:hAnsi="宋体" w:eastAsia="宋体" w:cs="宋体"/>
          <w:kern w:val="2"/>
          <w:lang w:eastAsia="zh-CN"/>
        </w:rPr>
        <w:drawing>
          <wp:anchor distT="0" distB="0" distL="114300" distR="114300" simplePos="0" relativeHeight="251716608" behindDoc="0" locked="0" layoutInCell="1" allowOverlap="1">
            <wp:simplePos x="0" y="0"/>
            <wp:positionH relativeFrom="column">
              <wp:posOffset>1684020</wp:posOffset>
            </wp:positionH>
            <wp:positionV relativeFrom="paragraph">
              <wp:posOffset>19050</wp:posOffset>
            </wp:positionV>
            <wp:extent cx="1933575" cy="445135"/>
            <wp:effectExtent l="0" t="0" r="9525" b="12065"/>
            <wp:wrapTopAndBottom/>
            <wp:docPr id="2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5"/>
                    <pic:cNvPicPr>
                      <a:picLocks noChangeAspect="1"/>
                    </pic:cNvPicPr>
                  </pic:nvPicPr>
                  <pic:blipFill>
                    <a:blip r:embed="rId127"/>
                    <a:stretch>
                      <a:fillRect/>
                    </a:stretch>
                  </pic:blipFill>
                  <pic:spPr>
                    <a:xfrm>
                      <a:off x="0" y="0"/>
                      <a:ext cx="1933575" cy="445135"/>
                    </a:xfrm>
                    <a:prstGeom prst="rect">
                      <a:avLst/>
                    </a:prstGeom>
                    <a:noFill/>
                    <a:ln>
                      <a:noFill/>
                    </a:ln>
                  </pic:spPr>
                </pic:pic>
              </a:graphicData>
            </a:graphic>
          </wp:anchor>
        </w:drawing>
      </w:r>
      <w:r>
        <w:rPr>
          <w:rFonts w:hint="eastAsia" w:ascii="宋体" w:hAnsi="宋体" w:eastAsia="宋体" w:cs="宋体"/>
          <w:kern w:val="2"/>
          <w:lang w:eastAsia="zh-CN"/>
        </w:rPr>
        <w:t>式中：Lp(r)——预测点处的频带声压级，dB；</w:t>
      </w:r>
    </w:p>
    <w:p>
      <w:pPr>
        <w:ind w:firstLine="1200" w:firstLineChars="500"/>
        <w:rPr>
          <w:rFonts w:hint="eastAsia" w:ascii="宋体" w:hAnsi="宋体" w:eastAsia="宋体" w:cs="宋体"/>
          <w:lang w:eastAsia="zh-CN"/>
        </w:rPr>
      </w:pPr>
      <w:r>
        <w:rPr>
          <w:rFonts w:hint="eastAsia" w:ascii="宋体" w:hAnsi="宋体" w:eastAsia="宋体" w:cs="宋体"/>
          <w:lang w:eastAsia="zh-CN"/>
        </w:rPr>
        <w:t>Lp(r</w:t>
      </w:r>
      <w:r>
        <w:rPr>
          <w:rFonts w:hint="eastAsia" w:ascii="宋体" w:hAnsi="宋体" w:eastAsia="宋体" w:cs="宋体"/>
          <w:vertAlign w:val="subscript"/>
          <w:lang w:eastAsia="zh-CN"/>
        </w:rPr>
        <w:t>0</w:t>
      </w:r>
      <w:r>
        <w:rPr>
          <w:rFonts w:hint="eastAsia" w:ascii="宋体" w:hAnsi="宋体" w:eastAsia="宋体" w:cs="宋体"/>
          <w:lang w:eastAsia="zh-CN"/>
        </w:rPr>
        <w:t>)——参考位置处的频带声压级，dB；</w:t>
      </w:r>
    </w:p>
    <w:p>
      <w:pPr>
        <w:ind w:firstLine="1200" w:firstLineChars="500"/>
        <w:rPr>
          <w:rFonts w:hint="eastAsia" w:ascii="宋体" w:hAnsi="宋体" w:eastAsia="宋体" w:cs="宋体"/>
          <w:lang w:eastAsia="zh-CN"/>
        </w:rPr>
      </w:pPr>
      <w:r>
        <w:rPr>
          <w:rFonts w:hint="eastAsia" w:ascii="宋体" w:hAnsi="宋体" w:eastAsia="宋体" w:cs="宋体"/>
          <w:lang w:eastAsia="zh-CN"/>
        </w:rPr>
        <w:t>r——监测点距声源的距离，m；</w:t>
      </w:r>
    </w:p>
    <w:p>
      <w:pPr>
        <w:ind w:firstLine="1200" w:firstLineChars="500"/>
        <w:rPr>
          <w:rFonts w:hint="eastAsia" w:ascii="宋体" w:hAnsi="宋体" w:eastAsia="宋体" w:cs="宋体"/>
          <w:lang w:eastAsia="zh-CN"/>
        </w:rPr>
      </w:pPr>
      <w:r>
        <w:rPr>
          <w:rFonts w:hint="eastAsia" w:ascii="宋体" w:hAnsi="宋体" w:eastAsia="宋体" w:cs="宋体"/>
          <w:lang w:eastAsia="zh-CN"/>
        </w:rPr>
        <w:t>r</w:t>
      </w:r>
      <w:r>
        <w:rPr>
          <w:rFonts w:hint="eastAsia" w:ascii="宋体" w:hAnsi="宋体" w:eastAsia="宋体" w:cs="宋体"/>
          <w:vertAlign w:val="subscript"/>
          <w:lang w:eastAsia="zh-CN"/>
        </w:rPr>
        <w:t>0</w:t>
      </w:r>
      <w:r>
        <w:rPr>
          <w:rFonts w:hint="eastAsia" w:ascii="宋体" w:hAnsi="宋体" w:eastAsia="宋体" w:cs="宋体"/>
          <w:lang w:eastAsia="zh-CN"/>
        </w:rPr>
        <w:t>——参考位置距离，m。</w:t>
      </w:r>
    </w:p>
    <w:p>
      <w:pPr>
        <w:ind w:firstLine="560"/>
        <w:rPr>
          <w:rFonts w:hint="eastAsia" w:ascii="宋体" w:hAnsi="宋体" w:eastAsia="宋体" w:cs="宋体"/>
          <w:lang w:eastAsia="zh-CN"/>
        </w:rPr>
      </w:pPr>
      <w:r>
        <w:rPr>
          <w:rFonts w:hint="eastAsia" w:ascii="宋体" w:hAnsi="宋体" w:eastAsia="宋体" w:cs="宋体"/>
          <w:lang w:eastAsia="zh-CN"/>
        </w:rPr>
        <w:t>施工设备在不同距离处的噪声值（未与现状值叠加）预测结果见表6.1</w:t>
      </w:r>
      <w:r>
        <w:rPr>
          <w:rFonts w:hint="eastAsia" w:cs="宋体"/>
          <w:lang w:val="en-US" w:eastAsia="zh-CN"/>
        </w:rPr>
        <w:t>.3-2</w:t>
      </w:r>
      <w:r>
        <w:rPr>
          <w:rFonts w:hint="eastAsia" w:ascii="宋体" w:hAnsi="宋体" w:eastAsia="宋体" w:cs="宋体"/>
          <w:lang w:eastAsia="zh-CN"/>
        </w:rPr>
        <w:t>。</w:t>
      </w:r>
    </w:p>
    <w:p>
      <w:pPr>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表6.1.</w:t>
      </w:r>
      <w:r>
        <w:rPr>
          <w:rFonts w:hint="eastAsia" w:cs="宋体"/>
          <w:b/>
          <w:bCs/>
          <w:kern w:val="2"/>
          <w:sz w:val="24"/>
          <w:lang w:val="en-US" w:eastAsia="zh-CN"/>
        </w:rPr>
        <w:t>3-2</w:t>
      </w:r>
      <w:r>
        <w:rPr>
          <w:rFonts w:hint="eastAsia" w:ascii="宋体" w:hAnsi="宋体" w:eastAsia="宋体" w:cs="宋体"/>
          <w:b/>
          <w:bCs/>
          <w:kern w:val="2"/>
          <w:sz w:val="24"/>
          <w:lang w:eastAsia="zh-CN"/>
        </w:rPr>
        <w:t xml:space="preserve"> 施工噪声随距离衰减情况</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16"/>
        <w:gridCol w:w="846"/>
        <w:gridCol w:w="760"/>
        <w:gridCol w:w="761"/>
        <w:gridCol w:w="761"/>
        <w:gridCol w:w="761"/>
        <w:gridCol w:w="761"/>
        <w:gridCol w:w="761"/>
        <w:gridCol w:w="761"/>
        <w:gridCol w:w="761"/>
        <w:gridCol w:w="761"/>
        <w:gridCol w:w="7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446" w:type="pct"/>
            <w:vMerge w:val="restar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设备</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名称</w:t>
            </w:r>
          </w:p>
        </w:tc>
        <w:tc>
          <w:tcPr>
            <w:tcW w:w="4107" w:type="pct"/>
            <w:gridSpan w:val="10"/>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噪声值（dB(A)）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446" w:type="pct"/>
            <w:vMerge w:val="continue"/>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5m</w:t>
            </w: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10m</w:t>
            </w: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20m</w:t>
            </w: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40m</w:t>
            </w: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50m</w:t>
            </w: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60m</w:t>
            </w: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80m</w:t>
            </w: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100m</w:t>
            </w:r>
          </w:p>
        </w:tc>
        <w:tc>
          <w:tcPr>
            <w:tcW w:w="41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150m</w:t>
            </w:r>
          </w:p>
        </w:tc>
        <w:tc>
          <w:tcPr>
            <w:tcW w:w="414"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200m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446"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空压机</w:t>
            </w:r>
          </w:p>
        </w:tc>
        <w:tc>
          <w:tcPr>
            <w:tcW w:w="75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66.0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60.0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54.0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48.0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46.0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44.4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41.9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40.0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36.5 </w:t>
            </w:r>
          </w:p>
        </w:tc>
        <w:tc>
          <w:tcPr>
            <w:tcW w:w="7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34.0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46"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446"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提升机</w:t>
            </w:r>
          </w:p>
        </w:tc>
        <w:tc>
          <w:tcPr>
            <w:tcW w:w="759"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61.0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55.0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49.0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43.0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41.0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39.4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36.9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35.0 </w:t>
            </w:r>
          </w:p>
        </w:tc>
        <w:tc>
          <w:tcPr>
            <w:tcW w:w="760"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31.5 </w:t>
            </w:r>
          </w:p>
        </w:tc>
        <w:tc>
          <w:tcPr>
            <w:tcW w:w="773" w:type="dxa"/>
            <w:tcBorders>
              <w:tl2br w:val="nil"/>
              <w:tr2bl w:val="nil"/>
            </w:tcBorders>
            <w:shd w:val="clear" w:color="auto" w:fill="auto"/>
            <w:noWrap/>
            <w:vAlign w:val="center"/>
          </w:tcPr>
          <w:p>
            <w:pPr>
              <w:keepNext w:val="0"/>
              <w:keepLines w:val="0"/>
              <w:pageBreakBefore w:val="0"/>
              <w:widowControl/>
              <w:suppressLineNumbers w:val="0"/>
              <w:kinsoku/>
              <w:wordWrap/>
              <w:overflowPunct/>
              <w:topLinePunct w:val="0"/>
              <w:autoSpaceDE w:val="0"/>
              <w:autoSpaceDN w:val="0"/>
              <w:bidi w:val="0"/>
              <w:adjustRightInd/>
              <w:snapToGrid/>
              <w:spacing w:before="0" w:beforeAutospacing="0" w:after="0" w:afterAutospacing="0" w:line="240" w:lineRule="auto"/>
              <w:ind w:left="0" w:right="0" w:firstLine="0" w:firstLineChars="0"/>
              <w:jc w:val="center"/>
              <w:textAlignment w:val="center"/>
              <w:rPr>
                <w:rFonts w:hint="eastAsia" w:ascii="宋体" w:hAnsi="宋体" w:eastAsia="宋体" w:cs="宋体"/>
                <w:kern w:val="2"/>
                <w:sz w:val="21"/>
                <w:szCs w:val="21"/>
                <w:lang w:eastAsia="zh-CN"/>
              </w:rPr>
            </w:pPr>
            <w:r>
              <w:rPr>
                <w:rFonts w:hint="eastAsia" w:ascii="宋体" w:hAnsi="宋体" w:eastAsia="宋体" w:cs="宋体"/>
                <w:i w:val="0"/>
                <w:iCs w:val="0"/>
                <w:color w:val="000000"/>
                <w:kern w:val="0"/>
                <w:sz w:val="21"/>
                <w:szCs w:val="21"/>
                <w:u w:val="none"/>
                <w:lang w:val="en-US" w:eastAsia="zh-CN" w:bidi="ar"/>
              </w:rPr>
              <w:t xml:space="preserve">29.0 </w:t>
            </w:r>
          </w:p>
        </w:tc>
      </w:tr>
    </w:tbl>
    <w:p>
      <w:pPr>
        <w:ind w:firstLine="562"/>
        <w:rPr>
          <w:rFonts w:hint="eastAsia" w:ascii="宋体" w:hAnsi="宋体" w:eastAsia="宋体" w:cs="宋体"/>
          <w:b/>
          <w:bCs/>
          <w:lang w:eastAsia="zh-CN"/>
        </w:rPr>
      </w:pPr>
      <w:r>
        <w:rPr>
          <w:rFonts w:hint="eastAsia" w:ascii="宋体" w:hAnsi="宋体" w:eastAsia="宋体" w:cs="宋体"/>
          <w:b/>
          <w:bCs/>
          <w:lang w:eastAsia="zh-CN"/>
        </w:rPr>
        <w:t>（3）施工期噪声影响分析</w:t>
      </w:r>
    </w:p>
    <w:p>
      <w:pPr>
        <w:ind w:firstLine="560"/>
        <w:rPr>
          <w:rFonts w:hint="eastAsia" w:ascii="宋体" w:hAnsi="宋体" w:eastAsia="宋体" w:cs="宋体"/>
          <w:lang w:eastAsia="zh-CN"/>
        </w:rPr>
      </w:pPr>
      <w:r>
        <w:rPr>
          <w:rFonts w:hint="eastAsia" w:ascii="宋体" w:hAnsi="宋体" w:eastAsia="宋体" w:cs="宋体"/>
          <w:lang w:eastAsia="zh-CN"/>
        </w:rPr>
        <w:t>根据《建筑施工场界环境噪声排放标准》（GB 12523-2011）规定，昼间噪声限值为70dB（A），夜间噪声限值为55dB（A）。</w:t>
      </w:r>
    </w:p>
    <w:p>
      <w:pPr>
        <w:ind w:firstLine="560"/>
        <w:rPr>
          <w:rFonts w:hint="eastAsia" w:ascii="宋体" w:hAnsi="宋体" w:eastAsia="宋体" w:cs="宋体"/>
          <w:lang w:eastAsia="zh-CN"/>
        </w:rPr>
      </w:pPr>
      <w:r>
        <w:rPr>
          <w:rFonts w:hint="eastAsia" w:ascii="宋体" w:hAnsi="宋体" w:eastAsia="宋体" w:cs="宋体"/>
          <w:lang w:eastAsia="zh-CN"/>
        </w:rPr>
        <w:t>从表6.1.</w:t>
      </w:r>
      <w:r>
        <w:rPr>
          <w:rFonts w:hint="eastAsia" w:cs="宋体"/>
          <w:lang w:val="en-US" w:eastAsia="zh-CN"/>
        </w:rPr>
        <w:t>3-2</w:t>
      </w:r>
      <w:r>
        <w:rPr>
          <w:rFonts w:hint="eastAsia" w:ascii="宋体" w:hAnsi="宋体" w:eastAsia="宋体" w:cs="宋体"/>
          <w:lang w:eastAsia="zh-CN"/>
        </w:rPr>
        <w:t>可以看出，昼间离施工场地约5m处可符合规定的建筑施工场界噪声限值70dB（A）要求；若夜间施工，</w:t>
      </w:r>
      <w:r>
        <w:rPr>
          <w:rFonts w:hint="eastAsia" w:cs="宋体"/>
          <w:lang w:val="en-US" w:eastAsia="zh-CN"/>
        </w:rPr>
        <w:t>2</w:t>
      </w:r>
      <w:r>
        <w:rPr>
          <w:rFonts w:hint="eastAsia" w:ascii="宋体" w:hAnsi="宋体" w:eastAsia="宋体" w:cs="宋体"/>
          <w:lang w:eastAsia="zh-CN"/>
        </w:rPr>
        <w:t>0m以</w:t>
      </w:r>
      <w:r>
        <w:rPr>
          <w:rFonts w:hint="eastAsia" w:cs="宋体"/>
          <w:lang w:eastAsia="zh-CN"/>
        </w:rPr>
        <w:t>处</w:t>
      </w:r>
      <w:r>
        <w:rPr>
          <w:rFonts w:hint="eastAsia" w:ascii="宋体" w:hAnsi="宋体" w:eastAsia="宋体" w:cs="宋体"/>
          <w:lang w:eastAsia="zh-CN"/>
        </w:rPr>
        <w:t>的环境噪声基本能满足建筑施工场界噪声限值55dB(A)的夜间标准值。</w:t>
      </w:r>
    </w:p>
    <w:p>
      <w:pPr>
        <w:ind w:firstLine="560"/>
        <w:rPr>
          <w:rFonts w:hint="eastAsia" w:ascii="宋体" w:hAnsi="宋体" w:eastAsia="宋体" w:cs="宋体"/>
          <w:lang w:eastAsia="zh-CN"/>
        </w:rPr>
      </w:pPr>
      <w:r>
        <w:rPr>
          <w:rFonts w:hint="eastAsia" w:ascii="宋体" w:hAnsi="宋体" w:eastAsia="宋体" w:cs="宋体"/>
          <w:lang w:eastAsia="zh-CN"/>
        </w:rPr>
        <w:t>本工程施工均在昼间进行，夜间不施工，场地施工设备均集中在工业场地范围内，昼间离施工场地约</w:t>
      </w:r>
      <w:r>
        <w:rPr>
          <w:rFonts w:hint="eastAsia" w:cs="宋体"/>
          <w:lang w:val="en-US" w:eastAsia="zh-CN"/>
        </w:rPr>
        <w:t>5</w:t>
      </w:r>
      <w:r>
        <w:rPr>
          <w:rFonts w:hint="eastAsia" w:ascii="宋体" w:hAnsi="宋体" w:eastAsia="宋体" w:cs="宋体"/>
          <w:lang w:eastAsia="zh-CN"/>
        </w:rPr>
        <w:t>m处可符合建筑施工场界噪声限值70dB（A）要求，项目施工场地与周边最近居民点耿家林87m，施工噪声昼间对周围居民生活影响较小。</w:t>
      </w:r>
    </w:p>
    <w:p>
      <w:pPr>
        <w:pStyle w:val="7"/>
        <w:rPr>
          <w:rFonts w:hint="eastAsia" w:ascii="宋体" w:hAnsi="宋体" w:eastAsia="宋体" w:cs="宋体"/>
          <w:lang w:eastAsia="zh-CN"/>
        </w:rPr>
      </w:pPr>
      <w:r>
        <w:rPr>
          <w:rFonts w:hint="eastAsia" w:ascii="宋体" w:hAnsi="宋体" w:eastAsia="宋体" w:cs="宋体"/>
          <w:lang w:eastAsia="zh-CN"/>
        </w:rPr>
        <w:t>6.1.4 施工固体废物对周围环境的影响分析</w:t>
      </w:r>
    </w:p>
    <w:p>
      <w:pPr>
        <w:ind w:firstLine="560"/>
        <w:rPr>
          <w:rFonts w:hint="eastAsia" w:ascii="宋体" w:hAnsi="宋体" w:eastAsia="宋体" w:cs="宋体"/>
          <w:lang w:eastAsia="zh-CN"/>
        </w:rPr>
      </w:pPr>
      <w:r>
        <w:rPr>
          <w:rFonts w:hint="eastAsia" w:ascii="宋体" w:hAnsi="宋体" w:eastAsia="宋体" w:cs="宋体"/>
          <w:lang w:eastAsia="zh-CN"/>
        </w:rPr>
        <w:t>施工期固体废弃物主要是施工人员的生活垃圾、土方施工开挖的渣土、碎石等；物料运送过程的物料损耗，包括砂石、混凝土；铺路修整阶段石料、灰渣、建材等的损耗与遗弃。</w:t>
      </w:r>
    </w:p>
    <w:p>
      <w:pPr>
        <w:ind w:firstLine="560"/>
        <w:rPr>
          <w:rFonts w:hint="eastAsia" w:ascii="宋体" w:hAnsi="宋体" w:eastAsia="宋体" w:cs="宋体"/>
          <w:lang w:eastAsia="zh-CN"/>
        </w:rPr>
      </w:pPr>
      <w:r>
        <w:rPr>
          <w:rFonts w:hint="eastAsia" w:ascii="宋体" w:hAnsi="宋体" w:eastAsia="宋体" w:cs="宋体"/>
          <w:lang w:eastAsia="zh-CN"/>
        </w:rPr>
        <w:t>施工期间，产生的固体废弃物定点堆放、管理。对于因取土破坏的植被，待施工完成后尽快按厂区绿化方案恢复。另外，车辆装载运输时泥土的散落、车轮沾上的泥土会导致运输公路上布满泥土，因此施工中必须注意施工道路遗土的处置，及时清理。</w:t>
      </w:r>
    </w:p>
    <w:p>
      <w:pPr>
        <w:ind w:firstLine="560"/>
        <w:rPr>
          <w:rFonts w:hint="eastAsia" w:ascii="宋体" w:hAnsi="宋体" w:eastAsia="宋体" w:cs="宋体"/>
          <w:lang w:eastAsia="zh-CN"/>
        </w:rPr>
      </w:pPr>
      <w:r>
        <w:rPr>
          <w:rFonts w:hint="eastAsia" w:ascii="宋体" w:hAnsi="宋体" w:eastAsia="宋体" w:cs="宋体"/>
          <w:lang w:eastAsia="zh-CN"/>
        </w:rPr>
        <w:t>施工期生活垃圾及时清理，由市政环卫部门负责生活垃圾的收运。因此施工期固体废物对周围的环境影响很小</w:t>
      </w:r>
    </w:p>
    <w:p>
      <w:pPr>
        <w:pStyle w:val="6"/>
        <w:rPr>
          <w:rFonts w:hint="eastAsia" w:ascii="宋体" w:hAnsi="宋体" w:eastAsia="宋体" w:cs="宋体"/>
          <w:lang w:eastAsia="zh-CN"/>
        </w:rPr>
      </w:pPr>
      <w:bookmarkStart w:id="154" w:name="_Toc12240"/>
      <w:bookmarkStart w:id="155" w:name="_Toc24120"/>
      <w:r>
        <w:rPr>
          <w:rFonts w:hint="eastAsia" w:ascii="宋体" w:hAnsi="宋体" w:eastAsia="宋体" w:cs="宋体"/>
          <w:lang w:eastAsia="zh-CN"/>
        </w:rPr>
        <w:t>6.2 运营期环境空气影响预测与评价</w:t>
      </w:r>
      <w:bookmarkEnd w:id="154"/>
      <w:bookmarkEnd w:id="155"/>
    </w:p>
    <w:p>
      <w:pPr>
        <w:pStyle w:val="7"/>
        <w:rPr>
          <w:rFonts w:hint="eastAsia" w:ascii="宋体" w:hAnsi="宋体" w:eastAsia="宋体" w:cs="宋体"/>
          <w:lang w:eastAsia="zh-CN"/>
        </w:rPr>
      </w:pPr>
      <w:r>
        <w:rPr>
          <w:rFonts w:hint="eastAsia" w:ascii="宋体" w:hAnsi="宋体" w:eastAsia="宋体" w:cs="宋体"/>
          <w:lang w:eastAsia="zh-CN"/>
        </w:rPr>
        <w:t>6.2.</w:t>
      </w:r>
      <w:r>
        <w:rPr>
          <w:rFonts w:hint="eastAsia" w:ascii="宋体" w:hAnsi="宋体" w:eastAsia="宋体" w:cs="宋体"/>
          <w:lang w:val="en-US" w:eastAsia="zh-CN"/>
        </w:rPr>
        <w:t>1</w:t>
      </w:r>
      <w:r>
        <w:rPr>
          <w:rFonts w:hint="eastAsia" w:ascii="宋体" w:hAnsi="宋体" w:eastAsia="宋体" w:cs="宋体"/>
          <w:lang w:eastAsia="zh-CN"/>
        </w:rPr>
        <w:t xml:space="preserve"> 气象资料及气候背景</w:t>
      </w:r>
    </w:p>
    <w:p>
      <w:pPr>
        <w:ind w:firstLine="560"/>
        <w:rPr>
          <w:rFonts w:hint="eastAsia" w:ascii="宋体" w:hAnsi="宋体" w:eastAsia="宋体" w:cs="宋体"/>
          <w:lang w:eastAsia="zh-CN"/>
        </w:rPr>
      </w:pPr>
      <w:r>
        <w:rPr>
          <w:rFonts w:hint="eastAsia" w:ascii="宋体" w:hAnsi="宋体" w:eastAsia="宋体" w:cs="宋体"/>
          <w:lang w:eastAsia="zh-CN"/>
        </w:rPr>
        <w:t>沂水气象站位于东经118.65°E，35.77°N，台站类别属一般站。据调查，该气象站周围地理环境与气候条件与</w:t>
      </w:r>
      <w:r>
        <w:rPr>
          <w:rFonts w:hint="eastAsia" w:cs="宋体"/>
          <w:lang w:eastAsia="zh-CN"/>
        </w:rPr>
        <w:t>本项目</w:t>
      </w:r>
      <w:r>
        <w:rPr>
          <w:rFonts w:hint="eastAsia" w:ascii="宋体" w:hAnsi="宋体" w:eastAsia="宋体" w:cs="宋体"/>
          <w:lang w:eastAsia="zh-CN"/>
        </w:rPr>
        <w:t>周围基本一致，且气象站距离</w:t>
      </w:r>
      <w:r>
        <w:rPr>
          <w:rFonts w:hint="eastAsia" w:cs="宋体"/>
          <w:lang w:eastAsia="zh-CN"/>
        </w:rPr>
        <w:t>本项目</w:t>
      </w:r>
      <w:r>
        <w:rPr>
          <w:rFonts w:hint="eastAsia" w:ascii="宋体" w:hAnsi="宋体" w:eastAsia="宋体" w:cs="宋体"/>
          <w:lang w:eastAsia="zh-CN"/>
        </w:rPr>
        <w:t>较近，该气象站气象资料具有较好的适用性。沂水近20年（1998～2017年）年最大风速为16.5m/s（2012年），极端最高气温和极端最低气温分别为41.7℃（2002年）和-16.3℃（2016年），年最大降水量为1121.1m（2003年）；近20年其它主要气候统计资料见表6.</w:t>
      </w:r>
      <w:r>
        <w:rPr>
          <w:rFonts w:hint="eastAsia" w:ascii="宋体" w:hAnsi="宋体" w:eastAsia="宋体" w:cs="宋体"/>
          <w:lang w:val="en-US" w:eastAsia="zh-CN"/>
        </w:rPr>
        <w:t>2.1-1</w:t>
      </w:r>
      <w:r>
        <w:rPr>
          <w:rFonts w:hint="eastAsia" w:ascii="宋体" w:hAnsi="宋体" w:eastAsia="宋体" w:cs="宋体"/>
          <w:lang w:eastAsia="zh-CN"/>
        </w:rPr>
        <w:t>，近20年各风向频率见表6.</w:t>
      </w:r>
      <w:r>
        <w:rPr>
          <w:rFonts w:hint="eastAsia" w:cs="宋体"/>
          <w:lang w:val="en-US" w:eastAsia="zh-CN"/>
        </w:rPr>
        <w:t>2.1-2</w:t>
      </w:r>
      <w:r>
        <w:rPr>
          <w:rFonts w:hint="eastAsia" w:ascii="宋体" w:hAnsi="宋体" w:eastAsia="宋体" w:cs="宋体"/>
          <w:lang w:eastAsia="zh-CN"/>
        </w:rPr>
        <w:t>，近20年风向频率玫瑰图见图6.</w:t>
      </w:r>
      <w:r>
        <w:rPr>
          <w:rFonts w:hint="eastAsia" w:cs="宋体"/>
          <w:lang w:val="en-US" w:eastAsia="zh-CN"/>
        </w:rPr>
        <w:t>2.1-1</w:t>
      </w:r>
      <w:r>
        <w:rPr>
          <w:rFonts w:hint="eastAsia" w:ascii="宋体" w:hAnsi="宋体" w:eastAsia="宋体" w:cs="宋体"/>
          <w:lang w:eastAsia="zh-CN"/>
        </w:rPr>
        <w:t>。</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表6.</w:t>
      </w:r>
      <w:r>
        <w:rPr>
          <w:rFonts w:hint="eastAsia" w:cs="宋体"/>
          <w:b/>
          <w:bCs/>
          <w:sz w:val="24"/>
          <w:lang w:val="en-US" w:eastAsia="zh-CN"/>
        </w:rPr>
        <w:t xml:space="preserve">2.1-1 </w:t>
      </w:r>
      <w:r>
        <w:rPr>
          <w:rFonts w:hint="eastAsia" w:ascii="宋体" w:hAnsi="宋体" w:eastAsia="宋体" w:cs="宋体"/>
          <w:b/>
          <w:bCs/>
          <w:sz w:val="24"/>
          <w:lang w:eastAsia="zh-CN"/>
        </w:rPr>
        <w:t>沂水气象站近20年（1998～2017年）主要气候要素统计</w:t>
      </w:r>
    </w:p>
    <w:tbl>
      <w:tblPr>
        <w:tblStyle w:val="24"/>
        <w:tblW w:w="960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56"/>
        <w:gridCol w:w="665"/>
        <w:gridCol w:w="665"/>
        <w:gridCol w:w="665"/>
        <w:gridCol w:w="665"/>
        <w:gridCol w:w="666"/>
        <w:gridCol w:w="666"/>
        <w:gridCol w:w="666"/>
        <w:gridCol w:w="666"/>
        <w:gridCol w:w="666"/>
        <w:gridCol w:w="666"/>
        <w:gridCol w:w="666"/>
        <w:gridCol w:w="666"/>
        <w:gridCol w:w="75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7" w:type="dxa"/>
            <w:tcBorders>
              <w:top w:val="single" w:color="auto" w:sz="12"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月份</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项目</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4月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5月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7月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8月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9月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10月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11月</w:t>
            </w:r>
          </w:p>
        </w:tc>
        <w:tc>
          <w:tcPr>
            <w:tcW w:w="666" w:type="dxa"/>
            <w:tcBorders>
              <w:top w:val="single" w:color="auto" w:sz="12"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12月</w:t>
            </w:r>
          </w:p>
        </w:tc>
        <w:tc>
          <w:tcPr>
            <w:tcW w:w="756" w:type="dxa"/>
            <w:tcBorders>
              <w:top w:val="single" w:color="auto" w:sz="12"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全年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7"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平均风速（m/s）</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2.2</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2.7</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3.1</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3.2</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2.8</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2.5</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2.2</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2.1</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2.0</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2.1</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2.3</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2.2</w:t>
            </w:r>
          </w:p>
        </w:tc>
        <w:tc>
          <w:tcPr>
            <w:tcW w:w="756"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7"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平均气温（℃）</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-1.4</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1.6</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7.3</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14.3</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20.0</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23.6</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26.0</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25.1</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21.1</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15.2</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7.4</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0.7</w:t>
            </w:r>
          </w:p>
        </w:tc>
        <w:tc>
          <w:tcPr>
            <w:tcW w:w="756"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13.4</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7" w:type="dxa"/>
            <w:tcBorders>
              <w:top w:val="single" w:color="auto" w:sz="6" w:space="0"/>
              <w:left w:val="single" w:color="auto" w:sz="12"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平均相对湿度（%）</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60.2</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60.2</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54.2</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55.8</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60.7</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69.5</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81.7</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82.5</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75.7</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68.6</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64.8</w:t>
            </w:r>
          </w:p>
        </w:tc>
        <w:tc>
          <w:tcPr>
            <w:tcW w:w="666" w:type="dxa"/>
            <w:tcBorders>
              <w:top w:val="single" w:color="auto" w:sz="6" w:space="0"/>
              <w:left w:val="single" w:color="auto" w:sz="6" w:space="0"/>
              <w:bottom w:val="single" w:color="auto" w:sz="6"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61.4</w:t>
            </w:r>
          </w:p>
        </w:tc>
        <w:tc>
          <w:tcPr>
            <w:tcW w:w="756" w:type="dxa"/>
            <w:tcBorders>
              <w:top w:val="single" w:color="auto" w:sz="6" w:space="0"/>
              <w:left w:val="single" w:color="auto" w:sz="6" w:space="0"/>
              <w:bottom w:val="single" w:color="auto" w:sz="6"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57" w:type="dxa"/>
            <w:tcBorders>
              <w:top w:val="single" w:color="auto" w:sz="6" w:space="0"/>
              <w:left w:val="single" w:color="auto" w:sz="12"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平均降水量（mm）</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8.5</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15.3</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14.7</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33.2</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67.4</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86.0</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202.1</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169.2</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72.7</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30.3</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25.0</w:t>
            </w:r>
          </w:p>
        </w:tc>
        <w:tc>
          <w:tcPr>
            <w:tcW w:w="666" w:type="dxa"/>
            <w:tcBorders>
              <w:top w:val="single" w:color="auto" w:sz="6" w:space="0"/>
              <w:left w:val="single" w:color="auto" w:sz="6" w:space="0"/>
              <w:bottom w:val="single" w:color="auto" w:sz="12" w:space="0"/>
              <w:right w:val="single" w:color="auto" w:sz="6"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10.6</w:t>
            </w:r>
          </w:p>
        </w:tc>
        <w:tc>
          <w:tcPr>
            <w:tcW w:w="756" w:type="dxa"/>
            <w:tcBorders>
              <w:top w:val="single" w:color="auto" w:sz="6" w:space="0"/>
              <w:left w:val="single" w:color="auto" w:sz="6" w:space="0"/>
              <w:bottom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735.0</w:t>
            </w:r>
          </w:p>
        </w:tc>
      </w:tr>
    </w:tbl>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w:t>
      </w:r>
      <w:r>
        <w:rPr>
          <w:rFonts w:hint="eastAsia" w:cs="宋体"/>
          <w:b/>
          <w:bCs/>
          <w:sz w:val="24"/>
          <w:lang w:val="en-US" w:eastAsia="zh-CN"/>
        </w:rPr>
        <w:t>6.2.1</w:t>
      </w:r>
      <w:r>
        <w:rPr>
          <w:rFonts w:hint="eastAsia" w:ascii="宋体" w:hAnsi="宋体" w:eastAsia="宋体" w:cs="宋体"/>
          <w:b/>
          <w:bCs/>
          <w:sz w:val="24"/>
          <w:lang w:eastAsia="zh-CN"/>
        </w:rPr>
        <w:t>-2 沂水气象站近20年（1998～2017年）各风向频率</w:t>
      </w:r>
    </w:p>
    <w:tbl>
      <w:tblPr>
        <w:tblStyle w:val="24"/>
        <w:tblW w:w="976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99"/>
        <w:gridCol w:w="581"/>
        <w:gridCol w:w="585"/>
        <w:gridCol w:w="485"/>
        <w:gridCol w:w="565"/>
        <w:gridCol w:w="485"/>
        <w:gridCol w:w="537"/>
        <w:gridCol w:w="486"/>
        <w:gridCol w:w="527"/>
        <w:gridCol w:w="576"/>
        <w:gridCol w:w="587"/>
        <w:gridCol w:w="486"/>
        <w:gridCol w:w="656"/>
        <w:gridCol w:w="486"/>
        <w:gridCol w:w="686"/>
        <w:gridCol w:w="516"/>
        <w:gridCol w:w="646"/>
        <w:gridCol w:w="57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9" w:type="dxa"/>
            <w:tcBorders>
              <w:top w:val="single" w:color="auto" w:sz="12" w:space="0"/>
              <w:left w:val="single" w:color="auto" w:sz="12"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81"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N</w:t>
            </w:r>
          </w:p>
        </w:tc>
        <w:tc>
          <w:tcPr>
            <w:tcW w:w="58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NNE</w:t>
            </w:r>
          </w:p>
        </w:tc>
        <w:tc>
          <w:tcPr>
            <w:tcW w:w="48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NE</w:t>
            </w:r>
          </w:p>
        </w:tc>
        <w:tc>
          <w:tcPr>
            <w:tcW w:w="56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ENE</w:t>
            </w:r>
          </w:p>
        </w:tc>
        <w:tc>
          <w:tcPr>
            <w:tcW w:w="485"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E</w:t>
            </w:r>
          </w:p>
        </w:tc>
        <w:tc>
          <w:tcPr>
            <w:tcW w:w="537"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ESE</w:t>
            </w:r>
          </w:p>
        </w:tc>
        <w:tc>
          <w:tcPr>
            <w:tcW w:w="48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SE</w:t>
            </w:r>
          </w:p>
        </w:tc>
        <w:tc>
          <w:tcPr>
            <w:tcW w:w="527"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SSE</w:t>
            </w:r>
          </w:p>
        </w:tc>
        <w:tc>
          <w:tcPr>
            <w:tcW w:w="57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w:t>
            </w:r>
          </w:p>
        </w:tc>
        <w:tc>
          <w:tcPr>
            <w:tcW w:w="587"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SSW</w:t>
            </w:r>
          </w:p>
        </w:tc>
        <w:tc>
          <w:tcPr>
            <w:tcW w:w="48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SW</w:t>
            </w:r>
          </w:p>
        </w:tc>
        <w:tc>
          <w:tcPr>
            <w:tcW w:w="65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WSW</w:t>
            </w:r>
          </w:p>
        </w:tc>
        <w:tc>
          <w:tcPr>
            <w:tcW w:w="48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w:t>
            </w:r>
          </w:p>
        </w:tc>
        <w:tc>
          <w:tcPr>
            <w:tcW w:w="68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WNW</w:t>
            </w:r>
          </w:p>
        </w:tc>
        <w:tc>
          <w:tcPr>
            <w:tcW w:w="51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NW</w:t>
            </w:r>
          </w:p>
        </w:tc>
        <w:tc>
          <w:tcPr>
            <w:tcW w:w="646" w:type="dxa"/>
            <w:tcBorders>
              <w:top w:val="single" w:color="auto" w:sz="12" w:space="0"/>
              <w:left w:val="single" w:color="auto" w:sz="6" w:space="0"/>
              <w:bottom w:val="single" w:color="auto" w:sz="6"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NNW</w:t>
            </w:r>
          </w:p>
        </w:tc>
        <w:tc>
          <w:tcPr>
            <w:tcW w:w="576" w:type="dxa"/>
            <w:tcBorders>
              <w:top w:val="single" w:color="auto" w:sz="12" w:space="0"/>
              <w:left w:val="single" w:color="auto" w:sz="6" w:space="0"/>
              <w:bottom w:val="single" w:color="auto" w:sz="6" w:space="0"/>
              <w:right w:val="single" w:color="auto" w:sz="12"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C</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99" w:type="dxa"/>
            <w:tcBorders>
              <w:top w:val="single" w:color="auto" w:sz="6" w:space="0"/>
              <w:left w:val="single" w:color="auto" w:sz="12"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全年</w:t>
            </w:r>
          </w:p>
        </w:tc>
        <w:tc>
          <w:tcPr>
            <w:tcW w:w="581"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10.95</w:t>
            </w:r>
          </w:p>
        </w:tc>
        <w:tc>
          <w:tcPr>
            <w:tcW w:w="58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10.84</w:t>
            </w:r>
          </w:p>
        </w:tc>
        <w:tc>
          <w:tcPr>
            <w:tcW w:w="48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6.63</w:t>
            </w:r>
          </w:p>
        </w:tc>
        <w:tc>
          <w:tcPr>
            <w:tcW w:w="56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3.18</w:t>
            </w:r>
          </w:p>
        </w:tc>
        <w:tc>
          <w:tcPr>
            <w:tcW w:w="485"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2.79</w:t>
            </w:r>
          </w:p>
        </w:tc>
        <w:tc>
          <w:tcPr>
            <w:tcW w:w="537"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3.37</w:t>
            </w:r>
          </w:p>
        </w:tc>
        <w:tc>
          <w:tcPr>
            <w:tcW w:w="48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6.22</w:t>
            </w:r>
          </w:p>
        </w:tc>
        <w:tc>
          <w:tcPr>
            <w:tcW w:w="527"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6.75</w:t>
            </w:r>
          </w:p>
        </w:tc>
        <w:tc>
          <w:tcPr>
            <w:tcW w:w="57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12.15</w:t>
            </w:r>
          </w:p>
        </w:tc>
        <w:tc>
          <w:tcPr>
            <w:tcW w:w="587"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9.18</w:t>
            </w:r>
          </w:p>
        </w:tc>
        <w:tc>
          <w:tcPr>
            <w:tcW w:w="48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3.60</w:t>
            </w:r>
          </w:p>
        </w:tc>
        <w:tc>
          <w:tcPr>
            <w:tcW w:w="65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1.44</w:t>
            </w:r>
          </w:p>
        </w:tc>
        <w:tc>
          <w:tcPr>
            <w:tcW w:w="48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2.48</w:t>
            </w:r>
          </w:p>
        </w:tc>
        <w:tc>
          <w:tcPr>
            <w:tcW w:w="68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2.52</w:t>
            </w:r>
          </w:p>
        </w:tc>
        <w:tc>
          <w:tcPr>
            <w:tcW w:w="51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3.62</w:t>
            </w:r>
          </w:p>
        </w:tc>
        <w:tc>
          <w:tcPr>
            <w:tcW w:w="646" w:type="dxa"/>
            <w:tcBorders>
              <w:top w:val="single" w:color="auto" w:sz="6" w:space="0"/>
              <w:left w:val="single" w:color="auto" w:sz="6" w:space="0"/>
              <w:bottom w:val="single" w:color="auto" w:sz="12" w:space="0"/>
              <w:right w:val="single" w:color="auto" w:sz="6"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4.37</w:t>
            </w:r>
          </w:p>
        </w:tc>
        <w:tc>
          <w:tcPr>
            <w:tcW w:w="576" w:type="dxa"/>
            <w:tcBorders>
              <w:top w:val="single" w:color="auto" w:sz="6" w:space="0"/>
              <w:left w:val="single" w:color="auto" w:sz="6" w:space="0"/>
              <w:bottom w:val="single" w:color="auto" w:sz="12" w:space="0"/>
              <w:right w:val="single" w:color="auto" w:sz="12" w:space="0"/>
            </w:tcBorders>
            <w:tcMar>
              <w:top w:w="0" w:type="dxa"/>
              <w:left w:w="28" w:type="dxa"/>
              <w:bottom w:w="0" w:type="dxa"/>
              <w:right w:w="28" w:type="dxa"/>
            </w:tcMar>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18"/>
                <w:szCs w:val="18"/>
                <w:lang w:eastAsia="zh-CN"/>
              </w:rPr>
            </w:pPr>
            <w:r>
              <w:rPr>
                <w:rFonts w:hint="eastAsia" w:ascii="宋体" w:hAnsi="宋体" w:eastAsia="宋体" w:cs="宋体"/>
                <w:sz w:val="18"/>
                <w:szCs w:val="18"/>
                <w:lang w:eastAsia="zh-CN"/>
              </w:rPr>
              <w:t>9.86</w:t>
            </w:r>
          </w:p>
        </w:tc>
      </w:tr>
    </w:tbl>
    <w:p>
      <w:pPr>
        <w:ind w:firstLine="560"/>
        <w:rPr>
          <w:rFonts w:hint="eastAsia" w:ascii="宋体" w:hAnsi="宋体" w:eastAsia="宋体" w:cs="宋体"/>
          <w:lang w:eastAsia="zh-CN"/>
        </w:rPr>
      </w:pPr>
    </w:p>
    <w:p>
      <w:pPr>
        <w:ind w:firstLine="560"/>
        <w:rPr>
          <w:rFonts w:hint="eastAsia" w:ascii="宋体" w:hAnsi="宋体" w:eastAsia="宋体" w:cs="宋体"/>
          <w:lang w:eastAsia="zh-CN"/>
        </w:rPr>
      </w:pPr>
    </w:p>
    <w:p>
      <w:pPr>
        <w:ind w:firstLine="560"/>
        <w:rPr>
          <w:rFonts w:hint="eastAsia" w:ascii="宋体" w:hAnsi="宋体" w:eastAsia="宋体" w:cs="宋体"/>
          <w:lang w:eastAsia="zh-CN"/>
        </w:rPr>
      </w:pPr>
    </w:p>
    <w:p>
      <w:pPr>
        <w:ind w:firstLine="560"/>
        <w:rPr>
          <w:rFonts w:hint="eastAsia" w:ascii="宋体" w:hAnsi="宋体" w:eastAsia="宋体" w:cs="宋体"/>
          <w:lang w:eastAsia="zh-CN"/>
        </w:rPr>
      </w:pP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spacing w:before="0" w:beforeAutospacing="0" w:after="0" w:afterAutospacing="0"/>
              <w:ind w:left="0" w:right="0" w:firstLine="560"/>
              <w:jc w:val="both"/>
              <w:rPr>
                <w:rFonts w:hint="eastAsia" w:ascii="宋体" w:hAnsi="宋体" w:eastAsia="宋体" w:cs="宋体"/>
                <w:lang w:eastAsia="zh-CN"/>
              </w:rPr>
            </w:pPr>
            <w:r>
              <w:rPr>
                <w:rFonts w:hint="eastAsia" w:ascii="宋体" w:hAnsi="宋体" w:eastAsia="宋体" w:cs="宋体"/>
                <w:lang w:eastAsia="zh-CN"/>
              </w:rPr>
              <w:drawing>
                <wp:anchor distT="0" distB="0" distL="0" distR="0" simplePos="0" relativeHeight="251799552" behindDoc="1" locked="0" layoutInCell="1" allowOverlap="1">
                  <wp:simplePos x="0" y="0"/>
                  <wp:positionH relativeFrom="column">
                    <wp:posOffset>1602105</wp:posOffset>
                  </wp:positionH>
                  <wp:positionV relativeFrom="paragraph">
                    <wp:posOffset>-969645</wp:posOffset>
                  </wp:positionV>
                  <wp:extent cx="2242820" cy="2501900"/>
                  <wp:effectExtent l="0" t="0" r="5080" b="12700"/>
                  <wp:wrapThrough wrapText="bothSides">
                    <wp:wrapPolygon>
                      <wp:start x="0" y="0"/>
                      <wp:lineTo x="0" y="21381"/>
                      <wp:lineTo x="21465" y="21381"/>
                      <wp:lineTo x="21465" y="0"/>
                      <wp:lineTo x="0" y="0"/>
                    </wp:wrapPolygon>
                  </wp:wrapThrough>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noChangeArrowheads="1"/>
                          </pic:cNvPicPr>
                        </pic:nvPicPr>
                        <pic:blipFill>
                          <a:blip r:embed="rId128"/>
                          <a:srcRect l="13689" t="25105" r="55206" b="13080"/>
                          <a:stretch>
                            <a:fillRect/>
                          </a:stretch>
                        </pic:blipFill>
                        <pic:spPr>
                          <a:xfrm>
                            <a:off x="0" y="0"/>
                            <a:ext cx="2242820" cy="2501900"/>
                          </a:xfrm>
                          <a:prstGeom prst="rect">
                            <a:avLst/>
                          </a:prstGeom>
                          <a:noFill/>
                          <a:ln w="9525">
                            <a:noFill/>
                            <a:miter lim="800000"/>
                            <a:headEnd/>
                            <a:tailEnd/>
                          </a:ln>
                        </pic:spPr>
                      </pic:pic>
                    </a:graphicData>
                  </a:graphic>
                </wp:anchor>
              </w:drawing>
            </w:r>
          </w:p>
        </w:tc>
      </w:tr>
    </w:tbl>
    <w:p>
      <w:pPr>
        <w:ind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t>图</w:t>
      </w:r>
      <w:r>
        <w:rPr>
          <w:rFonts w:hint="eastAsia" w:cs="宋体"/>
          <w:b/>
          <w:bCs/>
          <w:sz w:val="24"/>
          <w:lang w:val="en-US" w:eastAsia="zh-CN"/>
        </w:rPr>
        <w:t>6.2.1-1</w:t>
      </w:r>
      <w:r>
        <w:rPr>
          <w:rFonts w:hint="eastAsia" w:ascii="宋体" w:hAnsi="宋体" w:eastAsia="宋体" w:cs="宋体"/>
          <w:b/>
          <w:bCs/>
          <w:sz w:val="24"/>
          <w:lang w:eastAsia="zh-CN"/>
        </w:rPr>
        <w:t xml:space="preserve"> 沂水近20年（1998～2017年）风向频率玫瑰图</w:t>
      </w:r>
    </w:p>
    <w:p>
      <w:pPr>
        <w:pStyle w:val="7"/>
        <w:rPr>
          <w:rFonts w:hint="eastAsia" w:ascii="宋体" w:hAnsi="宋体" w:eastAsia="宋体" w:cs="宋体"/>
          <w:lang w:val="en-US" w:eastAsia="zh-CN"/>
        </w:rPr>
      </w:pPr>
      <w:r>
        <w:rPr>
          <w:rFonts w:hint="eastAsia" w:ascii="宋体" w:hAnsi="宋体" w:eastAsia="宋体" w:cs="宋体"/>
          <w:lang w:val="en-US" w:eastAsia="zh-CN"/>
        </w:rPr>
        <w:t>6.2.2 污染源调查</w:t>
      </w:r>
    </w:p>
    <w:p>
      <w:pPr>
        <w:rPr>
          <w:rFonts w:hint="eastAsia"/>
          <w:lang w:val="en-US" w:eastAsia="zh-CN"/>
        </w:rPr>
      </w:pPr>
      <w:r>
        <w:rPr>
          <w:rFonts w:hint="default"/>
          <w:lang w:val="en-US" w:eastAsia="zh-CN"/>
        </w:rPr>
        <w:t>根据《环境影响评价技术导则  大气环境》（HJ2.2-2018），二级评价项目，调查本项目现有及新增污染源和拟被替代的污染源。</w:t>
      </w:r>
      <w:r>
        <w:rPr>
          <w:rFonts w:hint="eastAsia"/>
          <w:lang w:val="en-US" w:eastAsia="zh-CN"/>
        </w:rPr>
        <w:t>本项目无拟被替代的污染源，本项目新增污染源参数见表6.2.2-1。</w:t>
      </w:r>
    </w:p>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b/>
          <w:bCs/>
          <w:lang w:val="en-US" w:eastAsia="zh-CN"/>
        </w:rPr>
      </w:pPr>
      <w:r>
        <w:rPr>
          <w:rFonts w:hint="eastAsia"/>
          <w:b/>
          <w:bCs/>
          <w:lang w:val="en-US" w:eastAsia="zh-CN"/>
        </w:rPr>
        <w:t>表6.2.2-1 本项目正常工况下面源排放参数一览表</w:t>
      </w:r>
    </w:p>
    <w:tbl>
      <w:tblPr>
        <w:tblStyle w:val="24"/>
        <w:tblpPr w:leftFromText="180" w:rightFromText="180" w:vertAnchor="text" w:horzAnchor="page" w:tblpX="1105" w:tblpY="15"/>
        <w:tblOverlap w:val="never"/>
        <w:tblW w:w="5249"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356"/>
        <w:gridCol w:w="955"/>
        <w:gridCol w:w="1039"/>
        <w:gridCol w:w="966"/>
        <w:gridCol w:w="734"/>
        <w:gridCol w:w="658"/>
        <w:gridCol w:w="658"/>
        <w:gridCol w:w="773"/>
        <w:gridCol w:w="940"/>
        <w:gridCol w:w="860"/>
        <w:gridCol w:w="668"/>
        <w:gridCol w:w="11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544" w:hRule="atLeast"/>
        </w:trPr>
        <w:tc>
          <w:tcPr>
            <w:tcW w:w="182"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编号</w:t>
            </w:r>
          </w:p>
        </w:tc>
        <w:tc>
          <w:tcPr>
            <w:tcW w:w="489"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名称</w:t>
            </w:r>
          </w:p>
        </w:tc>
        <w:tc>
          <w:tcPr>
            <w:tcW w:w="1028" w:type="pct"/>
            <w:gridSpan w:val="2"/>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面源中心坐标/m</w:t>
            </w:r>
          </w:p>
        </w:tc>
        <w:tc>
          <w:tcPr>
            <w:tcW w:w="376"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面源海拔高度/m</w:t>
            </w:r>
          </w:p>
        </w:tc>
        <w:tc>
          <w:tcPr>
            <w:tcW w:w="337"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面源长度/m</w:t>
            </w:r>
          </w:p>
        </w:tc>
        <w:tc>
          <w:tcPr>
            <w:tcW w:w="337"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面源宽度/m</w:t>
            </w:r>
          </w:p>
        </w:tc>
        <w:tc>
          <w:tcPr>
            <w:tcW w:w="396"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与正北向夹角/ °</w:t>
            </w:r>
          </w:p>
        </w:tc>
        <w:tc>
          <w:tcPr>
            <w:tcW w:w="482"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面源有效排放高度/m</w:t>
            </w:r>
          </w:p>
        </w:tc>
        <w:tc>
          <w:tcPr>
            <w:tcW w:w="440"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年排放小时数/h</w:t>
            </w:r>
          </w:p>
        </w:tc>
        <w:tc>
          <w:tcPr>
            <w:tcW w:w="342" w:type="pct"/>
            <w:vMerge w:val="restar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排放</w:t>
            </w:r>
          </w:p>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工况</w:t>
            </w:r>
          </w:p>
        </w:tc>
        <w:tc>
          <w:tcPr>
            <w:tcW w:w="586" w:type="pct"/>
            <w:vMerge w:val="restart"/>
            <w:tcBorders>
              <w:right w:val="single" w:color="000000" w:sz="1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污染物排放速率/（kg/h）</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4" w:hRule="atLeast"/>
        </w:trPr>
        <w:tc>
          <w:tcPr>
            <w:tcW w:w="182"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489"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532"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X</w:t>
            </w:r>
          </w:p>
        </w:tc>
        <w:tc>
          <w:tcPr>
            <w:tcW w:w="495"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b/>
                <w:bCs/>
                <w:sz w:val="21"/>
                <w:szCs w:val="21"/>
                <w:lang w:val="en-US" w:eastAsia="zh-CN"/>
              </w:rPr>
            </w:pPr>
            <w:r>
              <w:rPr>
                <w:rFonts w:hint="default"/>
                <w:b/>
                <w:bCs/>
                <w:sz w:val="21"/>
                <w:szCs w:val="21"/>
                <w:lang w:val="en-US" w:eastAsia="zh-CN"/>
              </w:rPr>
              <w:t>Y</w:t>
            </w:r>
          </w:p>
        </w:tc>
        <w:tc>
          <w:tcPr>
            <w:tcW w:w="376"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337"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337"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396"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482"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440"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342" w:type="pct"/>
            <w:vMerge w:val="continue"/>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c>
          <w:tcPr>
            <w:tcW w:w="586" w:type="pct"/>
            <w:vMerge w:val="continue"/>
            <w:tcBorders>
              <w:right w:val="single" w:color="000000" w:sz="12" w:space="0"/>
            </w:tcBorders>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544" w:hRule="atLeast"/>
        </w:trPr>
        <w:tc>
          <w:tcPr>
            <w:tcW w:w="182"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1</w:t>
            </w:r>
          </w:p>
        </w:tc>
        <w:tc>
          <w:tcPr>
            <w:tcW w:w="489"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中央回风井</w:t>
            </w:r>
          </w:p>
        </w:tc>
        <w:tc>
          <w:tcPr>
            <w:tcW w:w="532"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118.458</w:t>
            </w:r>
          </w:p>
        </w:tc>
        <w:tc>
          <w:tcPr>
            <w:tcW w:w="495"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35.955</w:t>
            </w:r>
          </w:p>
        </w:tc>
        <w:tc>
          <w:tcPr>
            <w:tcW w:w="376"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220</w:t>
            </w:r>
          </w:p>
        </w:tc>
        <w:tc>
          <w:tcPr>
            <w:tcW w:w="337"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4</w:t>
            </w:r>
          </w:p>
        </w:tc>
        <w:tc>
          <w:tcPr>
            <w:tcW w:w="337"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4</w:t>
            </w:r>
          </w:p>
        </w:tc>
        <w:tc>
          <w:tcPr>
            <w:tcW w:w="396"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0</w:t>
            </w:r>
          </w:p>
        </w:tc>
        <w:tc>
          <w:tcPr>
            <w:tcW w:w="482"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3.8</w:t>
            </w:r>
          </w:p>
        </w:tc>
        <w:tc>
          <w:tcPr>
            <w:tcW w:w="440"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7920</w:t>
            </w:r>
          </w:p>
        </w:tc>
        <w:tc>
          <w:tcPr>
            <w:tcW w:w="342"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正常</w:t>
            </w:r>
          </w:p>
        </w:tc>
        <w:tc>
          <w:tcPr>
            <w:tcW w:w="586" w:type="pct"/>
            <w:shd w:val="clear" w:color="auto" w:fill="auto"/>
            <w:vAlign w:val="center"/>
          </w:tcPr>
          <w:p>
            <w:pPr>
              <w:keepNext w:val="0"/>
              <w:keepLines w:val="0"/>
              <w:pageBreakBefore w:val="0"/>
              <w:widowControl w:val="0"/>
              <w:suppressLineNumbers w:val="0"/>
              <w:kinsoku/>
              <w:wordWrap/>
              <w:overflowPunct/>
              <w:topLinePunct w:val="0"/>
              <w:autoSpaceDE w:val="0"/>
              <w:autoSpaceDN w:val="0"/>
              <w:bidi w:val="0"/>
              <w:adjustRightInd/>
              <w:snapToGrid/>
              <w:spacing w:before="0" w:beforeAutospacing="0" w:after="0" w:afterAutospacing="0" w:line="240" w:lineRule="auto"/>
              <w:ind w:left="0" w:leftChars="0" w:right="0" w:rightChars="0" w:firstLine="0" w:firstLineChars="0"/>
              <w:jc w:val="center"/>
              <w:textAlignment w:val="auto"/>
              <w:rPr>
                <w:rFonts w:hint="default"/>
                <w:sz w:val="21"/>
                <w:szCs w:val="21"/>
                <w:lang w:val="en-US" w:eastAsia="zh-CN"/>
              </w:rPr>
            </w:pPr>
            <w:r>
              <w:rPr>
                <w:rFonts w:hint="default"/>
                <w:sz w:val="21"/>
                <w:szCs w:val="21"/>
                <w:lang w:val="en-US" w:eastAsia="zh-CN"/>
              </w:rPr>
              <w:t>0.013</w:t>
            </w:r>
          </w:p>
        </w:tc>
      </w:tr>
    </w:tbl>
    <w:p>
      <w:pPr>
        <w:pStyle w:val="7"/>
        <w:rPr>
          <w:rFonts w:hint="eastAsia" w:ascii="宋体" w:hAnsi="宋体" w:eastAsia="宋体" w:cs="宋体"/>
          <w:lang w:eastAsia="zh-CN"/>
        </w:rPr>
      </w:pPr>
      <w:r>
        <w:rPr>
          <w:rFonts w:hint="eastAsia" w:ascii="宋体" w:hAnsi="宋体" w:eastAsia="宋体" w:cs="宋体"/>
          <w:lang w:eastAsia="zh-CN"/>
        </w:rPr>
        <w:t>6.2.</w:t>
      </w:r>
      <w:r>
        <w:rPr>
          <w:rFonts w:hint="eastAsia" w:ascii="宋体" w:hAnsi="宋体" w:eastAsia="宋体" w:cs="宋体"/>
          <w:lang w:val="en-US" w:eastAsia="zh-CN"/>
        </w:rPr>
        <w:t xml:space="preserve">3 </w:t>
      </w:r>
      <w:r>
        <w:rPr>
          <w:rFonts w:hint="eastAsia" w:ascii="宋体" w:hAnsi="宋体" w:eastAsia="宋体" w:cs="宋体"/>
          <w:lang w:eastAsia="zh-CN"/>
        </w:rPr>
        <w:t>评价因子及评价标准</w:t>
      </w:r>
    </w:p>
    <w:p>
      <w:pPr>
        <w:ind w:firstLine="562"/>
        <w:rPr>
          <w:rFonts w:hint="eastAsia" w:ascii="宋体" w:hAnsi="宋体" w:eastAsia="宋体" w:cs="宋体"/>
          <w:b/>
          <w:bCs/>
          <w:lang w:eastAsia="zh-CN"/>
        </w:rPr>
      </w:pPr>
      <w:r>
        <w:rPr>
          <w:rFonts w:hint="eastAsia" w:ascii="宋体" w:hAnsi="宋体" w:eastAsia="宋体" w:cs="宋体"/>
          <w:b/>
          <w:bCs/>
          <w:lang w:eastAsia="zh-CN"/>
        </w:rPr>
        <w:t>（1）评价因子筛选</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大气环境》（HJ 2.2-2018）要求对大气环境影响因素进行识别，筛选大气环境影响评价因子。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大气污染物为无组织排放的粉尘，因此评价因子选定为TSP。</w:t>
      </w:r>
    </w:p>
    <w:p>
      <w:pPr>
        <w:ind w:firstLine="562"/>
        <w:rPr>
          <w:rFonts w:hint="eastAsia" w:ascii="宋体" w:hAnsi="宋体" w:eastAsia="宋体" w:cs="宋体"/>
          <w:b/>
          <w:bCs/>
          <w:lang w:eastAsia="zh-CN"/>
        </w:rPr>
      </w:pPr>
      <w:r>
        <w:rPr>
          <w:rFonts w:hint="eastAsia" w:ascii="宋体" w:hAnsi="宋体" w:eastAsia="宋体" w:cs="宋体"/>
          <w:b/>
          <w:bCs/>
          <w:lang w:eastAsia="zh-CN"/>
        </w:rPr>
        <w:t>（2）评价标准</w:t>
      </w:r>
    </w:p>
    <w:p>
      <w:pPr>
        <w:ind w:firstLine="560"/>
        <w:rPr>
          <w:rFonts w:hint="eastAsia" w:ascii="宋体" w:hAnsi="宋体" w:eastAsia="宋体" w:cs="宋体"/>
          <w:lang w:eastAsia="zh-CN"/>
        </w:rPr>
      </w:pPr>
      <w:r>
        <w:rPr>
          <w:rFonts w:hint="eastAsia" w:ascii="宋体" w:hAnsi="宋体" w:eastAsia="宋体" w:cs="宋体"/>
          <w:lang w:eastAsia="zh-CN"/>
        </w:rPr>
        <w:t>TSP取《环境空气质量标准》（GB3095-2012）中二级标准日平均值的3倍。</w:t>
      </w:r>
    </w:p>
    <w:p>
      <w:pPr>
        <w:pStyle w:val="7"/>
        <w:rPr>
          <w:rFonts w:hint="eastAsia" w:ascii="宋体" w:hAnsi="宋体" w:eastAsia="宋体" w:cs="宋体"/>
          <w:lang w:eastAsia="zh-CN"/>
        </w:rPr>
      </w:pPr>
      <w:r>
        <w:rPr>
          <w:rFonts w:hint="eastAsia" w:ascii="宋体" w:hAnsi="宋体" w:eastAsia="宋体" w:cs="宋体"/>
          <w:lang w:eastAsia="zh-CN"/>
        </w:rPr>
        <w:t>6.2.</w:t>
      </w:r>
      <w:r>
        <w:rPr>
          <w:rFonts w:hint="eastAsia" w:ascii="宋体" w:hAnsi="宋体" w:eastAsia="宋体" w:cs="宋体"/>
          <w:lang w:val="en-US" w:eastAsia="zh-CN"/>
        </w:rPr>
        <w:t>4</w:t>
      </w:r>
      <w:r>
        <w:rPr>
          <w:rFonts w:hint="eastAsia" w:ascii="宋体" w:hAnsi="宋体" w:eastAsia="宋体" w:cs="宋体"/>
          <w:lang w:eastAsia="zh-CN"/>
        </w:rPr>
        <w:t xml:space="preserve"> 评价等级的确定</w:t>
      </w:r>
    </w:p>
    <w:p>
      <w:pPr>
        <w:ind w:firstLine="560"/>
        <w:rPr>
          <w:rFonts w:hint="eastAsia" w:ascii="宋体" w:hAnsi="宋体" w:eastAsia="宋体" w:cs="宋体"/>
          <w:lang w:eastAsia="zh-CN"/>
        </w:rPr>
      </w:pPr>
      <w:r>
        <w:rPr>
          <w:rFonts w:hint="eastAsia" w:ascii="宋体" w:hAnsi="宋体" w:eastAsia="宋体" w:cs="宋体"/>
          <w:lang w:eastAsia="zh-CN"/>
        </w:rPr>
        <w:t>根据</w:t>
      </w:r>
      <w:r>
        <w:rPr>
          <w:rFonts w:hint="eastAsia" w:cs="宋体"/>
          <w:lang w:eastAsia="zh-CN"/>
        </w:rPr>
        <w:t>本项目</w:t>
      </w:r>
      <w:r>
        <w:rPr>
          <w:rFonts w:hint="eastAsia" w:ascii="宋体" w:hAnsi="宋体" w:eastAsia="宋体" w:cs="宋体"/>
          <w:lang w:eastAsia="zh-CN"/>
        </w:rPr>
        <w:t>排放的污染物情况，按照《环境影响评价技术导则 大气环境》（HJ2.2-2018）来确定项目环境空气的评价等级。</w:t>
      </w:r>
    </w:p>
    <w:p>
      <w:pPr>
        <w:pStyle w:val="8"/>
        <w:rPr>
          <w:rFonts w:hint="eastAsia" w:ascii="宋体" w:hAnsi="宋体" w:eastAsia="宋体" w:cs="宋体"/>
          <w:lang w:eastAsia="zh-CN"/>
        </w:rPr>
      </w:pPr>
      <w:r>
        <w:rPr>
          <w:rFonts w:hint="eastAsia" w:ascii="宋体" w:hAnsi="宋体" w:eastAsia="宋体" w:cs="宋体"/>
          <w:lang w:eastAsia="zh-CN"/>
        </w:rPr>
        <w:t>6.2.</w:t>
      </w:r>
      <w:r>
        <w:rPr>
          <w:rFonts w:hint="eastAsia" w:eastAsia="宋体" w:cs="宋体"/>
          <w:lang w:val="en-US" w:eastAsia="zh-CN"/>
        </w:rPr>
        <w:t>4</w:t>
      </w:r>
      <w:r>
        <w:rPr>
          <w:rFonts w:hint="eastAsia" w:ascii="宋体" w:hAnsi="宋体" w:eastAsia="宋体" w:cs="宋体"/>
          <w:lang w:eastAsia="zh-CN"/>
        </w:rPr>
        <w:t>.1 参数选取</w:t>
      </w:r>
    </w:p>
    <w:p>
      <w:pPr>
        <w:ind w:firstLine="560"/>
        <w:rPr>
          <w:rFonts w:hint="eastAsia" w:ascii="宋体" w:hAnsi="宋体" w:eastAsia="宋体" w:cs="宋体"/>
          <w:lang w:eastAsia="zh-CN"/>
        </w:rPr>
      </w:pPr>
      <w:r>
        <w:rPr>
          <w:rFonts w:hint="eastAsia" w:ascii="宋体" w:hAnsi="宋体" w:eastAsia="宋体" w:cs="宋体"/>
          <w:lang w:eastAsia="zh-CN"/>
        </w:rPr>
        <w:t>采用《环境影响评价技术导则 大气环境》（HJ2.2-2018）中要求的AERSCREEN估算软件对</w:t>
      </w:r>
      <w:r>
        <w:rPr>
          <w:rFonts w:hint="eastAsia" w:cs="宋体"/>
          <w:lang w:eastAsia="zh-CN"/>
        </w:rPr>
        <w:t>本项目</w:t>
      </w:r>
      <w:r>
        <w:rPr>
          <w:rFonts w:hint="eastAsia" w:ascii="宋体" w:hAnsi="宋体" w:eastAsia="宋体" w:cs="宋体"/>
          <w:lang w:eastAsia="zh-CN"/>
        </w:rPr>
        <w:t>污染物的排放进行估算，估算时考虑地形参数。参照HJ 2.2-2018附录C，本次评价选取的估算模型参数见表6.</w:t>
      </w:r>
      <w:r>
        <w:rPr>
          <w:rFonts w:hint="eastAsia" w:cs="宋体"/>
          <w:lang w:val="en-US" w:eastAsia="zh-CN"/>
        </w:rPr>
        <w:t>2</w:t>
      </w:r>
      <w:r>
        <w:rPr>
          <w:rFonts w:hint="eastAsia" w:ascii="宋体" w:hAnsi="宋体" w:eastAsia="宋体" w:cs="宋体"/>
          <w:lang w:eastAsia="zh-CN"/>
        </w:rPr>
        <w:t>.3-1。</w:t>
      </w:r>
    </w:p>
    <w:p>
      <w:pPr>
        <w:autoSpaceDE/>
        <w:autoSpaceDN/>
        <w:spacing w:line="36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w:t>
      </w:r>
      <w:r>
        <w:rPr>
          <w:rFonts w:hint="eastAsia" w:cs="宋体"/>
          <w:b/>
          <w:bCs/>
          <w:kern w:val="2"/>
          <w:sz w:val="24"/>
          <w:lang w:val="en-US" w:eastAsia="zh-CN"/>
        </w:rPr>
        <w:t>2</w:t>
      </w:r>
      <w:r>
        <w:rPr>
          <w:rFonts w:hint="eastAsia" w:ascii="宋体" w:hAnsi="宋体" w:eastAsia="宋体" w:cs="宋体"/>
          <w:b/>
          <w:bCs/>
          <w:kern w:val="2"/>
          <w:sz w:val="24"/>
          <w:lang w:eastAsia="zh-CN"/>
        </w:rPr>
        <w:t>.3-1 估算模型参数及选取依据表</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28" w:type="dxa"/>
          <w:left w:w="28" w:type="dxa"/>
          <w:bottom w:w="28" w:type="dxa"/>
          <w:right w:w="28" w:type="dxa"/>
        </w:tblCellMar>
      </w:tblPr>
      <w:tblGrid>
        <w:gridCol w:w="1731"/>
        <w:gridCol w:w="1383"/>
        <w:gridCol w:w="1631"/>
        <w:gridCol w:w="43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391" w:hRule="atLeast"/>
          <w:tblHeader/>
        </w:trPr>
        <w:tc>
          <w:tcPr>
            <w:tcW w:w="1705" w:type="pct"/>
            <w:gridSpan w:val="2"/>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参数</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取值</w:t>
            </w:r>
          </w:p>
        </w:tc>
        <w:tc>
          <w:tcPr>
            <w:tcW w:w="240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取值依据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948"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城市/农村选项</w:t>
            </w:r>
          </w:p>
        </w:tc>
        <w:tc>
          <w:tcPr>
            <w:tcW w:w="757"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城市/农村</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农村</w:t>
            </w:r>
          </w:p>
        </w:tc>
        <w:tc>
          <w:tcPr>
            <w:tcW w:w="2400"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项目周边3km半径范围内一半以上面积属于农村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1705" w:type="pct"/>
            <w:gridSpan w:val="2"/>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最高环境温度/℃</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32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41.7℃</w:t>
            </w:r>
          </w:p>
        </w:tc>
        <w:tc>
          <w:tcPr>
            <w:tcW w:w="2400" w:type="pct"/>
            <w:vMerge w:val="restar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近20年气象资料统计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1705" w:type="pct"/>
            <w:gridSpan w:val="2"/>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最低环境温度/℃</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32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-16.3℃</w:t>
            </w:r>
          </w:p>
        </w:tc>
        <w:tc>
          <w:tcPr>
            <w:tcW w:w="2400" w:type="pct"/>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1705" w:type="pct"/>
            <w:gridSpan w:val="2"/>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土地利用类型</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农林用地</w:t>
            </w:r>
          </w:p>
        </w:tc>
        <w:tc>
          <w:tcPr>
            <w:tcW w:w="2400"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3km半径范围内土地利用状况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1705" w:type="pct"/>
            <w:gridSpan w:val="2"/>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区域湿度条件</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半湿润区</w:t>
            </w:r>
          </w:p>
        </w:tc>
        <w:tc>
          <w:tcPr>
            <w:tcW w:w="2400"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中国干湿状况分布图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rPr>
          <w:trHeight w:val="26" w:hRule="atLeast"/>
        </w:trPr>
        <w:tc>
          <w:tcPr>
            <w:tcW w:w="948" w:type="pct"/>
            <w:vMerge w:val="restar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是否考虑地形</w:t>
            </w:r>
          </w:p>
        </w:tc>
        <w:tc>
          <w:tcPr>
            <w:tcW w:w="757"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考虑地形</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是</w:t>
            </w:r>
          </w:p>
        </w:tc>
        <w:tc>
          <w:tcPr>
            <w:tcW w:w="2400"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报告书项目，根据导则要求考虑地形</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0" w:type="auto"/>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757"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地形数据分辨率/m</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90</w:t>
            </w:r>
          </w:p>
        </w:tc>
        <w:tc>
          <w:tcPr>
            <w:tcW w:w="2400"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SRTM DEM UTM 90m分辨率数字高程数据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948" w:type="pct"/>
            <w:vMerge w:val="restar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是否考虑</w:t>
            </w:r>
          </w:p>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岸线熏烟</w:t>
            </w:r>
          </w:p>
        </w:tc>
        <w:tc>
          <w:tcPr>
            <w:tcW w:w="757"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考虑岸线熏烟</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否</w:t>
            </w:r>
          </w:p>
        </w:tc>
        <w:tc>
          <w:tcPr>
            <w:tcW w:w="2400" w:type="pct"/>
            <w:vMerge w:val="restar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项目距海岸线距离超过3km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0" w:type="auto"/>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757"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岸线距离/m</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2400" w:type="pct"/>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28" w:type="dxa"/>
            <w:bottom w:w="28" w:type="dxa"/>
            <w:right w:w="28" w:type="dxa"/>
          </w:tblCellMar>
        </w:tblPrEx>
        <w:tc>
          <w:tcPr>
            <w:tcW w:w="0" w:type="auto"/>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757"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岸线方向/°</w:t>
            </w:r>
          </w:p>
        </w:tc>
        <w:tc>
          <w:tcPr>
            <w:tcW w:w="893" w:type="pct"/>
            <w:tcBorders>
              <w:tl2br w:val="nil"/>
              <w:tr2bl w:val="nil"/>
            </w:tcBorders>
            <w:vAlign w:val="center"/>
          </w:tcPr>
          <w:p>
            <w:pPr>
              <w:keepNext w:val="0"/>
              <w:keepLines w:val="0"/>
              <w:suppressLineNumbers w:val="0"/>
              <w:autoSpaceDE/>
              <w:autoSpaceDN/>
              <w:spacing w:before="0" w:beforeAutospacing="0" w:after="0" w:afterAutospacing="0" w:line="280" w:lineRule="exact"/>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2400" w:type="pct"/>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r>
    </w:tbl>
    <w:p>
      <w:pPr>
        <w:pStyle w:val="8"/>
        <w:rPr>
          <w:rFonts w:hint="eastAsia" w:ascii="宋体" w:hAnsi="宋体" w:eastAsia="宋体" w:cs="宋体"/>
          <w:lang w:eastAsia="zh-CN"/>
        </w:rPr>
      </w:pPr>
      <w:r>
        <w:rPr>
          <w:rFonts w:hint="eastAsia" w:ascii="宋体" w:hAnsi="宋体" w:eastAsia="宋体" w:cs="宋体"/>
          <w:lang w:eastAsia="zh-CN"/>
        </w:rPr>
        <w:t>6.2.</w:t>
      </w:r>
      <w:r>
        <w:rPr>
          <w:rFonts w:hint="eastAsia" w:eastAsia="宋体" w:cs="宋体"/>
          <w:lang w:val="en-US" w:eastAsia="zh-CN"/>
        </w:rPr>
        <w:t>4</w:t>
      </w:r>
      <w:r>
        <w:rPr>
          <w:rFonts w:hint="eastAsia" w:ascii="宋体" w:hAnsi="宋体" w:eastAsia="宋体" w:cs="宋体"/>
          <w:lang w:eastAsia="zh-CN"/>
        </w:rPr>
        <w:t>.2 评价等级判定</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drawing>
          <wp:anchor distT="0" distB="0" distL="0" distR="0" simplePos="0" relativeHeight="251711488" behindDoc="1" locked="0" layoutInCell="1" allowOverlap="1">
            <wp:simplePos x="0" y="0"/>
            <wp:positionH relativeFrom="column">
              <wp:posOffset>1952625</wp:posOffset>
            </wp:positionH>
            <wp:positionV relativeFrom="paragraph">
              <wp:posOffset>1162050</wp:posOffset>
            </wp:positionV>
            <wp:extent cx="1195070" cy="597535"/>
            <wp:effectExtent l="0" t="0" r="0" b="12065"/>
            <wp:wrapThrough wrapText="bothSides">
              <wp:wrapPolygon>
                <wp:start x="0" y="0"/>
                <wp:lineTo x="0" y="20659"/>
                <wp:lineTo x="21348" y="20659"/>
                <wp:lineTo x="21348" y="0"/>
                <wp:lineTo x="0" y="0"/>
              </wp:wrapPolygon>
            </wp:wrapThrough>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noChangeArrowheads="1"/>
                    </pic:cNvPicPr>
                  </pic:nvPicPr>
                  <pic:blipFill>
                    <a:blip r:embed="rId129"/>
                    <a:srcRect/>
                    <a:stretch>
                      <a:fillRect/>
                    </a:stretch>
                  </pic:blipFill>
                  <pic:spPr>
                    <a:xfrm>
                      <a:off x="0" y="0"/>
                      <a:ext cx="1195070" cy="597535"/>
                    </a:xfrm>
                    <a:prstGeom prst="rect">
                      <a:avLst/>
                    </a:prstGeom>
                    <a:noFill/>
                    <a:ln w="9525">
                      <a:noFill/>
                      <a:miter lim="800000"/>
                      <a:headEnd/>
                      <a:tailEnd/>
                    </a:ln>
                  </pic:spPr>
                </pic:pic>
              </a:graphicData>
            </a:graphic>
          </wp:anchor>
        </w:drawing>
      </w:r>
      <w:r>
        <w:rPr>
          <w:rFonts w:hint="eastAsia" w:ascii="宋体" w:hAnsi="宋体" w:eastAsia="宋体" w:cs="宋体"/>
          <w:lang w:eastAsia="zh-CN"/>
        </w:rPr>
        <w:t>根据《环境影响评价技术导则-大气环境》（HJ2.2-2018）评价工作分级方法，采用附录A推荐模型中的估算模型，分别计算</w:t>
      </w:r>
      <w:r>
        <w:rPr>
          <w:rFonts w:hint="eastAsia" w:cs="宋体"/>
          <w:lang w:eastAsia="zh-CN"/>
        </w:rPr>
        <w:t>本项目</w:t>
      </w:r>
      <w:r>
        <w:rPr>
          <w:rFonts w:hint="eastAsia" w:ascii="宋体" w:hAnsi="宋体" w:eastAsia="宋体" w:cs="宋体"/>
          <w:lang w:eastAsia="zh-CN"/>
        </w:rPr>
        <w:t>排放主要污染物的最大地面空气质量浓度占标率P</w:t>
      </w:r>
      <w:r>
        <w:rPr>
          <w:rFonts w:hint="eastAsia" w:ascii="宋体" w:hAnsi="宋体" w:eastAsia="宋体" w:cs="宋体"/>
          <w:vertAlign w:val="subscript"/>
          <w:lang w:eastAsia="zh-CN"/>
        </w:rPr>
        <w:t>i</w:t>
      </w:r>
      <w:r>
        <w:rPr>
          <w:rFonts w:hint="eastAsia" w:ascii="宋体" w:hAnsi="宋体" w:eastAsia="宋体" w:cs="宋体"/>
          <w:lang w:eastAsia="zh-CN"/>
        </w:rPr>
        <w:t>（第i个污染物，简称“最大浓度占标率”），及第i个污染物的地面空气质量浓度达到标准值的10%时所对应的最远距离D10%。其中P</w:t>
      </w:r>
      <w:r>
        <w:rPr>
          <w:rFonts w:hint="eastAsia" w:ascii="宋体" w:hAnsi="宋体" w:eastAsia="宋体" w:cs="宋体"/>
          <w:vertAlign w:val="subscript"/>
          <w:lang w:eastAsia="zh-CN"/>
        </w:rPr>
        <w:t>i</w:t>
      </w:r>
      <w:r>
        <w:rPr>
          <w:rFonts w:hint="eastAsia" w:ascii="宋体" w:hAnsi="宋体" w:eastAsia="宋体" w:cs="宋体"/>
          <w:lang w:eastAsia="zh-CN"/>
        </w:rPr>
        <w:t>定义见公式：</w:t>
      </w:r>
    </w:p>
    <w:p>
      <w:pPr>
        <w:ind w:firstLine="560"/>
        <w:rPr>
          <w:rFonts w:hint="eastAsia" w:ascii="宋体" w:hAnsi="宋体" w:eastAsia="宋体" w:cs="宋体"/>
          <w:lang w:eastAsia="zh-CN"/>
        </w:rPr>
      </w:pPr>
    </w:p>
    <w:p>
      <w:pPr>
        <w:pStyle w:val="2"/>
        <w:spacing w:after="0"/>
        <w:ind w:firstLine="560"/>
        <w:rPr>
          <w:rFonts w:hint="eastAsia" w:ascii="宋体" w:hAnsi="宋体" w:eastAsia="宋体" w:cs="宋体"/>
          <w:lang w:eastAsia="zh-CN"/>
        </w:rPr>
      </w:pPr>
    </w:p>
    <w:p>
      <w:pPr>
        <w:pStyle w:val="2"/>
        <w:spacing w:after="0"/>
        <w:ind w:firstLine="0" w:firstLineChars="0"/>
        <w:rPr>
          <w:rFonts w:hint="eastAsia" w:ascii="宋体" w:hAnsi="宋体" w:eastAsia="宋体" w:cs="宋体"/>
          <w:lang w:eastAsia="zh-CN"/>
        </w:rPr>
      </w:pPr>
      <w:r>
        <w:rPr>
          <w:rFonts w:hint="eastAsia" w:ascii="宋体" w:hAnsi="宋体" w:eastAsia="宋体" w:cs="宋体"/>
          <w:lang w:eastAsia="zh-CN"/>
        </w:rPr>
        <w:t>式中: P</w:t>
      </w:r>
      <w:r>
        <w:rPr>
          <w:rFonts w:hint="eastAsia" w:ascii="宋体" w:hAnsi="宋体" w:eastAsia="宋体" w:cs="宋体"/>
          <w:vertAlign w:val="subscript"/>
          <w:lang w:eastAsia="zh-CN"/>
        </w:rPr>
        <w:t>i</w:t>
      </w:r>
      <w:r>
        <w:rPr>
          <w:rFonts w:hint="eastAsia" w:ascii="宋体" w:hAnsi="宋体" w:eastAsia="宋体" w:cs="宋体"/>
          <w:lang w:eastAsia="zh-CN"/>
        </w:rPr>
        <w:t>—第i个污染物的最大地面空气质量浓度占标率，%；</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vertAlign w:val="subscript"/>
          <w:lang w:eastAsia="zh-CN"/>
        </w:rPr>
        <w:t>i</w:t>
      </w:r>
      <w:r>
        <w:rPr>
          <w:rFonts w:hint="eastAsia" w:ascii="宋体" w:hAnsi="宋体" w:eastAsia="宋体" w:cs="宋体"/>
          <w:lang w:eastAsia="zh-CN"/>
        </w:rPr>
        <w:t>—采用估算模型计算出的第i个污染物的最大1h地面空气质量浓度，μg/m</w:t>
      </w:r>
      <w:r>
        <w:rPr>
          <w:rFonts w:hint="eastAsia" w:ascii="宋体" w:hAnsi="宋体" w:eastAsia="宋体" w:cs="宋体"/>
          <w:vertAlign w:val="superscript"/>
          <w:lang w:eastAsia="zh-CN"/>
        </w:rPr>
        <w:t>3</w:t>
      </w:r>
      <w:r>
        <w:rPr>
          <w:rFonts w:hint="eastAsia" w:ascii="宋体" w:hAnsi="宋体" w:eastAsia="宋体" w:cs="宋体"/>
          <w:lang w:eastAsia="zh-CN"/>
        </w:rPr>
        <w:t>；</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C</w:t>
      </w:r>
      <w:r>
        <w:rPr>
          <w:rFonts w:hint="eastAsia" w:ascii="宋体" w:hAnsi="宋体" w:eastAsia="宋体" w:cs="宋体"/>
          <w:vertAlign w:val="subscript"/>
          <w:lang w:eastAsia="zh-CN"/>
        </w:rPr>
        <w:t>0i</w:t>
      </w:r>
      <w:r>
        <w:rPr>
          <w:rFonts w:hint="eastAsia" w:ascii="宋体" w:hAnsi="宋体" w:eastAsia="宋体" w:cs="宋体"/>
          <w:lang w:eastAsia="zh-CN"/>
        </w:rPr>
        <w:t>—第i个污染物的环境空气质量浓度标准，μg/m</w:t>
      </w:r>
      <w:r>
        <w:rPr>
          <w:rFonts w:hint="eastAsia" w:ascii="宋体" w:hAnsi="宋体" w:eastAsia="宋体" w:cs="宋体"/>
          <w:vertAlign w:val="superscript"/>
          <w:lang w:eastAsia="zh-CN"/>
        </w:rPr>
        <w:t>3</w:t>
      </w:r>
      <w:r>
        <w:rPr>
          <w:rFonts w:hint="eastAsia" w:ascii="宋体" w:hAnsi="宋体" w:eastAsia="宋体" w:cs="宋体"/>
          <w:lang w:eastAsia="zh-CN"/>
        </w:rPr>
        <w:t>。</w:t>
      </w:r>
    </w:p>
    <w:p>
      <w:pPr>
        <w:ind w:firstLine="560"/>
        <w:rPr>
          <w:rFonts w:hint="eastAsia" w:ascii="宋体" w:hAnsi="宋体" w:eastAsia="宋体" w:cs="宋体"/>
          <w:lang w:eastAsia="zh-CN"/>
        </w:rPr>
      </w:pPr>
      <w:r>
        <w:rPr>
          <w:rFonts w:hint="eastAsia" w:ascii="宋体" w:hAnsi="宋体" w:eastAsia="宋体" w:cs="宋体"/>
          <w:lang w:eastAsia="zh-CN"/>
        </w:rPr>
        <w:t>根据相关参数，采用AERSCREEN估算软件进行计算，</w:t>
      </w:r>
      <w:r>
        <w:rPr>
          <w:rFonts w:hint="eastAsia" w:cs="宋体"/>
          <w:lang w:eastAsia="zh-CN"/>
        </w:rPr>
        <w:t>计算</w:t>
      </w:r>
      <w:r>
        <w:rPr>
          <w:rFonts w:hint="eastAsia" w:ascii="宋体" w:hAnsi="宋体" w:eastAsia="宋体" w:cs="宋体"/>
          <w:lang w:eastAsia="zh-CN"/>
        </w:rPr>
        <w:t>污染物最大落地浓度占标率Pmax=8.36%，判定环境空气评价等级为二级评价。</w:t>
      </w:r>
    </w:p>
    <w:p>
      <w:pPr>
        <w:pStyle w:val="7"/>
        <w:rPr>
          <w:rFonts w:hint="eastAsia" w:ascii="宋体" w:hAnsi="宋体" w:eastAsia="宋体" w:cs="宋体"/>
          <w:lang w:eastAsia="zh-CN"/>
        </w:rPr>
      </w:pPr>
      <w:r>
        <w:rPr>
          <w:rFonts w:hint="eastAsia" w:ascii="宋体" w:hAnsi="宋体" w:eastAsia="宋体" w:cs="宋体"/>
          <w:lang w:eastAsia="zh-CN"/>
        </w:rPr>
        <w:t>6.2.</w:t>
      </w:r>
      <w:r>
        <w:rPr>
          <w:rFonts w:hint="eastAsia" w:ascii="宋体" w:hAnsi="宋体" w:eastAsia="宋体" w:cs="宋体"/>
          <w:lang w:val="en-US" w:eastAsia="zh-CN"/>
        </w:rPr>
        <w:t>5</w:t>
      </w:r>
      <w:r>
        <w:rPr>
          <w:rFonts w:hint="eastAsia" w:ascii="宋体" w:hAnsi="宋体" w:eastAsia="宋体" w:cs="宋体"/>
          <w:lang w:eastAsia="zh-CN"/>
        </w:rPr>
        <w:t xml:space="preserve"> 大气环境评价范围确定</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大气环境》（HJ2.2-2018）中“5.4 评价范围确定”中的相关规定，</w:t>
      </w:r>
      <w:r>
        <w:rPr>
          <w:rFonts w:hint="eastAsia" w:cs="宋体"/>
          <w:lang w:eastAsia="zh-CN"/>
        </w:rPr>
        <w:t>本项目</w:t>
      </w:r>
      <w:r>
        <w:rPr>
          <w:rFonts w:hint="eastAsia" w:ascii="宋体" w:hAnsi="宋体" w:eastAsia="宋体" w:cs="宋体"/>
          <w:lang w:eastAsia="zh-CN"/>
        </w:rPr>
        <w:t>评价范围均确定为以项目厂址为中心区域，边长5km的矩形区域。</w:t>
      </w:r>
    </w:p>
    <w:p>
      <w:pPr>
        <w:pStyle w:val="7"/>
        <w:rPr>
          <w:rFonts w:hint="eastAsia" w:ascii="宋体" w:hAnsi="宋体" w:eastAsia="宋体" w:cs="宋体"/>
          <w:lang w:val="en-US" w:eastAsia="zh-CN"/>
        </w:rPr>
      </w:pPr>
      <w:r>
        <w:rPr>
          <w:rFonts w:hint="eastAsia" w:ascii="宋体" w:hAnsi="宋体" w:eastAsia="宋体" w:cs="宋体"/>
          <w:lang w:val="en-US" w:eastAsia="zh-CN"/>
        </w:rPr>
        <w:t>6.2.6 污染物排放量核算</w:t>
      </w:r>
    </w:p>
    <w:p>
      <w:pPr>
        <w:rPr>
          <w:rFonts w:hint="eastAsia"/>
          <w:lang w:val="en-US" w:eastAsia="zh-CN"/>
        </w:rPr>
      </w:pPr>
      <w:r>
        <w:rPr>
          <w:rFonts w:hint="eastAsia"/>
          <w:lang w:val="en-US" w:eastAsia="zh-CN"/>
        </w:rPr>
        <w:t>项目运行过程中主要污染物排放均为无组织排放，本项目污染物排放量核算见表6.2.6-1。</w:t>
      </w:r>
    </w:p>
    <w:p>
      <w:pPr>
        <w:pStyle w:val="2"/>
        <w:keepNext w:val="0"/>
        <w:keepLines w:val="0"/>
        <w:pageBreakBefore w:val="0"/>
        <w:widowControl w:val="0"/>
        <w:kinsoku/>
        <w:wordWrap/>
        <w:overflowPunct/>
        <w:topLinePunct w:val="0"/>
        <w:autoSpaceDE w:val="0"/>
        <w:autoSpaceDN w:val="0"/>
        <w:bidi w:val="0"/>
        <w:adjustRightInd/>
        <w:snapToGrid/>
        <w:spacing w:after="0" w:line="240" w:lineRule="auto"/>
        <w:ind w:left="0" w:leftChars="0" w:right="0" w:rightChars="0" w:firstLine="0" w:firstLineChars="0"/>
        <w:jc w:val="center"/>
        <w:textAlignment w:val="auto"/>
        <w:rPr>
          <w:rFonts w:hint="default"/>
          <w:b/>
          <w:bCs/>
          <w:lang w:val="en-US" w:eastAsia="zh-CN"/>
        </w:rPr>
      </w:pPr>
      <w:r>
        <w:rPr>
          <w:rFonts w:hint="eastAsia"/>
          <w:b/>
          <w:bCs/>
          <w:lang w:val="en-US" w:eastAsia="zh-CN"/>
        </w:rPr>
        <w:t>表6.2.6-1 大气污染物无组织排放量核算表</w:t>
      </w:r>
    </w:p>
    <w:tbl>
      <w:tblPr>
        <w:tblStyle w:val="24"/>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07"/>
        <w:gridCol w:w="907"/>
        <w:gridCol w:w="907"/>
        <w:gridCol w:w="985"/>
        <w:gridCol w:w="1816"/>
        <w:gridCol w:w="1788"/>
        <w:gridCol w:w="907"/>
        <w:gridCol w:w="1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9" w:hRule="atLeast"/>
          <w:tblHeader/>
          <w:jc w:val="center"/>
        </w:trPr>
        <w:tc>
          <w:tcPr>
            <w:tcW w:w="230" w:type="pct"/>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序号</w:t>
            </w:r>
          </w:p>
        </w:tc>
        <w:tc>
          <w:tcPr>
            <w:tcW w:w="379" w:type="pct"/>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排放口编号</w:t>
            </w:r>
          </w:p>
        </w:tc>
        <w:tc>
          <w:tcPr>
            <w:tcW w:w="469" w:type="pct"/>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产污环节</w:t>
            </w:r>
          </w:p>
        </w:tc>
        <w:tc>
          <w:tcPr>
            <w:tcW w:w="463" w:type="pct"/>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污染物</w:t>
            </w:r>
          </w:p>
        </w:tc>
        <w:tc>
          <w:tcPr>
            <w:tcW w:w="1150" w:type="pct"/>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主要污染防治措施</w:t>
            </w:r>
          </w:p>
        </w:tc>
        <w:tc>
          <w:tcPr>
            <w:tcW w:w="1718" w:type="pct"/>
            <w:gridSpan w:val="2"/>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国家或地方污染物排放标准</w:t>
            </w:r>
          </w:p>
        </w:tc>
        <w:tc>
          <w:tcPr>
            <w:tcW w:w="588" w:type="pct"/>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年排放量</w:t>
            </w:r>
            <w:r>
              <w:rPr>
                <w:rFonts w:hint="default" w:ascii="Times New Roman" w:hAnsi="Times New Roman" w:eastAsia="宋体" w:cs="Times New Roman"/>
                <w:b/>
                <w:bCs/>
                <w:kern w:val="2"/>
                <w:sz w:val="21"/>
                <w:szCs w:val="22"/>
                <w:lang w:val="en-US" w:eastAsia="zh-CN" w:bidi="ar-SA"/>
              </w:rPr>
              <w:t>/</w:t>
            </w:r>
            <w:r>
              <w:rPr>
                <w:rFonts w:hint="eastAsia" w:ascii="Times New Roman" w:hAnsi="Times New Roman" w:eastAsia="宋体" w:cs="Times New Roman"/>
                <w:b/>
                <w:bCs/>
                <w:kern w:val="2"/>
                <w:sz w:val="21"/>
                <w:szCs w:val="22"/>
                <w:lang w:val="en-US" w:eastAsia="zh-CN" w:bidi="ar-SA"/>
              </w:rPr>
              <w:t>（</w:t>
            </w:r>
            <w:r>
              <w:rPr>
                <w:rFonts w:hint="default" w:ascii="Times New Roman" w:hAnsi="Times New Roman" w:eastAsia="宋体" w:cs="Times New Roman"/>
                <w:b/>
                <w:bCs/>
                <w:kern w:val="2"/>
                <w:sz w:val="21"/>
                <w:szCs w:val="22"/>
                <w:lang w:val="en-US" w:eastAsia="zh-CN" w:bidi="ar-SA"/>
              </w:rPr>
              <w:t>t/a</w:t>
            </w:r>
            <w:r>
              <w:rPr>
                <w:rFonts w:hint="eastAsia" w:ascii="Times New Roman" w:hAnsi="Times New Roman" w:eastAsia="宋体" w:cs="Times New Roman"/>
                <w:b/>
                <w:bCs/>
                <w:kern w:val="2"/>
                <w:sz w:val="21"/>
                <w:szCs w:val="22"/>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61" w:hRule="atLeast"/>
          <w:tblHeader/>
          <w:jc w:val="center"/>
        </w:trPr>
        <w:tc>
          <w:tcPr>
            <w:tcW w:w="230"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379"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469"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463"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1150"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1135" w:type="pc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标准名称</w:t>
            </w:r>
          </w:p>
        </w:tc>
        <w:tc>
          <w:tcPr>
            <w:tcW w:w="582" w:type="pc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b/>
                <w:bCs/>
                <w:kern w:val="2"/>
                <w:sz w:val="21"/>
                <w:szCs w:val="22"/>
                <w:lang w:val="en-US" w:eastAsia="zh-CN" w:bidi="ar-SA"/>
              </w:rPr>
            </w:pPr>
            <w:r>
              <w:rPr>
                <w:rFonts w:hint="eastAsia" w:ascii="Times New Roman" w:hAnsi="Times New Roman" w:eastAsia="宋体" w:cs="Times New Roman"/>
                <w:b/>
                <w:bCs/>
                <w:kern w:val="2"/>
                <w:sz w:val="21"/>
                <w:szCs w:val="22"/>
                <w:lang w:val="en-US" w:eastAsia="zh-CN" w:bidi="ar-SA"/>
              </w:rPr>
              <w:t>浓度限值</w:t>
            </w:r>
          </w:p>
        </w:tc>
        <w:tc>
          <w:tcPr>
            <w:tcW w:w="588"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3" w:hRule="atLeast"/>
          <w:tblHeader/>
          <w:jc w:val="center"/>
        </w:trPr>
        <w:tc>
          <w:tcPr>
            <w:tcW w:w="230" w:type="pct"/>
            <w:vMerge w:val="restart"/>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1</w:t>
            </w:r>
          </w:p>
        </w:tc>
        <w:tc>
          <w:tcPr>
            <w:tcW w:w="849" w:type="pct"/>
            <w:gridSpan w:val="2"/>
            <w:vMerge w:val="restart"/>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井下开采、爆破、粗碎等</w:t>
            </w:r>
          </w:p>
        </w:tc>
        <w:tc>
          <w:tcPr>
            <w:tcW w:w="463" w:type="pc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宋体" w:eastAsia="宋体" w:cs="Times New Roman"/>
                <w:kern w:val="2"/>
                <w:sz w:val="21"/>
                <w:szCs w:val="21"/>
                <w:lang w:val="en-US" w:eastAsia="zh-CN" w:bidi="ar-SA"/>
              </w:rPr>
            </w:pPr>
            <w:r>
              <w:rPr>
                <w:rFonts w:hint="eastAsia" w:ascii="Times New Roman" w:hAnsi="宋体" w:eastAsia="宋体" w:cs="Times New Roman"/>
                <w:kern w:val="2"/>
                <w:sz w:val="21"/>
                <w:szCs w:val="21"/>
                <w:lang w:val="en-US" w:eastAsia="zh-CN" w:bidi="ar-SA"/>
              </w:rPr>
              <w:t>粉尘</w:t>
            </w:r>
          </w:p>
        </w:tc>
        <w:tc>
          <w:tcPr>
            <w:tcW w:w="1150" w:type="pct"/>
            <w:vMerge w:val="restar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r>
              <w:rPr>
                <w:rFonts w:hint="eastAsia" w:ascii="Times New Roman" w:hAnsi="宋体" w:eastAsia="宋体" w:cs="Times New Roman"/>
                <w:kern w:val="2"/>
                <w:sz w:val="21"/>
                <w:szCs w:val="21"/>
                <w:lang w:val="en-US" w:eastAsia="zh-CN" w:bidi="ar-SA"/>
              </w:rPr>
              <w:t>深孔微差爆破及爆破前后洒水抑尘+粉尘矿区自然沉降</w:t>
            </w:r>
          </w:p>
        </w:tc>
        <w:tc>
          <w:tcPr>
            <w:tcW w:w="1135" w:type="pct"/>
            <w:vMerge w:val="restart"/>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w:t>
            </w:r>
          </w:p>
        </w:tc>
        <w:tc>
          <w:tcPr>
            <w:tcW w:w="582" w:type="pct"/>
            <w:vMerge w:val="restart"/>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w:t>
            </w:r>
          </w:p>
        </w:tc>
        <w:tc>
          <w:tcPr>
            <w:tcW w:w="588" w:type="pct"/>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3" w:hRule="atLeast"/>
          <w:tblHeader/>
          <w:jc w:val="center"/>
        </w:trPr>
        <w:tc>
          <w:tcPr>
            <w:tcW w:w="230"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849" w:type="pct"/>
            <w:gridSpan w:val="2"/>
            <w:vMerge w:val="continue"/>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2"/>
                <w:lang w:val="en-US" w:eastAsia="zh-CN" w:bidi="ar-SA"/>
              </w:rPr>
            </w:pPr>
          </w:p>
        </w:tc>
        <w:tc>
          <w:tcPr>
            <w:tcW w:w="463" w:type="pct"/>
            <w:noWrap w:val="0"/>
            <w:vAlign w:val="center"/>
          </w:tcPr>
          <w:p>
            <w:pPr>
              <w:keepNext w:val="0"/>
              <w:keepLines w:val="0"/>
              <w:widowControl w:val="0"/>
              <w:suppressLineNumbers w:val="0"/>
              <w:spacing w:before="0" w:beforeAutospacing="0" w:after="0" w:afterAutospacing="0"/>
              <w:ind w:left="-60" w:leftChars="-25" w:right="-60" w:rightChars="-25"/>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CO</w:t>
            </w:r>
          </w:p>
        </w:tc>
        <w:tc>
          <w:tcPr>
            <w:tcW w:w="1150"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1135"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582"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588" w:type="pct"/>
            <w:noWrap w:val="0"/>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kern w:val="2"/>
                <w:sz w:val="21"/>
                <w:szCs w:val="21"/>
                <w:lang w:val="en-US" w:eastAsia="zh-CN" w:bidi="ar-SA"/>
              </w:rPr>
            </w:pPr>
            <w:r>
              <w:rPr>
                <w:rFonts w:hint="eastAsia" w:cs="宋体"/>
                <w:sz w:val="21"/>
                <w:szCs w:val="21"/>
                <w:lang w:val="en-US" w:eastAsia="zh-CN"/>
              </w:rPr>
              <w:t>7.88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53" w:hRule="atLeast"/>
          <w:tblHeader/>
          <w:jc w:val="center"/>
        </w:trPr>
        <w:tc>
          <w:tcPr>
            <w:tcW w:w="230"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849" w:type="pct"/>
            <w:gridSpan w:val="2"/>
            <w:vMerge w:val="continue"/>
            <w:noWrap w:val="0"/>
            <w:vAlign w:val="center"/>
          </w:tcPr>
          <w:p>
            <w:pPr>
              <w:keepNext w:val="0"/>
              <w:keepLines w:val="0"/>
              <w:widowControl w:val="0"/>
              <w:suppressLineNumbers w:val="0"/>
              <w:spacing w:before="0" w:beforeAutospacing="0" w:after="0" w:afterAutospacing="0"/>
              <w:ind w:left="0" w:right="0"/>
              <w:jc w:val="center"/>
              <w:rPr>
                <w:rFonts w:hint="eastAsia" w:ascii="Times New Roman" w:hAnsi="Times New Roman" w:eastAsia="宋体" w:cs="Times New Roman"/>
                <w:kern w:val="2"/>
                <w:sz w:val="21"/>
                <w:szCs w:val="22"/>
                <w:lang w:val="en-US" w:eastAsia="zh-CN" w:bidi="ar-SA"/>
              </w:rPr>
            </w:pPr>
          </w:p>
        </w:tc>
        <w:tc>
          <w:tcPr>
            <w:tcW w:w="463" w:type="pct"/>
            <w:noWrap w:val="0"/>
            <w:vAlign w:val="center"/>
          </w:tcPr>
          <w:p>
            <w:pPr>
              <w:keepNext w:val="0"/>
              <w:keepLines w:val="0"/>
              <w:widowControl w:val="0"/>
              <w:suppressLineNumbers w:val="0"/>
              <w:spacing w:before="0" w:beforeAutospacing="0" w:after="0" w:afterAutospacing="0"/>
              <w:ind w:left="-60" w:leftChars="-25" w:right="-60" w:rightChars="-25"/>
              <w:jc w:val="center"/>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NOx</w:t>
            </w:r>
          </w:p>
        </w:tc>
        <w:tc>
          <w:tcPr>
            <w:tcW w:w="1150"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1135"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582" w:type="pct"/>
            <w:vMerge w:val="continue"/>
            <w:noWrap w:val="0"/>
            <w:vAlign w:val="center"/>
          </w:tcPr>
          <w:p>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2"/>
                <w:sz w:val="21"/>
                <w:szCs w:val="22"/>
                <w:lang w:val="en-US" w:eastAsia="zh-CN" w:bidi="ar-SA"/>
              </w:rPr>
            </w:pPr>
          </w:p>
        </w:tc>
        <w:tc>
          <w:tcPr>
            <w:tcW w:w="588" w:type="pct"/>
            <w:noWrap w:val="0"/>
            <w:vAlign w:val="center"/>
          </w:tcPr>
          <w:p>
            <w:pPr>
              <w:pStyle w:val="14"/>
              <w:keepNext w:val="0"/>
              <w:keepLines w:val="0"/>
              <w:suppressLineNumbers w:val="0"/>
              <w:spacing w:before="0" w:beforeAutospacing="0" w:after="0" w:afterAutospacing="0" w:line="240" w:lineRule="auto"/>
              <w:ind w:left="0" w:leftChars="0" w:right="0" w:rightChars="0" w:firstLine="0" w:firstLineChars="0"/>
              <w:jc w:val="center"/>
              <w:rPr>
                <w:rFonts w:hint="eastAsia" w:ascii="Times New Roman" w:hAnsi="宋体" w:eastAsia="宋体" w:cs="Times New Roman"/>
                <w:kern w:val="2"/>
                <w:sz w:val="21"/>
                <w:szCs w:val="21"/>
                <w:lang w:val="en-US" w:eastAsia="zh-CN" w:bidi="ar-SA"/>
              </w:rPr>
            </w:pPr>
            <w:r>
              <w:rPr>
                <w:rFonts w:hint="eastAsia" w:cs="宋体"/>
                <w:sz w:val="21"/>
                <w:szCs w:val="21"/>
                <w:lang w:val="en-US" w:eastAsia="zh-CN"/>
              </w:rPr>
              <w:t>18.27</w:t>
            </w:r>
          </w:p>
        </w:tc>
      </w:tr>
    </w:tbl>
    <w:p>
      <w:pPr>
        <w:pStyle w:val="7"/>
        <w:rPr>
          <w:rFonts w:hint="eastAsia" w:ascii="宋体" w:hAnsi="宋体" w:eastAsia="宋体" w:cs="宋体"/>
          <w:lang w:val="en-US" w:eastAsia="zh-CN"/>
        </w:rPr>
      </w:pPr>
      <w:r>
        <w:rPr>
          <w:rFonts w:hint="eastAsia" w:ascii="宋体" w:hAnsi="宋体" w:eastAsia="宋体" w:cs="宋体"/>
          <w:lang w:val="en-US" w:eastAsia="zh-CN"/>
        </w:rPr>
        <w:t>6.2.7 环境监测计划</w:t>
      </w:r>
    </w:p>
    <w:p>
      <w:pPr>
        <w:autoSpaceDE/>
        <w:autoSpaceDN/>
        <w:ind w:firstLine="480"/>
        <w:rPr>
          <w:rFonts w:hint="eastAsia"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根据项目排污特点和《排污单位自行监测技术指南</w:t>
      </w:r>
      <w:r>
        <w:rPr>
          <w:rFonts w:ascii="Times New Roman" w:hAnsi="Times New Roman" w:eastAsia="宋体" w:cs="Times New Roman"/>
          <w:kern w:val="2"/>
          <w:szCs w:val="22"/>
          <w:lang w:eastAsia="zh-CN"/>
        </w:rPr>
        <w:t xml:space="preserve"> </w:t>
      </w:r>
      <w:r>
        <w:rPr>
          <w:rFonts w:hint="eastAsia" w:ascii="Times New Roman" w:hAnsi="Times New Roman" w:eastAsia="宋体" w:cs="Times New Roman"/>
          <w:kern w:val="2"/>
          <w:szCs w:val="22"/>
          <w:lang w:eastAsia="zh-CN"/>
        </w:rPr>
        <w:t>总则》</w:t>
      </w:r>
      <w:r>
        <w:rPr>
          <w:rFonts w:ascii="Times New Roman" w:hAnsi="Times New Roman" w:eastAsia="宋体" w:cs="Times New Roman"/>
          <w:kern w:val="2"/>
          <w:szCs w:val="22"/>
          <w:lang w:eastAsia="zh-CN"/>
        </w:rPr>
        <w:t>(HJ 819-2017)</w:t>
      </w:r>
      <w:r>
        <w:rPr>
          <w:rFonts w:hint="eastAsia" w:ascii="Times New Roman" w:hAnsi="Times New Roman" w:eastAsia="宋体" w:cs="Times New Roman"/>
          <w:kern w:val="2"/>
          <w:szCs w:val="22"/>
          <w:lang w:eastAsia="zh-CN"/>
        </w:rPr>
        <w:t>制定本项目大气环境监测计划，具体见表6.</w:t>
      </w:r>
      <w:r>
        <w:rPr>
          <w:rFonts w:hint="eastAsia" w:ascii="Times New Roman" w:hAnsi="Times New Roman" w:eastAsia="宋体" w:cs="Times New Roman"/>
          <w:kern w:val="2"/>
          <w:szCs w:val="22"/>
          <w:lang w:val="en-US" w:eastAsia="zh-CN"/>
        </w:rPr>
        <w:t>2.7-1</w:t>
      </w:r>
      <w:r>
        <w:rPr>
          <w:rFonts w:hint="eastAsia" w:ascii="Times New Roman" w:hAnsi="Times New Roman" w:eastAsia="宋体" w:cs="Times New Roman"/>
          <w:kern w:val="2"/>
          <w:szCs w:val="22"/>
          <w:lang w:eastAsia="zh-CN"/>
        </w:rPr>
        <w:t>。</w:t>
      </w:r>
    </w:p>
    <w:p>
      <w:pPr>
        <w:autoSpaceDE/>
        <w:autoSpaceDN/>
        <w:ind w:firstLine="482"/>
        <w:jc w:val="center"/>
        <w:rPr>
          <w:rFonts w:ascii="Times New Roman" w:hAnsi="Times New Roman" w:eastAsia="宋体" w:cs="Times New Roman"/>
          <w:b/>
          <w:kern w:val="2"/>
          <w:szCs w:val="22"/>
          <w:lang w:eastAsia="zh-CN"/>
        </w:rPr>
      </w:pPr>
      <w:r>
        <w:rPr>
          <w:rFonts w:hint="eastAsia" w:ascii="Times New Roman" w:hAnsi="Times New Roman" w:eastAsia="宋体" w:cs="Times New Roman"/>
          <w:b/>
          <w:kern w:val="2"/>
          <w:szCs w:val="22"/>
          <w:lang w:eastAsia="zh-CN"/>
        </w:rPr>
        <w:t>表</w:t>
      </w:r>
      <w:r>
        <w:rPr>
          <w:rFonts w:hint="eastAsia" w:ascii="Times New Roman" w:hAnsi="Times New Roman" w:eastAsia="宋体" w:cs="Times New Roman"/>
          <w:b/>
          <w:kern w:val="2"/>
          <w:szCs w:val="22"/>
          <w:lang w:val="en-US" w:eastAsia="zh-CN"/>
        </w:rPr>
        <w:t>6.2.7-1</w:t>
      </w:r>
      <w:r>
        <w:rPr>
          <w:rFonts w:hint="eastAsia" w:ascii="Times New Roman" w:hAnsi="Times New Roman" w:eastAsia="宋体" w:cs="Times New Roman"/>
          <w:b/>
          <w:kern w:val="2"/>
          <w:szCs w:val="22"/>
          <w:lang w:eastAsia="zh-CN"/>
        </w:rPr>
        <w:t>项目污染源应执行的环境监测计划</w:t>
      </w:r>
    </w:p>
    <w:tbl>
      <w:tblPr>
        <w:tblStyle w:val="24"/>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1027"/>
        <w:gridCol w:w="1809"/>
        <w:gridCol w:w="1893"/>
        <w:gridCol w:w="2064"/>
        <w:gridCol w:w="23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563" w:type="pct"/>
            <w:tcBorders>
              <w:top w:val="single" w:color="auto" w:sz="12" w:space="0"/>
              <w:left w:val="single" w:color="auto" w:sz="12" w:space="0"/>
              <w:bottom w:val="single" w:color="auto" w:sz="4"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序号</w:t>
            </w:r>
          </w:p>
        </w:tc>
        <w:tc>
          <w:tcPr>
            <w:tcW w:w="991"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监测地点</w:t>
            </w:r>
          </w:p>
        </w:tc>
        <w:tc>
          <w:tcPr>
            <w:tcW w:w="1037"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监测因子</w:t>
            </w:r>
          </w:p>
        </w:tc>
        <w:tc>
          <w:tcPr>
            <w:tcW w:w="1131" w:type="pct"/>
            <w:tcBorders>
              <w:top w:val="single" w:color="auto" w:sz="12" w:space="0"/>
              <w:left w:val="single" w:color="auto" w:sz="4" w:space="0"/>
              <w:bottom w:val="single" w:color="auto" w:sz="4"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监测频率</w:t>
            </w:r>
          </w:p>
        </w:tc>
        <w:tc>
          <w:tcPr>
            <w:tcW w:w="1277" w:type="pct"/>
            <w:tcBorders>
              <w:top w:val="single" w:color="auto" w:sz="12" w:space="0"/>
              <w:left w:val="single" w:color="auto" w:sz="4" w:space="0"/>
              <w:bottom w:val="single" w:color="auto" w:sz="4"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建议实施单位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cantSplit/>
          <w:trHeight w:val="340" w:hRule="atLeast"/>
          <w:jc w:val="center"/>
        </w:trPr>
        <w:tc>
          <w:tcPr>
            <w:tcW w:w="563" w:type="pct"/>
            <w:tcBorders>
              <w:top w:val="single" w:color="auto" w:sz="4" w:space="0"/>
              <w:left w:val="single" w:color="auto" w:sz="12" w:space="0"/>
              <w:bottom w:val="single" w:color="auto" w:sz="12"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eastAsia"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1</w:t>
            </w:r>
          </w:p>
        </w:tc>
        <w:tc>
          <w:tcPr>
            <w:tcW w:w="991"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王峪矿段中央回风井场界四周</w:t>
            </w:r>
          </w:p>
        </w:tc>
        <w:tc>
          <w:tcPr>
            <w:tcW w:w="1037"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TSP</w:t>
            </w:r>
          </w:p>
        </w:tc>
        <w:tc>
          <w:tcPr>
            <w:tcW w:w="1131" w:type="pct"/>
            <w:tcBorders>
              <w:top w:val="single" w:color="auto" w:sz="4" w:space="0"/>
              <w:left w:val="single" w:color="auto" w:sz="4" w:space="0"/>
              <w:bottom w:val="single" w:color="auto" w:sz="12"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每季度一次</w:t>
            </w:r>
          </w:p>
        </w:tc>
        <w:tc>
          <w:tcPr>
            <w:tcW w:w="1277" w:type="pct"/>
            <w:tcBorders>
              <w:top w:val="single" w:color="auto" w:sz="4" w:space="0"/>
              <w:left w:val="single" w:color="auto" w:sz="4" w:space="0"/>
              <w:bottom w:val="single" w:color="auto" w:sz="12"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eastAsia" w:ascii="Arial Narrow" w:hAnsi="Arial Narrow" w:eastAsia="宋体" w:cs="Times New Roman"/>
                <w:sz w:val="21"/>
                <w:lang w:val="en-US" w:eastAsia="zh-CN" w:bidi="ar-SA"/>
              </w:rPr>
            </w:pPr>
            <w:r>
              <w:rPr>
                <w:rFonts w:hint="eastAsia" w:ascii="Arial Narrow" w:hAnsi="Arial Narrow" w:eastAsia="宋体" w:cs="Times New Roman"/>
                <w:sz w:val="21"/>
                <w:lang w:val="en-US" w:eastAsia="zh-CN" w:bidi="ar-SA"/>
              </w:rPr>
              <w:t>有资质监测单位</w:t>
            </w:r>
          </w:p>
        </w:tc>
      </w:tr>
    </w:tbl>
    <w:p>
      <w:pPr>
        <w:pStyle w:val="7"/>
        <w:rPr>
          <w:rFonts w:hint="eastAsia" w:ascii="宋体" w:hAnsi="宋体" w:eastAsia="宋体" w:cs="宋体"/>
          <w:lang w:eastAsia="zh-CN"/>
        </w:rPr>
      </w:pPr>
      <w:bookmarkStart w:id="156" w:name="_Toc3741424"/>
      <w:r>
        <w:rPr>
          <w:rFonts w:hint="eastAsia" w:ascii="宋体" w:hAnsi="宋体" w:eastAsia="宋体" w:cs="宋体"/>
          <w:lang w:eastAsia="zh-CN"/>
        </w:rPr>
        <w:t>6.2.8 大气环境影响评价结论与建议</w:t>
      </w:r>
      <w:bookmarkEnd w:id="156"/>
    </w:p>
    <w:p>
      <w:pPr>
        <w:pStyle w:val="8"/>
        <w:rPr>
          <w:rFonts w:hint="eastAsia" w:ascii="宋体" w:hAnsi="宋体" w:eastAsia="宋体" w:cs="宋体"/>
          <w:lang w:eastAsia="zh-CN"/>
        </w:rPr>
      </w:pPr>
      <w:r>
        <w:rPr>
          <w:rFonts w:hint="eastAsia" w:ascii="宋体" w:hAnsi="宋体" w:eastAsia="宋体" w:cs="宋体"/>
          <w:lang w:eastAsia="zh-CN"/>
        </w:rPr>
        <w:t>6.2.8.1 大气环境影响评价结论</w:t>
      </w:r>
    </w:p>
    <w:p>
      <w:pPr>
        <w:autoSpaceDE/>
        <w:autoSpaceDN/>
        <w:ind w:firstLine="480"/>
        <w:rPr>
          <w:rFonts w:hint="eastAsia"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本项目所在区域为环境质量不达标区域。</w:t>
      </w:r>
    </w:p>
    <w:p>
      <w:pPr>
        <w:ind w:firstLine="560"/>
        <w:rPr>
          <w:rFonts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正常排放下，</w:t>
      </w:r>
      <w:r>
        <w:rPr>
          <w:rFonts w:ascii="Times New Roman" w:hAnsi="Times New Roman" w:eastAsia="宋体" w:cs="Times New Roman"/>
          <w:kern w:val="2"/>
          <w:szCs w:val="22"/>
          <w:lang w:eastAsia="zh-CN"/>
        </w:rPr>
        <w:t>根据</w:t>
      </w:r>
      <w:r>
        <w:rPr>
          <w:rFonts w:hint="eastAsia" w:ascii="Times New Roman" w:hAnsi="Times New Roman" w:eastAsia="宋体" w:cs="Times New Roman"/>
          <w:kern w:val="2"/>
          <w:szCs w:val="22"/>
          <w:lang w:eastAsia="zh-CN"/>
        </w:rPr>
        <w:t>估算</w:t>
      </w:r>
      <w:r>
        <w:rPr>
          <w:rFonts w:ascii="Times New Roman" w:hAnsi="Times New Roman" w:eastAsia="宋体" w:cs="Times New Roman"/>
          <w:kern w:val="2"/>
          <w:szCs w:val="22"/>
          <w:lang w:eastAsia="zh-CN"/>
        </w:rPr>
        <w:t>预测，</w:t>
      </w:r>
      <w:r>
        <w:rPr>
          <w:rFonts w:hint="eastAsia" w:ascii="Times New Roman" w:hAnsi="Times New Roman" w:eastAsia="宋体" w:cs="Times New Roman"/>
          <w:kern w:val="2"/>
          <w:szCs w:val="22"/>
          <w:lang w:eastAsia="zh-CN"/>
        </w:rPr>
        <w:t>地下开采</w:t>
      </w:r>
      <w:r>
        <w:rPr>
          <w:rFonts w:ascii="Times New Roman" w:hAnsi="Times New Roman" w:eastAsia="宋体" w:cs="Times New Roman"/>
          <w:kern w:val="2"/>
          <w:szCs w:val="22"/>
          <w:lang w:eastAsia="zh-CN"/>
        </w:rPr>
        <w:t>无组织粉尘排放最大落地浓度占标率</w:t>
      </w:r>
      <w:r>
        <w:rPr>
          <w:rFonts w:hint="eastAsia" w:ascii="Times New Roman" w:hAnsi="Times New Roman" w:eastAsia="宋体" w:cs="Times New Roman"/>
          <w:kern w:val="2"/>
          <w:szCs w:val="22"/>
          <w:lang w:eastAsia="zh-CN"/>
        </w:rPr>
        <w:t>为8.57</w:t>
      </w:r>
      <w:r>
        <w:rPr>
          <w:rFonts w:ascii="Times New Roman" w:hAnsi="Times New Roman" w:eastAsia="宋体" w:cs="Times New Roman"/>
          <w:kern w:val="2"/>
          <w:szCs w:val="22"/>
          <w:lang w:eastAsia="zh-CN"/>
        </w:rPr>
        <w:t>%</w:t>
      </w:r>
      <w:r>
        <w:rPr>
          <w:rFonts w:hint="eastAsia" w:ascii="Times New Roman" w:hAnsi="Times New Roman" w:eastAsia="宋体" w:cs="Times New Roman"/>
          <w:kern w:val="2"/>
          <w:szCs w:val="22"/>
          <w:lang w:eastAsia="zh-CN"/>
        </w:rPr>
        <w:t>。项目地下开采粉尘排放</w:t>
      </w:r>
      <w:r>
        <w:rPr>
          <w:rFonts w:ascii="Times New Roman" w:hAnsi="Times New Roman" w:eastAsia="宋体" w:cs="Times New Roman"/>
          <w:kern w:val="2"/>
          <w:szCs w:val="22"/>
          <w:lang w:eastAsia="zh-CN"/>
        </w:rPr>
        <w:t>对环境空气贡献率不大，</w:t>
      </w:r>
      <w:r>
        <w:rPr>
          <w:rFonts w:hint="eastAsia" w:ascii="Times New Roman" w:hAnsi="Times New Roman" w:eastAsia="宋体" w:cs="Times New Roman"/>
          <w:kern w:val="2"/>
          <w:szCs w:val="22"/>
          <w:lang w:eastAsia="zh-CN"/>
        </w:rPr>
        <w:t>项目建设对周边环境影响在可接受范围内</w:t>
      </w:r>
      <w:r>
        <w:rPr>
          <w:rFonts w:ascii="Times New Roman" w:hAnsi="Times New Roman" w:eastAsia="宋体" w:cs="Times New Roman"/>
          <w:kern w:val="2"/>
          <w:szCs w:val="22"/>
          <w:lang w:eastAsia="zh-CN"/>
        </w:rPr>
        <w:t>！</w:t>
      </w:r>
    </w:p>
    <w:p>
      <w:pPr>
        <w:pStyle w:val="8"/>
        <w:rPr>
          <w:rFonts w:hint="eastAsia" w:ascii="宋体" w:hAnsi="宋体" w:eastAsia="宋体" w:cs="宋体"/>
          <w:lang w:eastAsia="zh-CN"/>
        </w:rPr>
      </w:pPr>
      <w:r>
        <w:rPr>
          <w:rFonts w:hint="eastAsia" w:ascii="宋体" w:hAnsi="宋体" w:eastAsia="宋体" w:cs="宋体"/>
          <w:lang w:val="en-US" w:eastAsia="zh-CN"/>
        </w:rPr>
        <w:t xml:space="preserve">6.2.8.2 </w:t>
      </w:r>
      <w:r>
        <w:rPr>
          <w:rFonts w:hint="eastAsia" w:ascii="宋体" w:hAnsi="宋体" w:eastAsia="宋体" w:cs="宋体"/>
          <w:lang w:eastAsia="zh-CN"/>
        </w:rPr>
        <w:t>大气环境影响自查表</w:t>
      </w:r>
    </w:p>
    <w:p>
      <w:pPr>
        <w:autoSpaceDE/>
        <w:autoSpaceDN/>
        <w:ind w:firstLine="480"/>
        <w:rPr>
          <w:rFonts w:hint="eastAsia" w:ascii="Times New Roman" w:hAnsi="Times New Roman" w:eastAsia="宋体" w:cs="Times New Roman"/>
          <w:kern w:val="2"/>
          <w:szCs w:val="22"/>
          <w:lang w:eastAsia="zh-CN"/>
        </w:rPr>
      </w:pPr>
      <w:r>
        <w:rPr>
          <w:rFonts w:hint="eastAsia" w:ascii="Times New Roman" w:hAnsi="Times New Roman" w:eastAsia="宋体" w:cs="Times New Roman"/>
          <w:kern w:val="2"/>
          <w:szCs w:val="22"/>
          <w:lang w:eastAsia="zh-CN"/>
        </w:rPr>
        <w:t>本项目大气环境影响评价自查表见表</w:t>
      </w:r>
      <w:r>
        <w:rPr>
          <w:rFonts w:hint="eastAsia" w:ascii="Times New Roman" w:hAnsi="Times New Roman" w:eastAsia="宋体" w:cs="Times New Roman"/>
          <w:kern w:val="2"/>
          <w:szCs w:val="22"/>
          <w:lang w:val="en-US" w:eastAsia="zh-CN"/>
        </w:rPr>
        <w:t>6.2.8-1</w:t>
      </w:r>
      <w:r>
        <w:rPr>
          <w:rFonts w:hint="eastAsia" w:ascii="Times New Roman" w:hAnsi="Times New Roman" w:eastAsia="宋体" w:cs="Times New Roman"/>
          <w:kern w:val="2"/>
          <w:szCs w:val="22"/>
          <w:lang w:eastAsia="zh-CN"/>
        </w:rPr>
        <w:t>。</w:t>
      </w:r>
    </w:p>
    <w:p>
      <w:pPr>
        <w:autoSpaceDE/>
        <w:autoSpaceDN/>
        <w:ind w:firstLine="482"/>
        <w:jc w:val="center"/>
        <w:rPr>
          <w:rFonts w:hint="eastAsia" w:ascii="Times New Roman" w:hAnsi="Times New Roman" w:eastAsia="宋体" w:cs="Times New Roman"/>
          <w:b/>
          <w:kern w:val="2"/>
          <w:szCs w:val="22"/>
          <w:lang w:eastAsia="zh-CN"/>
        </w:rPr>
      </w:pPr>
      <w:r>
        <w:rPr>
          <w:rFonts w:hint="eastAsia" w:ascii="Times New Roman" w:hAnsi="Times New Roman" w:eastAsia="宋体" w:cs="Times New Roman"/>
          <w:b/>
          <w:kern w:val="2"/>
          <w:szCs w:val="22"/>
          <w:lang w:eastAsia="zh-CN"/>
        </w:rPr>
        <w:t>表</w:t>
      </w:r>
      <w:r>
        <w:rPr>
          <w:rFonts w:hint="eastAsia" w:ascii="Times New Roman" w:hAnsi="Times New Roman" w:eastAsia="宋体" w:cs="Times New Roman"/>
          <w:b/>
          <w:kern w:val="2"/>
          <w:szCs w:val="22"/>
          <w:lang w:val="en-US" w:eastAsia="zh-CN"/>
        </w:rPr>
        <w:t>6.2.8-1</w:t>
      </w:r>
      <w:r>
        <w:rPr>
          <w:rFonts w:hint="eastAsia" w:ascii="Times New Roman" w:hAnsi="Times New Roman" w:eastAsia="宋体" w:cs="Times New Roman"/>
          <w:b/>
          <w:kern w:val="2"/>
          <w:szCs w:val="22"/>
          <w:lang w:eastAsia="zh-CN"/>
        </w:rPr>
        <w:t xml:space="preserve"> 建设项目大气环境影响评价自查表</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28" w:type="dxa"/>
          <w:bottom w:w="0" w:type="dxa"/>
          <w:right w:w="28" w:type="dxa"/>
        </w:tblCellMar>
      </w:tblPr>
      <w:tblGrid>
        <w:gridCol w:w="630"/>
        <w:gridCol w:w="774"/>
        <w:gridCol w:w="1227"/>
        <w:gridCol w:w="457"/>
        <w:gridCol w:w="101"/>
        <w:gridCol w:w="285"/>
        <w:gridCol w:w="122"/>
        <w:gridCol w:w="808"/>
        <w:gridCol w:w="610"/>
        <w:gridCol w:w="114"/>
        <w:gridCol w:w="194"/>
        <w:gridCol w:w="72"/>
        <w:gridCol w:w="383"/>
        <w:gridCol w:w="833"/>
        <w:gridCol w:w="265"/>
        <w:gridCol w:w="865"/>
        <w:gridCol w:w="126"/>
        <w:gridCol w:w="46"/>
        <w:gridCol w:w="127"/>
        <w:gridCol w:w="458"/>
        <w:gridCol w:w="6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1339" w:type="pct"/>
            <w:gridSpan w:val="2"/>
            <w:tcBorders>
              <w:top w:val="single" w:color="auto" w:sz="12"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工作内容</w:t>
            </w:r>
          </w:p>
        </w:tc>
        <w:tc>
          <w:tcPr>
            <w:tcW w:w="3660" w:type="pct"/>
            <w:gridSpan w:val="19"/>
            <w:tcBorders>
              <w:top w:val="single" w:color="auto" w:sz="12"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restart"/>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评价等级与范围</w:t>
            </w: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评价等级</w:t>
            </w:r>
          </w:p>
        </w:tc>
        <w:tc>
          <w:tcPr>
            <w:tcW w:w="1490" w:type="pct"/>
            <w:gridSpan w:val="7"/>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一级</w:t>
            </w:r>
            <w:r>
              <w:rPr>
                <w:rFonts w:hint="default" w:ascii="Arial Narrow" w:hAnsi="Times New Roman" w:eastAsia="宋体" w:cs="Times New Roman"/>
                <w:sz w:val="21"/>
                <w:szCs w:val="21"/>
                <w:lang w:val="en-US" w:eastAsia="zh-CN" w:bidi="ar-SA"/>
              </w:rPr>
              <w:t>□</w:t>
            </w:r>
          </w:p>
        </w:tc>
        <w:tc>
          <w:tcPr>
            <w:tcW w:w="1256" w:type="pct"/>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二级</w:t>
            </w:r>
            <w:r>
              <w:rPr>
                <w:rFonts w:hint="default" w:ascii="Arial Narrow" w:hAnsi="Times New Roman" w:eastAsia="宋体" w:cs="Times New Roman"/>
                <w:sz w:val="21"/>
                <w:szCs w:val="21"/>
                <w:lang w:val="en-US" w:eastAsia="zh-CN" w:bidi="ar-SA"/>
              </w:rPr>
              <w:t>√</w:t>
            </w:r>
          </w:p>
        </w:tc>
        <w:tc>
          <w:tcPr>
            <w:tcW w:w="912" w:type="pct"/>
            <w:gridSpan w:val="4"/>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三级</w:t>
            </w:r>
            <w:r>
              <w:rPr>
                <w:rFonts w:hint="default" w:ascii="Arial Narrow" w:hAnsi="Times New Roman"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评价范围</w:t>
            </w:r>
          </w:p>
        </w:tc>
        <w:tc>
          <w:tcPr>
            <w:tcW w:w="1490" w:type="pct"/>
            <w:gridSpan w:val="7"/>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边长</w:t>
            </w:r>
            <w:r>
              <w:rPr>
                <w:rFonts w:hint="default" w:ascii="Arial Narrow" w:hAnsi="Arial Narrow" w:eastAsia="宋体" w:cs="Times New Roman"/>
                <w:sz w:val="21"/>
                <w:szCs w:val="21"/>
                <w:lang w:val="en-US" w:eastAsia="zh-CN" w:bidi="ar-SA"/>
              </w:rPr>
              <w:t>=50km□</w:t>
            </w:r>
          </w:p>
        </w:tc>
        <w:tc>
          <w:tcPr>
            <w:tcW w:w="1256" w:type="pct"/>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sz w:val="21"/>
                <w:szCs w:val="21"/>
                <w:lang w:val="en-US" w:eastAsia="zh-CN" w:bidi="ar-SA"/>
              </w:rPr>
            </w:pPr>
            <w:r>
              <w:rPr>
                <w:rFonts w:hint="default" w:ascii="Arial Narrow" w:hAnsi="宋体" w:eastAsia="宋体" w:cs="Times New Roman"/>
                <w:sz w:val="21"/>
                <w:szCs w:val="21"/>
                <w:lang w:val="en-US" w:eastAsia="zh-CN" w:bidi="ar-SA"/>
              </w:rPr>
              <w:t>边长</w:t>
            </w:r>
            <w:r>
              <w:rPr>
                <w:rFonts w:hint="default" w:ascii="Arial Narrow" w:hAnsi="Arial Narrow" w:eastAsia="宋体" w:cs="Times New Roman"/>
                <w:sz w:val="21"/>
                <w:szCs w:val="21"/>
                <w:lang w:val="en-US" w:eastAsia="zh-CN" w:bidi="ar-SA"/>
              </w:rPr>
              <w:t>5</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50km√</w:t>
            </w:r>
          </w:p>
        </w:tc>
        <w:tc>
          <w:tcPr>
            <w:tcW w:w="912" w:type="pct"/>
            <w:gridSpan w:val="4"/>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restart"/>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评价因子</w:t>
            </w: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SO</w:t>
            </w:r>
            <w:r>
              <w:rPr>
                <w:rFonts w:hint="default" w:ascii="Arial Narrow" w:hAnsi="Arial Narrow" w:eastAsia="宋体" w:cs="Times New Roman"/>
                <w:sz w:val="21"/>
                <w:szCs w:val="21"/>
                <w:vertAlign w:val="subscript"/>
                <w:lang w:val="en-US" w:eastAsia="zh-CN" w:bidi="ar-SA"/>
              </w:rPr>
              <w:t xml:space="preserve">2 </w:t>
            </w:r>
            <w:r>
              <w:rPr>
                <w:rFonts w:hint="default" w:ascii="Arial Narrow" w:hAnsi="Arial Narrow" w:eastAsia="宋体" w:cs="Times New Roman"/>
                <w:sz w:val="21"/>
                <w:szCs w:val="21"/>
                <w:lang w:val="en-US" w:eastAsia="zh-CN" w:bidi="ar-SA"/>
              </w:rPr>
              <w:t>+NO</w:t>
            </w:r>
            <w:r>
              <w:rPr>
                <w:rFonts w:hint="default" w:ascii="Arial Narrow" w:hAnsi="Arial Narrow" w:eastAsia="宋体" w:cs="Times New Roman"/>
                <w:i/>
                <w:sz w:val="21"/>
                <w:szCs w:val="21"/>
                <w:vertAlign w:val="subscript"/>
                <w:lang w:val="en-US" w:eastAsia="zh-CN" w:bidi="ar-SA"/>
              </w:rPr>
              <w:t>x</w:t>
            </w:r>
            <w:r>
              <w:rPr>
                <w:rFonts w:hint="default" w:ascii="Arial Narrow" w:hAnsi="宋体" w:eastAsia="宋体" w:cs="Times New Roman"/>
                <w:sz w:val="21"/>
                <w:szCs w:val="21"/>
                <w:lang w:val="en-US" w:eastAsia="zh-CN" w:bidi="ar-SA"/>
              </w:rPr>
              <w:t>排放量</w:t>
            </w:r>
          </w:p>
        </w:tc>
        <w:tc>
          <w:tcPr>
            <w:tcW w:w="633" w:type="pct"/>
            <w:gridSpan w:val="2"/>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 2000t/a□</w:t>
            </w:r>
          </w:p>
        </w:tc>
        <w:tc>
          <w:tcPr>
            <w:tcW w:w="2114" w:type="pct"/>
            <w:gridSpan w:val="13"/>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500 ~ 2000t/a□</w:t>
            </w:r>
          </w:p>
        </w:tc>
        <w:tc>
          <w:tcPr>
            <w:tcW w:w="912" w:type="pct"/>
            <w:gridSpan w:val="4"/>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500 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46"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评价因子</w:t>
            </w:r>
          </w:p>
        </w:tc>
        <w:tc>
          <w:tcPr>
            <w:tcW w:w="1853" w:type="pct"/>
            <w:gridSpan w:val="11"/>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基本污染物</w:t>
            </w:r>
            <w:r>
              <w:rPr>
                <w:rFonts w:hint="default" w:ascii="Arial Narrow" w:hAnsi="Arial Narrow" w:eastAsia="宋体" w:cs="Times New Roman"/>
                <w:sz w:val="21"/>
                <w:szCs w:val="21"/>
                <w:lang w:val="en-US" w:eastAsia="zh-CN" w:bidi="ar-SA"/>
              </w:rPr>
              <w:t xml:space="preserve"> (</w:t>
            </w:r>
            <w:r>
              <w:rPr>
                <w:rFonts w:hint="eastAsia" w:ascii="Arial Narrow" w:hAnsi="Arial Narrow" w:eastAsia="宋体" w:cs="Times New Roman"/>
                <w:sz w:val="21"/>
                <w:szCs w:val="21"/>
                <w:lang w:val="en-US" w:eastAsia="zh-CN" w:bidi="ar-SA"/>
              </w:rPr>
              <w:t>SO</w:t>
            </w:r>
            <w:r>
              <w:rPr>
                <w:rFonts w:hint="eastAsia" w:ascii="Arial Narrow" w:hAnsi="Arial Narrow" w:eastAsia="宋体" w:cs="Times New Roman"/>
                <w:sz w:val="21"/>
                <w:szCs w:val="21"/>
                <w:vertAlign w:val="subscript"/>
                <w:lang w:val="en-US" w:eastAsia="zh-CN" w:bidi="ar-SA"/>
              </w:rPr>
              <w:t>2</w:t>
            </w:r>
            <w:r>
              <w:rPr>
                <w:rFonts w:hint="eastAsia" w:ascii="Arial Narrow" w:hAnsi="Arial Narrow" w:eastAsia="宋体" w:cs="Times New Roman"/>
                <w:sz w:val="21"/>
                <w:szCs w:val="21"/>
                <w:lang w:val="en-US" w:eastAsia="zh-CN" w:bidi="ar-SA"/>
              </w:rPr>
              <w:t>、NO</w:t>
            </w:r>
            <w:r>
              <w:rPr>
                <w:rFonts w:hint="eastAsia" w:ascii="Arial Narrow" w:hAnsi="Arial Narrow" w:eastAsia="宋体" w:cs="Times New Roman"/>
                <w:sz w:val="21"/>
                <w:szCs w:val="21"/>
                <w:vertAlign w:val="subscript"/>
                <w:lang w:val="en-US" w:eastAsia="zh-CN" w:bidi="ar-SA"/>
              </w:rPr>
              <w:t>2</w:t>
            </w:r>
            <w:r>
              <w:rPr>
                <w:rFonts w:hint="eastAsia" w:ascii="Arial Narrow" w:hAnsi="Arial Narrow"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PM</w:t>
            </w:r>
            <w:r>
              <w:rPr>
                <w:rFonts w:hint="default" w:ascii="Arial Narrow" w:hAnsi="Arial Narrow" w:eastAsia="宋体" w:cs="Times New Roman"/>
                <w:sz w:val="21"/>
                <w:szCs w:val="21"/>
                <w:vertAlign w:val="subscript"/>
                <w:lang w:val="en-US" w:eastAsia="zh-CN" w:bidi="ar-SA"/>
              </w:rPr>
              <w:t>10</w:t>
            </w:r>
            <w:r>
              <w:rPr>
                <w:rFonts w:hint="eastAsia" w:ascii="Arial Narrow" w:hAnsi="Arial Narrow"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PM</w:t>
            </w:r>
            <w:r>
              <w:rPr>
                <w:rFonts w:hint="default" w:ascii="Arial Narrow" w:hAnsi="Arial Narrow" w:eastAsia="宋体" w:cs="Times New Roman"/>
                <w:sz w:val="21"/>
                <w:szCs w:val="21"/>
                <w:vertAlign w:val="subscript"/>
                <w:lang w:val="en-US" w:eastAsia="zh-CN" w:bidi="ar-SA"/>
              </w:rPr>
              <w:t>2.5</w:t>
            </w:r>
            <w:r>
              <w:rPr>
                <w:rFonts w:hint="eastAsia" w:ascii="Arial Narrow" w:hAnsi="Arial Narrow" w:eastAsia="宋体" w:cs="Times New Roman"/>
                <w:sz w:val="21"/>
                <w:szCs w:val="21"/>
                <w:lang w:val="en-US" w:eastAsia="zh-CN" w:bidi="ar-SA"/>
              </w:rPr>
              <w:t>、CO、O</w:t>
            </w:r>
            <w:r>
              <w:rPr>
                <w:rFonts w:hint="eastAsia" w:ascii="Arial Narrow" w:hAnsi="Arial Narrow" w:eastAsia="宋体" w:cs="Times New Roman"/>
                <w:sz w:val="21"/>
                <w:szCs w:val="21"/>
                <w:vertAlign w:val="subscript"/>
                <w:lang w:val="en-US" w:eastAsia="zh-CN" w:bidi="ar-SA"/>
              </w:rPr>
              <w:t>3</w:t>
            </w:r>
            <w:r>
              <w:rPr>
                <w:rFonts w:hint="default" w:ascii="Arial Narrow" w:hAnsi="Arial Narrow" w:eastAsia="宋体" w:cs="Times New Roman"/>
                <w:sz w:val="21"/>
                <w:szCs w:val="21"/>
                <w:lang w:val="en-US" w:eastAsia="zh-CN" w:bidi="ar-SA"/>
              </w:rPr>
              <w:t>)</w:t>
            </w:r>
          </w:p>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其他污染物</w:t>
            </w:r>
            <w:r>
              <w:rPr>
                <w:rFonts w:hint="default" w:ascii="Arial Narrow" w:hAnsi="Arial Narrow" w:eastAsia="宋体" w:cs="Times New Roman"/>
                <w:sz w:val="21"/>
                <w:szCs w:val="21"/>
                <w:lang w:val="en-US" w:eastAsia="zh-CN" w:bidi="ar-SA"/>
              </w:rPr>
              <w:t xml:space="preserve"> (       TSP      )</w:t>
            </w:r>
          </w:p>
        </w:tc>
        <w:tc>
          <w:tcPr>
            <w:tcW w:w="1806" w:type="pct"/>
            <w:gridSpan w:val="8"/>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包括二次</w:t>
            </w:r>
            <w:r>
              <w:rPr>
                <w:rFonts w:hint="default" w:ascii="Arial Narrow" w:hAnsi="Arial Narrow" w:eastAsia="宋体" w:cs="Times New Roman"/>
                <w:sz w:val="21"/>
                <w:szCs w:val="21"/>
                <w:lang w:val="en-US" w:eastAsia="zh-CN" w:bidi="ar-SA"/>
              </w:rPr>
              <w:t>PM</w:t>
            </w:r>
            <w:r>
              <w:rPr>
                <w:rFonts w:hint="default" w:ascii="Arial Narrow" w:hAnsi="Arial Narrow" w:eastAsia="宋体" w:cs="Times New Roman"/>
                <w:sz w:val="21"/>
                <w:szCs w:val="21"/>
                <w:vertAlign w:val="subscript"/>
                <w:lang w:val="en-US" w:eastAsia="zh-CN" w:bidi="ar-SA"/>
              </w:rPr>
              <w:t>2.5</w:t>
            </w:r>
            <w:r>
              <w:rPr>
                <w:rFonts w:hint="default" w:ascii="Arial Narrow" w:hAnsi="Arial Narrow" w:eastAsia="宋体" w:cs="Times New Roman"/>
                <w:sz w:val="21"/>
                <w:szCs w:val="21"/>
                <w:lang w:val="en-US" w:eastAsia="zh-CN" w:bidi="ar-SA"/>
              </w:rPr>
              <w:t>□</w:t>
            </w:r>
          </w:p>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不包括二次</w:t>
            </w:r>
            <w:r>
              <w:rPr>
                <w:rFonts w:hint="default" w:ascii="Arial Narrow" w:hAnsi="Arial Narrow" w:eastAsia="宋体" w:cs="Times New Roman"/>
                <w:sz w:val="21"/>
                <w:szCs w:val="21"/>
                <w:lang w:val="en-US" w:eastAsia="zh-CN" w:bidi="ar-SA"/>
              </w:rPr>
              <w:t>PM</w:t>
            </w:r>
            <w:r>
              <w:rPr>
                <w:rFonts w:hint="default" w:ascii="Arial Narrow" w:hAnsi="Arial Narrow" w:eastAsia="宋体" w:cs="Times New Roman"/>
                <w:sz w:val="21"/>
                <w:szCs w:val="21"/>
                <w:vertAlign w:val="subscript"/>
                <w:lang w:val="en-US" w:eastAsia="zh-CN" w:bidi="ar-SA"/>
              </w:rPr>
              <w:t>2.5</w:t>
            </w:r>
            <w:r>
              <w:rPr>
                <w:rFonts w:hint="default" w:ascii="Arial Narrow" w:hAnsi="Arial Narrow"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评价标准</w:t>
            </w: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评价标准</w:t>
            </w:r>
          </w:p>
        </w:tc>
        <w:tc>
          <w:tcPr>
            <w:tcW w:w="1195" w:type="pct"/>
            <w:gridSpan w:val="6"/>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国家标准</w:t>
            </w:r>
            <w:r>
              <w:rPr>
                <w:rFonts w:hint="default" w:ascii="Arial Narrow" w:hAnsi="Times New Roman" w:eastAsia="宋体" w:cs="Times New Roman"/>
                <w:sz w:val="21"/>
                <w:szCs w:val="21"/>
                <w:lang w:val="en-US" w:eastAsia="zh-CN" w:bidi="ar-SA"/>
              </w:rPr>
              <w:t>√</w:t>
            </w:r>
          </w:p>
        </w:tc>
        <w:tc>
          <w:tcPr>
            <w:tcW w:w="657" w:type="pct"/>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地方标准</w:t>
            </w:r>
            <w:r>
              <w:rPr>
                <w:rFonts w:hint="default" w:ascii="Arial Narrow" w:hAnsi="Times New Roman" w:eastAsia="宋体" w:cs="Times New Roman"/>
                <w:sz w:val="21"/>
                <w:szCs w:val="21"/>
                <w:lang w:val="en-US" w:eastAsia="zh-CN" w:bidi="ar-SA"/>
              </w:rPr>
              <w:t xml:space="preserve"> □</w:t>
            </w:r>
          </w:p>
        </w:tc>
        <w:tc>
          <w:tcPr>
            <w:tcW w:w="1010" w:type="pct"/>
            <w:gridSpan w:val="6"/>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附录</w:t>
            </w:r>
            <w:r>
              <w:rPr>
                <w:rFonts w:hint="default" w:ascii="Arial Narrow" w:hAnsi="Arial Narrow" w:eastAsia="宋体" w:cs="Times New Roman"/>
                <w:sz w:val="21"/>
                <w:szCs w:val="21"/>
                <w:lang w:val="en-US" w:eastAsia="zh-CN" w:bidi="ar-SA"/>
              </w:rPr>
              <w:t>D □</w:t>
            </w:r>
          </w:p>
        </w:tc>
        <w:tc>
          <w:tcPr>
            <w:tcW w:w="795" w:type="pct"/>
            <w:gridSpan w:val="2"/>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其他标准</w:t>
            </w:r>
            <w:r>
              <w:rPr>
                <w:rFonts w:hint="default" w:ascii="Arial Narrow" w:hAnsi="Times New Roman" w:eastAsia="宋体" w:cs="Times New Roman"/>
                <w:sz w:val="21"/>
                <w:szCs w:val="21"/>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restart"/>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现状评价</w:t>
            </w: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环境功能区</w:t>
            </w:r>
          </w:p>
        </w:tc>
        <w:tc>
          <w:tcPr>
            <w:tcW w:w="1490" w:type="pct"/>
            <w:gridSpan w:val="7"/>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一类区</w:t>
            </w:r>
            <w:r>
              <w:rPr>
                <w:rFonts w:hint="default" w:ascii="Arial Narrow" w:hAnsi="Times New Roman" w:eastAsia="宋体" w:cs="Times New Roman"/>
                <w:sz w:val="21"/>
                <w:szCs w:val="21"/>
                <w:lang w:val="en-US" w:eastAsia="zh-CN" w:bidi="ar-SA"/>
              </w:rPr>
              <w:t>□</w:t>
            </w:r>
          </w:p>
        </w:tc>
        <w:tc>
          <w:tcPr>
            <w:tcW w:w="1207" w:type="pct"/>
            <w:gridSpan w:val="7"/>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二类区</w:t>
            </w:r>
            <w:r>
              <w:rPr>
                <w:rFonts w:hint="default" w:ascii="Arial Narrow" w:hAnsi="Times New Roman" w:eastAsia="宋体" w:cs="Times New Roman"/>
                <w:sz w:val="21"/>
                <w:szCs w:val="21"/>
                <w:lang w:val="en-US" w:eastAsia="zh-CN" w:bidi="ar-SA"/>
              </w:rPr>
              <w:t>√</w:t>
            </w:r>
          </w:p>
        </w:tc>
        <w:tc>
          <w:tcPr>
            <w:tcW w:w="961" w:type="pct"/>
            <w:gridSpan w:val="5"/>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一类区和二类区</w:t>
            </w:r>
            <w:r>
              <w:rPr>
                <w:rFonts w:hint="default" w:ascii="Arial Narrow" w:hAnsi="Times New Roman"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评价基准年</w:t>
            </w:r>
          </w:p>
        </w:tc>
        <w:tc>
          <w:tcPr>
            <w:tcW w:w="3660" w:type="pct"/>
            <w:gridSpan w:val="19"/>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20</w:t>
            </w:r>
            <w:r>
              <w:rPr>
                <w:rFonts w:hint="eastAsia" w:ascii="Arial Narrow" w:hAnsi="Arial Narrow" w:eastAsia="宋体" w:cs="Times New Roman"/>
                <w:sz w:val="21"/>
                <w:szCs w:val="21"/>
                <w:lang w:val="en-US" w:eastAsia="zh-CN" w:bidi="ar-SA"/>
              </w:rPr>
              <w:t>20</w:t>
            </w:r>
            <w:r>
              <w:rPr>
                <w:rFonts w:hint="default" w:ascii="Arial Narrow" w:hAnsi="宋体" w:eastAsia="宋体" w:cs="Times New Roman"/>
                <w:sz w:val="21"/>
                <w:szCs w:val="21"/>
                <w:lang w:val="en-US" w:eastAsia="zh-CN" w:bidi="ar-SA"/>
              </w:rPr>
              <w:t>）年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环境空气质量</w:t>
            </w:r>
            <w:r>
              <w:rPr>
                <w:rFonts w:hint="default" w:ascii="Arial Narrow" w:hAnsi="Times New Roman"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现状调查数据来源</w:t>
            </w:r>
          </w:p>
        </w:tc>
        <w:tc>
          <w:tcPr>
            <w:tcW w:w="1490" w:type="pct"/>
            <w:gridSpan w:val="7"/>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长期例行监测数据</w:t>
            </w:r>
            <w:r>
              <w:rPr>
                <w:rFonts w:hint="default" w:ascii="Arial Narrow" w:hAnsi="Times New Roman" w:eastAsia="宋体" w:cs="Times New Roman"/>
                <w:sz w:val="21"/>
                <w:szCs w:val="21"/>
                <w:lang w:val="en-US" w:eastAsia="zh-CN" w:bidi="ar-SA"/>
              </w:rPr>
              <w:t>□</w:t>
            </w:r>
          </w:p>
        </w:tc>
        <w:tc>
          <w:tcPr>
            <w:tcW w:w="1256" w:type="pct"/>
            <w:gridSpan w:val="8"/>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主管部门发布的数据</w:t>
            </w:r>
            <w:r>
              <w:rPr>
                <w:rFonts w:hint="default" w:ascii="Arial Narrow" w:hAnsi="Times New Roman" w:eastAsia="宋体" w:cs="Times New Roman"/>
                <w:sz w:val="21"/>
                <w:szCs w:val="21"/>
                <w:lang w:val="en-US" w:eastAsia="zh-CN" w:bidi="ar-SA"/>
              </w:rPr>
              <w:t>√</w:t>
            </w:r>
          </w:p>
        </w:tc>
        <w:tc>
          <w:tcPr>
            <w:tcW w:w="912" w:type="pct"/>
            <w:gridSpan w:val="4"/>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现状补充监测</w:t>
            </w:r>
            <w:r>
              <w:rPr>
                <w:rFonts w:hint="default" w:ascii="Arial Narrow" w:hAnsi="Times New Roman"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现状评价</w:t>
            </w:r>
          </w:p>
        </w:tc>
        <w:tc>
          <w:tcPr>
            <w:tcW w:w="1853" w:type="pct"/>
            <w:gridSpan w:val="11"/>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达标区</w:t>
            </w:r>
            <w:r>
              <w:rPr>
                <w:rFonts w:hint="default" w:ascii="Arial Narrow" w:hAnsi="Times New Roman" w:eastAsia="宋体" w:cs="Times New Roman"/>
                <w:sz w:val="21"/>
                <w:szCs w:val="21"/>
                <w:lang w:val="en-US" w:eastAsia="zh-CN" w:bidi="ar-SA"/>
              </w:rPr>
              <w:t>□</w:t>
            </w:r>
          </w:p>
        </w:tc>
        <w:tc>
          <w:tcPr>
            <w:tcW w:w="1806" w:type="pct"/>
            <w:gridSpan w:val="8"/>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不达标区</w:t>
            </w:r>
            <w:r>
              <w:rPr>
                <w:rFonts w:hint="default" w:ascii="Arial Narrow" w:hAnsi="Times New Roman"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污染源</w:t>
            </w:r>
            <w:r>
              <w:rPr>
                <w:rFonts w:hint="default" w:ascii="Arial Narrow" w:hAnsi="Times New Roman"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调查</w:t>
            </w: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调查内容</w:t>
            </w:r>
          </w:p>
        </w:tc>
        <w:tc>
          <w:tcPr>
            <w:tcW w:w="1195" w:type="pct"/>
            <w:gridSpan w:val="6"/>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sz w:val="21"/>
                <w:szCs w:val="21"/>
                <w:lang w:val="en-US" w:eastAsia="zh-CN" w:bidi="ar-SA"/>
              </w:rPr>
            </w:pPr>
            <w:r>
              <w:rPr>
                <w:rFonts w:hint="default" w:ascii="Arial Narrow" w:hAnsi="Arial Narrow" w:eastAsia="宋体" w:cs="Times New Roman"/>
                <w:sz w:val="21"/>
                <w:szCs w:val="21"/>
                <w:lang w:val="en-US" w:eastAsia="zh-CN" w:bidi="ar-SA"/>
              </w:rPr>
              <w:t>本项目正常排放源</w:t>
            </w:r>
            <w:r>
              <w:rPr>
                <w:rFonts w:hint="default" w:ascii="Arial Narrow" w:hAnsi="Times New Roman" w:eastAsia="宋体" w:cs="Times New Roman"/>
                <w:sz w:val="21"/>
                <w:szCs w:val="21"/>
                <w:lang w:val="en-US" w:eastAsia="zh-CN" w:bidi="ar-SA"/>
              </w:rPr>
              <w:t xml:space="preserve"> √</w:t>
            </w:r>
          </w:p>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sz w:val="21"/>
                <w:szCs w:val="21"/>
                <w:lang w:val="en-US" w:eastAsia="zh-CN" w:bidi="ar-SA"/>
              </w:rPr>
            </w:pPr>
            <w:r>
              <w:rPr>
                <w:rFonts w:hint="default" w:ascii="Arial Narrow" w:hAnsi="Arial Narrow" w:eastAsia="宋体" w:cs="Times New Roman"/>
                <w:sz w:val="21"/>
                <w:szCs w:val="21"/>
                <w:lang w:val="en-US" w:eastAsia="zh-CN" w:bidi="ar-SA"/>
              </w:rPr>
              <w:t>本项目非正常排放源</w:t>
            </w:r>
            <w:r>
              <w:rPr>
                <w:rFonts w:hint="default" w:ascii="Arial Narrow" w:hAnsi="Times New Roman" w:eastAsia="宋体" w:cs="Times New Roman"/>
                <w:sz w:val="21"/>
                <w:szCs w:val="21"/>
                <w:lang w:val="en-US" w:eastAsia="zh-CN" w:bidi="ar-SA"/>
              </w:rPr>
              <w:t xml:space="preserve"> □</w:t>
            </w:r>
          </w:p>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sz w:val="21"/>
                <w:szCs w:val="21"/>
                <w:lang w:val="en-US" w:eastAsia="zh-CN" w:bidi="ar-SA"/>
              </w:rPr>
            </w:pPr>
            <w:r>
              <w:rPr>
                <w:rFonts w:hint="default" w:ascii="Arial Narrow" w:hAnsi="Arial Narrow" w:eastAsia="宋体" w:cs="Times New Roman"/>
                <w:sz w:val="21"/>
                <w:szCs w:val="21"/>
                <w:lang w:val="en-US" w:eastAsia="zh-CN" w:bidi="ar-SA"/>
              </w:rPr>
              <w:t>现有污染源</w:t>
            </w:r>
            <w:r>
              <w:rPr>
                <w:rFonts w:hint="default" w:ascii="Arial Narrow" w:hAnsi="Times New Roman" w:eastAsia="宋体" w:cs="Times New Roman"/>
                <w:sz w:val="21"/>
                <w:szCs w:val="21"/>
                <w:lang w:val="en-US" w:eastAsia="zh-CN" w:bidi="ar-SA"/>
              </w:rPr>
              <w:t xml:space="preserve"> √</w:t>
            </w:r>
          </w:p>
        </w:tc>
        <w:tc>
          <w:tcPr>
            <w:tcW w:w="657" w:type="pct"/>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拟替代的污染源</w:t>
            </w:r>
            <w:r>
              <w:rPr>
                <w:rFonts w:hint="default" w:ascii="Arial Narrow" w:hAnsi="Times New Roman" w:eastAsia="宋体" w:cs="Times New Roman"/>
                <w:sz w:val="21"/>
                <w:szCs w:val="21"/>
                <w:lang w:val="en-US" w:eastAsia="zh-CN" w:bidi="ar-SA"/>
              </w:rPr>
              <w:t>□</w:t>
            </w:r>
          </w:p>
        </w:tc>
        <w:tc>
          <w:tcPr>
            <w:tcW w:w="1010" w:type="pct"/>
            <w:gridSpan w:val="6"/>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其他在建、拟建项目污染源</w:t>
            </w:r>
            <w:r>
              <w:rPr>
                <w:rFonts w:hint="default" w:ascii="Arial Narrow" w:hAnsi="Times New Roman" w:eastAsia="宋体" w:cs="Times New Roman"/>
                <w:sz w:val="21"/>
                <w:szCs w:val="21"/>
                <w:lang w:val="en-US" w:eastAsia="zh-CN" w:bidi="ar-SA"/>
              </w:rPr>
              <w:t>□</w:t>
            </w:r>
          </w:p>
        </w:tc>
        <w:tc>
          <w:tcPr>
            <w:tcW w:w="795" w:type="pct"/>
            <w:gridSpan w:val="2"/>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区域污染源</w:t>
            </w:r>
            <w:r>
              <w:rPr>
                <w:rFonts w:hint="default" w:ascii="Arial Narrow" w:hAnsi="Times New Roman"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restart"/>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大气环境影响预测与</w:t>
            </w:r>
            <w:r>
              <w:rPr>
                <w:rFonts w:hint="default" w:ascii="Arial Narrow" w:hAnsi="Times New Roman"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评价</w:t>
            </w: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预测模型</w:t>
            </w:r>
          </w:p>
        </w:tc>
        <w:tc>
          <w:tcPr>
            <w:tcW w:w="479"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AERMOD</w:t>
            </w:r>
            <w:r>
              <w:rPr>
                <w:rFonts w:hint="default" w:ascii="Arial Narrow" w:hAnsi="Arial Narrow"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w:t>
            </w:r>
          </w:p>
        </w:tc>
        <w:tc>
          <w:tcPr>
            <w:tcW w:w="324" w:type="pct"/>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ADMS</w:t>
            </w:r>
            <w:r>
              <w:rPr>
                <w:rFonts w:hint="default" w:ascii="Arial Narrow" w:hAnsi="Arial Narrow"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w:t>
            </w:r>
          </w:p>
        </w:tc>
        <w:tc>
          <w:tcPr>
            <w:tcW w:w="741"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AUSTAL2000</w:t>
            </w:r>
            <w:r>
              <w:rPr>
                <w:rFonts w:hint="default" w:ascii="Arial Narrow" w:hAnsi="Arial Narrow"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w:t>
            </w:r>
          </w:p>
        </w:tc>
        <w:tc>
          <w:tcPr>
            <w:tcW w:w="704" w:type="pct"/>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EDMS/AEDT</w:t>
            </w:r>
            <w:r>
              <w:rPr>
                <w:rFonts w:hint="default" w:ascii="Arial Narrow" w:hAnsi="Arial Narrow"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w:t>
            </w:r>
          </w:p>
        </w:tc>
        <w:tc>
          <w:tcPr>
            <w:tcW w:w="497"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CALPUFF</w:t>
            </w:r>
            <w:r>
              <w:rPr>
                <w:rFonts w:hint="default" w:ascii="Arial Narrow" w:hAnsi="Arial Narrow"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w:t>
            </w:r>
          </w:p>
        </w:tc>
        <w:tc>
          <w:tcPr>
            <w:tcW w:w="426" w:type="pct"/>
            <w:gridSpan w:val="3"/>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网格模型</w:t>
            </w:r>
            <w:r>
              <w:rPr>
                <w:rFonts w:hint="default" w:ascii="Arial Narrow" w:hAnsi="Times New Roman" w:eastAsia="宋体" w:cs="Times New Roman"/>
                <w:sz w:val="21"/>
                <w:szCs w:val="21"/>
                <w:lang w:val="en-US" w:eastAsia="zh-CN" w:bidi="ar-SA"/>
              </w:rPr>
              <w:br w:type="textWrapping"/>
            </w:r>
            <w:r>
              <w:rPr>
                <w:rFonts w:hint="default" w:ascii="Arial Narrow" w:hAnsi="Times New Roman" w:eastAsia="宋体" w:cs="Times New Roman"/>
                <w:sz w:val="21"/>
                <w:szCs w:val="21"/>
                <w:lang w:val="en-US" w:eastAsia="zh-CN" w:bidi="ar-SA"/>
              </w:rPr>
              <w:t>□</w:t>
            </w:r>
          </w:p>
        </w:tc>
        <w:tc>
          <w:tcPr>
            <w:tcW w:w="486" w:type="pct"/>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其他</w:t>
            </w:r>
            <w:r>
              <w:rPr>
                <w:rFonts w:hint="default" w:ascii="Arial Narrow" w:hAnsi="Arial Narrow"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72"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预测范围</w:t>
            </w:r>
          </w:p>
        </w:tc>
        <w:tc>
          <w:tcPr>
            <w:tcW w:w="804" w:type="pct"/>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边长</w:t>
            </w:r>
            <w:r>
              <w:rPr>
                <w:rFonts w:hint="default" w:ascii="Arial Narrow" w:hAnsi="Arial Narrow" w:eastAsia="宋体" w:cs="Times New Roman"/>
                <w:sz w:val="21"/>
                <w:szCs w:val="21"/>
                <w:lang w:val="en-US" w:eastAsia="zh-CN" w:bidi="ar-SA"/>
              </w:rPr>
              <w:t>≥ 50km□</w:t>
            </w:r>
          </w:p>
        </w:tc>
        <w:tc>
          <w:tcPr>
            <w:tcW w:w="1943" w:type="pct"/>
            <w:gridSpan w:val="10"/>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边长</w:t>
            </w:r>
            <w:r>
              <w:rPr>
                <w:rFonts w:hint="default" w:ascii="Arial Narrow" w:hAnsi="Arial Narrow" w:eastAsia="宋体" w:cs="Times New Roman"/>
                <w:sz w:val="21"/>
                <w:szCs w:val="21"/>
                <w:lang w:val="en-US" w:eastAsia="zh-CN" w:bidi="ar-SA"/>
              </w:rPr>
              <w:t>5</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50km □</w:t>
            </w:r>
          </w:p>
        </w:tc>
        <w:tc>
          <w:tcPr>
            <w:tcW w:w="912" w:type="pct"/>
            <w:gridSpan w:val="4"/>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边长</w:t>
            </w:r>
            <w:r>
              <w:rPr>
                <w:rFonts w:hint="default" w:ascii="Arial Narrow" w:hAnsi="Arial Narrow" w:eastAsia="宋体" w:cs="Times New Roman"/>
                <w:sz w:val="21"/>
                <w:szCs w:val="21"/>
                <w:lang w:val="en-US" w:eastAsia="zh-CN" w:bidi="ar-SA"/>
              </w:rPr>
              <w:t xml:space="preserve"> = 5 km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预测因子</w:t>
            </w:r>
          </w:p>
        </w:tc>
        <w:tc>
          <w:tcPr>
            <w:tcW w:w="1853" w:type="pct"/>
            <w:gridSpan w:val="11"/>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预测因子</w:t>
            </w:r>
            <w:r>
              <w:rPr>
                <w:rFonts w:hint="default" w:ascii="Arial Narrow" w:hAnsi="Arial Narrow" w:eastAsia="宋体" w:cs="Times New Roman"/>
                <w:sz w:val="21"/>
                <w:szCs w:val="21"/>
                <w:lang w:val="en-US" w:eastAsia="zh-CN" w:bidi="ar-SA"/>
              </w:rPr>
              <w:t>(                 )</w:t>
            </w:r>
          </w:p>
        </w:tc>
        <w:tc>
          <w:tcPr>
            <w:tcW w:w="1806" w:type="pct"/>
            <w:gridSpan w:val="8"/>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包括二次</w:t>
            </w:r>
            <w:r>
              <w:rPr>
                <w:rFonts w:hint="default" w:ascii="Arial Narrow" w:hAnsi="Arial Narrow" w:eastAsia="宋体" w:cs="Times New Roman"/>
                <w:sz w:val="21"/>
                <w:szCs w:val="21"/>
                <w:lang w:val="en-US" w:eastAsia="zh-CN" w:bidi="ar-SA"/>
              </w:rPr>
              <w:t>PM</w:t>
            </w:r>
            <w:r>
              <w:rPr>
                <w:rFonts w:hint="default" w:ascii="Arial Narrow" w:hAnsi="Arial Narrow" w:eastAsia="宋体" w:cs="Times New Roman"/>
                <w:sz w:val="21"/>
                <w:szCs w:val="21"/>
                <w:vertAlign w:val="subscript"/>
                <w:lang w:val="en-US" w:eastAsia="zh-CN" w:bidi="ar-SA"/>
              </w:rPr>
              <w:t>2.5</w:t>
            </w:r>
            <w:r>
              <w:rPr>
                <w:rFonts w:hint="default" w:ascii="Arial Narrow" w:hAnsi="Arial Narrow" w:eastAsia="宋体" w:cs="Times New Roman"/>
                <w:sz w:val="21"/>
                <w:szCs w:val="21"/>
                <w:lang w:val="en-US" w:eastAsia="zh-CN" w:bidi="ar-SA"/>
              </w:rPr>
              <w:t xml:space="preserve"> □</w:t>
            </w:r>
          </w:p>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不包括二次</w:t>
            </w:r>
            <w:r>
              <w:rPr>
                <w:rFonts w:hint="default" w:ascii="Arial Narrow" w:hAnsi="Arial Narrow" w:eastAsia="宋体" w:cs="Times New Roman"/>
                <w:sz w:val="21"/>
                <w:szCs w:val="21"/>
                <w:lang w:val="en-US" w:eastAsia="zh-CN" w:bidi="ar-SA"/>
              </w:rPr>
              <w:t>PM</w:t>
            </w:r>
            <w:r>
              <w:rPr>
                <w:rFonts w:hint="default" w:ascii="Arial Narrow" w:hAnsi="Arial Narrow" w:eastAsia="宋体" w:cs="Times New Roman"/>
                <w:sz w:val="21"/>
                <w:szCs w:val="21"/>
                <w:vertAlign w:val="subscript"/>
                <w:lang w:val="en-US" w:eastAsia="zh-CN" w:bidi="ar-SA"/>
              </w:rPr>
              <w:t>2.5</w:t>
            </w:r>
            <w:r>
              <w:rPr>
                <w:rFonts w:hint="default" w:ascii="Arial Narrow" w:hAnsi="Arial Narrow" w:eastAsia="宋体" w:cs="Times New Roman"/>
                <w:sz w:val="21"/>
                <w:szCs w:val="21"/>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正常排放短期浓度贡献值</w:t>
            </w:r>
          </w:p>
        </w:tc>
        <w:tc>
          <w:tcPr>
            <w:tcW w:w="1853" w:type="pct"/>
            <w:gridSpan w:val="11"/>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最大占标率</w:t>
            </w:r>
            <w:r>
              <w:rPr>
                <w:rFonts w:hint="default" w:ascii="Arial Narrow" w:hAnsi="Arial Narrow" w:eastAsia="宋体" w:cs="Times New Roman"/>
                <w:sz w:val="21"/>
                <w:szCs w:val="21"/>
                <w:lang w:val="en-US" w:eastAsia="zh-CN" w:bidi="ar-SA"/>
              </w:rPr>
              <w:t>≤100%□</w:t>
            </w:r>
          </w:p>
        </w:tc>
        <w:tc>
          <w:tcPr>
            <w:tcW w:w="1806" w:type="pct"/>
            <w:gridSpan w:val="8"/>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8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8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4"/>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最大占标率＞</w:t>
            </w:r>
            <w:r>
              <w:rPr>
                <w:rFonts w:hint="default" w:ascii="Arial Narrow" w:hAnsi="Arial Narrow" w:eastAsia="宋体" w:cs="Times New Roman"/>
                <w:sz w:val="21"/>
                <w:szCs w:val="21"/>
                <w:lang w:val="en-US" w:eastAsia="zh-CN" w:bidi="ar-SA"/>
              </w:rPr>
              <w:t>100%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89"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vMerge w:val="restar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正常排放年均浓度贡献值</w:t>
            </w:r>
          </w:p>
        </w:tc>
        <w:tc>
          <w:tcPr>
            <w:tcW w:w="479" w:type="pct"/>
            <w:tcBorders>
              <w:top w:val="single" w:color="auto" w:sz="6" w:space="0"/>
              <w:left w:val="single" w:color="auto" w:sz="6" w:space="0"/>
              <w:bottom w:val="single" w:color="auto" w:sz="6"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一类区</w:t>
            </w:r>
          </w:p>
        </w:tc>
        <w:tc>
          <w:tcPr>
            <w:tcW w:w="1374" w:type="pct"/>
            <w:gridSpan w:val="10"/>
            <w:tcBorders>
              <w:top w:val="single" w:color="auto" w:sz="6" w:space="0"/>
              <w:left w:val="single" w:color="auto" w:sz="4"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8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5"/>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8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6"/>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最大占标率</w:t>
            </w:r>
            <w:r>
              <w:rPr>
                <w:rFonts w:hint="default" w:ascii="Arial Narrow" w:hAnsi="Arial Narrow" w:eastAsia="宋体" w:cs="Times New Roman"/>
                <w:sz w:val="21"/>
                <w:szCs w:val="21"/>
                <w:lang w:val="en-US" w:eastAsia="zh-CN" w:bidi="ar-SA"/>
              </w:rPr>
              <w:t>≤10%□</w:t>
            </w:r>
          </w:p>
        </w:tc>
        <w:tc>
          <w:tcPr>
            <w:tcW w:w="1806" w:type="pct"/>
            <w:gridSpan w:val="8"/>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最大标率＞</w:t>
            </w:r>
            <w:r>
              <w:rPr>
                <w:rFonts w:hint="default" w:ascii="Arial Narrow" w:hAnsi="Arial Narrow" w:eastAsia="宋体" w:cs="Times New Roman"/>
                <w:sz w:val="21"/>
                <w:szCs w:val="21"/>
                <w:lang w:val="en-US" w:eastAsia="zh-CN" w:bidi="ar-SA"/>
              </w:rPr>
              <w:t>10%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vMerge w:val="continue"/>
            <w:tcBorders>
              <w:top w:val="single" w:color="auto" w:sz="6" w:space="0"/>
              <w:left w:val="single" w:color="auto" w:sz="6"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479" w:type="pct"/>
            <w:tcBorders>
              <w:top w:val="single" w:color="auto" w:sz="6" w:space="0"/>
              <w:left w:val="single" w:color="auto" w:sz="6" w:space="0"/>
              <w:bottom w:val="single" w:color="auto" w:sz="6"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二类区</w:t>
            </w:r>
          </w:p>
        </w:tc>
        <w:tc>
          <w:tcPr>
            <w:tcW w:w="1374" w:type="pct"/>
            <w:gridSpan w:val="10"/>
            <w:tcBorders>
              <w:top w:val="single" w:color="auto" w:sz="6" w:space="0"/>
              <w:left w:val="single" w:color="auto" w:sz="4"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0"/>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最大占标率</w:t>
            </w:r>
            <w:r>
              <w:rPr>
                <w:rFonts w:hint="default" w:ascii="Arial Narrow" w:hAnsi="Arial Narrow" w:eastAsia="宋体" w:cs="Times New Roman"/>
                <w:sz w:val="21"/>
                <w:szCs w:val="21"/>
                <w:lang w:val="en-US" w:eastAsia="zh-CN" w:bidi="ar-SA"/>
              </w:rPr>
              <w:t>≤30%□</w:t>
            </w:r>
          </w:p>
        </w:tc>
        <w:tc>
          <w:tcPr>
            <w:tcW w:w="1806" w:type="pct"/>
            <w:gridSpan w:val="8"/>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1"/>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pic:cNvPicPr>
                            <a:picLocks noChangeAspect="1"/>
                          </pic:cNvPicPr>
                        </pic:nvPicPr>
                        <pic:blipFill>
                          <a:blip r:embed="rId130">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最大标率＞</w:t>
            </w:r>
            <w:r>
              <w:rPr>
                <w:rFonts w:hint="default" w:ascii="Arial Narrow" w:hAnsi="Arial Narrow" w:eastAsia="宋体" w:cs="Times New Roman"/>
                <w:sz w:val="21"/>
                <w:szCs w:val="21"/>
                <w:lang w:val="en-US" w:eastAsia="zh-CN" w:bidi="ar-SA"/>
              </w:rPr>
              <w:t>30%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非正常排放</w:t>
            </w:r>
            <w:r>
              <w:rPr>
                <w:rFonts w:hint="default" w:ascii="Arial Narrow" w:hAnsi="Times New Roman" w:eastAsia="宋体" w:cs="Times New Roman"/>
                <w:sz w:val="21"/>
                <w:szCs w:val="21"/>
                <w:lang w:val="en-US" w:eastAsia="zh-CN" w:bidi="ar-SA"/>
              </w:rPr>
              <w:t>1h</w:t>
            </w:r>
            <w:r>
              <w:rPr>
                <w:rFonts w:hint="default" w:ascii="Arial Narrow" w:hAnsi="Arial Narrow" w:eastAsia="宋体" w:cs="Times New Roman"/>
                <w:sz w:val="21"/>
                <w:szCs w:val="21"/>
                <w:lang w:val="en-US" w:eastAsia="zh-CN" w:bidi="ar-SA"/>
              </w:rPr>
              <w:t>浓度贡献值</w:t>
            </w:r>
          </w:p>
        </w:tc>
        <w:tc>
          <w:tcPr>
            <w:tcW w:w="667" w:type="pct"/>
            <w:gridSpan w:val="3"/>
            <w:tcBorders>
              <w:top w:val="single" w:color="auto" w:sz="6" w:space="0"/>
              <w:left w:val="single" w:color="auto" w:sz="6" w:space="0"/>
              <w:bottom w:val="single" w:color="auto" w:sz="6" w:space="0"/>
              <w:right w:val="single" w:color="auto" w:sz="4"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非正常持续时长</w:t>
            </w:r>
            <w:r>
              <w:rPr>
                <w:rFonts w:hint="default" w:ascii="Arial Narrow" w:hAnsi="Times New Roman"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w:t>
            </w:r>
            <w:r>
              <w:rPr>
                <w:rFonts w:hint="default" w:ascii="Arial Narrow" w:hAnsi="Times New Roman" w:eastAsia="宋体" w:cs="Times New Roman"/>
                <w:sz w:val="21"/>
                <w:szCs w:val="21"/>
                <w:lang w:val="en-US" w:eastAsia="zh-CN" w:bidi="ar-SA"/>
              </w:rPr>
              <w:t xml:space="preserve">  </w:t>
            </w:r>
            <w:r>
              <w:rPr>
                <w:rFonts w:hint="default" w:ascii="Arial Narrow" w:hAnsi="Arial Narrow" w:eastAsia="宋体" w:cs="Times New Roman"/>
                <w:sz w:val="21"/>
                <w:szCs w:val="21"/>
                <w:lang w:val="en-US" w:eastAsia="zh-CN" w:bidi="ar-SA"/>
              </w:rPr>
              <w:t>）</w:t>
            </w:r>
            <w:r>
              <w:rPr>
                <w:rFonts w:hint="default" w:ascii="Arial Narrow" w:hAnsi="Times New Roman" w:eastAsia="宋体" w:cs="Times New Roman"/>
                <w:sz w:val="21"/>
                <w:szCs w:val="21"/>
                <w:lang w:val="en-US" w:eastAsia="zh-CN" w:bidi="ar-SA"/>
              </w:rPr>
              <w:t>h</w:t>
            </w:r>
          </w:p>
        </w:tc>
        <w:tc>
          <w:tcPr>
            <w:tcW w:w="1687" w:type="pct"/>
            <w:gridSpan w:val="10"/>
            <w:tcBorders>
              <w:top w:val="single" w:color="auto" w:sz="6" w:space="0"/>
              <w:left w:val="single" w:color="auto" w:sz="4"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7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3"/>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6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4"/>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占标率</w:t>
            </w:r>
            <w:r>
              <w:rPr>
                <w:rFonts w:hint="default" w:ascii="Arial Narrow" w:hAnsi="Arial Narrow" w:eastAsia="宋体" w:cs="Times New Roman"/>
                <w:sz w:val="21"/>
                <w:szCs w:val="21"/>
                <w:lang w:val="en-US" w:eastAsia="zh-CN" w:bidi="ar-SA"/>
              </w:rPr>
              <w:t>≤100% □</w:t>
            </w:r>
          </w:p>
        </w:tc>
        <w:tc>
          <w:tcPr>
            <w:tcW w:w="1304" w:type="pct"/>
            <w:gridSpan w:val="6"/>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315595" cy="208280"/>
                  <wp:effectExtent l="0" t="0" r="8255" b="127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131">
                            <a:clrChange>
                              <a:clrFrom>
                                <a:srgbClr val="FFFFFF"/>
                              </a:clrFrom>
                              <a:clrTo>
                                <a:srgbClr val="FFFFFF">
                                  <a:alpha val="0"/>
                                </a:srgbClr>
                              </a:clrTo>
                            </a:clrChange>
                          </a:blip>
                          <a:stretch>
                            <a:fillRect/>
                          </a:stretch>
                        </pic:blipFill>
                        <pic:spPr>
                          <a:xfrm>
                            <a:off x="0" y="0"/>
                            <a:ext cx="315595"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占标率＞</w:t>
            </w:r>
            <w:r>
              <w:rPr>
                <w:rFonts w:hint="default" w:ascii="Arial Narrow" w:hAnsi="Arial Narrow" w:eastAsia="宋体" w:cs="Times New Roman"/>
                <w:sz w:val="21"/>
                <w:szCs w:val="21"/>
                <w:lang w:val="en-US" w:eastAsia="zh-CN" w:bidi="ar-SA"/>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625"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保证率日平均浓度和年平均浓度叠加值</w:t>
            </w:r>
          </w:p>
        </w:tc>
        <w:tc>
          <w:tcPr>
            <w:tcW w:w="1637" w:type="pct"/>
            <w:gridSpan w:val="9"/>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238760" cy="208280"/>
                  <wp:effectExtent l="0" t="0" r="8890" b="12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132">
                            <a:clrChange>
                              <a:clrFrom>
                                <a:srgbClr val="FFFFFF"/>
                              </a:clrFrom>
                              <a:clrTo>
                                <a:srgbClr val="FFFFFF">
                                  <a:alpha val="0"/>
                                </a:srgbClr>
                              </a:clrTo>
                            </a:clrChange>
                          </a:blip>
                          <a:stretch>
                            <a:fillRect/>
                          </a:stretch>
                        </pic:blipFill>
                        <pic:spPr>
                          <a:xfrm>
                            <a:off x="0" y="0"/>
                            <a:ext cx="238760"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238760" cy="208280"/>
                  <wp:effectExtent l="0" t="0" r="8890" b="1270"/>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8"/>
                          <pic:cNvPicPr>
                            <a:picLocks noChangeAspect="1"/>
                          </pic:cNvPicPr>
                        </pic:nvPicPr>
                        <pic:blipFill>
                          <a:blip r:embed="rId132">
                            <a:clrChange>
                              <a:clrFrom>
                                <a:srgbClr val="FFFFFF"/>
                              </a:clrFrom>
                              <a:clrTo>
                                <a:srgbClr val="FFFFFF">
                                  <a:alpha val="0"/>
                                </a:srgbClr>
                              </a:clrTo>
                            </a:clrChange>
                          </a:blip>
                          <a:stretch>
                            <a:fillRect/>
                          </a:stretch>
                        </pic:blipFill>
                        <pic:spPr>
                          <a:xfrm>
                            <a:off x="0" y="0"/>
                            <a:ext cx="238760"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达标</w:t>
            </w:r>
            <w:r>
              <w:rPr>
                <w:rFonts w:hint="default" w:ascii="Arial Narrow" w:hAnsi="Arial Narrow" w:eastAsia="宋体" w:cs="Times New Roman"/>
                <w:sz w:val="21"/>
                <w:szCs w:val="21"/>
                <w:lang w:val="en-US" w:eastAsia="zh-CN" w:bidi="ar-SA"/>
              </w:rPr>
              <w:t xml:space="preserve"> □</w:t>
            </w:r>
          </w:p>
        </w:tc>
        <w:tc>
          <w:tcPr>
            <w:tcW w:w="2022" w:type="pct"/>
            <w:gridSpan w:val="10"/>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fldChar w:fldCharType="begin"/>
            </w:r>
            <w:r>
              <w:rPr>
                <w:rFonts w:hint="default" w:ascii="Arial Narrow" w:hAnsi="Arial Narrow" w:eastAsia="宋体" w:cs="Times New Roman"/>
                <w:sz w:val="21"/>
                <w:szCs w:val="21"/>
                <w:lang w:val="en-US" w:eastAsia="zh-CN" w:bidi="ar-SA"/>
              </w:rPr>
              <w:instrText xml:space="preserve"> QUOTE </w:instrText>
            </w:r>
            <w:r>
              <w:rPr>
                <w:rFonts w:hint="default" w:ascii="Arial Narrow" w:hAnsi="Arial Narrow" w:eastAsia="宋体" w:cs="Times New Roman"/>
                <w:position w:val="-14"/>
                <w:sz w:val="21"/>
                <w:szCs w:val="21"/>
                <w:lang w:val="en-US" w:eastAsia="zh-CN" w:bidi="ar-SA"/>
              </w:rPr>
              <w:drawing>
                <wp:inline distT="0" distB="0" distL="114300" distR="114300">
                  <wp:extent cx="238760" cy="208280"/>
                  <wp:effectExtent l="0" t="0" r="8890" b="1270"/>
                  <wp:docPr id="1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9"/>
                          <pic:cNvPicPr>
                            <a:picLocks noChangeAspect="1"/>
                          </pic:cNvPicPr>
                        </pic:nvPicPr>
                        <pic:blipFill>
                          <a:blip r:embed="rId132">
                            <a:clrChange>
                              <a:clrFrom>
                                <a:srgbClr val="FFFFFF"/>
                              </a:clrFrom>
                              <a:clrTo>
                                <a:srgbClr val="FFFFFF">
                                  <a:alpha val="0"/>
                                </a:srgbClr>
                              </a:clrTo>
                            </a:clrChange>
                          </a:blip>
                          <a:stretch>
                            <a:fillRect/>
                          </a:stretch>
                        </pic:blipFill>
                        <pic:spPr>
                          <a:xfrm>
                            <a:off x="0" y="0"/>
                            <a:ext cx="238760"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instrText xml:space="preserve"> </w:instrText>
            </w:r>
            <w:r>
              <w:rPr>
                <w:rFonts w:hint="default" w:ascii="Arial Narrow" w:hAnsi="Arial Narrow" w:eastAsia="宋体" w:cs="Times New Roman"/>
                <w:sz w:val="21"/>
                <w:szCs w:val="21"/>
                <w:lang w:val="en-US" w:eastAsia="zh-CN" w:bidi="ar-SA"/>
              </w:rPr>
              <w:fldChar w:fldCharType="separate"/>
            </w:r>
            <w:r>
              <w:rPr>
                <w:rFonts w:hint="default" w:ascii="Arial Narrow" w:hAnsi="Arial Narrow" w:eastAsia="宋体" w:cs="Times New Roman"/>
                <w:position w:val="-14"/>
                <w:sz w:val="21"/>
                <w:szCs w:val="21"/>
                <w:lang w:val="en-US" w:eastAsia="zh-CN" w:bidi="ar-SA"/>
              </w:rPr>
              <w:drawing>
                <wp:inline distT="0" distB="0" distL="114300" distR="114300">
                  <wp:extent cx="238760" cy="208280"/>
                  <wp:effectExtent l="0" t="0" r="8890" b="1270"/>
                  <wp:docPr id="4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0"/>
                          <pic:cNvPicPr>
                            <a:picLocks noChangeAspect="1"/>
                          </pic:cNvPicPr>
                        </pic:nvPicPr>
                        <pic:blipFill>
                          <a:blip r:embed="rId132">
                            <a:clrChange>
                              <a:clrFrom>
                                <a:srgbClr val="FFFFFF"/>
                              </a:clrFrom>
                              <a:clrTo>
                                <a:srgbClr val="FFFFFF">
                                  <a:alpha val="0"/>
                                </a:srgbClr>
                              </a:clrTo>
                            </a:clrChange>
                          </a:blip>
                          <a:stretch>
                            <a:fillRect/>
                          </a:stretch>
                        </pic:blipFill>
                        <pic:spPr>
                          <a:xfrm>
                            <a:off x="0" y="0"/>
                            <a:ext cx="238760" cy="208280"/>
                          </a:xfrm>
                          <a:prstGeom prst="rect">
                            <a:avLst/>
                          </a:prstGeom>
                          <a:noFill/>
                          <a:ln>
                            <a:noFill/>
                          </a:ln>
                        </pic:spPr>
                      </pic:pic>
                    </a:graphicData>
                  </a:graphic>
                </wp:inline>
              </w:drawing>
            </w:r>
            <w:r>
              <w:rPr>
                <w:rFonts w:hint="default" w:ascii="Arial Narrow" w:hAnsi="Arial Narrow" w:eastAsia="宋体" w:cs="Times New Roman"/>
                <w:sz w:val="21"/>
                <w:szCs w:val="21"/>
                <w:lang w:val="en-US" w:eastAsia="zh-CN" w:bidi="ar-SA"/>
              </w:rPr>
              <w:fldChar w:fldCharType="end"/>
            </w:r>
            <w:r>
              <w:rPr>
                <w:rFonts w:hint="default" w:ascii="Arial Narrow" w:hAnsi="宋体" w:eastAsia="宋体" w:cs="Times New Roman"/>
                <w:sz w:val="21"/>
                <w:szCs w:val="21"/>
                <w:lang w:val="en-US" w:eastAsia="zh-CN" w:bidi="ar-SA"/>
              </w:rPr>
              <w:t>不达标</w:t>
            </w:r>
            <w:r>
              <w:rPr>
                <w:rFonts w:hint="default" w:ascii="Arial Narrow" w:hAnsi="Arial Narrow" w:eastAsia="宋体" w:cs="Times New Roman"/>
                <w:sz w:val="21"/>
                <w:szCs w:val="21"/>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区域环境质量的整体变化情况</w:t>
            </w:r>
          </w:p>
        </w:tc>
        <w:tc>
          <w:tcPr>
            <w:tcW w:w="1637" w:type="pct"/>
            <w:gridSpan w:val="9"/>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i/>
                <w:sz w:val="21"/>
                <w:szCs w:val="21"/>
                <w:lang w:val="en-US" w:eastAsia="zh-CN" w:bidi="ar-SA"/>
              </w:rPr>
              <w:t xml:space="preserve">k </w:t>
            </w:r>
            <w:r>
              <w:rPr>
                <w:rFonts w:hint="default" w:ascii="Arial Narrow" w:hAnsi="Arial Narrow" w:eastAsia="宋体" w:cs="Times New Roman"/>
                <w:sz w:val="21"/>
                <w:szCs w:val="21"/>
                <w:lang w:val="en-US" w:eastAsia="zh-CN" w:bidi="ar-SA"/>
              </w:rPr>
              <w:t>≤-20% □</w:t>
            </w:r>
          </w:p>
        </w:tc>
        <w:tc>
          <w:tcPr>
            <w:tcW w:w="2022" w:type="pct"/>
            <w:gridSpan w:val="10"/>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i/>
                <w:sz w:val="21"/>
                <w:szCs w:val="21"/>
                <w:lang w:val="en-US" w:eastAsia="zh-CN" w:bidi="ar-SA"/>
              </w:rPr>
              <w:t>k</w:t>
            </w:r>
            <w:r>
              <w:rPr>
                <w:rFonts w:hint="default" w:ascii="Arial Narrow" w:hAnsi="Arial Narrow" w:eastAsia="宋体" w:cs="Times New Roman"/>
                <w:sz w:val="21"/>
                <w:szCs w:val="21"/>
                <w:lang w:val="en-US" w:eastAsia="zh-CN" w:bidi="ar-SA"/>
              </w:rPr>
              <w:t xml:space="preserve"> </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-20%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restart"/>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环境监测</w:t>
            </w:r>
            <w:r>
              <w:rPr>
                <w:rFonts w:hint="default" w:ascii="Arial Narrow" w:hAnsi="Times New Roman"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计划</w:t>
            </w: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污染源监测</w:t>
            </w:r>
          </w:p>
        </w:tc>
        <w:tc>
          <w:tcPr>
            <w:tcW w:w="1671" w:type="pct"/>
            <w:gridSpan w:val="10"/>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监测因子：（</w:t>
            </w:r>
            <w:r>
              <w:rPr>
                <w:rFonts w:hint="default" w:ascii="Arial Narrow" w:hAnsi="Arial Narrow" w:eastAsia="宋体" w:cs="Times New Roman"/>
                <w:sz w:val="21"/>
                <w:szCs w:val="21"/>
                <w:lang w:val="en-US" w:eastAsia="zh-CN" w:bidi="ar-SA"/>
              </w:rPr>
              <w:t xml:space="preserve">  TSP  </w:t>
            </w:r>
            <w:r>
              <w:rPr>
                <w:rFonts w:hint="default" w:ascii="Arial Narrow" w:hAnsi="宋体" w:eastAsia="宋体" w:cs="Times New Roman"/>
                <w:sz w:val="21"/>
                <w:szCs w:val="21"/>
                <w:lang w:val="en-US" w:eastAsia="zh-CN" w:bidi="ar-SA"/>
              </w:rPr>
              <w:t>）</w:t>
            </w:r>
          </w:p>
        </w:tc>
        <w:tc>
          <w:tcPr>
            <w:tcW w:w="1192" w:type="pct"/>
            <w:gridSpan w:val="7"/>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有组织废气监测</w:t>
            </w:r>
            <w:r>
              <w:rPr>
                <w:rFonts w:hint="default" w:ascii="Arial Narrow" w:hAnsi="Times New Roman" w:eastAsia="宋体" w:cs="Times New Roman"/>
                <w:sz w:val="21"/>
                <w:szCs w:val="21"/>
                <w:lang w:val="en-US" w:eastAsia="zh-CN" w:bidi="ar-SA"/>
              </w:rPr>
              <w:t xml:space="preserve"> □    </w:t>
            </w:r>
            <w:r>
              <w:rPr>
                <w:rFonts w:hint="default" w:ascii="Arial Narrow" w:hAnsi="Times New Roman" w:eastAsia="宋体" w:cs="Times New Roman"/>
                <w:sz w:val="21"/>
                <w:szCs w:val="21"/>
                <w:lang w:val="en-US" w:eastAsia="zh-CN" w:bidi="ar-SA"/>
              </w:rPr>
              <w:br w:type="textWrapping"/>
            </w:r>
            <w:r>
              <w:rPr>
                <w:rFonts w:hint="default" w:ascii="Arial Narrow" w:hAnsi="Arial Narrow" w:eastAsia="宋体" w:cs="Times New Roman"/>
                <w:sz w:val="21"/>
                <w:szCs w:val="21"/>
                <w:lang w:val="en-US" w:eastAsia="zh-CN" w:bidi="ar-SA"/>
              </w:rPr>
              <w:t>无组织废气监测</w:t>
            </w:r>
            <w:r>
              <w:rPr>
                <w:rFonts w:hint="default" w:ascii="Arial Narrow" w:hAnsi="Times New Roman" w:eastAsia="宋体" w:cs="Times New Roman"/>
                <w:sz w:val="21"/>
                <w:szCs w:val="21"/>
                <w:lang w:val="en-US" w:eastAsia="zh-CN" w:bidi="ar-SA"/>
              </w:rPr>
              <w:t>√</w:t>
            </w:r>
          </w:p>
        </w:tc>
        <w:tc>
          <w:tcPr>
            <w:tcW w:w="795" w:type="pct"/>
            <w:gridSpan w:val="2"/>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无监测</w:t>
            </w:r>
            <w:r>
              <w:rPr>
                <w:rFonts w:hint="default" w:ascii="Arial Narrow" w:hAnsi="Times New Roman"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环境质量监测</w:t>
            </w:r>
          </w:p>
        </w:tc>
        <w:tc>
          <w:tcPr>
            <w:tcW w:w="1671" w:type="pct"/>
            <w:gridSpan w:val="10"/>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监测因子：（</w:t>
            </w:r>
            <w:r>
              <w:rPr>
                <w:rFonts w:hint="default" w:ascii="Arial Narrow" w:hAnsi="Arial Narrow" w:eastAsia="宋体" w:cs="Times New Roman"/>
                <w:sz w:val="21"/>
                <w:szCs w:val="21"/>
                <w:lang w:val="en-US" w:eastAsia="zh-CN" w:bidi="ar-SA"/>
              </w:rPr>
              <w:t xml:space="preserve">             </w:t>
            </w:r>
            <w:r>
              <w:rPr>
                <w:rFonts w:hint="default" w:ascii="Arial Narrow" w:hAnsi="宋体" w:eastAsia="宋体" w:cs="Times New Roman"/>
                <w:sz w:val="21"/>
                <w:szCs w:val="21"/>
                <w:lang w:val="en-US" w:eastAsia="zh-CN" w:bidi="ar-SA"/>
              </w:rPr>
              <w:t>）</w:t>
            </w:r>
          </w:p>
        </w:tc>
        <w:tc>
          <w:tcPr>
            <w:tcW w:w="1192" w:type="pct"/>
            <w:gridSpan w:val="7"/>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监测点位数（</w:t>
            </w:r>
            <w:r>
              <w:rPr>
                <w:rFonts w:hint="default" w:ascii="Arial Narrow" w:hAnsi="Times New Roman" w:eastAsia="宋体" w:cs="Times New Roman"/>
                <w:sz w:val="21"/>
                <w:szCs w:val="21"/>
                <w:lang w:val="en-US" w:eastAsia="zh-CN" w:bidi="ar-SA"/>
              </w:rPr>
              <w:t xml:space="preserve">     </w:t>
            </w:r>
            <w:r>
              <w:rPr>
                <w:rFonts w:hint="default" w:ascii="Arial Narrow" w:hAnsi="Arial Narrow" w:eastAsia="宋体" w:cs="Times New Roman"/>
                <w:sz w:val="21"/>
                <w:szCs w:val="21"/>
                <w:lang w:val="en-US" w:eastAsia="zh-CN" w:bidi="ar-SA"/>
              </w:rPr>
              <w:t>）</w:t>
            </w:r>
          </w:p>
        </w:tc>
        <w:tc>
          <w:tcPr>
            <w:tcW w:w="795" w:type="pct"/>
            <w:gridSpan w:val="2"/>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无监测</w:t>
            </w:r>
            <w:r>
              <w:rPr>
                <w:rFonts w:hint="default" w:ascii="Arial Narrow" w:hAnsi="Times New Roman" w:eastAsia="宋体" w:cs="Times New Roman"/>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4" w:hRule="atLeast"/>
          <w:jc w:val="center"/>
        </w:trPr>
        <w:tc>
          <w:tcPr>
            <w:tcW w:w="459" w:type="pct"/>
            <w:vMerge w:val="restart"/>
            <w:tcBorders>
              <w:top w:val="single" w:color="auto" w:sz="6" w:space="0"/>
              <w:left w:val="single" w:color="auto" w:sz="12"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评价结论</w:t>
            </w: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环境影响</w:t>
            </w:r>
          </w:p>
        </w:tc>
        <w:tc>
          <w:tcPr>
            <w:tcW w:w="3660" w:type="pct"/>
            <w:gridSpan w:val="19"/>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可以接受</w:t>
            </w:r>
            <w:r>
              <w:rPr>
                <w:rFonts w:hint="default" w:ascii="Arial Narrow" w:hAnsi="Arial Narrow" w:eastAsia="宋体" w:cs="Times New Roman"/>
                <w:sz w:val="21"/>
                <w:szCs w:val="21"/>
                <w:lang w:val="en-US" w:eastAsia="zh-CN" w:bidi="ar-SA"/>
              </w:rPr>
              <w:t xml:space="preserve">√       </w:t>
            </w:r>
            <w:r>
              <w:rPr>
                <w:rFonts w:hint="default" w:ascii="Arial Narrow" w:hAnsi="宋体" w:eastAsia="宋体" w:cs="Times New Roman"/>
                <w:sz w:val="21"/>
                <w:szCs w:val="21"/>
                <w:lang w:val="en-US" w:eastAsia="zh-CN" w:bidi="ar-SA"/>
              </w:rPr>
              <w:t>不可以接受</w:t>
            </w:r>
            <w:r>
              <w:rPr>
                <w:rFonts w:hint="default" w:ascii="Arial Narrow" w:hAnsi="Arial Narrow" w:eastAsia="宋体" w:cs="Times New Roman"/>
                <w:sz w:val="21"/>
                <w:szCs w:val="21"/>
                <w:lang w:val="en-US" w:eastAsia="zh-CN" w:bidi="ar-SA"/>
              </w:rPr>
              <w:t xml:space="preserve">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8"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大气环境防护距离</w:t>
            </w:r>
          </w:p>
        </w:tc>
        <w:tc>
          <w:tcPr>
            <w:tcW w:w="3660" w:type="pct"/>
            <w:gridSpan w:val="19"/>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距（</w:t>
            </w:r>
            <w:r>
              <w:rPr>
                <w:rFonts w:hint="default" w:ascii="Arial Narrow" w:hAnsi="Arial Narrow" w:eastAsia="宋体" w:cs="Times New Roman"/>
                <w:sz w:val="21"/>
                <w:szCs w:val="21"/>
                <w:lang w:val="en-US" w:eastAsia="zh-CN" w:bidi="ar-SA"/>
              </w:rPr>
              <w:t xml:space="preserve">     </w:t>
            </w:r>
            <w:r>
              <w:rPr>
                <w:rFonts w:hint="default" w:ascii="Arial Narrow" w:hAnsi="宋体" w:eastAsia="宋体" w:cs="Times New Roman"/>
                <w:sz w:val="21"/>
                <w:szCs w:val="21"/>
                <w:lang w:val="en-US" w:eastAsia="zh-CN" w:bidi="ar-SA"/>
              </w:rPr>
              <w:t>）厂界最远（</w:t>
            </w:r>
            <w:r>
              <w:rPr>
                <w:rFonts w:hint="default" w:ascii="Arial Narrow" w:hAnsi="Arial Narrow" w:eastAsia="宋体" w:cs="Times New Roman"/>
                <w:sz w:val="21"/>
                <w:szCs w:val="21"/>
                <w:lang w:val="en-US" w:eastAsia="zh-CN" w:bidi="ar-SA"/>
              </w:rPr>
              <w:t xml:space="preserve">     </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241" w:hRule="atLeast"/>
          <w:jc w:val="center"/>
        </w:trPr>
        <w:tc>
          <w:tcPr>
            <w:tcW w:w="459" w:type="pct"/>
            <w:vMerge w:val="continue"/>
            <w:tcBorders>
              <w:top w:val="single" w:color="auto" w:sz="6" w:space="0"/>
              <w:left w:val="single" w:color="auto" w:sz="12" w:space="0"/>
              <w:bottom w:val="single" w:color="auto" w:sz="6" w:space="0"/>
              <w:right w:val="single" w:color="auto" w:sz="6" w:space="0"/>
            </w:tcBorders>
            <w:noWrap w:val="0"/>
            <w:vAlign w:val="center"/>
          </w:tcPr>
          <w:p>
            <w:pPr>
              <w:keepNext w:val="0"/>
              <w:keepLines w:val="0"/>
              <w:widowControl/>
              <w:suppressLineNumbers w:val="0"/>
              <w:autoSpaceDE/>
              <w:autoSpaceDN/>
              <w:spacing w:before="0" w:beforeAutospacing="0" w:after="0" w:afterAutospacing="0" w:line="300" w:lineRule="exact"/>
              <w:ind w:left="0" w:right="0" w:firstLine="360"/>
              <w:rPr>
                <w:rFonts w:hint="default" w:ascii="Times New Roman" w:hAnsi="Times New Roman" w:eastAsia="宋体" w:cs="Times New Roman"/>
                <w:kern w:val="2"/>
                <w:sz w:val="21"/>
                <w:szCs w:val="21"/>
                <w:lang w:eastAsia="zh-CN"/>
              </w:rPr>
            </w:pPr>
          </w:p>
        </w:tc>
        <w:tc>
          <w:tcPr>
            <w:tcW w:w="880" w:type="pct"/>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污染源年排放量</w:t>
            </w:r>
          </w:p>
        </w:tc>
        <w:tc>
          <w:tcPr>
            <w:tcW w:w="763" w:type="pct"/>
            <w:gridSpan w:val="4"/>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SO</w:t>
            </w:r>
            <w:r>
              <w:rPr>
                <w:rFonts w:hint="default" w:ascii="Arial Narrow" w:hAnsi="Arial Narrow" w:eastAsia="宋体" w:cs="Times New Roman"/>
                <w:sz w:val="21"/>
                <w:szCs w:val="21"/>
                <w:vertAlign w:val="subscript"/>
                <w:lang w:val="en-US" w:eastAsia="zh-CN" w:bidi="ar-SA"/>
              </w:rPr>
              <w:t>2</w:t>
            </w:r>
            <w:r>
              <w:rPr>
                <w:rFonts w:hint="default" w:ascii="Arial Narrow" w:hAnsi="Arial Narrow" w:eastAsia="宋体" w:cs="Times New Roman"/>
                <w:sz w:val="21"/>
                <w:szCs w:val="21"/>
                <w:lang w:val="en-US" w:eastAsia="zh-CN" w:bidi="ar-SA"/>
              </w:rPr>
              <w:t>:</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 xml:space="preserve">   </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t/a</w:t>
            </w:r>
          </w:p>
        </w:tc>
        <w:tc>
          <w:tcPr>
            <w:tcW w:w="1090" w:type="pct"/>
            <w:gridSpan w:val="7"/>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NO</w:t>
            </w:r>
            <w:r>
              <w:rPr>
                <w:rFonts w:hint="default" w:ascii="Arial Narrow" w:hAnsi="Arial Narrow" w:eastAsia="宋体" w:cs="Times New Roman"/>
                <w:sz w:val="21"/>
                <w:szCs w:val="21"/>
                <w:vertAlign w:val="subscript"/>
                <w:lang w:val="en-US" w:eastAsia="zh-CN" w:bidi="ar-SA"/>
              </w:rPr>
              <w:t>x</w:t>
            </w:r>
            <w:r>
              <w:rPr>
                <w:rFonts w:hint="default" w:ascii="Arial Narrow" w:hAnsi="Arial Narrow" w:eastAsia="宋体" w:cs="Times New Roman"/>
                <w:sz w:val="21"/>
                <w:szCs w:val="21"/>
                <w:lang w:val="en-US" w:eastAsia="zh-CN" w:bidi="ar-SA"/>
              </w:rPr>
              <w:t>:</w:t>
            </w:r>
            <w:r>
              <w:rPr>
                <w:rFonts w:hint="default" w:ascii="Arial Narrow" w:hAnsi="宋体" w:eastAsia="宋体" w:cs="Times New Roman"/>
                <w:sz w:val="21"/>
                <w:szCs w:val="21"/>
                <w:lang w:val="en-US" w:eastAsia="zh-CN" w:bidi="ar-SA"/>
              </w:rPr>
              <w:t>（</w:t>
            </w:r>
            <w:r>
              <w:rPr>
                <w:rFonts w:hint="eastAsia" w:ascii="Arial Narrow" w:hAnsi="宋体" w:eastAsia="宋体" w:cs="Times New Roman"/>
                <w:sz w:val="21"/>
                <w:szCs w:val="21"/>
                <w:lang w:val="en-US" w:eastAsia="zh-CN" w:bidi="ar-SA"/>
              </w:rPr>
              <w:t>29.07</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t/a</w:t>
            </w:r>
          </w:p>
        </w:tc>
        <w:tc>
          <w:tcPr>
            <w:tcW w:w="924" w:type="pct"/>
            <w:gridSpan w:val="5"/>
            <w:tcBorders>
              <w:top w:val="single" w:color="auto" w:sz="6" w:space="0"/>
              <w:left w:val="single" w:color="auto" w:sz="6" w:space="0"/>
              <w:bottom w:val="single" w:color="auto" w:sz="6" w:space="0"/>
              <w:right w:val="single" w:color="auto" w:sz="6"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宋体" w:eastAsia="宋体" w:cs="Times New Roman"/>
                <w:sz w:val="21"/>
                <w:szCs w:val="21"/>
                <w:lang w:val="en-US" w:eastAsia="zh-CN" w:bidi="ar-SA"/>
              </w:rPr>
              <w:t>颗粒物</w:t>
            </w:r>
            <w:r>
              <w:rPr>
                <w:rFonts w:hint="default" w:ascii="Arial Narrow" w:hAnsi="Arial Narrow" w:eastAsia="宋体" w:cs="Times New Roman"/>
                <w:sz w:val="21"/>
                <w:szCs w:val="21"/>
                <w:lang w:val="en-US" w:eastAsia="zh-CN" w:bidi="ar-SA"/>
              </w:rPr>
              <w:t>:</w:t>
            </w:r>
            <w:r>
              <w:rPr>
                <w:rFonts w:hint="default" w:ascii="Arial Narrow" w:hAnsi="宋体" w:eastAsia="宋体" w:cs="Times New Roman"/>
                <w:sz w:val="21"/>
                <w:szCs w:val="21"/>
                <w:lang w:val="en-US" w:eastAsia="zh-CN" w:bidi="ar-SA"/>
              </w:rPr>
              <w:t>（</w:t>
            </w:r>
            <w:r>
              <w:rPr>
                <w:rFonts w:hint="eastAsia" w:ascii="Arial Narrow" w:hAnsi="宋体" w:eastAsia="宋体" w:cs="Times New Roman"/>
                <w:sz w:val="21"/>
                <w:szCs w:val="21"/>
                <w:lang w:val="en-US" w:eastAsia="zh-CN" w:bidi="ar-SA"/>
              </w:rPr>
              <w:t>0.10</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t/a</w:t>
            </w:r>
          </w:p>
        </w:tc>
        <w:tc>
          <w:tcPr>
            <w:tcW w:w="881" w:type="pct"/>
            <w:gridSpan w:val="3"/>
            <w:tcBorders>
              <w:top w:val="single" w:color="auto" w:sz="6" w:space="0"/>
              <w:left w:val="single" w:color="auto" w:sz="6" w:space="0"/>
              <w:bottom w:val="single" w:color="auto" w:sz="6"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Arial Narrow"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VOC</w:t>
            </w:r>
            <w:r>
              <w:rPr>
                <w:rFonts w:hint="default" w:ascii="Arial Narrow" w:hAnsi="Arial Narrow" w:eastAsia="宋体" w:cs="Times New Roman"/>
                <w:sz w:val="21"/>
                <w:szCs w:val="21"/>
                <w:vertAlign w:val="subscript"/>
                <w:lang w:val="en-US" w:eastAsia="zh-CN" w:bidi="ar-SA"/>
              </w:rPr>
              <w:t>s</w:t>
            </w:r>
            <w:r>
              <w:rPr>
                <w:rFonts w:hint="default" w:ascii="Arial Narrow" w:hAnsi="Arial Narrow" w:eastAsia="宋体" w:cs="Times New Roman"/>
                <w:sz w:val="21"/>
                <w:szCs w:val="21"/>
                <w:lang w:val="en-US" w:eastAsia="zh-CN" w:bidi="ar-SA"/>
              </w:rPr>
              <w:t>:</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 xml:space="preserve">   </w:t>
            </w:r>
            <w:r>
              <w:rPr>
                <w:rFonts w:hint="default" w:ascii="Arial Narrow" w:hAnsi="宋体"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11" w:hRule="atLeast"/>
          <w:jc w:val="center"/>
        </w:trPr>
        <w:tc>
          <w:tcPr>
            <w:tcW w:w="5000" w:type="pct"/>
            <w:gridSpan w:val="21"/>
            <w:tcBorders>
              <w:top w:val="single" w:color="auto" w:sz="6" w:space="0"/>
              <w:left w:val="single" w:color="auto" w:sz="12" w:space="0"/>
              <w:bottom w:val="single" w:color="auto" w:sz="12" w:space="0"/>
              <w:right w:val="single" w:color="auto" w:sz="12" w:space="0"/>
            </w:tcBorders>
            <w:noWrap w:val="0"/>
            <w:vAlign w:val="center"/>
          </w:tcPr>
          <w:p>
            <w:pPr>
              <w:keepNext w:val="0"/>
              <w:keepLines w:val="0"/>
              <w:suppressLineNumbers w:val="0"/>
              <w:spacing w:before="31" w:beforeAutospacing="0" w:after="31" w:afterAutospacing="0" w:line="300" w:lineRule="exact"/>
              <w:ind w:left="-2" w:right="0"/>
              <w:jc w:val="center"/>
              <w:rPr>
                <w:rFonts w:hint="default" w:ascii="Arial Narrow" w:hAnsi="Times New Roman" w:eastAsia="宋体" w:cs="Times New Roman"/>
                <w:kern w:val="2"/>
                <w:sz w:val="21"/>
                <w:szCs w:val="21"/>
                <w:lang w:val="en-US" w:eastAsia="zh-CN" w:bidi="ar-SA"/>
              </w:rPr>
            </w:pPr>
            <w:r>
              <w:rPr>
                <w:rFonts w:hint="default" w:ascii="Arial Narrow" w:hAnsi="Arial Narrow" w:eastAsia="宋体" w:cs="Times New Roman"/>
                <w:sz w:val="21"/>
                <w:szCs w:val="21"/>
                <w:lang w:val="en-US" w:eastAsia="zh-CN" w:bidi="ar-SA"/>
              </w:rPr>
              <w:t>注：</w:t>
            </w:r>
            <w:r>
              <w:rPr>
                <w:rFonts w:hint="default" w:ascii="Arial Narrow" w:hAnsi="Times New Roman" w:eastAsia="宋体" w:cs="Times New Roman"/>
                <w:sz w:val="21"/>
                <w:szCs w:val="21"/>
                <w:lang w:val="en-US" w:eastAsia="zh-CN" w:bidi="ar-SA"/>
              </w:rPr>
              <w:t xml:space="preserve">“□” </w:t>
            </w:r>
            <w:r>
              <w:rPr>
                <w:rFonts w:hint="default" w:ascii="Arial Narrow" w:hAnsi="Arial Narrow" w:eastAsia="宋体" w:cs="Times New Roman"/>
                <w:sz w:val="21"/>
                <w:szCs w:val="21"/>
                <w:lang w:val="en-US" w:eastAsia="zh-CN" w:bidi="ar-SA"/>
              </w:rPr>
              <w:t>为勾选项</w:t>
            </w:r>
            <w:r>
              <w:rPr>
                <w:rFonts w:hint="default" w:ascii="Arial Narrow" w:hAnsi="Times New Roman" w:eastAsia="宋体" w:cs="Times New Roman"/>
                <w:sz w:val="21"/>
                <w:szCs w:val="21"/>
                <w:lang w:val="en-US" w:eastAsia="zh-CN" w:bidi="ar-SA"/>
              </w:rPr>
              <w:t xml:space="preserve"> </w:t>
            </w:r>
            <w:r>
              <w:rPr>
                <w:rFonts w:hint="default" w:ascii="Arial Narrow" w:hAnsi="Arial Narrow" w:eastAsia="宋体" w:cs="Times New Roman"/>
                <w:sz w:val="21"/>
                <w:szCs w:val="21"/>
                <w:lang w:val="en-US" w:eastAsia="zh-CN" w:bidi="ar-SA"/>
              </w:rPr>
              <w:t>，填</w:t>
            </w:r>
            <w:r>
              <w:rPr>
                <w:rFonts w:hint="default" w:ascii="Arial Narrow" w:hAnsi="Times New Roman" w:eastAsia="宋体" w:cs="Times New Roman"/>
                <w:sz w:val="21"/>
                <w:szCs w:val="21"/>
                <w:lang w:val="en-US" w:eastAsia="zh-CN" w:bidi="ar-SA"/>
              </w:rPr>
              <w:t xml:space="preserve">“√” </w:t>
            </w:r>
            <w:r>
              <w:rPr>
                <w:rFonts w:hint="default" w:ascii="Arial Narrow" w:hAnsi="Arial Narrow" w:eastAsia="宋体" w:cs="Times New Roman"/>
                <w:sz w:val="21"/>
                <w:szCs w:val="21"/>
                <w:lang w:val="en-US" w:eastAsia="zh-CN" w:bidi="ar-SA"/>
              </w:rPr>
              <w:t>；</w:t>
            </w:r>
            <w:r>
              <w:rPr>
                <w:rFonts w:hint="default" w:ascii="Arial Narrow" w:hAnsi="Times New Roman" w:eastAsia="宋体" w:cs="Times New Roman"/>
                <w:sz w:val="21"/>
                <w:szCs w:val="21"/>
                <w:lang w:val="en-US" w:eastAsia="zh-CN" w:bidi="ar-SA"/>
              </w:rPr>
              <w:t>“</w:t>
            </w:r>
            <w:r>
              <w:rPr>
                <w:rFonts w:hint="default" w:ascii="Arial Narrow" w:hAnsi="Arial Narrow" w:eastAsia="宋体" w:cs="Times New Roman"/>
                <w:sz w:val="21"/>
                <w:szCs w:val="21"/>
                <w:lang w:val="en-US" w:eastAsia="zh-CN" w:bidi="ar-SA"/>
              </w:rPr>
              <w:t>（</w:t>
            </w:r>
            <w:r>
              <w:rPr>
                <w:rFonts w:hint="default" w:ascii="Arial Narrow" w:hAnsi="Times New Roman" w:eastAsia="宋体" w:cs="Times New Roman"/>
                <w:sz w:val="21"/>
                <w:szCs w:val="21"/>
                <w:lang w:val="en-US" w:eastAsia="zh-CN" w:bidi="ar-SA"/>
              </w:rPr>
              <w:t xml:space="preserve">   </w:t>
            </w:r>
            <w:r>
              <w:rPr>
                <w:rFonts w:hint="default" w:ascii="Arial Narrow" w:hAnsi="Arial Narrow" w:eastAsia="宋体" w:cs="Times New Roman"/>
                <w:sz w:val="21"/>
                <w:szCs w:val="21"/>
                <w:lang w:val="en-US" w:eastAsia="zh-CN" w:bidi="ar-SA"/>
              </w:rPr>
              <w:t>）</w:t>
            </w:r>
            <w:r>
              <w:rPr>
                <w:rFonts w:hint="default" w:ascii="Arial Narrow" w:hAnsi="Times New Roman" w:eastAsia="宋体" w:cs="Times New Roman"/>
                <w:sz w:val="21"/>
                <w:szCs w:val="21"/>
                <w:lang w:val="en-US" w:eastAsia="zh-CN" w:bidi="ar-SA"/>
              </w:rPr>
              <w:t xml:space="preserve">” </w:t>
            </w:r>
            <w:r>
              <w:rPr>
                <w:rFonts w:hint="default" w:ascii="Arial Narrow" w:hAnsi="Arial Narrow" w:eastAsia="宋体" w:cs="Times New Roman"/>
                <w:sz w:val="21"/>
                <w:szCs w:val="21"/>
                <w:lang w:val="en-US" w:eastAsia="zh-CN" w:bidi="ar-SA"/>
              </w:rPr>
              <w:t>为内容填写项</w:t>
            </w:r>
          </w:p>
        </w:tc>
      </w:tr>
    </w:tbl>
    <w:p>
      <w:pPr>
        <w:pStyle w:val="6"/>
        <w:rPr>
          <w:rFonts w:hint="eastAsia" w:ascii="宋体" w:hAnsi="宋体" w:eastAsia="宋体" w:cs="宋体"/>
          <w:lang w:eastAsia="zh-CN"/>
        </w:rPr>
      </w:pPr>
      <w:bookmarkStart w:id="157" w:name="_Toc1691"/>
      <w:bookmarkStart w:id="158" w:name="_Toc9143"/>
      <w:r>
        <w:rPr>
          <w:rFonts w:hint="eastAsia" w:ascii="宋体" w:hAnsi="宋体" w:eastAsia="宋体" w:cs="宋体"/>
          <w:lang w:eastAsia="zh-CN"/>
        </w:rPr>
        <w:t>6.3 运营期地表水环境影响分析</w:t>
      </w:r>
      <w:bookmarkEnd w:id="157"/>
      <w:bookmarkEnd w:id="158"/>
    </w:p>
    <w:p>
      <w:pPr>
        <w:pStyle w:val="7"/>
        <w:rPr>
          <w:rFonts w:hint="eastAsia" w:ascii="宋体" w:hAnsi="宋体" w:eastAsia="宋体" w:cs="宋体"/>
          <w:lang w:eastAsia="zh-CN"/>
        </w:rPr>
      </w:pPr>
      <w:r>
        <w:rPr>
          <w:rFonts w:hint="eastAsia" w:ascii="宋体" w:hAnsi="宋体" w:eastAsia="宋体" w:cs="宋体"/>
          <w:lang w:eastAsia="zh-CN"/>
        </w:rPr>
        <w:t>6.3.1 环境影响识别与评价因子筛选</w:t>
      </w:r>
    </w:p>
    <w:p>
      <w:pPr>
        <w:pStyle w:val="16"/>
        <w:ind w:firstLine="560"/>
        <w:rPr>
          <w:rFonts w:hint="eastAsia" w:ascii="宋体" w:hAnsi="宋体" w:eastAsia="宋体" w:cs="宋体"/>
        </w:rPr>
      </w:pPr>
      <w:r>
        <w:rPr>
          <w:rFonts w:hint="eastAsia" w:ascii="宋体" w:hAnsi="宋体" w:eastAsia="宋体" w:cs="宋体"/>
        </w:rPr>
        <w:t>根据《环境影响评价技术导则 地表水环境》（HJ 2.3-2018）要求，对地表水环境影响因素进行识别，筛选评价因子，</w:t>
      </w:r>
      <w:r>
        <w:rPr>
          <w:rFonts w:hint="eastAsia" w:ascii="宋体" w:hAnsi="宋体" w:cs="宋体"/>
          <w:lang w:eastAsia="zh-CN"/>
        </w:rPr>
        <w:t>本项目</w:t>
      </w:r>
      <w:r>
        <w:rPr>
          <w:rFonts w:hint="eastAsia" w:ascii="宋体" w:hAnsi="宋体" w:eastAsia="宋体" w:cs="宋体"/>
        </w:rPr>
        <w:t>无废水外排。</w:t>
      </w:r>
    </w:p>
    <w:p>
      <w:pPr>
        <w:pStyle w:val="7"/>
        <w:rPr>
          <w:rFonts w:hint="eastAsia" w:ascii="宋体" w:hAnsi="宋体" w:eastAsia="宋体" w:cs="宋体"/>
          <w:lang w:eastAsia="zh-CN"/>
        </w:rPr>
      </w:pPr>
      <w:r>
        <w:rPr>
          <w:rFonts w:hint="eastAsia" w:ascii="宋体" w:hAnsi="宋体" w:eastAsia="宋体" w:cs="宋体"/>
          <w:lang w:eastAsia="zh-CN"/>
        </w:rPr>
        <w:t>6.3.2 评价等级确定</w:t>
      </w:r>
    </w:p>
    <w:p>
      <w:pPr>
        <w:pStyle w:val="16"/>
        <w:ind w:firstLine="560"/>
        <w:rPr>
          <w:rFonts w:hint="eastAsia" w:ascii="宋体" w:hAnsi="宋体" w:eastAsia="宋体" w:cs="宋体"/>
        </w:rPr>
      </w:pPr>
      <w:r>
        <w:rPr>
          <w:rFonts w:hint="eastAsia" w:ascii="宋体" w:hAnsi="宋体" w:eastAsia="宋体" w:cs="宋体"/>
        </w:rPr>
        <w:t>根据《环境影响评价技术导则 地表水环境》(HJ 2.3-2018)，建设项目地表水环境影响评价等级按照影响类型、排放方式、排放量或影响情况、受纳水体的环境质量现状、水环境保护目标等综合确定，直接排放建设项目评价等级分为一级、二级和三级A，间接排放建设项目评价等级为三级B。</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无废水外排。按照《环境影响评价技术导则 地表水环境》(HJ 2.3-2018)中规定的等级划分方法，确定地表水环境影响评价等级为三级B。</w:t>
      </w:r>
    </w:p>
    <w:p>
      <w:pPr>
        <w:pStyle w:val="7"/>
        <w:rPr>
          <w:rFonts w:hint="eastAsia" w:ascii="宋体" w:hAnsi="宋体" w:eastAsia="宋体" w:cs="宋体"/>
          <w:lang w:eastAsia="zh-CN"/>
        </w:rPr>
      </w:pPr>
      <w:r>
        <w:rPr>
          <w:rFonts w:hint="eastAsia" w:ascii="宋体" w:hAnsi="宋体" w:eastAsia="宋体" w:cs="宋体"/>
          <w:lang w:eastAsia="zh-CN"/>
        </w:rPr>
        <w:t>6.3.3 对地表水的影响分析</w:t>
      </w:r>
    </w:p>
    <w:p>
      <w:pPr>
        <w:pStyle w:val="8"/>
        <w:rPr>
          <w:rFonts w:hint="eastAsia" w:ascii="宋体" w:hAnsi="宋体" w:eastAsia="宋体" w:cs="宋体"/>
          <w:lang w:eastAsia="zh-CN"/>
        </w:rPr>
      </w:pPr>
      <w:r>
        <w:rPr>
          <w:rFonts w:hint="eastAsia" w:ascii="宋体" w:hAnsi="宋体" w:eastAsia="宋体" w:cs="宋体"/>
          <w:lang w:eastAsia="zh-CN"/>
        </w:rPr>
        <w:t>6.3.3.1 正常工况影响分析</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废水主要为矿井涌水。</w:t>
      </w:r>
    </w:p>
    <w:p>
      <w:pPr>
        <w:pStyle w:val="16"/>
        <w:ind w:firstLine="560"/>
        <w:rPr>
          <w:rFonts w:hint="eastAsia" w:ascii="宋体" w:hAnsi="宋体" w:eastAsia="宋体" w:cs="宋体"/>
        </w:rPr>
      </w:pPr>
      <w:r>
        <w:rPr>
          <w:rFonts w:hint="eastAsia" w:ascii="宋体" w:hAnsi="宋体" w:eastAsia="宋体" w:cs="宋体"/>
        </w:rPr>
        <w:t>根据本报告表2.2.6-2监测数据可知，矿井涌水水质除氟化物（与地质有关）外，其余指标均满足《地表水环境质量标准》（GB 3838-20</w:t>
      </w:r>
      <w:r>
        <w:rPr>
          <w:rFonts w:hint="eastAsia" w:ascii="宋体" w:hAnsi="宋体" w:cs="宋体"/>
          <w:lang w:val="en-US" w:eastAsia="zh-CN"/>
        </w:rPr>
        <w:t>02</w:t>
      </w:r>
      <w:r>
        <w:rPr>
          <w:rFonts w:hint="eastAsia" w:ascii="宋体" w:hAnsi="宋体" w:eastAsia="宋体" w:cs="宋体"/>
        </w:rPr>
        <w:t>）Ⅲ类标准，水质较好。矿井涌水全部回用于企业用水。</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矿井涌水产生量为4088.6m</w:t>
      </w:r>
      <w:r>
        <w:rPr>
          <w:rFonts w:hint="eastAsia" w:ascii="宋体" w:hAnsi="宋体" w:eastAsia="宋体" w:cs="宋体"/>
          <w:vertAlign w:val="superscript"/>
        </w:rPr>
        <w:t>3</w:t>
      </w:r>
      <w:r>
        <w:rPr>
          <w:rFonts w:hint="eastAsia" w:ascii="宋体" w:hAnsi="宋体" w:eastAsia="宋体" w:cs="宋体"/>
        </w:rPr>
        <w:t>/d，汇同上河矿段涌水量3040.25m</w:t>
      </w:r>
      <w:r>
        <w:rPr>
          <w:rFonts w:hint="eastAsia" w:ascii="宋体" w:hAnsi="宋体" w:eastAsia="宋体" w:cs="宋体"/>
          <w:vertAlign w:val="superscript"/>
        </w:rPr>
        <w:t>3</w:t>
      </w:r>
      <w:r>
        <w:rPr>
          <w:rFonts w:hint="eastAsia" w:ascii="宋体" w:hAnsi="宋体" w:eastAsia="宋体" w:cs="宋体"/>
        </w:rPr>
        <w:t>/d，共计7128.85m</w:t>
      </w:r>
      <w:r>
        <w:rPr>
          <w:rFonts w:hint="eastAsia" w:ascii="宋体" w:hAnsi="宋体" w:eastAsia="宋体" w:cs="宋体"/>
          <w:vertAlign w:val="superscript"/>
        </w:rPr>
        <w:t>3</w:t>
      </w:r>
      <w:r>
        <w:rPr>
          <w:rFonts w:hint="eastAsia" w:ascii="宋体" w:hAnsi="宋体" w:eastAsia="宋体" w:cs="宋体"/>
        </w:rPr>
        <w:t>/d。矿井涌水由井下水仓经泵提升至涌水池，经沉淀处理后用于井下凿岩，不外排。</w:t>
      </w:r>
    </w:p>
    <w:p>
      <w:pPr>
        <w:pStyle w:val="16"/>
        <w:ind w:firstLine="560"/>
        <w:rPr>
          <w:rFonts w:hint="eastAsia" w:ascii="宋体" w:hAnsi="宋体" w:eastAsia="宋体" w:cs="宋体"/>
        </w:rPr>
      </w:pPr>
      <w:r>
        <w:rPr>
          <w:rFonts w:hint="eastAsia" w:ascii="宋体" w:hAnsi="宋体" w:eastAsia="宋体" w:cs="宋体"/>
        </w:rPr>
        <w:t>综上所述，正常情况下，</w:t>
      </w:r>
      <w:r>
        <w:rPr>
          <w:rFonts w:hint="eastAsia" w:ascii="宋体" w:hAnsi="宋体" w:cs="宋体"/>
          <w:lang w:eastAsia="zh-CN"/>
        </w:rPr>
        <w:t>本项目</w:t>
      </w:r>
      <w:r>
        <w:rPr>
          <w:rFonts w:hint="eastAsia" w:ascii="宋体" w:hAnsi="宋体" w:eastAsia="宋体" w:cs="宋体"/>
        </w:rPr>
        <w:t>废水全部综合利用，可以实现零排放，对周边水环境影响较小。</w:t>
      </w:r>
    </w:p>
    <w:p>
      <w:pPr>
        <w:pStyle w:val="8"/>
        <w:rPr>
          <w:rFonts w:hint="eastAsia" w:ascii="宋体" w:hAnsi="宋体" w:eastAsia="宋体" w:cs="宋体"/>
          <w:lang w:eastAsia="zh-CN"/>
        </w:rPr>
      </w:pPr>
      <w:r>
        <w:rPr>
          <w:rFonts w:hint="eastAsia" w:ascii="宋体" w:hAnsi="宋体" w:eastAsia="宋体" w:cs="宋体"/>
          <w:lang w:eastAsia="zh-CN"/>
        </w:rPr>
        <w:t>6.3.3.2 非正常工况影响分析</w:t>
      </w:r>
    </w:p>
    <w:p>
      <w:pPr>
        <w:pStyle w:val="16"/>
        <w:ind w:firstLine="560"/>
        <w:rPr>
          <w:rFonts w:hint="eastAsia" w:ascii="宋体" w:hAnsi="宋体" w:eastAsia="宋体" w:cs="宋体"/>
        </w:rPr>
      </w:pPr>
      <w:r>
        <w:rPr>
          <w:rFonts w:hint="eastAsia" w:ascii="宋体" w:hAnsi="宋体" w:eastAsia="宋体" w:cs="宋体"/>
        </w:rPr>
        <w:t>选矿厂检修时，矿井涌水临时储存于井下水仓和涌水池。经与建设单位核实，选矿厂检修一般为1天，矿区涌水量为7128.85m</w:t>
      </w:r>
      <w:r>
        <w:rPr>
          <w:rFonts w:hint="eastAsia" w:ascii="宋体" w:hAnsi="宋体" w:eastAsia="宋体" w:cs="宋体"/>
          <w:vertAlign w:val="superscript"/>
        </w:rPr>
        <w:t>3</w:t>
      </w:r>
      <w:r>
        <w:rPr>
          <w:rFonts w:hint="eastAsia" w:ascii="宋体" w:hAnsi="宋体" w:eastAsia="宋体" w:cs="宋体"/>
        </w:rPr>
        <w:t>/d。上河矿段-50m两条水仓（容积：2900m</w:t>
      </w:r>
      <w:r>
        <w:rPr>
          <w:rFonts w:hint="eastAsia" w:ascii="宋体" w:hAnsi="宋体" w:eastAsia="宋体" w:cs="宋体"/>
          <w:vertAlign w:val="superscript"/>
        </w:rPr>
        <w:t>3</w:t>
      </w:r>
      <w:r>
        <w:rPr>
          <w:rFonts w:hint="eastAsia" w:ascii="宋体" w:hAnsi="宋体" w:eastAsia="宋体" w:cs="宋体"/>
        </w:rPr>
        <w:t>）、王峪矿段-50m两条水仓（容积：2280m</w:t>
      </w:r>
      <w:r>
        <w:rPr>
          <w:rFonts w:hint="eastAsia" w:ascii="宋体" w:hAnsi="宋体" w:eastAsia="宋体" w:cs="宋体"/>
          <w:vertAlign w:val="superscript"/>
        </w:rPr>
        <w:t>3</w:t>
      </w:r>
      <w:r>
        <w:rPr>
          <w:rFonts w:hint="eastAsia" w:ascii="宋体" w:hAnsi="宋体" w:eastAsia="宋体" w:cs="宋体"/>
        </w:rPr>
        <w:t>）及地表涌水池（容积：20000m</w:t>
      </w:r>
      <w:r>
        <w:rPr>
          <w:rFonts w:hint="eastAsia" w:ascii="宋体" w:hAnsi="宋体" w:eastAsia="宋体" w:cs="宋体"/>
          <w:vertAlign w:val="superscript"/>
        </w:rPr>
        <w:t>3</w:t>
      </w:r>
      <w:r>
        <w:rPr>
          <w:rFonts w:hint="eastAsia" w:ascii="宋体" w:hAnsi="宋体" w:eastAsia="宋体" w:cs="宋体"/>
        </w:rPr>
        <w:t>）可用于矿区涌水暂存，能够暂存矿井涌水1天的量。</w:t>
      </w:r>
    </w:p>
    <w:p>
      <w:pPr>
        <w:pStyle w:val="7"/>
        <w:rPr>
          <w:rFonts w:hint="eastAsia" w:ascii="宋体" w:hAnsi="宋体" w:eastAsia="宋体" w:cs="宋体"/>
          <w:lang w:eastAsia="zh-CN"/>
        </w:rPr>
      </w:pPr>
      <w:bookmarkStart w:id="159" w:name="_Toc7078652"/>
      <w:r>
        <w:rPr>
          <w:rFonts w:hint="eastAsia" w:ascii="宋体" w:hAnsi="宋体" w:eastAsia="宋体" w:cs="宋体"/>
          <w:lang w:eastAsia="zh-CN"/>
        </w:rPr>
        <w:t xml:space="preserve">6.3.4 </w:t>
      </w:r>
      <w:bookmarkEnd w:id="159"/>
      <w:r>
        <w:rPr>
          <w:rFonts w:hint="eastAsia" w:ascii="宋体" w:hAnsi="宋体" w:eastAsia="宋体" w:cs="宋体"/>
          <w:lang w:eastAsia="zh-CN"/>
        </w:rPr>
        <w:t>小结</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废水不外排，矿井涌水水质除氟化物（与地质有关）外，其余指标均满足《地表水环境质量标准》（GB 3838-20</w:t>
      </w:r>
      <w:r>
        <w:rPr>
          <w:rFonts w:hint="eastAsia" w:cs="宋体"/>
          <w:lang w:val="en-US" w:eastAsia="zh-CN"/>
        </w:rPr>
        <w:t>02</w:t>
      </w:r>
      <w:r>
        <w:rPr>
          <w:rFonts w:hint="eastAsia" w:ascii="宋体" w:hAnsi="宋体" w:eastAsia="宋体" w:cs="宋体"/>
          <w:lang w:eastAsia="zh-CN"/>
        </w:rPr>
        <w:t>）Ⅲ类标准，水质较好。</w:t>
      </w:r>
    </w:p>
    <w:p>
      <w:pPr>
        <w:ind w:firstLine="560"/>
        <w:rPr>
          <w:rFonts w:hint="eastAsia" w:ascii="宋体" w:hAnsi="宋体" w:eastAsia="宋体" w:cs="宋体"/>
          <w:lang w:eastAsia="zh-CN"/>
        </w:rPr>
      </w:pPr>
      <w:r>
        <w:rPr>
          <w:rFonts w:hint="eastAsia" w:ascii="宋体" w:hAnsi="宋体" w:eastAsia="宋体" w:cs="宋体"/>
          <w:lang w:eastAsia="zh-CN"/>
        </w:rPr>
        <w:t>矿井涌水正常情况下全部综合利用，不外排；非正常情况下，由上河矿段-50m两条水仓（容积：2900m</w:t>
      </w:r>
      <w:r>
        <w:rPr>
          <w:rFonts w:hint="eastAsia" w:ascii="宋体" w:hAnsi="宋体" w:eastAsia="宋体" w:cs="宋体"/>
          <w:vertAlign w:val="superscript"/>
          <w:lang w:eastAsia="zh-CN"/>
        </w:rPr>
        <w:t>3</w:t>
      </w:r>
      <w:r>
        <w:rPr>
          <w:rFonts w:hint="eastAsia" w:ascii="宋体" w:hAnsi="宋体" w:eastAsia="宋体" w:cs="宋体"/>
          <w:lang w:eastAsia="zh-CN"/>
        </w:rPr>
        <w:t>）、王峪矿段-50m两条水仓（容积：2280m</w:t>
      </w:r>
      <w:r>
        <w:rPr>
          <w:rFonts w:hint="eastAsia" w:ascii="宋体" w:hAnsi="宋体" w:eastAsia="宋体" w:cs="宋体"/>
          <w:vertAlign w:val="superscript"/>
          <w:lang w:eastAsia="zh-CN"/>
        </w:rPr>
        <w:t>3</w:t>
      </w:r>
      <w:r>
        <w:rPr>
          <w:rFonts w:hint="eastAsia" w:ascii="宋体" w:hAnsi="宋体" w:eastAsia="宋体" w:cs="宋体"/>
          <w:lang w:eastAsia="zh-CN"/>
        </w:rPr>
        <w:t>）及地表涌水池（容积：20000m</w:t>
      </w:r>
      <w:r>
        <w:rPr>
          <w:rFonts w:hint="eastAsia" w:ascii="宋体" w:hAnsi="宋体" w:eastAsia="宋体" w:cs="宋体"/>
          <w:vertAlign w:val="superscript"/>
          <w:lang w:eastAsia="zh-CN"/>
        </w:rPr>
        <w:t>3</w:t>
      </w:r>
      <w:r>
        <w:rPr>
          <w:rFonts w:hint="eastAsia" w:ascii="宋体" w:hAnsi="宋体" w:eastAsia="宋体" w:cs="宋体"/>
          <w:lang w:eastAsia="zh-CN"/>
        </w:rPr>
        <w:t>）暂存，确保涌水不外排；选矿废水循环使用不外排；生活废水经处理后完全回用不外排。</w:t>
      </w:r>
      <w:r>
        <w:rPr>
          <w:rFonts w:hint="eastAsia" w:cs="宋体"/>
          <w:lang w:eastAsia="zh-CN"/>
        </w:rPr>
        <w:t>本项目</w:t>
      </w:r>
      <w:r>
        <w:rPr>
          <w:rFonts w:hint="eastAsia" w:ascii="宋体" w:hAnsi="宋体" w:eastAsia="宋体" w:cs="宋体"/>
          <w:lang w:eastAsia="zh-CN"/>
        </w:rPr>
        <w:t>废水均能得到有效处理，对周边地表水环境影响较小。</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无废水排入外环境，不需要进行污染源排放量核算。地表水环境影响评价自查表见表6.2.4-1。</w:t>
      </w:r>
    </w:p>
    <w:p>
      <w:pPr>
        <w:pStyle w:val="2"/>
        <w:ind w:firstLine="560"/>
        <w:rPr>
          <w:rFonts w:hint="eastAsia" w:ascii="宋体" w:hAnsi="宋体" w:eastAsia="宋体" w:cs="宋体"/>
          <w:lang w:eastAsia="zh-CN"/>
        </w:rPr>
      </w:pPr>
    </w:p>
    <w:p>
      <w:pPr>
        <w:ind w:firstLine="560"/>
        <w:rPr>
          <w:rFonts w:hint="eastAsia" w:ascii="宋体" w:hAnsi="宋体" w:eastAsia="宋体" w:cs="宋体"/>
          <w:lang w:eastAsia="zh-CN"/>
        </w:rPr>
        <w:sectPr>
          <w:footerReference r:id="rId73" w:type="default"/>
          <w:footerReference r:id="rId74" w:type="even"/>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adjustRightInd w:val="0"/>
        <w:spacing w:line="240" w:lineRule="auto"/>
        <w:ind w:firstLine="48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表6.3.4-1 地表水环境影响评价自查表</w:t>
      </w:r>
    </w:p>
    <w:tbl>
      <w:tblPr>
        <w:tblStyle w:val="24"/>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42"/>
        <w:gridCol w:w="296"/>
        <w:gridCol w:w="1539"/>
        <w:gridCol w:w="2854"/>
        <w:gridCol w:w="925"/>
        <w:gridCol w:w="532"/>
        <w:gridCol w:w="741"/>
        <w:gridCol w:w="339"/>
        <w:gridCol w:w="2152"/>
        <w:gridCol w:w="274"/>
        <w:gridCol w:w="464"/>
        <w:gridCol w:w="1476"/>
        <w:gridCol w:w="1011"/>
        <w:gridCol w:w="244"/>
        <w:gridCol w:w="11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blHeader/>
          <w:jc w:val="center"/>
        </w:trPr>
        <w:tc>
          <w:tcPr>
            <w:tcW w:w="2277"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工作内容</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738" w:type="dxa"/>
            <w:gridSpan w:val="2"/>
            <w:vMerge w:val="restart"/>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影响识别</w:t>
            </w:r>
          </w:p>
        </w:tc>
        <w:tc>
          <w:tcPr>
            <w:tcW w:w="1539" w:type="dxa"/>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影响类型</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水污染影响型√；水文要素影响型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539" w:type="dxa"/>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水环境保护目标</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饮用水水源保护区 □；饮用水取水口；涉水的自然保护区 □；重要湿地 □；重点保护与珍稀水生生物的栖息地 □；重要水生生物的自然产卵场及索饵场、越冬场和洄游通道、天然渔场等渔业水体 □；涉水的风景名胜区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539" w:type="dxa"/>
            <w:vMerge w:val="restart"/>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影响途径</w:t>
            </w: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水污染影响型</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539"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直接排放 □；间接排放 □；其他√</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水温 □；径流 □；水域面积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539" w:type="dxa"/>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影响因子</w:t>
            </w: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持久性污染物 □；有毒有害污染物 □；非持久性污染物 □；pH值 □；热污染 □；富营养化 □；其他 □</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水温 □；水位（水深） □；流速 □；流量 □；其他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77" w:type="dxa"/>
            <w:gridSpan w:val="3"/>
            <w:vMerge w:val="restart"/>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评价等级</w:t>
            </w: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水污染影响型</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水文要素影响型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77" w:type="dxa"/>
            <w:gridSpan w:val="3"/>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一级 □；二级 □；三级A □；三级B √</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一级 □；二级 □；三级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restart"/>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现状调查</w:t>
            </w: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区域污染源</w:t>
            </w:r>
          </w:p>
        </w:tc>
        <w:tc>
          <w:tcPr>
            <w:tcW w:w="3779" w:type="dxa"/>
            <w:gridSpan w:val="2"/>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已建 □；在建 □；拟建 □；其他 □</w:t>
            </w:r>
          </w:p>
        </w:tc>
        <w:tc>
          <w:tcPr>
            <w:tcW w:w="1612" w:type="dxa"/>
            <w:gridSpan w:val="3"/>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拟替代的污染源 □</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排污许可证 □；环评 □；环保验收 □；既有实测 □；现场监测 □；入河排放口数据 □；其他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restart"/>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受影响水体水环境质量</w:t>
            </w: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调查时期</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丰水期√；平水期 □；枯水期□；冰封期□ 春季□；夏季√；秋季 □；冬季□</w:t>
            </w:r>
            <w:r>
              <w:rPr>
                <w:rFonts w:hint="eastAsia" w:ascii="宋体" w:hAnsi="宋体" w:eastAsia="宋体" w:cs="宋体"/>
                <w:kern w:val="2"/>
                <w:sz w:val="21"/>
                <w:szCs w:val="21"/>
                <w:bdr w:val="single" w:color="auto" w:sz="4" w:space="0"/>
                <w:lang w:eastAsia="zh-CN"/>
              </w:rPr>
              <w:t xml:space="preserve"> </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生态环境保护主管部门 □；补充监测√；其他□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区域水资源开发利用状况</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未开发 □；开发量40%以下 □；开发量40%以上□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水文情势调查</w:t>
            </w: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调查时期</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数据来源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sz w:val="21"/>
                <w:szCs w:val="21"/>
                <w:lang w:eastAsia="zh-CN"/>
              </w:rPr>
              <w:t>丰水期□；平水期 □；枯水期□；冰封期□ 春季□；夏季 □；秋季 □；冬季□</w:t>
            </w:r>
          </w:p>
        </w:tc>
        <w:tc>
          <w:tcPr>
            <w:tcW w:w="6722" w:type="dxa"/>
            <w:gridSpan w:val="7"/>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水行政主管部门 □；补充监测□；其他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补充监测</w:t>
            </w:r>
          </w:p>
        </w:tc>
        <w:tc>
          <w:tcPr>
            <w:tcW w:w="5391"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监测时期</w:t>
            </w:r>
          </w:p>
        </w:tc>
        <w:tc>
          <w:tcPr>
            <w:tcW w:w="5621" w:type="dxa"/>
            <w:gridSpan w:val="6"/>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监测因子</w:t>
            </w:r>
          </w:p>
        </w:tc>
        <w:tc>
          <w:tcPr>
            <w:tcW w:w="1101" w:type="dxa"/>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监测断面或点位</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3779"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sz w:val="21"/>
                <w:szCs w:val="21"/>
                <w:lang w:eastAsia="zh-CN"/>
              </w:rPr>
              <w:t>丰水期√；平水期 □；枯水期□；冰封期□ 春季□；夏季√；秋季 □；冬季□</w:t>
            </w:r>
          </w:p>
        </w:tc>
        <w:tc>
          <w:tcPr>
            <w:tcW w:w="7233" w:type="dxa"/>
            <w:gridSpan w:val="9"/>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pH值、溶解氧、全盐量、悬浮物、高锰酸盐指数、化学需氧量、五日生化需氧量、氨氮、总磷（以P计）、铜、锌、氟化物、硒、砷、汞、镉、铬（六价）、铅、氰化物、挥发酚、石油类、阴离子表面活性剂、硫化物、粪大肠菌群、硫酸盐、氯化物、硝酸盐、铁、锰、铝、钙、镁、钛、银、镍、铬、钴）</w:t>
            </w:r>
          </w:p>
        </w:tc>
        <w:tc>
          <w:tcPr>
            <w:tcW w:w="1101" w:type="dxa"/>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监测断面或点位个数（4）个</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现状评价</w:t>
            </w: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评价范围</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河流：长度（）km；湖库、河口及近岸海域：面积（）km</w:t>
            </w:r>
            <w:r>
              <w:rPr>
                <w:rFonts w:hint="eastAsia" w:ascii="宋体" w:hAnsi="宋体" w:eastAsia="宋体" w:cs="宋体"/>
                <w:kern w:val="2"/>
                <w:sz w:val="21"/>
                <w:szCs w:val="21"/>
                <w:vertAlign w:val="superscript"/>
                <w:lang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评价因子</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r>
              <w:rPr>
                <w:rFonts w:hint="eastAsia" w:ascii="宋体" w:hAnsi="宋体" w:eastAsia="宋体" w:cs="宋体"/>
                <w:sz w:val="21"/>
                <w:szCs w:val="21"/>
                <w:lang w:eastAsia="zh-CN"/>
              </w:rPr>
              <w:t>pH值、溶解氧、全盐量、悬浮物、氟化物、硫酸盐、氯化物、硝酸盐(以N计）、高锰酸盐指数、化学需氧量、氨氮、总磷（以P计）、五日生化需氧量、铜、硒、砷、粪大肠菌群、钛、钴、镍</w:t>
            </w:r>
            <w:r>
              <w:rPr>
                <w:rFonts w:hint="eastAsia" w:ascii="宋体" w:hAnsi="宋体" w:eastAsia="宋体" w:cs="宋体"/>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评价标准</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河流、湖库、河口：Ⅰ类 □；Ⅱ类□；Ⅲ类√；Ⅳ类□；Ⅴ类□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近岸海域：第一类 □；第二类 □；第三类 □；第四类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规划年评价标准（）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评价时期</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丰水期 √；平水期 □；枯水期□；冰封期 □ 春季 □；夏季√；秋季 □；冬季□</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评价结论</w:t>
            </w:r>
          </w:p>
        </w:tc>
        <w:tc>
          <w:tcPr>
            <w:tcW w:w="10768" w:type="dxa"/>
            <w:gridSpan w:val="10"/>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水环境功能区或水功能区、近岸海域环境功能区水质达标状况 □：达标 □；不达标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水环境控制单元或断面水质达标状况 □：达标 □；不达标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水环境保护目标质量状况 □：达标 □；不达标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对照断面、控制断面等代表性断面的水质状况□：达标□；不达标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底泥污染评价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水资源与开发利用程度及其水文情势评价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水环境质量回顾评价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流域（区域）水资源（包括水能资源）与开发利用总体状况、生态流量管理要求与现状满足程度、建设项目占用水域空间的水流状况与河湖演变状况 □  </w:t>
            </w:r>
          </w:p>
        </w:tc>
        <w:tc>
          <w:tcPr>
            <w:tcW w:w="134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达标区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不达标区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影响预测</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预测范围</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河流：长度（）km；湖库、河口及近岸海域：面积（）km</w:t>
            </w:r>
            <w:r>
              <w:rPr>
                <w:rFonts w:hint="eastAsia" w:ascii="宋体" w:hAnsi="宋体" w:eastAsia="宋体" w:cs="宋体"/>
                <w:kern w:val="2"/>
                <w:sz w:val="21"/>
                <w:szCs w:val="21"/>
                <w:vertAlign w:val="superscript"/>
                <w:lang w:eastAsia="zh-CN"/>
              </w:rPr>
              <w: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预测因子</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预测时期</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丰水期 □；平水期 □；枯水期 □；冰封期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春季 □；夏季 □；秋季 □；冬季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设计水文条件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预测情景</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建设期 □；生产运行期 □；服务期满后 □ 正常工况 □；非正常工况 □ 污染控制和减缓措施方案 □ 区（流）域环境质量改善目标要求情景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预测方法</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数值解 □：解析解 □；其他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导则推荐模式 □：其他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水污染控制和水环境影响减缓措施有效性评价</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区（流）域水环境质量改善目标 □；替代削减源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水环境影响评价</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排放口混合区外满足水环境管理要求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水环境功能区或水功能区、近岸海域环境功能区水质达标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满足水环境保护目标水域水环境质量要求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水环境控制单元或断面水质达标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满足重点水污染物排放总量控制指标要求，重点行业建设项目，主要污染物排放满足等量或减量替代要求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满足区（流）域水环境质量改善目标要求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水文要素影响型建设项目同时应包括水文情势变化评价、主要水文特征值影响评价、生态流量符合性评价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对于新设或调整入河（湖库、近岸海域）排放口的建设项目，应包括排放口设置的环境合理性评价 □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满足生态保护红线、水环境质量底线、资源利用上线和环境准入清单管理要求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污染源排放量核算</w:t>
            </w:r>
          </w:p>
        </w:tc>
        <w:tc>
          <w:tcPr>
            <w:tcW w:w="4311"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污染物名称</w:t>
            </w:r>
          </w:p>
        </w:tc>
        <w:tc>
          <w:tcPr>
            <w:tcW w:w="3970"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排放量/（t/a）</w:t>
            </w:r>
          </w:p>
        </w:tc>
        <w:tc>
          <w:tcPr>
            <w:tcW w:w="3832" w:type="dxa"/>
            <w:gridSpan w:val="4"/>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4311" w:type="dxa"/>
            <w:gridSpan w:val="3"/>
            <w:vAlign w:val="center"/>
          </w:tcPr>
          <w:p>
            <w:pPr>
              <w:pStyle w:val="58"/>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 ）</w:t>
            </w:r>
          </w:p>
        </w:tc>
        <w:tc>
          <w:tcPr>
            <w:tcW w:w="3970" w:type="dxa"/>
            <w:gridSpan w:val="5"/>
            <w:vAlign w:val="center"/>
          </w:tcPr>
          <w:p>
            <w:pPr>
              <w:pStyle w:val="58"/>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 ）</w:t>
            </w:r>
          </w:p>
        </w:tc>
        <w:tc>
          <w:tcPr>
            <w:tcW w:w="3832" w:type="dxa"/>
            <w:gridSpan w:val="4"/>
            <w:vAlign w:val="center"/>
          </w:tcPr>
          <w:p>
            <w:pPr>
              <w:pStyle w:val="58"/>
              <w:keepNext w:val="0"/>
              <w:keepLines w:val="0"/>
              <w:suppressLineNumbers w:val="0"/>
              <w:spacing w:before="0" w:beforeAutospacing="0" w:after="0" w:afterAutospacing="0"/>
              <w:ind w:left="0" w:right="0"/>
              <w:jc w:val="both"/>
              <w:rPr>
                <w:rFonts w:hint="eastAsia" w:ascii="宋体" w:hAnsi="宋体" w:eastAsia="宋体" w:cs="宋体"/>
                <w:color w:val="auto"/>
                <w:kern w:val="2"/>
                <w:sz w:val="21"/>
                <w:szCs w:val="21"/>
              </w:rPr>
            </w:pPr>
            <w:r>
              <w:rPr>
                <w:rFonts w:hint="eastAsia" w:ascii="宋体" w:hAnsi="宋体" w:eastAsia="宋体" w:cs="宋体"/>
                <w:color w:val="auto"/>
                <w:kern w:val="2"/>
                <w:sz w:val="21"/>
                <w:szCs w:val="21"/>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替代源排放情况</w:t>
            </w:r>
          </w:p>
        </w:tc>
        <w:tc>
          <w:tcPr>
            <w:tcW w:w="2854" w:type="dxa"/>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污染源名称</w:t>
            </w:r>
          </w:p>
        </w:tc>
        <w:tc>
          <w:tcPr>
            <w:tcW w:w="2198"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排污许可证编号</w:t>
            </w:r>
          </w:p>
        </w:tc>
        <w:tc>
          <w:tcPr>
            <w:tcW w:w="2491"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污染物名称</w:t>
            </w:r>
          </w:p>
        </w:tc>
        <w:tc>
          <w:tcPr>
            <w:tcW w:w="2214"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排放量/（t/a）</w:t>
            </w:r>
          </w:p>
        </w:tc>
        <w:tc>
          <w:tcPr>
            <w:tcW w:w="2356"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排放浓度/（mg/L）</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2854" w:type="dxa"/>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2198"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2491"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2214"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c>
          <w:tcPr>
            <w:tcW w:w="2356"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生态流量确定</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生态流量：一般水期（）m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/s；鱼类繁殖期（）m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/s；其他（）m</w:t>
            </w:r>
            <w:r>
              <w:rPr>
                <w:rFonts w:hint="eastAsia" w:ascii="宋体" w:hAnsi="宋体" w:eastAsia="宋体" w:cs="宋体"/>
                <w:kern w:val="2"/>
                <w:sz w:val="21"/>
                <w:szCs w:val="21"/>
                <w:vertAlign w:val="superscript"/>
                <w:lang w:eastAsia="zh-CN"/>
              </w:rPr>
              <w:t>3</w:t>
            </w:r>
            <w:r>
              <w:rPr>
                <w:rFonts w:hint="eastAsia" w:ascii="宋体" w:hAnsi="宋体" w:eastAsia="宋体" w:cs="宋体"/>
                <w:kern w:val="2"/>
                <w:sz w:val="21"/>
                <w:szCs w:val="21"/>
                <w:lang w:eastAsia="zh-CN"/>
              </w:rPr>
              <w:t xml:space="preserve">/s </w:t>
            </w:r>
          </w:p>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生态水位：一般水期（）m；鱼类繁殖期（）m；其他（）m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42" w:type="dxa"/>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防治措施</w:t>
            </w: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环保措施</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污水处理设施√；水文减缓设施 □；生态流量保障设施 □；区域削减 □；依托其他工程措施 □；其他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restart"/>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监测计划</w:t>
            </w:r>
          </w:p>
        </w:tc>
        <w:tc>
          <w:tcPr>
            <w:tcW w:w="3779"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4038"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环境质量</w:t>
            </w:r>
          </w:p>
        </w:tc>
        <w:tc>
          <w:tcPr>
            <w:tcW w:w="4296"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污染源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3779"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监测方式</w:t>
            </w:r>
          </w:p>
        </w:tc>
        <w:tc>
          <w:tcPr>
            <w:tcW w:w="4038"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手动 □；自动□；无监测□</w:t>
            </w:r>
          </w:p>
        </w:tc>
        <w:tc>
          <w:tcPr>
            <w:tcW w:w="4296"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手动□ ；自动□；无监测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3779"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监测点位</w:t>
            </w:r>
          </w:p>
        </w:tc>
        <w:tc>
          <w:tcPr>
            <w:tcW w:w="4038"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w:t>
            </w:r>
          </w:p>
        </w:tc>
        <w:tc>
          <w:tcPr>
            <w:tcW w:w="4296"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3779"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监测因子</w:t>
            </w:r>
          </w:p>
        </w:tc>
        <w:tc>
          <w:tcPr>
            <w:tcW w:w="4038"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w:t>
            </w:r>
          </w:p>
        </w:tc>
        <w:tc>
          <w:tcPr>
            <w:tcW w:w="4296" w:type="dxa"/>
            <w:gridSpan w:val="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0" w:type="auto"/>
            <w:vMerge w:val="continue"/>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1835" w:type="dxa"/>
            <w:gridSpan w:val="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污染物排放清单</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2277" w:type="dxa"/>
            <w:gridSpan w:val="3"/>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评价结论</w:t>
            </w:r>
          </w:p>
        </w:tc>
        <w:tc>
          <w:tcPr>
            <w:tcW w:w="12113" w:type="dxa"/>
            <w:gridSpan w:val="12"/>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 xml:space="preserve">可以接受√；不可以接受 □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90" w:type="dxa"/>
            <w:gridSpan w:val="15"/>
            <w:vAlign w:val="center"/>
          </w:tcPr>
          <w:p>
            <w:pPr>
              <w:keepNext w:val="0"/>
              <w:keepLines w:val="0"/>
              <w:suppressLineNumbers w:val="0"/>
              <w:adjustRightIn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注：“□”为勾选项，可√；“（）”为内容填写项；“备注”为其他补充内容。</w:t>
            </w:r>
          </w:p>
        </w:tc>
      </w:tr>
    </w:tbl>
    <w:p>
      <w:pPr>
        <w:pStyle w:val="16"/>
        <w:ind w:firstLine="560"/>
        <w:rPr>
          <w:rFonts w:hint="eastAsia" w:ascii="宋体" w:hAnsi="宋体" w:eastAsia="宋体" w:cs="宋体"/>
          <w:highlight w:val="yellow"/>
        </w:rPr>
      </w:pPr>
    </w:p>
    <w:p>
      <w:pPr>
        <w:pStyle w:val="16"/>
        <w:ind w:firstLine="560"/>
        <w:rPr>
          <w:rFonts w:hint="eastAsia" w:ascii="宋体" w:hAnsi="宋体" w:eastAsia="宋体" w:cs="宋体"/>
          <w:highlight w:val="yellow"/>
        </w:rPr>
      </w:pPr>
    </w:p>
    <w:p>
      <w:pPr>
        <w:pStyle w:val="16"/>
        <w:ind w:firstLine="560"/>
        <w:rPr>
          <w:rFonts w:hint="eastAsia" w:ascii="宋体" w:hAnsi="宋体" w:eastAsia="宋体" w:cs="宋体"/>
          <w:highlight w:val="yellow"/>
        </w:rPr>
        <w:sectPr>
          <w:footerReference r:id="rId76" w:type="default"/>
          <w:headerReference r:id="rId75" w:type="even"/>
          <w:footerReference r:id="rId77" w:type="even"/>
          <w:pgSz w:w="16838" w:h="11906" w:orient="landscape"/>
          <w:pgMar w:top="1587" w:right="1417" w:bottom="1247" w:left="1247" w:header="850" w:footer="850" w:gutter="0"/>
          <w:pgBorders>
            <w:top w:val="none" w:sz="0" w:space="0"/>
            <w:left w:val="none" w:sz="0" w:space="0"/>
            <w:bottom w:val="none" w:sz="0" w:space="0"/>
            <w:right w:val="none" w:sz="0" w:space="0"/>
          </w:pgBorders>
          <w:cols w:space="720" w:num="1"/>
          <w:docGrid w:type="lines" w:linePitch="312" w:charSpace="0"/>
        </w:sectPr>
      </w:pPr>
    </w:p>
    <w:p>
      <w:pPr>
        <w:pStyle w:val="6"/>
        <w:rPr>
          <w:rFonts w:hint="eastAsia" w:ascii="宋体" w:hAnsi="宋体" w:eastAsia="宋体" w:cs="宋体"/>
          <w:lang w:eastAsia="zh-CN"/>
        </w:rPr>
      </w:pPr>
      <w:bookmarkStart w:id="160" w:name="_Toc9485"/>
      <w:bookmarkStart w:id="161" w:name="_Toc14089"/>
      <w:r>
        <w:rPr>
          <w:rFonts w:hint="eastAsia" w:ascii="宋体" w:hAnsi="宋体" w:eastAsia="宋体" w:cs="宋体"/>
          <w:lang w:eastAsia="zh-CN"/>
        </w:rPr>
        <w:t>6.4 运营期地下水环境影响分析</w:t>
      </w:r>
      <w:bookmarkEnd w:id="160"/>
      <w:bookmarkEnd w:id="161"/>
    </w:p>
    <w:p>
      <w:pPr>
        <w:pStyle w:val="7"/>
        <w:rPr>
          <w:rFonts w:hint="eastAsia" w:ascii="宋体" w:hAnsi="宋体" w:eastAsia="宋体" w:cs="宋体"/>
          <w:lang w:eastAsia="zh-CN"/>
        </w:rPr>
      </w:pPr>
      <w:r>
        <w:rPr>
          <w:rFonts w:hint="eastAsia" w:ascii="宋体" w:hAnsi="宋体" w:eastAsia="宋体" w:cs="宋体"/>
          <w:lang w:eastAsia="zh-CN"/>
        </w:rPr>
        <w:t>6.4.1 地下水环境影响识别</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属于铁矿地下开采扩界项目，选矿工程、充填工程、尾矿库及球团厂全部依托，无新增工程，因此本次环评主要考虑扩界项目建设期、运营期和服务期满后三个阶段的工程特征，尤其是运营期“正常工况”和“非正常工况”下的地下水环境影响。</w:t>
      </w:r>
    </w:p>
    <w:p>
      <w:pPr>
        <w:pStyle w:val="8"/>
        <w:rPr>
          <w:rFonts w:hint="eastAsia" w:ascii="宋体" w:hAnsi="宋体" w:eastAsia="宋体" w:cs="宋体"/>
          <w:lang w:eastAsia="zh-CN"/>
        </w:rPr>
      </w:pPr>
      <w:r>
        <w:rPr>
          <w:rFonts w:hint="eastAsia" w:ascii="宋体" w:hAnsi="宋体" w:eastAsia="宋体" w:cs="宋体"/>
          <w:lang w:eastAsia="zh-CN"/>
        </w:rPr>
        <w:t>6.4.1.1 可能造成地下水污染的装置和设施</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可能造成地下水污染的装置和设施，详见表6.4.1-1。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表6.4.1-1 可能造成地下水污染的装置和设施</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55"/>
        <w:gridCol w:w="1265"/>
        <w:gridCol w:w="988"/>
        <w:gridCol w:w="1332"/>
        <w:gridCol w:w="1397"/>
        <w:gridCol w:w="1200"/>
        <w:gridCol w:w="883"/>
        <w:gridCol w:w="1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装置</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名称</w:t>
            </w:r>
          </w:p>
        </w:tc>
        <w:tc>
          <w:tcPr>
            <w:tcW w:w="68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位置</w:t>
            </w:r>
          </w:p>
        </w:tc>
        <w:tc>
          <w:tcPr>
            <w:tcW w:w="53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地面或</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地下</w:t>
            </w:r>
          </w:p>
        </w:tc>
        <w:tc>
          <w:tcPr>
            <w:tcW w:w="7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材质</w:t>
            </w:r>
          </w:p>
        </w:tc>
        <w:tc>
          <w:tcPr>
            <w:tcW w:w="75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规模或</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占地面积</w:t>
            </w:r>
          </w:p>
        </w:tc>
        <w:tc>
          <w:tcPr>
            <w:tcW w:w="64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特征</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污染物</w:t>
            </w:r>
          </w:p>
        </w:tc>
        <w:tc>
          <w:tcPr>
            <w:tcW w:w="47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排放</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规律</w:t>
            </w:r>
          </w:p>
        </w:tc>
        <w:tc>
          <w:tcPr>
            <w:tcW w:w="62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措施与</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6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涌水池</w:t>
            </w:r>
          </w:p>
        </w:tc>
        <w:tc>
          <w:tcPr>
            <w:tcW w:w="68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王峪矿段南风井</w:t>
            </w:r>
          </w:p>
        </w:tc>
        <w:tc>
          <w:tcPr>
            <w:tcW w:w="53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地面</w:t>
            </w:r>
          </w:p>
        </w:tc>
        <w:tc>
          <w:tcPr>
            <w:tcW w:w="7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钢混</w:t>
            </w:r>
          </w:p>
        </w:tc>
        <w:tc>
          <w:tcPr>
            <w:tcW w:w="75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约2000m</w:t>
            </w:r>
            <w:r>
              <w:rPr>
                <w:rFonts w:hint="eastAsia" w:ascii="宋体" w:hAnsi="宋体" w:eastAsia="宋体" w:cs="宋体"/>
                <w:sz w:val="21"/>
                <w:szCs w:val="21"/>
                <w:vertAlign w:val="superscript"/>
                <w:lang w:eastAsia="zh-CN"/>
              </w:rPr>
              <w:t>2</w:t>
            </w:r>
          </w:p>
        </w:tc>
        <w:tc>
          <w:tcPr>
            <w:tcW w:w="64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SS等</w:t>
            </w:r>
          </w:p>
        </w:tc>
        <w:tc>
          <w:tcPr>
            <w:tcW w:w="47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连续</w:t>
            </w:r>
          </w:p>
        </w:tc>
        <w:tc>
          <w:tcPr>
            <w:tcW w:w="62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全部回用</w:t>
            </w:r>
          </w:p>
        </w:tc>
      </w:tr>
    </w:tbl>
    <w:p>
      <w:pPr>
        <w:pStyle w:val="8"/>
        <w:rPr>
          <w:rFonts w:hint="eastAsia" w:ascii="宋体" w:hAnsi="宋体" w:eastAsia="宋体" w:cs="宋体"/>
          <w:lang w:eastAsia="zh-CN"/>
        </w:rPr>
      </w:pPr>
      <w:r>
        <w:rPr>
          <w:rFonts w:hint="eastAsia" w:ascii="宋体" w:hAnsi="宋体" w:eastAsia="宋体" w:cs="宋体"/>
          <w:lang w:eastAsia="zh-CN"/>
        </w:rPr>
        <w:t>6.4.1.2 地下</w:t>
      </w:r>
      <w:r>
        <w:rPr>
          <w:rFonts w:hint="eastAsia" w:eastAsia="宋体" w:cs="宋体"/>
          <w:lang w:eastAsia="zh-CN"/>
        </w:rPr>
        <w:t>水</w:t>
      </w:r>
      <w:r>
        <w:rPr>
          <w:rFonts w:hint="eastAsia" w:ascii="宋体" w:hAnsi="宋体" w:eastAsia="宋体" w:cs="宋体"/>
          <w:lang w:eastAsia="zh-CN"/>
        </w:rPr>
        <w:t>污染途径</w:t>
      </w:r>
    </w:p>
    <w:p>
      <w:pPr>
        <w:ind w:firstLine="562"/>
        <w:rPr>
          <w:rFonts w:hint="eastAsia" w:ascii="宋体" w:hAnsi="宋体" w:eastAsia="宋体" w:cs="宋体"/>
          <w:b/>
          <w:bCs/>
          <w:lang w:eastAsia="zh-CN"/>
        </w:rPr>
      </w:pPr>
      <w:r>
        <w:rPr>
          <w:rFonts w:hint="eastAsia" w:ascii="宋体" w:hAnsi="宋体" w:eastAsia="宋体" w:cs="宋体"/>
          <w:b/>
          <w:bCs/>
          <w:lang w:eastAsia="zh-CN"/>
        </w:rPr>
        <w:t>1、运营期正常状况下对地下水的影响途径</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正常状态下造成地下水污染环节主要包括：涌水池的“跑、冒、滴、漏”经混凝土防渗层等下渗，经包气带吸附、降解、氧化还原等进入风化裂隙含水层。</w:t>
      </w:r>
    </w:p>
    <w:p>
      <w:pPr>
        <w:ind w:firstLine="562"/>
        <w:rPr>
          <w:rFonts w:hint="eastAsia" w:ascii="宋体" w:hAnsi="宋体" w:eastAsia="宋体" w:cs="宋体"/>
          <w:b/>
          <w:bCs/>
          <w:lang w:eastAsia="zh-CN"/>
        </w:rPr>
      </w:pPr>
      <w:r>
        <w:rPr>
          <w:rFonts w:hint="eastAsia" w:ascii="宋体" w:hAnsi="宋体" w:eastAsia="宋体" w:cs="宋体"/>
          <w:b/>
          <w:bCs/>
          <w:lang w:eastAsia="zh-CN"/>
        </w:rPr>
        <w:t>2、运营期非正常状况下对地下水的影响途径</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非正常状态下造成地下水污染环节主要包括：矿井涌水输送管道腐蚀、涌水池地面混凝土防渗层老化、腐蚀等原因不能正常运行或保护效果达不到设计要求时的运行状况，矿井涌水的“跑、冒、滴、漏”直接经包气带吸附、降解、氧化还原等进入风化裂隙含水层。</w:t>
      </w:r>
    </w:p>
    <w:p>
      <w:pPr>
        <w:ind w:firstLine="562"/>
        <w:rPr>
          <w:rFonts w:hint="eastAsia" w:ascii="宋体" w:hAnsi="宋体" w:eastAsia="宋体" w:cs="宋体"/>
          <w:b/>
          <w:bCs/>
          <w:lang w:eastAsia="zh-CN"/>
        </w:rPr>
      </w:pPr>
      <w:r>
        <w:rPr>
          <w:rFonts w:hint="eastAsia" w:ascii="宋体" w:hAnsi="宋体" w:eastAsia="宋体" w:cs="宋体"/>
          <w:b/>
          <w:bCs/>
          <w:lang w:eastAsia="zh-CN"/>
        </w:rPr>
        <w:t>3、服务期满后对地下水的影响途径</w:t>
      </w:r>
    </w:p>
    <w:p>
      <w:pPr>
        <w:ind w:firstLine="560"/>
        <w:rPr>
          <w:rFonts w:hint="eastAsia" w:ascii="宋体" w:hAnsi="宋体" w:eastAsia="宋体" w:cs="宋体"/>
          <w:lang w:eastAsia="zh-CN"/>
        </w:rPr>
      </w:pPr>
      <w:r>
        <w:rPr>
          <w:rFonts w:hint="eastAsia" w:ascii="宋体" w:hAnsi="宋体" w:eastAsia="宋体" w:cs="宋体"/>
          <w:lang w:eastAsia="zh-CN"/>
        </w:rPr>
        <w:t>服务期满后，地面工业场地全部进行土地复垦，现有污染将不复存在，将不会对地下水水质产生影响。</w:t>
      </w:r>
    </w:p>
    <w:p>
      <w:pPr>
        <w:pStyle w:val="7"/>
        <w:rPr>
          <w:rFonts w:hint="eastAsia" w:ascii="宋体" w:hAnsi="宋体" w:eastAsia="宋体" w:cs="宋体"/>
          <w:lang w:eastAsia="zh-CN"/>
        </w:rPr>
      </w:pPr>
      <w:r>
        <w:rPr>
          <w:rFonts w:hint="eastAsia" w:ascii="宋体" w:hAnsi="宋体" w:eastAsia="宋体" w:cs="宋体"/>
          <w:lang w:eastAsia="zh-CN"/>
        </w:rPr>
        <w:t>6.4.2 评价等级及评价范围的确定</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地下水环境》（HJ 610-2016），结合《建设项目环境影响评价分类管理名录》，可将建设项目地下水环境影响评价项目类别分为Ⅰ、Ⅱ、Ⅲ、Ⅳ类，其中Ⅳ类建设项目不开展地下水环境影响评价。</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为地下铁矿开采扩界项目，依据《环境影响评价技术导则 地下水环境》（HJ610-2016）附录A—地下水环境影响评价行业分类表，</w:t>
      </w:r>
      <w:r>
        <w:rPr>
          <w:rFonts w:hint="eastAsia" w:cs="宋体"/>
          <w:lang w:eastAsia="zh-CN"/>
        </w:rPr>
        <w:t>本项目</w:t>
      </w:r>
      <w:r>
        <w:rPr>
          <w:rFonts w:hint="eastAsia" w:ascii="宋体" w:hAnsi="宋体" w:eastAsia="宋体" w:cs="宋体"/>
          <w:lang w:eastAsia="zh-CN"/>
        </w:rPr>
        <w:t>对应地下水环境影响评价类别为Ⅳ类，不开展地下水环境影响评价。因此，本次评价不开展地下水环境影响评价，仅对地下水进行影响分析。</w:t>
      </w:r>
    </w:p>
    <w:p>
      <w:pPr>
        <w:pStyle w:val="7"/>
        <w:rPr>
          <w:rFonts w:hint="eastAsia" w:ascii="宋体" w:hAnsi="宋体" w:eastAsia="宋体" w:cs="宋体"/>
          <w:lang w:eastAsia="zh-CN"/>
        </w:rPr>
      </w:pPr>
      <w:r>
        <w:rPr>
          <w:rFonts w:hint="eastAsia" w:ascii="宋体" w:hAnsi="宋体" w:eastAsia="宋体" w:cs="宋体"/>
          <w:lang w:eastAsia="zh-CN"/>
        </w:rPr>
        <w:t>6.4.3 本项目对地下水影响分析</w:t>
      </w:r>
    </w:p>
    <w:p>
      <w:pPr>
        <w:pStyle w:val="8"/>
        <w:rPr>
          <w:rFonts w:hint="eastAsia" w:ascii="宋体" w:hAnsi="宋体" w:eastAsia="宋体" w:cs="宋体"/>
          <w:lang w:eastAsia="zh-CN"/>
        </w:rPr>
      </w:pPr>
      <w:r>
        <w:rPr>
          <w:rFonts w:hint="eastAsia" w:ascii="宋体" w:hAnsi="宋体" w:eastAsia="宋体" w:cs="宋体"/>
          <w:lang w:eastAsia="zh-CN"/>
        </w:rPr>
        <w:t>6.4.3.1 施工期</w:t>
      </w:r>
    </w:p>
    <w:p>
      <w:pPr>
        <w:ind w:firstLine="560"/>
        <w:rPr>
          <w:rFonts w:hint="eastAsia" w:ascii="宋体" w:hAnsi="宋体" w:eastAsia="宋体" w:cs="宋体"/>
          <w:kern w:val="2"/>
          <w:lang w:eastAsia="zh-CN"/>
        </w:rPr>
      </w:pPr>
      <w:r>
        <w:rPr>
          <w:rFonts w:hint="eastAsia" w:ascii="宋体" w:hAnsi="宋体" w:eastAsia="宋体" w:cs="宋体"/>
          <w:kern w:val="2"/>
          <w:lang w:eastAsia="zh-CN"/>
        </w:rPr>
        <w:t>施工期地下水污染源包括施工人员生活污水和施工生产排水。</w:t>
      </w:r>
    </w:p>
    <w:p>
      <w:pPr>
        <w:ind w:firstLine="560"/>
        <w:rPr>
          <w:rFonts w:hint="eastAsia" w:ascii="宋体" w:hAnsi="宋体" w:eastAsia="宋体" w:cs="宋体"/>
          <w:kern w:val="2"/>
          <w:lang w:eastAsia="zh-CN"/>
        </w:rPr>
      </w:pPr>
      <w:r>
        <w:rPr>
          <w:rFonts w:hint="eastAsia" w:ascii="宋体" w:hAnsi="宋体" w:eastAsia="宋体" w:cs="宋体"/>
          <w:kern w:val="2"/>
          <w:lang w:eastAsia="zh-CN"/>
        </w:rPr>
        <w:t>施工期生活污水来自施工队伍的生活活动，主要为盥洗废水，含有有机污染物和悬浮物。对矿区生活污水采用一体化污水处理设备，处理达标后回用与场区绿化、道路洒水；施工机械维修过程中产生的油污水应予以收集，统一处理后委托环卫部门及时清运。施工期间生活污水全部回用不外排，不会对地下水环境造成影响。</w:t>
      </w:r>
    </w:p>
    <w:p>
      <w:pPr>
        <w:ind w:firstLine="560"/>
        <w:rPr>
          <w:rFonts w:hint="eastAsia" w:ascii="宋体" w:hAnsi="宋体" w:eastAsia="宋体" w:cs="宋体"/>
          <w:kern w:val="2"/>
          <w:lang w:eastAsia="zh-CN"/>
        </w:rPr>
      </w:pPr>
      <w:r>
        <w:rPr>
          <w:rFonts w:hint="eastAsia" w:ascii="宋体" w:hAnsi="宋体" w:eastAsia="宋体" w:cs="宋体"/>
          <w:kern w:val="2"/>
          <w:lang w:eastAsia="zh-CN"/>
        </w:rPr>
        <w:t>施工生产排水主要为井下施工排水，井巷开拓过程中会产生少量围岩涌水。须对少量围岩涌水沉淀处理后回用于施工洒水，施工期基建过程对地下水环境影响不大。</w:t>
      </w:r>
    </w:p>
    <w:p>
      <w:pPr>
        <w:pStyle w:val="8"/>
        <w:rPr>
          <w:rFonts w:hint="eastAsia" w:ascii="宋体" w:hAnsi="宋体" w:eastAsia="宋体" w:cs="宋体"/>
          <w:lang w:eastAsia="zh-CN"/>
        </w:rPr>
      </w:pPr>
      <w:r>
        <w:rPr>
          <w:rFonts w:hint="eastAsia" w:ascii="宋体" w:hAnsi="宋体" w:eastAsia="宋体" w:cs="宋体"/>
          <w:lang w:eastAsia="zh-CN"/>
        </w:rPr>
        <w:t>6.4.3.2 运营期</w:t>
      </w:r>
    </w:p>
    <w:p>
      <w:pPr>
        <w:ind w:firstLine="562"/>
        <w:rPr>
          <w:rFonts w:hint="eastAsia" w:ascii="宋体" w:hAnsi="宋体" w:eastAsia="宋体" w:cs="宋体"/>
          <w:b/>
          <w:bCs/>
          <w:kern w:val="2"/>
          <w:lang w:eastAsia="zh-CN"/>
        </w:rPr>
      </w:pPr>
      <w:r>
        <w:rPr>
          <w:rFonts w:hint="eastAsia" w:ascii="宋体" w:hAnsi="宋体" w:eastAsia="宋体" w:cs="宋体"/>
          <w:b/>
          <w:bCs/>
          <w:kern w:val="2"/>
          <w:lang w:eastAsia="zh-CN"/>
        </w:rPr>
        <w:t>（1）对地下水水质的影响</w:t>
      </w:r>
    </w:p>
    <w:p>
      <w:pPr>
        <w:ind w:firstLine="560"/>
        <w:rPr>
          <w:rFonts w:hint="eastAsia" w:ascii="宋体" w:hAnsi="宋体" w:eastAsia="宋体" w:cs="宋体"/>
          <w:kern w:val="2"/>
          <w:lang w:eastAsia="zh-CN"/>
        </w:rPr>
      </w:pPr>
      <w:r>
        <w:rPr>
          <w:rFonts w:hint="eastAsia" w:ascii="宋体" w:hAnsi="宋体" w:eastAsia="宋体" w:cs="宋体"/>
          <w:kern w:val="2"/>
          <w:lang w:eastAsia="zh-CN"/>
        </w:rPr>
        <w:t>采矿过程产生的废水主要为井下涌水。本工程设置1座－50m水平泵站，井下涌水经水仓沉淀后由该泵站直排至王峪南风井涌水池，沉淀后全部回用于选矿厂，不外排。</w:t>
      </w:r>
    </w:p>
    <w:p>
      <w:pPr>
        <w:ind w:firstLine="560"/>
        <w:rPr>
          <w:rFonts w:hint="eastAsia" w:ascii="宋体" w:hAnsi="宋体" w:eastAsia="宋体" w:cs="宋体"/>
          <w:kern w:val="2"/>
          <w:lang w:eastAsia="zh-CN"/>
        </w:rPr>
      </w:pPr>
      <w:r>
        <w:rPr>
          <w:rFonts w:hint="eastAsia" w:ascii="宋体" w:hAnsi="宋体" w:eastAsia="宋体" w:cs="宋体"/>
          <w:kern w:val="2"/>
          <w:lang w:eastAsia="zh-CN"/>
        </w:rPr>
        <w:t>井下涌水水质简单，主要污染物为悬浮物，根据“3.5 地下水现状调查与评价”的监测数据可知，评价区地下水各项监测因子均能够满足《地下水质量标准》(GB/T 14848-2017)Ⅲ类标准要求，总体分析项目区域地下水环境质量较好，也就是说项目采矿工程并未给区域地下水造成明显的污染影响。</w:t>
      </w:r>
    </w:p>
    <w:p>
      <w:pPr>
        <w:ind w:firstLine="562"/>
        <w:rPr>
          <w:rFonts w:hint="eastAsia" w:ascii="宋体" w:hAnsi="宋体" w:eastAsia="宋体" w:cs="宋体"/>
          <w:b/>
          <w:bCs/>
          <w:kern w:val="2"/>
          <w:lang w:eastAsia="zh-CN"/>
        </w:rPr>
      </w:pPr>
      <w:r>
        <w:rPr>
          <w:rFonts w:hint="eastAsia" w:ascii="宋体" w:hAnsi="宋体" w:eastAsia="宋体" w:cs="宋体"/>
          <w:b/>
          <w:bCs/>
          <w:kern w:val="2"/>
          <w:lang w:eastAsia="zh-CN"/>
        </w:rPr>
        <w:t>（2）对地下水水位的影响</w:t>
      </w:r>
    </w:p>
    <w:p>
      <w:pPr>
        <w:ind w:firstLine="560"/>
        <w:rPr>
          <w:rFonts w:hint="eastAsia" w:ascii="宋体" w:hAnsi="宋体" w:eastAsia="宋体" w:cs="宋体"/>
          <w:kern w:val="2"/>
          <w:lang w:eastAsia="zh-CN"/>
        </w:rPr>
      </w:pPr>
      <w:r>
        <w:rPr>
          <w:rFonts w:hint="eastAsia" w:ascii="宋体" w:hAnsi="宋体" w:eastAsia="宋体" w:cs="宋体"/>
          <w:kern w:val="2"/>
          <w:lang w:eastAsia="zh-CN"/>
        </w:rPr>
        <w:t>根据《莱钢集团鲁南矿业有限公司王峪矿区（100万t/a）露天转地下开采工程资源开发利用方案（变更）》可知。</w:t>
      </w:r>
    </w:p>
    <w:p>
      <w:pPr>
        <w:ind w:firstLine="560"/>
        <w:rPr>
          <w:rFonts w:hint="eastAsia" w:ascii="宋体" w:hAnsi="宋体" w:eastAsia="宋体" w:cs="宋体"/>
          <w:kern w:val="2"/>
          <w:lang w:eastAsia="zh-CN"/>
        </w:rPr>
      </w:pPr>
      <w:r>
        <w:rPr>
          <w:rFonts w:hint="eastAsia" w:ascii="宋体" w:hAnsi="宋体" w:eastAsia="宋体" w:cs="宋体"/>
          <w:kern w:val="2"/>
          <w:lang w:eastAsia="zh-CN"/>
        </w:rPr>
        <w:t>上河矿段矿井涌水量为3040.25m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/d，王峪矿段矿井涌水量为4088.6m</w:t>
      </w:r>
      <w:r>
        <w:rPr>
          <w:rFonts w:hint="eastAsia" w:ascii="宋体" w:hAnsi="宋体" w:eastAsia="宋体" w:cs="宋体"/>
          <w:kern w:val="2"/>
          <w:vertAlign w:val="superscript"/>
          <w:lang w:eastAsia="zh-CN"/>
        </w:rPr>
        <w:t>3</w:t>
      </w:r>
      <w:r>
        <w:rPr>
          <w:rFonts w:hint="eastAsia" w:ascii="宋体" w:hAnsi="宋体" w:eastAsia="宋体" w:cs="宋体"/>
          <w:kern w:val="2"/>
          <w:lang w:eastAsia="zh-CN"/>
        </w:rPr>
        <w:t>/d。矿床直接充水岩层为泰山群变质岩裂隙含水岩层，矿床属裂隙充水矿床。整个矿区的开采工艺采取先采深部后采浅部，并且采空区嗣后充填，最大限度的保证矿体顶板围岩的稳固性。</w:t>
      </w:r>
    </w:p>
    <w:p>
      <w:pPr>
        <w:ind w:firstLine="560"/>
        <w:rPr>
          <w:rFonts w:hint="eastAsia" w:ascii="宋体" w:hAnsi="宋体" w:eastAsia="宋体" w:cs="宋体"/>
          <w:kern w:val="2"/>
          <w:lang w:eastAsia="zh-CN"/>
        </w:rPr>
      </w:pPr>
      <w:r>
        <w:rPr>
          <w:rFonts w:hint="eastAsia" w:ascii="宋体" w:hAnsi="宋体" w:eastAsia="宋体" w:cs="宋体"/>
          <w:kern w:val="2"/>
          <w:lang w:eastAsia="zh-CN"/>
        </w:rPr>
        <w:t>主矿体位于当地侵蚀基准面以下，而矿区内的沂河水通过第四系孔隙含水层与矿体围岩泰山群变质岩风化裂隙含水层产生水力联系，该矿床为顶板间接充水矿床。</w:t>
      </w:r>
    </w:p>
    <w:p>
      <w:pPr>
        <w:ind w:firstLine="560"/>
        <w:rPr>
          <w:rFonts w:hint="eastAsia" w:ascii="宋体" w:hAnsi="宋体" w:eastAsia="宋体" w:cs="宋体"/>
          <w:kern w:val="2"/>
          <w:lang w:eastAsia="zh-CN"/>
        </w:rPr>
      </w:pPr>
      <w:r>
        <w:rPr>
          <w:rFonts w:hint="eastAsia" w:ascii="宋体" w:hAnsi="宋体" w:eastAsia="宋体" w:cs="宋体"/>
          <w:kern w:val="2"/>
          <w:lang w:eastAsia="zh-CN"/>
        </w:rPr>
        <w:t>地表沂河流经矿体上盘，上覆第四系冲洪积层含水丰富，透水性强，与沂河可形成互为补给的关系。下伏泰山群变质岩系构成铁矿带和矿带的顶、底板，该套地层浅部和第四系盖层之下局部地段形成风化层，风化层厚度一般小于50m，该风化层含水较丰富，与上覆第四系地层可视为同一水文补给单元。</w:t>
      </w:r>
    </w:p>
    <w:p>
      <w:pPr>
        <w:ind w:firstLine="560"/>
        <w:rPr>
          <w:rFonts w:hint="eastAsia" w:ascii="宋体" w:hAnsi="宋体" w:eastAsia="宋体" w:cs="宋体"/>
          <w:kern w:val="2"/>
          <w:lang w:eastAsia="zh-CN"/>
        </w:rPr>
      </w:pPr>
      <w:r>
        <w:rPr>
          <w:rFonts w:hint="eastAsia" w:ascii="宋体" w:hAnsi="宋体" w:eastAsia="宋体" w:cs="宋体"/>
          <w:kern w:val="2"/>
          <w:lang w:eastAsia="zh-CN"/>
        </w:rPr>
        <w:t>F1断层属于通透性差的弱含水岩带，构成矿体上盘的阻水岩带，阻隔沂河、第四系冲洪积层与泰山群变质岩裂隙含水岩层之间的水力流通，故</w:t>
      </w:r>
      <w:r>
        <w:rPr>
          <w:rFonts w:hint="eastAsia" w:cs="宋体"/>
          <w:kern w:val="2"/>
          <w:lang w:eastAsia="zh-CN"/>
        </w:rPr>
        <w:t>本项目</w:t>
      </w:r>
      <w:r>
        <w:rPr>
          <w:rFonts w:hint="eastAsia" w:ascii="宋体" w:hAnsi="宋体" w:eastAsia="宋体" w:cs="宋体"/>
          <w:kern w:val="2"/>
          <w:lang w:eastAsia="zh-CN"/>
        </w:rPr>
        <w:t>地下开采会导致泰山群变质岩裂隙含水岩层水位降低。</w:t>
      </w:r>
    </w:p>
    <w:p>
      <w:pPr>
        <w:ind w:firstLine="560"/>
        <w:rPr>
          <w:rFonts w:hint="eastAsia" w:ascii="宋体" w:hAnsi="宋体" w:eastAsia="宋体" w:cs="宋体"/>
          <w:kern w:val="2"/>
          <w:lang w:eastAsia="zh-CN"/>
        </w:rPr>
      </w:pPr>
      <w:r>
        <w:rPr>
          <w:rFonts w:hint="eastAsia" w:ascii="宋体" w:hAnsi="宋体" w:eastAsia="宋体" w:cs="宋体"/>
          <w:kern w:val="2"/>
          <w:lang w:eastAsia="zh-CN"/>
        </w:rPr>
        <w:t>周边居民的地下取水多取自第四系冲洪积层，故矿区的开采不会引起周边居民生活供水的需求。</w:t>
      </w:r>
    </w:p>
    <w:p>
      <w:pPr>
        <w:pStyle w:val="7"/>
        <w:rPr>
          <w:rFonts w:hint="eastAsia" w:ascii="宋体" w:hAnsi="宋体" w:eastAsia="宋体" w:cs="宋体"/>
          <w:lang w:eastAsia="zh-CN"/>
        </w:rPr>
      </w:pPr>
      <w:r>
        <w:rPr>
          <w:rFonts w:hint="eastAsia" w:ascii="宋体" w:hAnsi="宋体" w:eastAsia="宋体" w:cs="宋体"/>
          <w:lang w:eastAsia="zh-CN"/>
        </w:rPr>
        <w:t>6.4.4 地下水环境保护措施与对策</w:t>
      </w:r>
    </w:p>
    <w:p>
      <w:pPr>
        <w:ind w:firstLine="560"/>
        <w:rPr>
          <w:rFonts w:hint="eastAsia" w:ascii="宋体" w:hAnsi="宋体" w:eastAsia="宋体" w:cs="宋体"/>
          <w:lang w:eastAsia="zh-CN"/>
        </w:rPr>
      </w:pPr>
      <w:r>
        <w:rPr>
          <w:rFonts w:hint="eastAsia" w:ascii="宋体" w:hAnsi="宋体" w:eastAsia="宋体" w:cs="宋体"/>
          <w:lang w:eastAsia="zh-CN"/>
        </w:rPr>
        <w:t>地下水环境保护措施与对策按照“源头控制、分区防控、污染监控、应急响应”，突出地下水安全的原则。</w:t>
      </w:r>
    </w:p>
    <w:p>
      <w:pPr>
        <w:pStyle w:val="8"/>
        <w:rPr>
          <w:rFonts w:hint="eastAsia" w:ascii="宋体" w:hAnsi="宋体" w:eastAsia="宋体" w:cs="宋体"/>
          <w:lang w:eastAsia="zh-CN"/>
        </w:rPr>
      </w:pPr>
      <w:r>
        <w:rPr>
          <w:rFonts w:hint="eastAsia" w:ascii="宋体" w:hAnsi="宋体" w:eastAsia="宋体" w:cs="宋体"/>
          <w:lang w:eastAsia="zh-CN"/>
        </w:rPr>
        <w:t>6.4.4.1 源头控制</w:t>
      </w:r>
    </w:p>
    <w:p>
      <w:pPr>
        <w:ind w:firstLine="560"/>
        <w:rPr>
          <w:rFonts w:hint="eastAsia" w:ascii="宋体" w:hAnsi="宋体" w:eastAsia="宋体" w:cs="宋体"/>
          <w:lang w:eastAsia="zh-CN"/>
        </w:rPr>
      </w:pPr>
      <w:r>
        <w:rPr>
          <w:rFonts w:hint="eastAsia" w:ascii="宋体" w:hAnsi="宋体" w:eastAsia="宋体" w:cs="宋体"/>
          <w:lang w:eastAsia="zh-CN"/>
        </w:rPr>
        <w:t>1、对管道、设备、污水储存及处理构筑物等严格检查，有质量问题的及时更换，阀门采用优质产品，防止和降低“跑、冒、滴、漏”。</w:t>
      </w:r>
    </w:p>
    <w:p>
      <w:pPr>
        <w:ind w:firstLine="560"/>
        <w:rPr>
          <w:rFonts w:hint="eastAsia" w:ascii="宋体" w:hAnsi="宋体" w:eastAsia="宋体" w:cs="宋体"/>
          <w:lang w:eastAsia="zh-CN"/>
        </w:rPr>
      </w:pPr>
      <w:r>
        <w:rPr>
          <w:rFonts w:hint="eastAsia" w:ascii="宋体" w:hAnsi="宋体" w:eastAsia="宋体" w:cs="宋体"/>
          <w:lang w:eastAsia="zh-CN"/>
        </w:rPr>
        <w:t>2、禁止在工业场地内任意设置排污水口，全封闭，防止流入环境。</w:t>
      </w:r>
    </w:p>
    <w:p>
      <w:pPr>
        <w:ind w:firstLine="560"/>
        <w:rPr>
          <w:rFonts w:hint="eastAsia" w:ascii="宋体" w:hAnsi="宋体" w:eastAsia="宋体" w:cs="宋体"/>
          <w:lang w:eastAsia="zh-CN"/>
        </w:rPr>
      </w:pPr>
      <w:r>
        <w:rPr>
          <w:rFonts w:hint="eastAsia" w:ascii="宋体" w:hAnsi="宋体" w:eastAsia="宋体" w:cs="宋体"/>
          <w:lang w:eastAsia="zh-CN"/>
        </w:rPr>
        <w:t>3、场区设置生活垃圾收集点，禁止垃圾随便丢弃，实现收集容器化，防止生活垃圾因淋溶对地下水造成的二次污染。</w:t>
      </w:r>
    </w:p>
    <w:p>
      <w:pPr>
        <w:ind w:firstLine="560"/>
        <w:rPr>
          <w:rFonts w:hint="eastAsia" w:ascii="宋体" w:hAnsi="宋体" w:eastAsia="宋体" w:cs="宋体"/>
          <w:lang w:eastAsia="zh-CN"/>
        </w:rPr>
      </w:pPr>
      <w:r>
        <w:rPr>
          <w:rFonts w:hint="eastAsia" w:ascii="宋体" w:hAnsi="宋体" w:eastAsia="宋体" w:cs="宋体"/>
          <w:lang w:eastAsia="zh-CN"/>
        </w:rPr>
        <w:t>4、</w:t>
      </w:r>
      <w:r>
        <w:rPr>
          <w:rFonts w:hint="eastAsia" w:cs="宋体"/>
          <w:lang w:eastAsia="zh-CN"/>
        </w:rPr>
        <w:t>本项目</w:t>
      </w:r>
      <w:r>
        <w:rPr>
          <w:rFonts w:hint="eastAsia" w:ascii="宋体" w:hAnsi="宋体" w:eastAsia="宋体" w:cs="宋体"/>
          <w:lang w:eastAsia="zh-CN"/>
        </w:rPr>
        <w:t>废水主要是矿井涌水。</w:t>
      </w:r>
      <w:r>
        <w:rPr>
          <w:rFonts w:hint="eastAsia" w:cs="宋体"/>
          <w:lang w:eastAsia="zh-CN"/>
        </w:rPr>
        <w:t>本项目</w:t>
      </w:r>
      <w:r>
        <w:rPr>
          <w:rFonts w:hint="eastAsia" w:ascii="宋体" w:hAnsi="宋体" w:eastAsia="宋体" w:cs="宋体"/>
          <w:lang w:eastAsia="zh-CN"/>
        </w:rPr>
        <w:t>建成后矿井涌水能得到有效处理并且最大可能回用于生产、降尘等，有效降低废水污染物排放量。</w:t>
      </w:r>
    </w:p>
    <w:p>
      <w:pPr>
        <w:ind w:firstLine="560"/>
        <w:rPr>
          <w:rFonts w:hint="eastAsia" w:ascii="宋体" w:hAnsi="宋体" w:eastAsia="宋体" w:cs="宋体"/>
          <w:lang w:eastAsia="zh-CN"/>
        </w:rPr>
      </w:pPr>
      <w:r>
        <w:rPr>
          <w:rFonts w:hint="eastAsia" w:ascii="宋体" w:hAnsi="宋体" w:eastAsia="宋体" w:cs="宋体"/>
          <w:lang w:eastAsia="zh-CN"/>
        </w:rPr>
        <w:t>5、</w:t>
      </w:r>
      <w:r>
        <w:rPr>
          <w:rFonts w:hint="eastAsia" w:cs="宋体"/>
          <w:lang w:eastAsia="zh-CN"/>
        </w:rPr>
        <w:t>本项目</w:t>
      </w:r>
      <w:r>
        <w:rPr>
          <w:rFonts w:hint="eastAsia" w:ascii="宋体" w:hAnsi="宋体" w:eastAsia="宋体" w:cs="宋体"/>
          <w:lang w:eastAsia="zh-CN"/>
        </w:rPr>
        <w:t>建成后固体废物主要为生活垃圾，井下水仓及地面涌水水池沉淀污泥、机修废物及污水处理站污泥，固体废物均得到有效处置和利用。</w:t>
      </w:r>
    </w:p>
    <w:p>
      <w:pPr>
        <w:pStyle w:val="8"/>
        <w:rPr>
          <w:rFonts w:hint="eastAsia" w:ascii="宋体" w:hAnsi="宋体" w:eastAsia="宋体" w:cs="宋体"/>
          <w:lang w:eastAsia="zh-CN"/>
        </w:rPr>
      </w:pPr>
      <w:r>
        <w:rPr>
          <w:rFonts w:hint="eastAsia" w:ascii="宋体" w:hAnsi="宋体" w:eastAsia="宋体" w:cs="宋体"/>
          <w:lang w:eastAsia="zh-CN"/>
        </w:rPr>
        <w:t>6.4.4.2 分区防控</w:t>
      </w:r>
    </w:p>
    <w:p>
      <w:pPr>
        <w:pStyle w:val="16"/>
        <w:ind w:firstLine="560"/>
        <w:rPr>
          <w:rFonts w:hint="eastAsia" w:ascii="宋体" w:hAnsi="宋体" w:eastAsia="宋体" w:cs="宋体"/>
        </w:rPr>
      </w:pPr>
      <w:r>
        <w:rPr>
          <w:rFonts w:hint="eastAsia" w:ascii="宋体" w:hAnsi="宋体" w:eastAsia="宋体" w:cs="宋体"/>
        </w:rPr>
        <w:t>根据</w:t>
      </w:r>
      <w:r>
        <w:rPr>
          <w:rFonts w:hint="eastAsia" w:ascii="宋体" w:hAnsi="宋体" w:cs="宋体"/>
          <w:lang w:eastAsia="zh-CN"/>
        </w:rPr>
        <w:t>本项目</w:t>
      </w:r>
      <w:r>
        <w:rPr>
          <w:rFonts w:hint="eastAsia" w:ascii="宋体" w:hAnsi="宋体" w:eastAsia="宋体" w:cs="宋体"/>
        </w:rPr>
        <w:t>各生产功能单元可能泄漏至地面区域的污染物性质和生产单元的构筑方式，将采选工程划分为重点防渗区、一般防渗区、简单防渗区。根据预测结果，结合场地包气带防污性能和污染控制的难易程度，各防渗分区的防渗技术要求不同。</w:t>
      </w:r>
    </w:p>
    <w:p>
      <w:pPr>
        <w:pStyle w:val="16"/>
        <w:numPr>
          <w:ilvl w:val="0"/>
          <w:numId w:val="23"/>
        </w:numPr>
        <w:ind w:firstLine="562" w:firstLineChars="0"/>
        <w:rPr>
          <w:rFonts w:hint="eastAsia" w:ascii="宋体" w:hAnsi="宋体" w:eastAsia="宋体" w:cs="宋体"/>
          <w:b/>
          <w:bCs/>
        </w:rPr>
      </w:pPr>
      <w:r>
        <w:rPr>
          <w:rFonts w:hint="eastAsia" w:ascii="宋体" w:hAnsi="宋体" w:eastAsia="宋体" w:cs="宋体"/>
          <w:b/>
          <w:bCs/>
        </w:rPr>
        <w:t>防渗分区</w:t>
      </w:r>
    </w:p>
    <w:p>
      <w:pPr>
        <w:ind w:firstLine="560"/>
        <w:rPr>
          <w:rFonts w:hint="eastAsia" w:ascii="宋体" w:hAnsi="宋体" w:eastAsia="宋体" w:cs="宋体"/>
          <w:lang w:eastAsia="zh-CN"/>
        </w:rPr>
      </w:pPr>
      <w:r>
        <w:rPr>
          <w:rFonts w:hint="eastAsia" w:ascii="宋体" w:hAnsi="宋体" w:eastAsia="宋体" w:cs="宋体"/>
          <w:lang w:eastAsia="zh-CN"/>
        </w:rPr>
        <w:t>根据建设项目场地天然包气带防污性能、污染控制难易程度和污染物确定地下水水污染防渗分区及防渗技术要求详见表6.4.4-1。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表6.4.4-1 地下水污染防渗分区</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top w:val="single" w:color="auto" w:sz="12" w:space="0"/>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防渗分区</w:t>
            </w:r>
          </w:p>
        </w:tc>
        <w:tc>
          <w:tcPr>
            <w:tcW w:w="2500" w:type="pct"/>
            <w:tcBorders>
              <w:top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防渗区域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重点防渗区</w:t>
            </w:r>
          </w:p>
        </w:tc>
        <w:tc>
          <w:tcPr>
            <w:tcW w:w="2500"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涌水池、事故水池等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一般防渗区</w:t>
            </w:r>
          </w:p>
        </w:tc>
        <w:tc>
          <w:tcPr>
            <w:tcW w:w="2500"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空压机房、配电室等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00" w:type="pct"/>
            <w:tcBorders>
              <w:left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简单防渗区</w:t>
            </w:r>
          </w:p>
        </w:tc>
        <w:tc>
          <w:tcPr>
            <w:tcW w:w="2500" w:type="pct"/>
            <w:tcBorders>
              <w:bottom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道路硬化</w:t>
            </w:r>
          </w:p>
        </w:tc>
      </w:tr>
    </w:tbl>
    <w:p>
      <w:pPr>
        <w:pStyle w:val="16"/>
        <w:numPr>
          <w:ilvl w:val="0"/>
          <w:numId w:val="23"/>
        </w:numPr>
        <w:ind w:firstLine="562" w:firstLineChars="0"/>
        <w:rPr>
          <w:rFonts w:hint="eastAsia" w:ascii="宋体" w:hAnsi="宋体" w:eastAsia="宋体" w:cs="宋体"/>
          <w:b/>
          <w:bCs/>
        </w:rPr>
      </w:pPr>
      <w:r>
        <w:rPr>
          <w:rFonts w:hint="eastAsia" w:ascii="宋体" w:hAnsi="宋体" w:eastAsia="宋体" w:cs="宋体"/>
          <w:b/>
          <w:bCs/>
        </w:rPr>
        <w:t>防渗方案</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（1）重点防渗区</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 xml:space="preserve">重点防渗区参照《危险废物贮存污染控制标准》（GB18597-2001）进行防渗。重点防渗区的防渗性能应与6.0m厚粘土层(渗透系数 1.0×10 </w:t>
      </w:r>
      <w:r>
        <w:rPr>
          <w:rFonts w:hint="eastAsia" w:ascii="宋体" w:hAnsi="宋体" w:eastAsia="宋体" w:cs="宋体"/>
          <w:kern w:val="2"/>
          <w:szCs w:val="28"/>
          <w:vertAlign w:val="superscript"/>
          <w:lang w:eastAsia="zh-CN"/>
        </w:rPr>
        <w:t>-7</w:t>
      </w:r>
      <w:r>
        <w:rPr>
          <w:rFonts w:hint="eastAsia" w:ascii="宋体" w:hAnsi="宋体" w:eastAsia="宋体" w:cs="宋体"/>
          <w:kern w:val="2"/>
          <w:szCs w:val="28"/>
          <w:lang w:eastAsia="zh-CN"/>
        </w:rPr>
        <w:t xml:space="preserve"> cm/s)等效。</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底部的地面建议使用钢筋混凝土，混凝土强度等级不宜小于C30，钢筋混凝土的抗渗等级不应小于P10，且表面应涂刷水泥基结晶型、喷涂聚脲等防水涂料（渗透系数不大于 1.0×10</w:t>
      </w:r>
      <w:r>
        <w:rPr>
          <w:rFonts w:hint="eastAsia" w:ascii="宋体" w:hAnsi="宋体" w:eastAsia="宋体" w:cs="宋体"/>
          <w:kern w:val="2"/>
          <w:szCs w:val="28"/>
          <w:vertAlign w:val="superscript"/>
          <w:lang w:eastAsia="zh-CN"/>
        </w:rPr>
        <w:t>-12</w:t>
      </w:r>
      <w:r>
        <w:rPr>
          <w:rFonts w:hint="eastAsia" w:ascii="宋体" w:hAnsi="宋体" w:eastAsia="宋体" w:cs="宋体"/>
          <w:kern w:val="2"/>
          <w:szCs w:val="28"/>
          <w:lang w:eastAsia="zh-CN"/>
        </w:rPr>
        <w:t>cm/s）。结构厚度不应小于300mm，最大裂缝宽度不应大于0.20mm，并不得贯通，钢筋的混凝土保护层厚度应根据结构的耐久性和环境类别选用，迎水面钢筋的混凝土保护层厚度不应小于50mm。</w:t>
      </w:r>
    </w:p>
    <w:p>
      <w:pPr>
        <w:autoSpaceDE/>
        <w:autoSpaceDN/>
        <w:ind w:firstLine="562"/>
        <w:jc w:val="both"/>
        <w:rPr>
          <w:rFonts w:hint="eastAsia" w:ascii="宋体" w:hAnsi="宋体" w:eastAsia="宋体" w:cs="宋体"/>
          <w:b/>
          <w:bCs/>
          <w:kern w:val="2"/>
          <w:szCs w:val="28"/>
          <w:lang w:eastAsia="zh-CN"/>
        </w:rPr>
      </w:pPr>
      <w:r>
        <w:rPr>
          <w:rFonts w:hint="eastAsia" w:ascii="宋体" w:hAnsi="宋体" w:eastAsia="宋体" w:cs="宋体"/>
          <w:b/>
          <w:bCs/>
          <w:kern w:val="2"/>
          <w:szCs w:val="28"/>
          <w:lang w:eastAsia="zh-CN"/>
        </w:rPr>
        <w:t>（2）一般防渗区</w:t>
      </w:r>
    </w:p>
    <w:p>
      <w:pPr>
        <w:pStyle w:val="16"/>
        <w:ind w:firstLine="560"/>
        <w:rPr>
          <w:rFonts w:hint="eastAsia" w:ascii="宋体" w:hAnsi="宋体" w:eastAsia="宋体" w:cs="宋体"/>
          <w:szCs w:val="28"/>
        </w:rPr>
      </w:pPr>
      <w:r>
        <w:rPr>
          <w:rFonts w:hint="eastAsia" w:ascii="宋体" w:hAnsi="宋体" w:cs="宋体"/>
          <w:szCs w:val="28"/>
          <w:lang w:eastAsia="zh-CN"/>
        </w:rPr>
        <w:t>本项目</w:t>
      </w:r>
      <w:r>
        <w:rPr>
          <w:rFonts w:hint="eastAsia" w:ascii="宋体" w:hAnsi="宋体" w:eastAsia="宋体" w:cs="宋体"/>
          <w:szCs w:val="28"/>
        </w:rPr>
        <w:t>参照《一般工业固体废物贮存和填埋污染控制标准》（GB18599-2020）进行防渗。</w:t>
      </w:r>
      <w:r>
        <w:rPr>
          <w:rFonts w:hint="eastAsia" w:ascii="宋体" w:hAnsi="宋体" w:cs="宋体"/>
          <w:szCs w:val="28"/>
          <w:lang w:eastAsia="zh-CN" w:bidi="ar"/>
        </w:rPr>
        <w:t>本项目</w:t>
      </w:r>
      <w:r>
        <w:rPr>
          <w:rFonts w:hint="eastAsia" w:ascii="宋体" w:hAnsi="宋体" w:eastAsia="宋体" w:cs="宋体"/>
          <w:szCs w:val="28"/>
          <w:lang w:bidi="ar"/>
        </w:rPr>
        <w:t>废石、尾矿均属于Ⅰ类一般工业固体废物。另外，</w:t>
      </w:r>
      <w:r>
        <w:rPr>
          <w:rFonts w:hint="eastAsia" w:ascii="宋体" w:hAnsi="宋体" w:cs="宋体"/>
          <w:szCs w:val="28"/>
          <w:lang w:eastAsia="zh-CN" w:bidi="ar"/>
        </w:rPr>
        <w:t>本项目</w:t>
      </w:r>
      <w:r>
        <w:rPr>
          <w:rFonts w:hint="eastAsia" w:ascii="宋体" w:hAnsi="宋体" w:eastAsia="宋体" w:cs="宋体"/>
          <w:szCs w:val="28"/>
          <w:lang w:bidi="ar"/>
        </w:rPr>
        <w:t>所在地平均渗透系数5.64×10</w:t>
      </w:r>
      <w:r>
        <w:rPr>
          <w:rFonts w:hint="eastAsia" w:ascii="宋体" w:hAnsi="宋体" w:eastAsia="宋体" w:cs="宋体"/>
          <w:szCs w:val="28"/>
          <w:vertAlign w:val="superscript"/>
          <w:lang w:bidi="ar"/>
        </w:rPr>
        <w:t xml:space="preserve"> -3</w:t>
      </w:r>
      <w:r>
        <w:rPr>
          <w:rFonts w:hint="eastAsia" w:ascii="宋体" w:hAnsi="宋体" w:eastAsia="宋体" w:cs="宋体"/>
          <w:szCs w:val="28"/>
          <w:lang w:bidi="ar"/>
        </w:rPr>
        <w:t xml:space="preserve"> cm/s大于</w:t>
      </w:r>
      <w:r>
        <w:rPr>
          <w:rFonts w:hint="eastAsia" w:ascii="宋体" w:hAnsi="宋体" w:eastAsia="宋体" w:cs="宋体"/>
          <w:szCs w:val="28"/>
        </w:rPr>
        <w:t xml:space="preserve">1.0×10 </w:t>
      </w:r>
      <w:r>
        <w:rPr>
          <w:rFonts w:hint="eastAsia" w:ascii="宋体" w:hAnsi="宋体" w:eastAsia="宋体" w:cs="宋体"/>
          <w:szCs w:val="28"/>
          <w:vertAlign w:val="superscript"/>
        </w:rPr>
        <w:t>-5</w:t>
      </w:r>
      <w:r>
        <w:rPr>
          <w:rFonts w:hint="eastAsia" w:ascii="宋体" w:hAnsi="宋体" w:eastAsia="宋体" w:cs="宋体"/>
          <w:szCs w:val="28"/>
        </w:rPr>
        <w:t xml:space="preserve"> cm/s。</w:t>
      </w:r>
    </w:p>
    <w:p>
      <w:pPr>
        <w:pStyle w:val="16"/>
        <w:ind w:firstLine="560"/>
        <w:rPr>
          <w:rFonts w:hint="eastAsia" w:ascii="宋体" w:hAnsi="宋体" w:eastAsia="宋体" w:cs="宋体"/>
          <w:szCs w:val="28"/>
        </w:rPr>
      </w:pPr>
      <w:r>
        <w:rPr>
          <w:rFonts w:hint="eastAsia" w:ascii="宋体" w:hAnsi="宋体" w:eastAsia="宋体" w:cs="宋体"/>
          <w:szCs w:val="28"/>
        </w:rPr>
        <w:t>因此</w:t>
      </w:r>
      <w:r>
        <w:rPr>
          <w:rFonts w:hint="eastAsia" w:ascii="宋体" w:hAnsi="宋体" w:cs="宋体"/>
          <w:szCs w:val="28"/>
          <w:lang w:eastAsia="zh-CN"/>
        </w:rPr>
        <w:t>本项目</w:t>
      </w:r>
      <w:r>
        <w:rPr>
          <w:rFonts w:hint="eastAsia" w:ascii="宋体" w:hAnsi="宋体" w:eastAsia="宋体" w:cs="宋体"/>
          <w:szCs w:val="28"/>
        </w:rPr>
        <w:t>I类场地防渗要求：可采用改性压实粘土类衬层或具有同等以上隔水效力的其他材料防渗衬层，其防渗性能应至少相当于渗透系数为1.0×10</w:t>
      </w:r>
      <w:r>
        <w:rPr>
          <w:rFonts w:hint="eastAsia" w:ascii="宋体" w:hAnsi="宋体" w:eastAsia="宋体" w:cs="宋体"/>
          <w:szCs w:val="28"/>
          <w:vertAlign w:val="superscript"/>
        </w:rPr>
        <w:t>-5</w:t>
      </w:r>
      <w:r>
        <w:rPr>
          <w:rFonts w:hint="eastAsia" w:ascii="宋体" w:hAnsi="宋体" w:eastAsia="宋体" w:cs="宋体"/>
          <w:szCs w:val="28"/>
        </w:rPr>
        <w:t>cm/s 且厚度为0.75 m的天然基础层。</w:t>
      </w:r>
    </w:p>
    <w:p>
      <w:pPr>
        <w:ind w:firstLine="562"/>
        <w:rPr>
          <w:rFonts w:hint="eastAsia" w:ascii="宋体" w:hAnsi="宋体" w:eastAsia="宋体" w:cs="宋体"/>
          <w:b/>
          <w:bCs/>
          <w:lang w:eastAsia="zh-CN"/>
        </w:rPr>
      </w:pPr>
      <w:r>
        <w:rPr>
          <w:rFonts w:hint="eastAsia" w:ascii="宋体" w:hAnsi="宋体" w:eastAsia="宋体" w:cs="宋体"/>
          <w:b/>
          <w:bCs/>
          <w:lang w:eastAsia="zh-CN"/>
        </w:rPr>
        <w:t>（3）简单防渗</w:t>
      </w:r>
    </w:p>
    <w:p>
      <w:pPr>
        <w:pStyle w:val="16"/>
        <w:ind w:firstLine="560"/>
        <w:rPr>
          <w:rFonts w:hint="eastAsia" w:ascii="宋体" w:hAnsi="宋体" w:eastAsia="宋体" w:cs="宋体"/>
        </w:rPr>
      </w:pPr>
      <w:r>
        <w:rPr>
          <w:rFonts w:hint="eastAsia" w:ascii="宋体" w:hAnsi="宋体" w:eastAsia="宋体" w:cs="宋体"/>
        </w:rPr>
        <w:t>工程其余需要采取防渗措施的地段，一般采取地面硬化措施，如道路等。</w:t>
      </w:r>
    </w:p>
    <w:p>
      <w:pPr>
        <w:pStyle w:val="16"/>
        <w:ind w:firstLine="560"/>
        <w:rPr>
          <w:rFonts w:hint="eastAsia" w:ascii="宋体" w:hAnsi="宋体" w:eastAsia="宋体" w:cs="宋体"/>
        </w:rPr>
      </w:pPr>
      <w:r>
        <w:rPr>
          <w:rFonts w:hint="eastAsia" w:ascii="宋体" w:hAnsi="宋体" w:eastAsia="宋体" w:cs="宋体"/>
        </w:rPr>
        <w:t>装置分区防渗见表6.4.4-2，分区防渗见图6.4.4-1。</w:t>
      </w:r>
    </w:p>
    <w:p>
      <w:pPr>
        <w:autoSpaceDE/>
        <w:autoSpaceDN/>
        <w:spacing w:line="276"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表6.4.4-2 项目建设场地的防渗分区</w:t>
      </w:r>
    </w:p>
    <w:tbl>
      <w:tblPr>
        <w:tblStyle w:val="2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35"/>
        <w:gridCol w:w="1390"/>
        <w:gridCol w:w="2392"/>
        <w:gridCol w:w="477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33" w:hRule="atLeast"/>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74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分区类别</w:t>
            </w:r>
          </w:p>
        </w:tc>
        <w:tc>
          <w:tcPr>
            <w:tcW w:w="12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污染防治区域及部位</w:t>
            </w:r>
          </w:p>
        </w:tc>
        <w:tc>
          <w:tcPr>
            <w:tcW w:w="25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防渗技术要求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89" w:hRule="atLeast"/>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74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kern w:val="2"/>
                <w:sz w:val="21"/>
                <w:szCs w:val="21"/>
                <w:lang w:eastAsia="zh-CN"/>
              </w:rPr>
            </w:pPr>
            <w:r>
              <w:rPr>
                <w:rFonts w:hint="eastAsia" w:ascii="宋体" w:hAnsi="宋体" w:eastAsia="宋体" w:cs="宋体"/>
                <w:kern w:val="2"/>
                <w:sz w:val="21"/>
                <w:szCs w:val="21"/>
                <w:lang w:eastAsia="zh-CN"/>
              </w:rPr>
              <w:t>重点防渗区</w:t>
            </w:r>
          </w:p>
        </w:tc>
        <w:tc>
          <w:tcPr>
            <w:tcW w:w="12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涌水池、事故水池等</w:t>
            </w:r>
          </w:p>
        </w:tc>
        <w:tc>
          <w:tcPr>
            <w:tcW w:w="25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等效黏土防渗层Mb≥6m，K≤1.0×10</w:t>
            </w:r>
            <w:r>
              <w:rPr>
                <w:rFonts w:hint="eastAsia" w:ascii="宋体" w:hAnsi="宋体" w:eastAsia="宋体" w:cs="宋体"/>
                <w:kern w:val="2"/>
                <w:sz w:val="21"/>
                <w:szCs w:val="21"/>
                <w:vertAlign w:val="superscript"/>
                <w:lang w:eastAsia="zh-CN"/>
              </w:rPr>
              <w:t>-7</w:t>
            </w:r>
            <w:r>
              <w:rPr>
                <w:rFonts w:hint="eastAsia" w:ascii="宋体" w:hAnsi="宋体" w:eastAsia="宋体" w:cs="宋体"/>
                <w:kern w:val="2"/>
                <w:sz w:val="21"/>
                <w:szCs w:val="21"/>
                <w:lang w:eastAsia="zh-CN"/>
              </w:rPr>
              <w:t>cm/s，或参照GB18598-2001执行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w:t>
            </w:r>
          </w:p>
        </w:tc>
        <w:tc>
          <w:tcPr>
            <w:tcW w:w="74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kern w:val="2"/>
                <w:sz w:val="21"/>
                <w:szCs w:val="21"/>
                <w:lang w:eastAsia="zh-CN"/>
              </w:rPr>
            </w:pPr>
            <w:r>
              <w:rPr>
                <w:rFonts w:hint="eastAsia" w:ascii="宋体" w:hAnsi="宋体" w:eastAsia="宋体" w:cs="宋体"/>
                <w:kern w:val="2"/>
                <w:sz w:val="21"/>
                <w:szCs w:val="21"/>
                <w:lang w:eastAsia="zh-CN"/>
              </w:rPr>
              <w:t>一般防渗区</w:t>
            </w:r>
          </w:p>
        </w:tc>
        <w:tc>
          <w:tcPr>
            <w:tcW w:w="12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空压机房、配电室等</w:t>
            </w:r>
          </w:p>
        </w:tc>
        <w:tc>
          <w:tcPr>
            <w:tcW w:w="25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kern w:val="2"/>
                <w:sz w:val="21"/>
                <w:szCs w:val="21"/>
                <w:lang w:eastAsia="zh-CN"/>
              </w:rPr>
            </w:pPr>
            <w:r>
              <w:rPr>
                <w:rFonts w:hint="eastAsia" w:ascii="宋体" w:hAnsi="宋体" w:eastAsia="宋体" w:cs="宋体"/>
                <w:kern w:val="2"/>
                <w:sz w:val="21"/>
                <w:lang w:eastAsia="zh-CN"/>
              </w:rPr>
              <w:t>等效黏土防渗层0.75m厚，渗透系数≤1.0×10</w:t>
            </w:r>
            <w:r>
              <w:rPr>
                <w:rFonts w:hint="eastAsia" w:ascii="宋体" w:hAnsi="宋体" w:eastAsia="宋体" w:cs="宋体"/>
                <w:kern w:val="2"/>
                <w:sz w:val="21"/>
                <w:vertAlign w:val="superscript"/>
                <w:lang w:eastAsia="zh-CN"/>
              </w:rPr>
              <w:t>-5</w:t>
            </w:r>
            <w:r>
              <w:rPr>
                <w:rFonts w:hint="eastAsia" w:ascii="宋体" w:hAnsi="宋体" w:eastAsia="宋体" w:cs="宋体"/>
                <w:kern w:val="2"/>
                <w:sz w:val="21"/>
                <w:lang w:eastAsia="zh-CN"/>
              </w:rPr>
              <w:t>cm/s的粘土层防渗性能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9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w:t>
            </w:r>
          </w:p>
        </w:tc>
        <w:tc>
          <w:tcPr>
            <w:tcW w:w="74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简单防渗</w:t>
            </w:r>
          </w:p>
        </w:tc>
        <w:tc>
          <w:tcPr>
            <w:tcW w:w="128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sz w:val="21"/>
                <w:szCs w:val="21"/>
                <w:lang w:eastAsia="zh-CN"/>
              </w:rPr>
              <w:t>道路硬化</w:t>
            </w:r>
          </w:p>
        </w:tc>
        <w:tc>
          <w:tcPr>
            <w:tcW w:w="2567"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地面硬化措施</w:t>
            </w:r>
          </w:p>
        </w:tc>
      </w:tr>
    </w:tbl>
    <w:p>
      <w:pPr>
        <w:pStyle w:val="8"/>
        <w:rPr>
          <w:rFonts w:hint="eastAsia" w:ascii="宋体" w:hAnsi="宋体" w:eastAsia="宋体" w:cs="宋体"/>
          <w:lang w:eastAsia="zh-CN"/>
        </w:rPr>
      </w:pPr>
      <w:r>
        <w:rPr>
          <w:rFonts w:hint="eastAsia" w:ascii="宋体" w:hAnsi="宋体" w:eastAsia="宋体" w:cs="宋体"/>
          <w:lang w:eastAsia="zh-CN"/>
        </w:rPr>
        <w:t>6.4.4.3 污染监控</w:t>
      </w:r>
    </w:p>
    <w:p>
      <w:pPr>
        <w:ind w:firstLine="562"/>
        <w:rPr>
          <w:rFonts w:hint="eastAsia" w:ascii="宋体" w:hAnsi="宋体" w:eastAsia="宋体" w:cs="宋体"/>
          <w:b/>
          <w:bCs/>
          <w:lang w:eastAsia="zh-CN"/>
        </w:rPr>
      </w:pPr>
      <w:r>
        <w:rPr>
          <w:rFonts w:hint="eastAsia" w:ascii="宋体" w:hAnsi="宋体" w:eastAsia="宋体" w:cs="宋体"/>
          <w:b/>
          <w:bCs/>
          <w:lang w:eastAsia="zh-CN"/>
        </w:rPr>
        <w:t>1、地下水跟踪监测</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地下水环境》(HJ610-2016)要求，建设单位应建立地下水环境监测管理体系，包括制定地下水环境影响跟踪监测计划、建立地下水环境影响跟踪监测制度、配备先进的监测仪器和设备（部分依托社会监测机构），以便及时发现问题，采取措施。跟踪监测计划应根据环境水文地质条件和建设项目特点设置跟踪监测点，跟踪监测点应明确与建设项目的位置关系，给出点位、坐标、井深、井结构、监测层位、监测因子及监测频率等相关参数。</w:t>
      </w:r>
    </w:p>
    <w:p>
      <w:pPr>
        <w:ind w:firstLine="560"/>
        <w:rPr>
          <w:rFonts w:hint="eastAsia" w:ascii="宋体" w:hAnsi="宋体" w:eastAsia="宋体" w:cs="宋体"/>
          <w:lang w:eastAsia="zh-CN"/>
        </w:rPr>
      </w:pPr>
      <w:r>
        <w:rPr>
          <w:rFonts w:hint="eastAsia" w:ascii="宋体" w:hAnsi="宋体" w:eastAsia="宋体" w:cs="宋体"/>
          <w:lang w:eastAsia="zh-CN"/>
        </w:rPr>
        <w:t>鲁南矿业已执行的地下水环境监测计划如下：</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表6.4.4-3 环境监测项目和监测点位</w:t>
      </w:r>
    </w:p>
    <w:tbl>
      <w:tblPr>
        <w:tblStyle w:val="2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2"/>
        <w:gridCol w:w="2646"/>
        <w:gridCol w:w="2832"/>
        <w:gridCol w:w="2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rPr>
            </w:pPr>
            <w:r>
              <w:rPr>
                <w:rFonts w:hint="eastAsia" w:ascii="宋体" w:hAnsi="宋体" w:eastAsia="宋体" w:cs="宋体"/>
                <w:b/>
                <w:bCs/>
                <w:sz w:val="21"/>
                <w:szCs w:val="21"/>
              </w:rPr>
              <w:t>环境要素</w:t>
            </w:r>
          </w:p>
        </w:tc>
        <w:tc>
          <w:tcPr>
            <w:tcW w:w="142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rPr>
            </w:pPr>
            <w:r>
              <w:rPr>
                <w:rFonts w:hint="eastAsia" w:ascii="宋体" w:hAnsi="宋体" w:eastAsia="宋体" w:cs="宋体"/>
                <w:b/>
                <w:bCs/>
                <w:sz w:val="21"/>
                <w:szCs w:val="21"/>
              </w:rPr>
              <w:t>监测位置</w:t>
            </w:r>
          </w:p>
        </w:tc>
        <w:tc>
          <w:tcPr>
            <w:tcW w:w="1524"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rPr>
            </w:pPr>
            <w:r>
              <w:rPr>
                <w:rFonts w:hint="eastAsia" w:ascii="宋体" w:hAnsi="宋体" w:eastAsia="宋体" w:cs="宋体"/>
                <w:b/>
                <w:bCs/>
                <w:sz w:val="21"/>
                <w:szCs w:val="21"/>
              </w:rPr>
              <w:t>监测项目</w:t>
            </w:r>
          </w:p>
        </w:tc>
        <w:tc>
          <w:tcPr>
            <w:tcW w:w="1452" w:type="pct"/>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rPr>
            </w:pPr>
            <w:r>
              <w:rPr>
                <w:rFonts w:hint="eastAsia" w:ascii="宋体" w:hAnsi="宋体" w:eastAsia="宋体" w:cs="宋体"/>
                <w:b/>
                <w:bCs/>
                <w:sz w:val="21"/>
                <w:szCs w:val="21"/>
              </w:rPr>
              <w:t>频率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restart"/>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rPr>
            </w:pPr>
            <w:r>
              <w:rPr>
                <w:rFonts w:hint="eastAsia" w:ascii="宋体" w:hAnsi="宋体" w:eastAsia="宋体" w:cs="宋体"/>
                <w:sz w:val="21"/>
                <w:szCs w:val="21"/>
              </w:rPr>
              <w:t>地下水</w:t>
            </w:r>
          </w:p>
        </w:tc>
        <w:tc>
          <w:tcPr>
            <w:tcW w:w="1424" w:type="pct"/>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rPr>
            </w:pPr>
            <w:r>
              <w:rPr>
                <w:rFonts w:hint="eastAsia" w:ascii="宋体" w:hAnsi="宋体" w:eastAsia="宋体" w:cs="宋体"/>
                <w:sz w:val="21"/>
                <w:szCs w:val="21"/>
              </w:rPr>
              <w:t>崔家王峪、龙王峪新村、新民官庄村</w:t>
            </w:r>
          </w:p>
        </w:tc>
        <w:tc>
          <w:tcPr>
            <w:tcW w:w="1524" w:type="pct"/>
            <w:vMerge w:val="restart"/>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rPr>
            </w:pPr>
            <w:r>
              <w:rPr>
                <w:rFonts w:hint="eastAsia" w:ascii="宋体" w:hAnsi="宋体" w:eastAsia="宋体" w:cs="宋体"/>
                <w:sz w:val="21"/>
                <w:szCs w:val="21"/>
              </w:rPr>
              <w:t>pH、总硬度、高锰酸盐指数、硫 酸盐、氯化物、挥发酚、氨氮、硝酸盐氮、亚硝酸盐氮、氟化物、溶解性总固体、总大肠菌群、铁、铜、锰、铅、镉、汞、六价铬、  砷、钴</w:t>
            </w:r>
          </w:p>
        </w:tc>
        <w:tc>
          <w:tcPr>
            <w:tcW w:w="1452" w:type="pct"/>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r>
              <w:rPr>
                <w:rFonts w:hint="eastAsia" w:ascii="宋体" w:hAnsi="宋体" w:eastAsia="宋体" w:cs="宋体"/>
                <w:sz w:val="21"/>
                <w:szCs w:val="21"/>
              </w:rPr>
              <w:t>水质 3 次/年，每年丰水</w:t>
            </w:r>
          </w:p>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rPr>
            </w:pPr>
            <w:r>
              <w:rPr>
                <w:rFonts w:hint="eastAsia" w:ascii="宋体" w:hAnsi="宋体" w:eastAsia="宋体" w:cs="宋体"/>
                <w:sz w:val="21"/>
                <w:szCs w:val="21"/>
              </w:rPr>
              <w:t>期、平水期、枯水期各监测一次，水位 1 次/月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99" w:type="pct"/>
            <w:vMerge w:val="continue"/>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rPr>
            </w:pPr>
          </w:p>
        </w:tc>
        <w:tc>
          <w:tcPr>
            <w:tcW w:w="1424" w:type="pct"/>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rPr>
            </w:pPr>
            <w:r>
              <w:rPr>
                <w:rFonts w:hint="eastAsia" w:ascii="宋体" w:hAnsi="宋体" w:eastAsia="宋体" w:cs="宋体"/>
                <w:sz w:val="21"/>
                <w:szCs w:val="21"/>
              </w:rPr>
              <w:t>2#尾矿库按地下水流向上游1口、下游 2 口，共计 3 口监测井；选矿厂下游1 口监测井</w:t>
            </w:r>
          </w:p>
        </w:tc>
        <w:tc>
          <w:tcPr>
            <w:tcW w:w="1524" w:type="pct"/>
            <w:vMerge w:val="continue"/>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rPr>
            </w:pPr>
          </w:p>
        </w:tc>
        <w:tc>
          <w:tcPr>
            <w:tcW w:w="1452" w:type="pct"/>
            <w:vAlign w:val="center"/>
          </w:tcPr>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rPr>
            </w:pPr>
          </w:p>
          <w:p>
            <w:pPr>
              <w:pStyle w:val="16"/>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rPr>
            </w:pPr>
            <w:r>
              <w:rPr>
                <w:rFonts w:hint="eastAsia" w:ascii="宋体" w:hAnsi="宋体" w:eastAsia="宋体" w:cs="宋体"/>
                <w:sz w:val="21"/>
                <w:szCs w:val="21"/>
              </w:rPr>
              <w:t>上游点位半年一次，下游跟踪监测点，每月监测一次</w:t>
            </w:r>
          </w:p>
        </w:tc>
      </w:tr>
    </w:tbl>
    <w:p>
      <w:pPr>
        <w:ind w:firstLine="560"/>
        <w:rPr>
          <w:rFonts w:hint="eastAsia" w:ascii="宋体" w:hAnsi="宋体" w:eastAsia="宋体" w:cs="宋体"/>
          <w:lang w:eastAsia="zh-CN"/>
        </w:rPr>
      </w:pPr>
      <w:r>
        <w:rPr>
          <w:rFonts w:hint="eastAsia" w:ascii="宋体" w:hAnsi="宋体" w:eastAsia="宋体" w:cs="宋体"/>
          <w:lang w:eastAsia="zh-CN"/>
        </w:rPr>
        <w:t>企业现有地下水监测计划完全满足</w:t>
      </w:r>
      <w:r>
        <w:rPr>
          <w:rFonts w:hint="eastAsia" w:cs="宋体"/>
          <w:lang w:eastAsia="zh-CN"/>
        </w:rPr>
        <w:t>本项目</w:t>
      </w:r>
      <w:r>
        <w:rPr>
          <w:rFonts w:hint="eastAsia" w:ascii="宋体" w:hAnsi="宋体" w:eastAsia="宋体" w:cs="宋体"/>
          <w:lang w:eastAsia="zh-CN"/>
        </w:rPr>
        <w:t>的要求，不再另行增加。</w:t>
      </w:r>
    </w:p>
    <w:p>
      <w:pPr>
        <w:ind w:firstLine="560"/>
        <w:rPr>
          <w:rFonts w:hint="eastAsia" w:ascii="宋体" w:hAnsi="宋体" w:eastAsia="宋体" w:cs="宋体"/>
          <w:lang w:eastAsia="zh-CN"/>
        </w:rPr>
      </w:pPr>
      <w:r>
        <w:rPr>
          <w:rFonts w:hint="eastAsia" w:ascii="宋体" w:hAnsi="宋体" w:eastAsia="宋体" w:cs="宋体"/>
          <w:lang w:eastAsia="zh-CN"/>
        </w:rPr>
        <w:t>在日常例行监测中，一旦发现地下水水质监测数据异常，应尽快核查数据，确保数据的正确性。并将核查过的监测数据通告安环科，由专人负责对数据进行分析、核实，并密切关注生产设施的运行情况，为防止地下水污染采取措施提供正确的依据。定期对污染区的生产装置、污水池、法兰、阀门、管道等进行检查。</w:t>
      </w:r>
    </w:p>
    <w:p>
      <w:pPr>
        <w:ind w:firstLine="562"/>
        <w:rPr>
          <w:rFonts w:hint="eastAsia" w:ascii="宋体" w:hAnsi="宋体" w:eastAsia="宋体" w:cs="宋体"/>
          <w:b/>
          <w:bCs/>
          <w:lang w:eastAsia="zh-CN"/>
        </w:rPr>
      </w:pPr>
      <w:r>
        <w:rPr>
          <w:rFonts w:hint="eastAsia" w:ascii="宋体" w:hAnsi="宋体" w:eastAsia="宋体" w:cs="宋体"/>
          <w:b/>
          <w:bCs/>
          <w:lang w:eastAsia="zh-CN"/>
        </w:rPr>
        <w:t>2、地表移动监测</w:t>
      </w:r>
    </w:p>
    <w:p>
      <w:pPr>
        <w:ind w:firstLine="560"/>
        <w:rPr>
          <w:rFonts w:hint="eastAsia" w:ascii="宋体" w:hAnsi="宋体" w:eastAsia="宋体" w:cs="宋体"/>
          <w:lang w:eastAsia="zh-CN"/>
        </w:rPr>
      </w:pPr>
      <w:r>
        <w:rPr>
          <w:rFonts w:hint="eastAsia" w:ascii="宋体" w:hAnsi="宋体" w:eastAsia="宋体" w:cs="宋体"/>
          <w:lang w:eastAsia="zh-CN"/>
        </w:rPr>
        <w:t>对由于矿区开采可能导致地表移动或沉降的区域，对设计地表移动监测站，观测线条数由设站的目的、地形及开采情况而定，观测线设置在预计的移动盆地主断面上或者通过最大移动和变形的断面上。对于监测范围之内的地表移动和沉降情况要定时监测，防止由于地表位移、沉降等引发的事故发生。</w:t>
      </w:r>
    </w:p>
    <w:p>
      <w:pPr>
        <w:pStyle w:val="16"/>
        <w:ind w:firstLine="560"/>
        <w:rPr>
          <w:rFonts w:hint="eastAsia" w:ascii="宋体" w:hAnsi="宋体" w:eastAsia="宋体" w:cs="宋体"/>
        </w:rPr>
      </w:pPr>
      <w:r>
        <w:rPr>
          <w:rFonts w:hint="eastAsia" w:ascii="宋体" w:hAnsi="宋体" w:eastAsia="宋体" w:cs="宋体"/>
        </w:rPr>
        <w:t>目前，企业已在上河和王峪矿段设置位移监测点46个，地面变形监测每2个月观测1次；雨季及发现变形异常时须加密观测，观测频率为每月不少于1次。位移监测点见附图</w:t>
      </w:r>
      <w:r>
        <w:rPr>
          <w:rFonts w:hint="eastAsia" w:ascii="宋体" w:hAnsi="宋体" w:cs="宋体"/>
          <w:lang w:eastAsia="zh-CN"/>
        </w:rPr>
        <w:t>六</w:t>
      </w:r>
      <w:r>
        <w:rPr>
          <w:rFonts w:hint="eastAsia" w:ascii="宋体" w:hAnsi="宋体" w:eastAsia="宋体" w:cs="宋体"/>
        </w:rPr>
        <w:t>。</w:t>
      </w:r>
    </w:p>
    <w:p>
      <w:pPr>
        <w:ind w:firstLine="562"/>
        <w:rPr>
          <w:rFonts w:hint="eastAsia" w:ascii="宋体" w:hAnsi="宋体" w:eastAsia="宋体" w:cs="宋体"/>
          <w:b/>
          <w:bCs/>
          <w:lang w:eastAsia="zh-CN"/>
        </w:rPr>
      </w:pPr>
      <w:r>
        <w:rPr>
          <w:rFonts w:hint="eastAsia" w:ascii="宋体" w:hAnsi="宋体" w:eastAsia="宋体" w:cs="宋体"/>
          <w:b/>
          <w:bCs/>
          <w:lang w:eastAsia="zh-CN"/>
        </w:rPr>
        <w:t>3、跟踪监测数据管理与信息公开计划</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建成后，建设单位应落实跟踪监测报告编制，应至少包括以下内容：</w:t>
      </w:r>
    </w:p>
    <w:p>
      <w:pPr>
        <w:ind w:firstLine="560"/>
        <w:rPr>
          <w:rFonts w:hint="eastAsia" w:ascii="宋体" w:hAnsi="宋体" w:eastAsia="宋体" w:cs="宋体"/>
          <w:lang w:eastAsia="zh-CN"/>
        </w:rPr>
      </w:pPr>
      <w:r>
        <w:rPr>
          <w:rFonts w:hint="eastAsia" w:ascii="宋体" w:hAnsi="宋体" w:eastAsia="宋体" w:cs="宋体"/>
          <w:lang w:eastAsia="zh-CN"/>
        </w:rPr>
        <w:t>（1）建设项目所在场地及其影响区地下水环境跟踪监测数据，排放污染物种类、数量、浓度；</w:t>
      </w:r>
    </w:p>
    <w:p>
      <w:pPr>
        <w:ind w:firstLine="560"/>
        <w:rPr>
          <w:rFonts w:hint="eastAsia" w:ascii="宋体" w:hAnsi="宋体" w:eastAsia="宋体" w:cs="宋体"/>
          <w:lang w:eastAsia="zh-CN"/>
        </w:rPr>
      </w:pPr>
      <w:r>
        <w:rPr>
          <w:rFonts w:hint="eastAsia" w:ascii="宋体" w:hAnsi="宋体" w:eastAsia="宋体" w:cs="宋体"/>
          <w:lang w:eastAsia="zh-CN"/>
        </w:rPr>
        <w:t>（2）选厂设备、管线、涌水池、堆场等设施的运行状况、跑冒滴漏记录、维护记录；</w:t>
      </w:r>
    </w:p>
    <w:p>
      <w:pPr>
        <w:ind w:firstLine="560"/>
        <w:rPr>
          <w:rFonts w:hint="eastAsia" w:ascii="宋体" w:hAnsi="宋体" w:eastAsia="宋体" w:cs="宋体"/>
          <w:lang w:eastAsia="zh-CN"/>
        </w:rPr>
      </w:pPr>
      <w:r>
        <w:rPr>
          <w:rFonts w:hint="eastAsia" w:ascii="宋体" w:hAnsi="宋体" w:eastAsia="宋体" w:cs="宋体"/>
          <w:lang w:eastAsia="zh-CN"/>
        </w:rPr>
        <w:t>（3）应将</w:t>
      </w:r>
      <w:r>
        <w:rPr>
          <w:rFonts w:hint="eastAsia" w:cs="宋体"/>
          <w:lang w:eastAsia="zh-CN"/>
        </w:rPr>
        <w:t>本项目</w:t>
      </w:r>
      <w:r>
        <w:rPr>
          <w:rFonts w:hint="eastAsia" w:ascii="宋体" w:hAnsi="宋体" w:eastAsia="宋体" w:cs="宋体"/>
          <w:lang w:eastAsia="zh-CN"/>
        </w:rPr>
        <w:t>特征因子的地下水环境监测值定期公开。</w:t>
      </w:r>
    </w:p>
    <w:p>
      <w:pPr>
        <w:pStyle w:val="8"/>
        <w:rPr>
          <w:rFonts w:hint="eastAsia" w:ascii="宋体" w:hAnsi="宋体" w:eastAsia="宋体" w:cs="宋体"/>
          <w:lang w:eastAsia="zh-CN"/>
        </w:rPr>
      </w:pPr>
      <w:r>
        <w:rPr>
          <w:rFonts w:hint="eastAsia" w:ascii="宋体" w:hAnsi="宋体" w:eastAsia="宋体" w:cs="宋体"/>
          <w:lang w:eastAsia="zh-CN"/>
        </w:rPr>
        <w:t>6.4.4.4 风险应急响应</w:t>
      </w:r>
    </w:p>
    <w:p>
      <w:pPr>
        <w:ind w:firstLine="560"/>
        <w:rPr>
          <w:rFonts w:hint="eastAsia" w:ascii="宋体" w:hAnsi="宋体" w:eastAsia="宋体" w:cs="宋体"/>
          <w:lang w:eastAsia="zh-CN"/>
        </w:rPr>
      </w:pPr>
      <w:r>
        <w:rPr>
          <w:rFonts w:hint="eastAsia" w:ascii="宋体" w:hAnsi="宋体" w:eastAsia="宋体" w:cs="宋体"/>
          <w:lang w:eastAsia="zh-CN"/>
        </w:rPr>
        <w:t>企业应制定专门的地下水污染事故的应急措施，并应与其他应急预案相协调。具体内容如下：</w:t>
      </w:r>
    </w:p>
    <w:p>
      <w:pPr>
        <w:ind w:firstLine="562"/>
        <w:rPr>
          <w:rFonts w:hint="eastAsia" w:ascii="宋体" w:hAnsi="宋体" w:eastAsia="宋体" w:cs="宋体"/>
          <w:b/>
          <w:bCs/>
          <w:lang w:eastAsia="zh-CN"/>
        </w:rPr>
      </w:pPr>
      <w:r>
        <w:rPr>
          <w:rFonts w:hint="eastAsia" w:ascii="宋体" w:hAnsi="宋体" w:eastAsia="宋体" w:cs="宋体"/>
          <w:b/>
          <w:bCs/>
          <w:lang w:eastAsia="zh-CN"/>
        </w:rPr>
        <w:t>（1）应急预案内容</w:t>
      </w:r>
    </w:p>
    <w:p>
      <w:pPr>
        <w:ind w:firstLine="560"/>
        <w:rPr>
          <w:rFonts w:hint="eastAsia" w:ascii="宋体" w:hAnsi="宋体" w:eastAsia="宋体" w:cs="宋体"/>
          <w:lang w:eastAsia="zh-CN"/>
        </w:rPr>
      </w:pPr>
      <w:r>
        <w:rPr>
          <w:rFonts w:hint="eastAsia" w:ascii="宋体" w:hAnsi="宋体" w:eastAsia="宋体" w:cs="宋体"/>
          <w:lang w:eastAsia="zh-CN"/>
        </w:rPr>
        <w:t>制定地下水风险事故应急预案的目的是为了在发生风险事故时，能以快的速度发挥最大的效能，有序地实施救援，尽快控制事态的发展，降低事故对潜水含水层及周边供水井的污染。</w:t>
      </w:r>
    </w:p>
    <w:p>
      <w:pPr>
        <w:ind w:firstLine="560"/>
        <w:rPr>
          <w:rFonts w:hint="eastAsia" w:ascii="宋体" w:hAnsi="宋体" w:eastAsia="宋体" w:cs="宋体"/>
          <w:lang w:eastAsia="zh-CN"/>
        </w:rPr>
      </w:pPr>
      <w:r>
        <w:rPr>
          <w:rFonts w:hint="eastAsia" w:ascii="宋体" w:hAnsi="宋体" w:eastAsia="宋体" w:cs="宋体"/>
          <w:lang w:eastAsia="zh-CN"/>
        </w:rPr>
        <w:t>地下水应急预案应包括以下内容：</w:t>
      </w:r>
    </w:p>
    <w:p>
      <w:pPr>
        <w:ind w:firstLine="560"/>
        <w:rPr>
          <w:rFonts w:hint="eastAsia" w:ascii="宋体" w:hAnsi="宋体" w:eastAsia="宋体" w:cs="宋体"/>
          <w:lang w:eastAsia="zh-CN"/>
        </w:rPr>
      </w:pPr>
      <w:r>
        <w:rPr>
          <w:rFonts w:hint="eastAsia" w:ascii="宋体" w:hAnsi="宋体" w:eastAsia="宋体" w:cs="宋体"/>
          <w:lang w:eastAsia="zh-CN"/>
        </w:rPr>
        <w:t>①应急预案的日常协调和指挥机构。</w:t>
      </w:r>
    </w:p>
    <w:p>
      <w:pPr>
        <w:ind w:firstLine="560"/>
        <w:rPr>
          <w:rFonts w:hint="eastAsia" w:ascii="宋体" w:hAnsi="宋体" w:eastAsia="宋体" w:cs="宋体"/>
          <w:lang w:eastAsia="zh-CN"/>
        </w:rPr>
      </w:pPr>
      <w:r>
        <w:rPr>
          <w:rFonts w:hint="eastAsia" w:ascii="宋体" w:hAnsi="宋体" w:eastAsia="宋体" w:cs="宋体"/>
          <w:lang w:eastAsia="zh-CN"/>
        </w:rPr>
        <w:t>②相关部门在应急预案中的职责和分工。</w:t>
      </w:r>
    </w:p>
    <w:p>
      <w:pPr>
        <w:ind w:firstLine="560"/>
        <w:rPr>
          <w:rFonts w:hint="eastAsia" w:ascii="宋体" w:hAnsi="宋体" w:eastAsia="宋体" w:cs="宋体"/>
          <w:lang w:eastAsia="zh-CN"/>
        </w:rPr>
      </w:pPr>
      <w:r>
        <w:rPr>
          <w:rFonts w:hint="eastAsia" w:ascii="宋体" w:hAnsi="宋体" w:eastAsia="宋体" w:cs="宋体"/>
          <w:lang w:eastAsia="zh-CN"/>
        </w:rPr>
        <w:t>③地下水环境保护目标的确定，采取的紧急处置措施和潜在污染源评估。</w:t>
      </w:r>
    </w:p>
    <w:p>
      <w:pPr>
        <w:ind w:firstLine="560"/>
        <w:rPr>
          <w:rFonts w:hint="eastAsia" w:ascii="宋体" w:hAnsi="宋体" w:eastAsia="宋体" w:cs="宋体"/>
          <w:lang w:eastAsia="zh-CN"/>
        </w:rPr>
      </w:pPr>
      <w:r>
        <w:rPr>
          <w:rFonts w:hint="eastAsia" w:ascii="宋体" w:hAnsi="宋体" w:eastAsia="宋体" w:cs="宋体"/>
          <w:lang w:eastAsia="zh-CN"/>
        </w:rPr>
        <w:t>④特大事故应急救援组织状况和人员、装备情况，平常的训练和演习。</w:t>
      </w:r>
    </w:p>
    <w:p>
      <w:pPr>
        <w:ind w:firstLine="560"/>
        <w:rPr>
          <w:rFonts w:hint="eastAsia" w:ascii="宋体" w:hAnsi="宋体" w:eastAsia="宋体" w:cs="宋体"/>
          <w:lang w:eastAsia="zh-CN"/>
        </w:rPr>
      </w:pPr>
      <w:r>
        <w:rPr>
          <w:rFonts w:hint="eastAsia" w:ascii="宋体" w:hAnsi="宋体" w:eastAsia="宋体" w:cs="宋体"/>
          <w:lang w:eastAsia="zh-CN"/>
        </w:rPr>
        <w:t>⑤特大事故的社会支持和援助，应急救援的经费保障。</w:t>
      </w:r>
    </w:p>
    <w:p>
      <w:pPr>
        <w:ind w:firstLine="560"/>
        <w:rPr>
          <w:rFonts w:hint="eastAsia" w:ascii="宋体" w:hAnsi="宋体" w:eastAsia="宋体" w:cs="宋体"/>
          <w:lang w:eastAsia="zh-CN"/>
        </w:rPr>
      </w:pPr>
      <w:r>
        <w:rPr>
          <w:rFonts w:hint="eastAsia" w:ascii="宋体" w:hAnsi="宋体" w:eastAsia="宋体" w:cs="宋体"/>
          <w:lang w:eastAsia="zh-CN"/>
        </w:rPr>
        <w:t>此外，考虑采矿活动可能会对矿区周边集中供水井水资源早餐影响，建设单位应按照企业制定的地下水监测计划，结合地表错动情况，密切关注和掌握地下水水位、水质的变化趋势，避免矿山开采对供水井造成影响，保障居民用水安全。</w:t>
      </w:r>
    </w:p>
    <w:p>
      <w:pPr>
        <w:ind w:firstLine="562"/>
        <w:rPr>
          <w:rFonts w:hint="eastAsia" w:ascii="宋体" w:hAnsi="宋体" w:eastAsia="宋体" w:cs="宋体"/>
          <w:b/>
          <w:bCs/>
          <w:lang w:eastAsia="zh-CN"/>
        </w:rPr>
      </w:pPr>
      <w:r>
        <w:rPr>
          <w:rFonts w:hint="eastAsia" w:ascii="宋体" w:hAnsi="宋体" w:eastAsia="宋体" w:cs="宋体"/>
          <w:b/>
          <w:bCs/>
          <w:lang w:eastAsia="zh-CN"/>
        </w:rPr>
        <w:t>（2）风险应急程序</w:t>
      </w:r>
    </w:p>
    <w:p>
      <w:pPr>
        <w:ind w:firstLine="560"/>
        <w:rPr>
          <w:rFonts w:hint="eastAsia" w:ascii="宋体" w:hAnsi="宋体" w:eastAsia="宋体" w:cs="宋体"/>
          <w:lang w:eastAsia="zh-CN"/>
        </w:rPr>
      </w:pPr>
      <w:r>
        <w:rPr>
          <w:rFonts w:hint="eastAsia" w:ascii="宋体" w:hAnsi="宋体" w:eastAsia="宋体" w:cs="宋体"/>
          <w:lang w:eastAsia="zh-CN"/>
        </w:rPr>
        <w:t>针对应急工作需要，参照相关技术导则，结合地下水污染治理的技术特点，制定地下水污染应急治理程序，见图6.4.4-2。</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tcBorders>
              <w:tl2br w:val="nil"/>
              <w:tr2bl w:val="nil"/>
            </w:tcBorders>
          </w:tcPr>
          <w:p>
            <w:pPr>
              <w:pStyle w:val="16"/>
              <w:keepNext w:val="0"/>
              <w:keepLines w:val="0"/>
              <w:suppressLineNumbers w:val="0"/>
              <w:spacing w:before="0" w:beforeAutospacing="0" w:after="0" w:afterAutospacing="0"/>
              <w:ind w:left="0" w:right="0" w:firstLine="0" w:firstLineChars="0"/>
              <w:jc w:val="center"/>
              <w:rPr>
                <w:rFonts w:hint="eastAsia" w:ascii="宋体" w:hAnsi="宋体" w:eastAsia="宋体" w:cs="宋体"/>
              </w:rPr>
            </w:pPr>
            <w:r>
              <w:rPr>
                <w:rFonts w:hint="eastAsia" w:ascii="宋体" w:hAnsi="宋体" w:eastAsia="宋体" w:cs="宋体"/>
                <w:b/>
                <w:bCs/>
                <w:sz w:val="24"/>
              </w:rPr>
              <w:drawing>
                <wp:anchor distT="0" distB="0" distL="114300" distR="114300" simplePos="0" relativeHeight="251712512" behindDoc="0" locked="0" layoutInCell="1" allowOverlap="1">
                  <wp:simplePos x="0" y="0"/>
                  <wp:positionH relativeFrom="column">
                    <wp:posOffset>791210</wp:posOffset>
                  </wp:positionH>
                  <wp:positionV relativeFrom="paragraph">
                    <wp:posOffset>-906145</wp:posOffset>
                  </wp:positionV>
                  <wp:extent cx="4629150" cy="6194425"/>
                  <wp:effectExtent l="0" t="0" r="0" b="15875"/>
                  <wp:wrapTopAndBottom/>
                  <wp:docPr id="4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7"/>
                          <pic:cNvPicPr>
                            <a:picLocks noChangeAspect="1"/>
                          </pic:cNvPicPr>
                        </pic:nvPicPr>
                        <pic:blipFill>
                          <a:blip r:embed="rId133"/>
                          <a:stretch>
                            <a:fillRect/>
                          </a:stretch>
                        </pic:blipFill>
                        <pic:spPr>
                          <a:xfrm>
                            <a:off x="0" y="0"/>
                            <a:ext cx="4629150" cy="6194425"/>
                          </a:xfrm>
                          <a:prstGeom prst="rect">
                            <a:avLst/>
                          </a:prstGeom>
                          <a:noFill/>
                          <a:ln>
                            <a:noFill/>
                          </a:ln>
                        </pic:spPr>
                      </pic:pic>
                    </a:graphicData>
                  </a:graphic>
                </wp:anchor>
              </w:drawing>
            </w:r>
            <w:r>
              <w:rPr>
                <w:rFonts w:hint="eastAsia" w:ascii="宋体" w:hAnsi="宋体" w:eastAsia="宋体" w:cs="宋体"/>
                <w:b/>
                <w:bCs/>
                <w:sz w:val="24"/>
              </w:rPr>
              <w:t>图6.4.4-2 地下水污染应急治理程序框图</w:t>
            </w:r>
          </w:p>
        </w:tc>
      </w:tr>
    </w:tbl>
    <w:p>
      <w:pPr>
        <w:pStyle w:val="16"/>
        <w:ind w:firstLine="560"/>
        <w:rPr>
          <w:rFonts w:hint="eastAsia" w:ascii="宋体" w:hAnsi="宋体" w:eastAsia="宋体" w:cs="宋体"/>
        </w:rPr>
      </w:pPr>
      <w:r>
        <w:rPr>
          <w:rFonts w:hint="eastAsia" w:ascii="宋体" w:hAnsi="宋体" w:eastAsia="宋体" w:cs="宋体"/>
        </w:rPr>
        <w:t>（3）应急措施</w:t>
      </w:r>
    </w:p>
    <w:p>
      <w:pPr>
        <w:pStyle w:val="16"/>
        <w:ind w:firstLine="560"/>
        <w:rPr>
          <w:rFonts w:hint="eastAsia" w:ascii="宋体" w:hAnsi="宋体" w:eastAsia="宋体" w:cs="宋体"/>
        </w:rPr>
      </w:pPr>
      <w:r>
        <w:rPr>
          <w:rFonts w:hint="eastAsia" w:ascii="宋体" w:hAnsi="宋体" w:eastAsia="宋体" w:cs="宋体"/>
        </w:rPr>
        <w:t>①一旦发生地下水污染事故，应立即启动应急预案。</w:t>
      </w:r>
    </w:p>
    <w:p>
      <w:pPr>
        <w:pStyle w:val="16"/>
        <w:ind w:firstLine="560"/>
        <w:rPr>
          <w:rFonts w:hint="eastAsia" w:ascii="宋体" w:hAnsi="宋体" w:eastAsia="宋体" w:cs="宋体"/>
        </w:rPr>
      </w:pPr>
      <w:r>
        <w:rPr>
          <w:rFonts w:hint="eastAsia" w:ascii="宋体" w:hAnsi="宋体" w:eastAsia="宋体" w:cs="宋体"/>
        </w:rPr>
        <w:t>②查明并切断污染源。</w:t>
      </w:r>
    </w:p>
    <w:p>
      <w:pPr>
        <w:pStyle w:val="16"/>
        <w:ind w:firstLine="560"/>
        <w:rPr>
          <w:rFonts w:hint="eastAsia" w:ascii="宋体" w:hAnsi="宋体" w:eastAsia="宋体" w:cs="宋体"/>
        </w:rPr>
      </w:pPr>
      <w:r>
        <w:rPr>
          <w:rFonts w:hint="eastAsia" w:ascii="宋体" w:hAnsi="宋体" w:eastAsia="宋体" w:cs="宋体"/>
        </w:rPr>
        <w:t>③探明地下水污染深度、范围和污染程度。</w:t>
      </w:r>
    </w:p>
    <w:p>
      <w:pPr>
        <w:pStyle w:val="16"/>
        <w:ind w:firstLine="560"/>
        <w:rPr>
          <w:rFonts w:hint="eastAsia" w:ascii="宋体" w:hAnsi="宋体" w:eastAsia="宋体" w:cs="宋体"/>
        </w:rPr>
      </w:pPr>
      <w:r>
        <w:rPr>
          <w:rFonts w:hint="eastAsia" w:ascii="宋体" w:hAnsi="宋体" w:eastAsia="宋体" w:cs="宋体"/>
        </w:rPr>
        <w:t>④依据探明的地下水污染情况，合理布置截渗井，并进行试抽工作。</w:t>
      </w:r>
    </w:p>
    <w:p>
      <w:pPr>
        <w:pStyle w:val="16"/>
        <w:ind w:firstLine="560"/>
        <w:rPr>
          <w:rFonts w:hint="eastAsia" w:ascii="宋体" w:hAnsi="宋体" w:eastAsia="宋体" w:cs="宋体"/>
        </w:rPr>
      </w:pPr>
      <w:r>
        <w:rPr>
          <w:rFonts w:hint="eastAsia" w:ascii="宋体" w:hAnsi="宋体" w:eastAsia="宋体" w:cs="宋体"/>
        </w:rPr>
        <w:t>⑤依据抽水设计方案进行施工，抽取被污染的地下水体，并依据各井孔出水情况进行调整。</w:t>
      </w:r>
    </w:p>
    <w:p>
      <w:pPr>
        <w:pStyle w:val="16"/>
        <w:ind w:firstLine="560"/>
        <w:rPr>
          <w:rFonts w:hint="eastAsia" w:ascii="宋体" w:hAnsi="宋体" w:eastAsia="宋体" w:cs="宋体"/>
        </w:rPr>
      </w:pPr>
      <w:r>
        <w:rPr>
          <w:rFonts w:hint="eastAsia" w:ascii="宋体" w:hAnsi="宋体" w:eastAsia="宋体" w:cs="宋体"/>
        </w:rPr>
        <w:t>⑥将抽取的地下水进行集中收集处理，并送实验室进行化验分析。</w:t>
      </w:r>
    </w:p>
    <w:p>
      <w:pPr>
        <w:pStyle w:val="16"/>
        <w:ind w:firstLine="560"/>
        <w:rPr>
          <w:rFonts w:hint="eastAsia" w:ascii="宋体" w:hAnsi="宋体" w:eastAsia="宋体" w:cs="宋体"/>
        </w:rPr>
      </w:pPr>
      <w:r>
        <w:rPr>
          <w:rFonts w:hint="eastAsia" w:ascii="宋体" w:hAnsi="宋体" w:eastAsia="宋体" w:cs="宋体"/>
        </w:rPr>
        <w:t>⑦当地下水中的特征污染物浓度满足地下水功能区划的标准后，逐步停止抽水，并进行土壤修复治理工作。</w:t>
      </w:r>
    </w:p>
    <w:p>
      <w:pPr>
        <w:pStyle w:val="7"/>
        <w:rPr>
          <w:rFonts w:hint="eastAsia" w:ascii="宋体" w:hAnsi="宋体" w:eastAsia="宋体" w:cs="宋体"/>
          <w:lang w:eastAsia="zh-CN"/>
        </w:rPr>
      </w:pPr>
      <w:r>
        <w:rPr>
          <w:rFonts w:hint="eastAsia" w:ascii="宋体" w:hAnsi="宋体" w:eastAsia="宋体" w:cs="宋体"/>
          <w:lang w:eastAsia="zh-CN"/>
        </w:rPr>
        <w:t>6.4.5 小结</w:t>
      </w:r>
    </w:p>
    <w:p>
      <w:pPr>
        <w:pStyle w:val="16"/>
        <w:ind w:firstLine="560"/>
        <w:rPr>
          <w:rFonts w:hint="eastAsia" w:ascii="宋体" w:hAnsi="宋体" w:eastAsia="宋体" w:cs="宋体"/>
        </w:rPr>
      </w:pPr>
      <w:r>
        <w:rPr>
          <w:rFonts w:hint="eastAsia" w:ascii="宋体" w:hAnsi="宋体" w:eastAsia="宋体" w:cs="宋体"/>
        </w:rPr>
        <w:t>（1）</w:t>
      </w:r>
      <w:r>
        <w:rPr>
          <w:rFonts w:hint="eastAsia" w:ascii="宋体" w:hAnsi="宋体" w:cs="宋体"/>
          <w:lang w:eastAsia="zh-CN"/>
        </w:rPr>
        <w:t>本项目</w:t>
      </w:r>
      <w:r>
        <w:rPr>
          <w:rFonts w:hint="eastAsia" w:ascii="宋体" w:hAnsi="宋体" w:eastAsia="宋体" w:cs="宋体"/>
        </w:rPr>
        <w:t>为地下铁矿开采扩界项目，依据《环境影响评价技术导则 地下水环境》（HJ610-2016）附录A—地下水环境影响评价行业分类表，</w:t>
      </w:r>
      <w:r>
        <w:rPr>
          <w:rFonts w:hint="eastAsia" w:ascii="宋体" w:hAnsi="宋体" w:cs="宋体"/>
          <w:lang w:eastAsia="zh-CN"/>
        </w:rPr>
        <w:t>本项目</w:t>
      </w:r>
      <w:r>
        <w:rPr>
          <w:rFonts w:hint="eastAsia" w:ascii="宋体" w:hAnsi="宋体" w:eastAsia="宋体" w:cs="宋体"/>
        </w:rPr>
        <w:t>对应地下水环境影响评价类别为Ⅳ类，不开展地下水环境影响评价。</w:t>
      </w:r>
    </w:p>
    <w:p>
      <w:pPr>
        <w:pStyle w:val="16"/>
        <w:ind w:firstLine="560"/>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2</w:t>
      </w:r>
      <w:r>
        <w:rPr>
          <w:rFonts w:hint="eastAsia" w:ascii="宋体" w:hAnsi="宋体" w:eastAsia="宋体" w:cs="宋体"/>
        </w:rPr>
        <w:t>）</w:t>
      </w:r>
      <w:r>
        <w:rPr>
          <w:rFonts w:hint="eastAsia" w:ascii="宋体" w:hAnsi="宋体" w:cs="宋体"/>
          <w:lang w:eastAsia="zh-CN"/>
        </w:rPr>
        <w:t>本项目</w:t>
      </w:r>
      <w:r>
        <w:rPr>
          <w:rFonts w:hint="eastAsia" w:ascii="宋体" w:hAnsi="宋体" w:eastAsia="宋体" w:cs="宋体"/>
        </w:rPr>
        <w:t>地下开采会导致泰山群变质岩裂隙含水岩层水位降低。不会影响周边居民生活饮水（取自第四系冲洪积层）。</w:t>
      </w:r>
    </w:p>
    <w:p>
      <w:pPr>
        <w:pStyle w:val="16"/>
        <w:ind w:firstLine="560"/>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3</w:t>
      </w:r>
      <w:r>
        <w:rPr>
          <w:rFonts w:hint="eastAsia" w:ascii="宋体" w:hAnsi="宋体" w:eastAsia="宋体" w:cs="宋体"/>
        </w:rPr>
        <w:t>）项目所在地平均渗透系数5.64×10</w:t>
      </w:r>
      <w:r>
        <w:rPr>
          <w:rFonts w:hint="eastAsia" w:ascii="宋体" w:hAnsi="宋体" w:eastAsia="宋体" w:cs="宋体"/>
          <w:vertAlign w:val="superscript"/>
        </w:rPr>
        <w:t xml:space="preserve"> -3</w:t>
      </w:r>
      <w:r>
        <w:rPr>
          <w:rFonts w:hint="eastAsia" w:ascii="宋体" w:hAnsi="宋体" w:eastAsia="宋体" w:cs="宋体"/>
        </w:rPr>
        <w:t xml:space="preserve"> cm/s，场地天然包气带防污性能为“弱”。</w:t>
      </w:r>
    </w:p>
    <w:p>
      <w:pPr>
        <w:pStyle w:val="16"/>
        <w:ind w:firstLine="560"/>
        <w:rPr>
          <w:rFonts w:hint="eastAsia" w:ascii="宋体" w:hAnsi="宋体" w:eastAsia="宋体" w:cs="宋体"/>
        </w:rPr>
      </w:pPr>
      <w:r>
        <w:rPr>
          <w:rFonts w:hint="eastAsia" w:ascii="宋体" w:hAnsi="宋体" w:eastAsia="宋体" w:cs="宋体"/>
        </w:rPr>
        <w:t>（</w:t>
      </w:r>
      <w:r>
        <w:rPr>
          <w:rFonts w:hint="eastAsia" w:ascii="宋体" w:hAnsi="宋体" w:cs="宋体"/>
          <w:lang w:val="en-US" w:eastAsia="zh-CN"/>
        </w:rPr>
        <w:t>4</w:t>
      </w:r>
      <w:r>
        <w:rPr>
          <w:rFonts w:hint="eastAsia" w:ascii="宋体" w:hAnsi="宋体" w:eastAsia="宋体" w:cs="宋体"/>
        </w:rPr>
        <w:t>）建设单位应制定专门的地下水风险应急预案，并在矿山开采过程中须严格执行地下水环保措施，加强监控井水质水位、地表错动、矿坑涌水量等的监测；定期了解矿区周边村民用水情况；加强管理，加强各分区防渗措施的维护与保养。一旦发生地下水污染事故，应立即启动应急预案。</w:t>
      </w:r>
    </w:p>
    <w:p>
      <w:pPr>
        <w:pStyle w:val="6"/>
        <w:rPr>
          <w:rFonts w:hint="eastAsia" w:ascii="宋体" w:hAnsi="宋体" w:eastAsia="宋体" w:cs="宋体"/>
          <w:lang w:eastAsia="zh-CN"/>
        </w:rPr>
      </w:pPr>
      <w:bookmarkStart w:id="162" w:name="_Toc18840"/>
      <w:bookmarkStart w:id="163" w:name="_Toc35625041"/>
      <w:bookmarkStart w:id="164" w:name="_Toc21675"/>
      <w:r>
        <w:rPr>
          <w:rFonts w:hint="eastAsia" w:ascii="宋体" w:hAnsi="宋体" w:eastAsia="宋体" w:cs="宋体"/>
          <w:lang w:eastAsia="zh-CN"/>
        </w:rPr>
        <w:t>6.5 运营期声环境影响预测与评价</w:t>
      </w:r>
      <w:bookmarkEnd w:id="162"/>
      <w:bookmarkEnd w:id="163"/>
      <w:bookmarkEnd w:id="164"/>
    </w:p>
    <w:p>
      <w:pPr>
        <w:pStyle w:val="7"/>
        <w:rPr>
          <w:rFonts w:hint="eastAsia" w:ascii="宋体" w:hAnsi="宋体" w:eastAsia="宋体" w:cs="宋体"/>
          <w:lang w:eastAsia="zh-CN"/>
        </w:rPr>
      </w:pPr>
      <w:r>
        <w:rPr>
          <w:rFonts w:hint="eastAsia" w:ascii="宋体" w:hAnsi="宋体" w:eastAsia="宋体" w:cs="宋体"/>
          <w:lang w:eastAsia="zh-CN"/>
        </w:rPr>
        <w:t>6.5.1 主要噪声源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生产过程中的噪声源主要来自于凿岩机、爆破、空压机、风机、粗碎机等设备。其中位于井下的爆破、凿岩机、风机、粗碎机等地下噪声源，产生于地下矿井密闭环境中，经距离衰减后并不影响地面声环境，因此本次评价将不再对其讨论，而主要预测分析项目安置在地面以上的各机械设备噪声源对项目周围声环境造成影响。</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新增主要地面噪声源设备及声环境级见表6.5.1-1。</w:t>
      </w:r>
    </w:p>
    <w:p>
      <w:pPr>
        <w:autoSpaceDE/>
        <w:autoSpaceDN/>
        <w:spacing w:line="36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 xml:space="preserve">表6.5.1-1 </w:t>
      </w:r>
      <w:r>
        <w:rPr>
          <w:rFonts w:hint="eastAsia" w:cs="宋体"/>
          <w:b/>
          <w:bCs/>
          <w:kern w:val="2"/>
          <w:sz w:val="24"/>
          <w:lang w:eastAsia="zh-CN"/>
        </w:rPr>
        <w:t>本项目</w:t>
      </w:r>
      <w:r>
        <w:rPr>
          <w:rFonts w:hint="eastAsia" w:ascii="宋体" w:hAnsi="宋体" w:eastAsia="宋体" w:cs="宋体"/>
          <w:b/>
          <w:bCs/>
          <w:kern w:val="2"/>
          <w:sz w:val="24"/>
          <w:lang w:eastAsia="zh-CN"/>
        </w:rPr>
        <w:t>新增的主要地面噪声源分布及源强情况</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72"/>
        <w:gridCol w:w="1163"/>
        <w:gridCol w:w="1291"/>
        <w:gridCol w:w="1020"/>
        <w:gridCol w:w="1653"/>
        <w:gridCol w:w="1067"/>
        <w:gridCol w:w="181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2" w:type="dxa"/>
            <w:tcBorders>
              <w:tl2br w:val="nil"/>
              <w:tr2bl w:val="nil"/>
            </w:tcBorders>
            <w:vAlign w:val="center"/>
          </w:tcPr>
          <w:p>
            <w:pPr>
              <w:keepNext w:val="0"/>
              <w:keepLines w:val="0"/>
              <w:suppressLineNumbers w:val="0"/>
              <w:autoSpaceDE/>
              <w:autoSpaceDN/>
              <w:spacing w:before="0" w:beforeAutospacing="0" w:after="0" w:afterAutospacing="0" w:line="36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噪声源</w:t>
            </w:r>
          </w:p>
        </w:tc>
        <w:tc>
          <w:tcPr>
            <w:tcW w:w="116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位置</w:t>
            </w:r>
          </w:p>
        </w:tc>
        <w:tc>
          <w:tcPr>
            <w:tcW w:w="1291"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设备名称</w:t>
            </w:r>
          </w:p>
        </w:tc>
        <w:tc>
          <w:tcPr>
            <w:tcW w:w="1020"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数量</w:t>
            </w:r>
          </w:p>
        </w:tc>
        <w:tc>
          <w:tcPr>
            <w:tcW w:w="165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噪声级dB（A）</w:t>
            </w:r>
          </w:p>
        </w:tc>
        <w:tc>
          <w:tcPr>
            <w:tcW w:w="1067"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治理措施</w:t>
            </w:r>
          </w:p>
        </w:tc>
        <w:tc>
          <w:tcPr>
            <w:tcW w:w="1819"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治理后源强dB（A）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2" w:type="dxa"/>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王峪矿段中央回风井</w:t>
            </w:r>
          </w:p>
        </w:tc>
        <w:tc>
          <w:tcPr>
            <w:tcW w:w="116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配电室</w:t>
            </w:r>
          </w:p>
        </w:tc>
        <w:tc>
          <w:tcPr>
            <w:tcW w:w="1291"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变压器</w:t>
            </w:r>
          </w:p>
        </w:tc>
        <w:tc>
          <w:tcPr>
            <w:tcW w:w="1020"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1台</w:t>
            </w:r>
          </w:p>
        </w:tc>
        <w:tc>
          <w:tcPr>
            <w:tcW w:w="165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80</w:t>
            </w:r>
          </w:p>
        </w:tc>
        <w:tc>
          <w:tcPr>
            <w:tcW w:w="1067" w:type="dxa"/>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厂房隔声、基础减振</w:t>
            </w:r>
          </w:p>
        </w:tc>
        <w:tc>
          <w:tcPr>
            <w:tcW w:w="1819"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2" w:type="dxa"/>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16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空压机房</w:t>
            </w:r>
          </w:p>
        </w:tc>
        <w:tc>
          <w:tcPr>
            <w:tcW w:w="1291"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空压机</w:t>
            </w:r>
          </w:p>
        </w:tc>
        <w:tc>
          <w:tcPr>
            <w:tcW w:w="1020"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4台</w:t>
            </w:r>
          </w:p>
        </w:tc>
        <w:tc>
          <w:tcPr>
            <w:tcW w:w="165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90</w:t>
            </w:r>
          </w:p>
        </w:tc>
        <w:tc>
          <w:tcPr>
            <w:tcW w:w="1067" w:type="dxa"/>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819"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2"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王峪矿段南风井</w:t>
            </w:r>
          </w:p>
        </w:tc>
        <w:tc>
          <w:tcPr>
            <w:tcW w:w="116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配电室</w:t>
            </w:r>
          </w:p>
        </w:tc>
        <w:tc>
          <w:tcPr>
            <w:tcW w:w="1291"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变压器</w:t>
            </w:r>
          </w:p>
        </w:tc>
        <w:tc>
          <w:tcPr>
            <w:tcW w:w="1020"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1台</w:t>
            </w:r>
          </w:p>
        </w:tc>
        <w:tc>
          <w:tcPr>
            <w:tcW w:w="165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80</w:t>
            </w:r>
          </w:p>
        </w:tc>
        <w:tc>
          <w:tcPr>
            <w:tcW w:w="1067" w:type="dxa"/>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819"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2"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皮带斜井运输系统</w:t>
            </w:r>
          </w:p>
        </w:tc>
        <w:tc>
          <w:tcPr>
            <w:tcW w:w="116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皮带斜井</w:t>
            </w:r>
          </w:p>
        </w:tc>
        <w:tc>
          <w:tcPr>
            <w:tcW w:w="1291"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皮带运输机</w:t>
            </w:r>
          </w:p>
        </w:tc>
        <w:tc>
          <w:tcPr>
            <w:tcW w:w="1020"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3条</w:t>
            </w:r>
          </w:p>
        </w:tc>
        <w:tc>
          <w:tcPr>
            <w:tcW w:w="1653"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75</w:t>
            </w:r>
          </w:p>
        </w:tc>
        <w:tc>
          <w:tcPr>
            <w:tcW w:w="1067" w:type="dxa"/>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rPr>
            </w:pPr>
          </w:p>
        </w:tc>
        <w:tc>
          <w:tcPr>
            <w:tcW w:w="1819" w:type="dxa"/>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63</w:t>
            </w:r>
          </w:p>
        </w:tc>
      </w:tr>
    </w:tbl>
    <w:p>
      <w:pPr>
        <w:pStyle w:val="7"/>
        <w:rPr>
          <w:rFonts w:hint="eastAsia" w:ascii="宋体" w:hAnsi="宋体" w:eastAsia="宋体" w:cs="宋体"/>
          <w:lang w:eastAsia="zh-CN"/>
        </w:rPr>
      </w:pPr>
      <w:r>
        <w:rPr>
          <w:rFonts w:hint="eastAsia" w:ascii="宋体" w:hAnsi="宋体" w:eastAsia="宋体" w:cs="宋体"/>
          <w:lang w:eastAsia="zh-CN"/>
        </w:rPr>
        <w:t>6.5.2 预测模式</w:t>
      </w:r>
    </w:p>
    <w:p>
      <w:pPr>
        <w:autoSpaceDE/>
        <w:autoSpaceDN/>
        <w:snapToGrid w:val="0"/>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本次评价采用《环境影响评价技术导则—声环境》(HJ 2.4-2009)中推荐模式——工业噪声预测计算模式进行预测。预测模式如下：</w:t>
      </w:r>
    </w:p>
    <w:p>
      <w:pPr>
        <w:autoSpaceDE/>
        <w:autoSpaceDN/>
        <w:ind w:firstLine="562"/>
        <w:jc w:val="both"/>
        <w:rPr>
          <w:rFonts w:hint="eastAsia" w:ascii="宋体" w:hAnsi="宋体" w:eastAsia="宋体" w:cs="宋体"/>
          <w:b/>
          <w:bCs/>
          <w:kern w:val="2"/>
          <w:szCs w:val="28"/>
          <w:lang w:eastAsia="zh-CN"/>
        </w:rPr>
      </w:pPr>
      <w:r>
        <w:rPr>
          <w:rFonts w:hint="eastAsia" w:ascii="宋体" w:hAnsi="宋体" w:eastAsia="宋体" w:cs="宋体"/>
          <w:b/>
          <w:bCs/>
          <w:kern w:val="2"/>
          <w:szCs w:val="28"/>
          <w:lang w:eastAsia="zh-CN"/>
        </w:rPr>
        <w:t>（1）某个点源在预测点的倍频带声压级</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计算公式如下：</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①计算A声级的衰减</w:t>
      </w:r>
    </w:p>
    <w:p>
      <w:pPr>
        <w:autoSpaceDE/>
        <w:autoSpaceDN/>
        <w:ind w:firstLine="560"/>
        <w:jc w:val="center"/>
        <w:rPr>
          <w:rFonts w:hint="eastAsia" w:ascii="宋体" w:hAnsi="宋体" w:eastAsia="宋体" w:cs="宋体"/>
          <w:kern w:val="2"/>
          <w:szCs w:val="28"/>
          <w:lang w:eastAsia="zh-CN"/>
        </w:rPr>
      </w:pPr>
      <w:r>
        <w:rPr>
          <w:rFonts w:hint="eastAsia" w:ascii="宋体" w:hAnsi="宋体" w:eastAsia="宋体" w:cs="宋体"/>
          <w:kern w:val="2"/>
          <w:szCs w:val="28"/>
          <w:lang w:eastAsia="zh-CN"/>
        </w:rPr>
        <w:t>L</w:t>
      </w:r>
      <w:r>
        <w:rPr>
          <w:rFonts w:hint="eastAsia" w:ascii="宋体" w:hAnsi="宋体" w:eastAsia="宋体" w:cs="宋体"/>
          <w:kern w:val="2"/>
          <w:szCs w:val="28"/>
          <w:vertAlign w:val="subscript"/>
          <w:lang w:eastAsia="zh-CN"/>
        </w:rPr>
        <w:t>p</w:t>
      </w:r>
      <w:r>
        <w:rPr>
          <w:rFonts w:hint="eastAsia" w:ascii="宋体" w:hAnsi="宋体" w:eastAsia="宋体" w:cs="宋体"/>
          <w:kern w:val="2"/>
          <w:szCs w:val="28"/>
          <w:lang w:eastAsia="zh-CN"/>
        </w:rPr>
        <w:t>（r）=L</w:t>
      </w:r>
      <w:r>
        <w:rPr>
          <w:rFonts w:hint="eastAsia" w:ascii="宋体" w:hAnsi="宋体" w:eastAsia="宋体" w:cs="宋体"/>
          <w:kern w:val="2"/>
          <w:szCs w:val="28"/>
          <w:vertAlign w:val="subscript"/>
          <w:lang w:eastAsia="zh-CN"/>
        </w:rPr>
        <w:t>p</w:t>
      </w:r>
      <w:r>
        <w:rPr>
          <w:rFonts w:hint="eastAsia" w:ascii="宋体" w:hAnsi="宋体" w:eastAsia="宋体" w:cs="宋体"/>
          <w:kern w:val="2"/>
          <w:szCs w:val="28"/>
          <w:lang w:eastAsia="zh-CN"/>
        </w:rPr>
        <w:t>（r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+A</w:t>
      </w:r>
      <w:r>
        <w:rPr>
          <w:rFonts w:hint="eastAsia" w:ascii="宋体" w:hAnsi="宋体" w:eastAsia="宋体" w:cs="宋体"/>
          <w:kern w:val="2"/>
          <w:szCs w:val="28"/>
          <w:vertAlign w:val="subscript"/>
          <w:lang w:eastAsia="zh-CN"/>
        </w:rPr>
        <w:t>bar</w:t>
      </w:r>
      <w:r>
        <w:rPr>
          <w:rFonts w:hint="eastAsia" w:ascii="宋体" w:hAnsi="宋体" w:eastAsia="宋体" w:cs="宋体"/>
          <w:kern w:val="2"/>
          <w:szCs w:val="28"/>
          <w:lang w:eastAsia="zh-CN"/>
        </w:rPr>
        <w:t>+A</w:t>
      </w:r>
      <w:r>
        <w:rPr>
          <w:rFonts w:hint="eastAsia" w:ascii="宋体" w:hAnsi="宋体" w:eastAsia="宋体" w:cs="宋体"/>
          <w:kern w:val="2"/>
          <w:szCs w:val="28"/>
          <w:vertAlign w:val="subscript"/>
          <w:lang w:eastAsia="zh-CN"/>
        </w:rPr>
        <w:t>atm</w:t>
      </w:r>
      <w:r>
        <w:rPr>
          <w:rFonts w:hint="eastAsia" w:ascii="宋体" w:hAnsi="宋体" w:eastAsia="宋体" w:cs="宋体"/>
          <w:kern w:val="2"/>
          <w:szCs w:val="28"/>
          <w:lang w:eastAsia="zh-CN"/>
        </w:rPr>
        <w:t>+A</w:t>
      </w:r>
      <w:r>
        <w:rPr>
          <w:rFonts w:hint="eastAsia" w:ascii="宋体" w:hAnsi="宋体" w:eastAsia="宋体" w:cs="宋体"/>
          <w:kern w:val="2"/>
          <w:szCs w:val="28"/>
          <w:vertAlign w:val="subscript"/>
          <w:lang w:eastAsia="zh-CN"/>
        </w:rPr>
        <w:t>gr</w:t>
      </w:r>
      <w:r>
        <w:rPr>
          <w:rFonts w:hint="eastAsia" w:ascii="宋体" w:hAnsi="宋体" w:eastAsia="宋体" w:cs="宋体"/>
          <w:kern w:val="2"/>
          <w:szCs w:val="28"/>
          <w:lang w:eastAsia="zh-CN"/>
        </w:rPr>
        <w:t>+A</w:t>
      </w:r>
      <w:r>
        <w:rPr>
          <w:rFonts w:hint="eastAsia" w:ascii="宋体" w:hAnsi="宋体" w:eastAsia="宋体" w:cs="宋体"/>
          <w:kern w:val="2"/>
          <w:szCs w:val="28"/>
          <w:vertAlign w:val="subscript"/>
          <w:lang w:eastAsia="zh-CN"/>
        </w:rPr>
        <w:t>misc</w:t>
      </w:r>
      <w:r>
        <w:rPr>
          <w:rFonts w:hint="eastAsia" w:ascii="宋体" w:hAnsi="宋体" w:eastAsia="宋体" w:cs="宋体"/>
          <w:kern w:val="2"/>
          <w:szCs w:val="28"/>
          <w:lang w:eastAsia="zh-CN"/>
        </w:rPr>
        <w:t>）</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式中：L</w:t>
      </w:r>
      <w:r>
        <w:rPr>
          <w:rFonts w:hint="eastAsia" w:ascii="宋体" w:hAnsi="宋体" w:eastAsia="宋体" w:cs="宋体"/>
          <w:kern w:val="2"/>
          <w:szCs w:val="28"/>
          <w:vertAlign w:val="subscript"/>
          <w:lang w:eastAsia="zh-CN"/>
        </w:rPr>
        <w:t>p</w:t>
      </w:r>
      <w:r>
        <w:rPr>
          <w:rFonts w:hint="eastAsia" w:ascii="宋体" w:hAnsi="宋体" w:eastAsia="宋体" w:cs="宋体"/>
          <w:kern w:val="2"/>
          <w:szCs w:val="28"/>
          <w:lang w:eastAsia="zh-CN"/>
        </w:rPr>
        <w:t>（r）——距声源r处的A声级，dB(A)；</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 xml:space="preserve">      L</w:t>
      </w:r>
      <w:r>
        <w:rPr>
          <w:rFonts w:hint="eastAsia" w:ascii="宋体" w:hAnsi="宋体" w:eastAsia="宋体" w:cs="宋体"/>
          <w:kern w:val="2"/>
          <w:szCs w:val="28"/>
          <w:vertAlign w:val="subscript"/>
          <w:lang w:eastAsia="zh-CN"/>
        </w:rPr>
        <w:t>p</w:t>
      </w:r>
      <w:r>
        <w:rPr>
          <w:rFonts w:hint="eastAsia" w:ascii="宋体" w:hAnsi="宋体" w:eastAsia="宋体" w:cs="宋体"/>
          <w:kern w:val="2"/>
          <w:szCs w:val="28"/>
          <w:lang w:eastAsia="zh-CN"/>
        </w:rPr>
        <w:t>（r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）——参考位置r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处A声级，dB(A)；</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 xml:space="preserve">      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——声波几何发散引起的A声级衰减量，dB(A)；</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 xml:space="preserve">      A</w:t>
      </w:r>
      <w:r>
        <w:rPr>
          <w:rFonts w:hint="eastAsia" w:ascii="宋体" w:hAnsi="宋体" w:eastAsia="宋体" w:cs="宋体"/>
          <w:kern w:val="2"/>
          <w:szCs w:val="28"/>
          <w:vertAlign w:val="subscript"/>
          <w:lang w:eastAsia="zh-CN"/>
        </w:rPr>
        <w:t>bar</w:t>
      </w:r>
      <w:r>
        <w:rPr>
          <w:rFonts w:hint="eastAsia" w:ascii="宋体" w:hAnsi="宋体" w:eastAsia="宋体" w:cs="宋体"/>
          <w:kern w:val="2"/>
          <w:szCs w:val="28"/>
          <w:lang w:eastAsia="zh-CN"/>
        </w:rPr>
        <w:t>——遮挡物引起的声级衰减量，dB(A)；</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 xml:space="preserve">      A</w:t>
      </w:r>
      <w:r>
        <w:rPr>
          <w:rFonts w:hint="eastAsia" w:ascii="宋体" w:hAnsi="宋体" w:eastAsia="宋体" w:cs="宋体"/>
          <w:kern w:val="2"/>
          <w:szCs w:val="28"/>
          <w:vertAlign w:val="subscript"/>
          <w:lang w:eastAsia="zh-CN"/>
        </w:rPr>
        <w:t>atm</w:t>
      </w:r>
      <w:r>
        <w:rPr>
          <w:rFonts w:hint="eastAsia" w:ascii="宋体" w:hAnsi="宋体" w:eastAsia="宋体" w:cs="宋体"/>
          <w:kern w:val="2"/>
          <w:szCs w:val="28"/>
          <w:lang w:eastAsia="zh-CN"/>
        </w:rPr>
        <w:t>——空气吸收衰减量，dB(A)；</w:t>
      </w:r>
    </w:p>
    <w:p>
      <w:pPr>
        <w:pStyle w:val="2"/>
        <w:spacing w:after="0"/>
        <w:ind w:firstLine="1200" w:firstLineChars="500"/>
        <w:rPr>
          <w:rFonts w:hint="eastAsia" w:ascii="宋体" w:hAnsi="宋体" w:eastAsia="宋体" w:cs="宋体"/>
          <w:kern w:val="2"/>
          <w:szCs w:val="28"/>
          <w:lang w:eastAsia="zh-CN"/>
        </w:rPr>
      </w:pPr>
      <w:r>
        <w:rPr>
          <w:rFonts w:hint="eastAsia" w:ascii="宋体" w:hAnsi="宋体" w:eastAsia="宋体" w:cs="宋体"/>
          <w:kern w:val="2"/>
          <w:szCs w:val="28"/>
          <w:lang w:eastAsia="zh-CN"/>
        </w:rPr>
        <w:t xml:space="preserve">Agr—— 地面效应引起的倍频带衰减量，dB(A)； </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 xml:space="preserve">      Amisc——附加 A 声级衰减，dB(A)。</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②计算A声级的叠加</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tcBorders>
              <w:tl2br w:val="nil"/>
              <w:tr2bl w:val="nil"/>
            </w:tcBorders>
          </w:tcPr>
          <w:p>
            <w:pPr>
              <w:pStyle w:val="2"/>
              <w:keepNext w:val="0"/>
              <w:keepLines w:val="0"/>
              <w:suppressLineNumbers w:val="0"/>
              <w:spacing w:before="0" w:beforeAutospacing="0" w:after="0" w:afterAutospacing="0"/>
              <w:ind w:right="0" w:firstLine="720" w:firstLineChars="300"/>
              <w:jc w:val="both"/>
              <w:rPr>
                <w:rFonts w:hint="eastAsia" w:ascii="宋体" w:hAnsi="宋体" w:eastAsia="宋体" w:cs="宋体"/>
                <w:lang w:eastAsia="zh-CN"/>
              </w:rPr>
            </w:pPr>
            <w:r>
              <w:rPr>
                <w:rFonts w:hint="eastAsia" w:ascii="宋体" w:hAnsi="宋体" w:eastAsia="宋体" w:cs="宋体"/>
                <w:kern w:val="2"/>
                <w:szCs w:val="28"/>
                <w:lang w:eastAsia="zh-CN"/>
              </w:rPr>
              <w:drawing>
                <wp:anchor distT="0" distB="0" distL="0" distR="0" simplePos="0" relativeHeight="251713536" behindDoc="0" locked="0" layoutInCell="1" allowOverlap="1">
                  <wp:simplePos x="0" y="0"/>
                  <wp:positionH relativeFrom="column">
                    <wp:posOffset>1525270</wp:posOffset>
                  </wp:positionH>
                  <wp:positionV relativeFrom="paragraph">
                    <wp:posOffset>-254000</wp:posOffset>
                  </wp:positionV>
                  <wp:extent cx="1920875" cy="634365"/>
                  <wp:effectExtent l="0" t="0" r="0" b="13970"/>
                  <wp:wrapTopAndBottom/>
                  <wp:docPr id="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4"/>
                          <pic:cNvPicPr>
                            <a:picLocks noChangeAspect="1" noChangeArrowheads="1"/>
                          </pic:cNvPicPr>
                        </pic:nvPicPr>
                        <pic:blipFill>
                          <a:blip r:embed="rId134"/>
                          <a:srcRect/>
                          <a:stretch>
                            <a:fillRect/>
                          </a:stretch>
                        </pic:blipFill>
                        <pic:spPr>
                          <a:xfrm>
                            <a:off x="0" y="0"/>
                            <a:ext cx="1920875" cy="634365"/>
                          </a:xfrm>
                          <a:prstGeom prst="rect">
                            <a:avLst/>
                          </a:prstGeom>
                          <a:noFill/>
                          <a:ln w="9525">
                            <a:noFill/>
                            <a:miter lim="800000"/>
                            <a:headEnd/>
                            <a:tailEnd/>
                          </a:ln>
                        </pic:spPr>
                      </pic:pic>
                    </a:graphicData>
                  </a:graphic>
                </wp:anchor>
              </w:drawing>
            </w:r>
            <w:r>
              <w:rPr>
                <w:rFonts w:hint="eastAsia" w:ascii="宋体" w:hAnsi="宋体" w:eastAsia="宋体" w:cs="宋体"/>
                <w:lang w:eastAsia="zh-CN"/>
              </w:rPr>
              <w:t>其中：Lp——预测点处的声级叠加值，dB(A)；</w:t>
            </w:r>
          </w:p>
          <w:p>
            <w:pPr>
              <w:pStyle w:val="2"/>
              <w:keepNext w:val="0"/>
              <w:keepLines w:val="0"/>
              <w:suppressLineNumbers w:val="0"/>
              <w:spacing w:before="0" w:beforeAutospacing="0" w:after="0" w:afterAutospacing="0"/>
              <w:ind w:right="0" w:firstLine="0" w:firstLineChars="0"/>
              <w:jc w:val="both"/>
              <w:rPr>
                <w:rFonts w:hint="eastAsia" w:ascii="宋体" w:hAnsi="宋体" w:eastAsia="宋体" w:cs="宋体"/>
                <w:lang w:eastAsia="zh-CN"/>
              </w:rPr>
            </w:pPr>
            <w:r>
              <w:rPr>
                <w:rFonts w:hint="eastAsia" w:ascii="宋体" w:hAnsi="宋体" w:eastAsia="宋体" w:cs="宋体"/>
                <w:lang w:eastAsia="zh-CN"/>
              </w:rPr>
              <w:t xml:space="preserve">            n——噪声源个数。</w:t>
            </w:r>
          </w:p>
        </w:tc>
      </w:tr>
    </w:tbl>
    <w:p>
      <w:pPr>
        <w:autoSpaceDE/>
        <w:autoSpaceDN/>
        <w:ind w:firstLine="562"/>
        <w:jc w:val="both"/>
        <w:rPr>
          <w:rFonts w:hint="eastAsia" w:ascii="宋体" w:hAnsi="宋体" w:eastAsia="宋体" w:cs="宋体"/>
          <w:b/>
          <w:bCs/>
          <w:kern w:val="2"/>
          <w:szCs w:val="28"/>
          <w:lang w:eastAsia="zh-CN"/>
        </w:rPr>
      </w:pPr>
      <w:r>
        <w:rPr>
          <w:rFonts w:hint="eastAsia" w:ascii="宋体" w:hAnsi="宋体" w:eastAsia="宋体" w:cs="宋体"/>
          <w:b/>
          <w:bCs/>
          <w:kern w:val="2"/>
          <w:szCs w:val="28"/>
          <w:lang w:eastAsia="zh-CN"/>
        </w:rPr>
        <w:t>（2）参数的确定</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①声波几何发散引起的A声级衰减量</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A、点声源          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=20Lg（r/r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B、有限长（L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）线声源</w:t>
      </w:r>
    </w:p>
    <w:p>
      <w:pPr>
        <w:autoSpaceDE/>
        <w:autoSpaceDN/>
        <w:ind w:firstLine="720" w:firstLineChars="3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当r＞L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且r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时                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=20Lg（r/r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w:t>
      </w:r>
    </w:p>
    <w:p>
      <w:pPr>
        <w:autoSpaceDE/>
        <w:autoSpaceDN/>
        <w:ind w:firstLine="720" w:firstLineChars="3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当r＜L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/3且r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/3时             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=10Lg（r/r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w:t>
      </w:r>
    </w:p>
    <w:p>
      <w:pPr>
        <w:autoSpaceDE/>
        <w:autoSpaceDN/>
        <w:ind w:firstLine="720" w:firstLineChars="3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当L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/3＜r＜L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且L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/3＜r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＜L</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时     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=15Lg（r/r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C、面声源面声源边长为a、b，b＞a</w:t>
      </w:r>
    </w:p>
    <w:p>
      <w:pPr>
        <w:autoSpaceDE/>
        <w:autoSpaceDN/>
        <w:ind w:firstLine="720" w:firstLineChars="3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当r＜a/π时几乎不衰减（A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≈0）</w:t>
      </w:r>
    </w:p>
    <w:p>
      <w:pPr>
        <w:autoSpaceDE/>
        <w:autoSpaceDN/>
        <w:ind w:firstLine="720" w:firstLineChars="3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当a/π＜r＜b/π时类似线声源衰减特性（A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≈10Lg（r/r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w:t>
      </w:r>
    </w:p>
    <w:p>
      <w:pPr>
        <w:autoSpaceDE/>
        <w:autoSpaceDN/>
        <w:ind w:firstLine="720" w:firstLineChars="3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当r＞b/π时类似点声源衰减特性（A</w:t>
      </w:r>
      <w:r>
        <w:rPr>
          <w:rFonts w:hint="eastAsia" w:ascii="宋体" w:hAnsi="宋体" w:eastAsia="宋体" w:cs="宋体"/>
          <w:kern w:val="2"/>
          <w:szCs w:val="28"/>
          <w:vertAlign w:val="subscript"/>
          <w:lang w:eastAsia="zh-CN"/>
        </w:rPr>
        <w:t>div</w:t>
      </w:r>
      <w:r>
        <w:rPr>
          <w:rFonts w:hint="eastAsia" w:ascii="宋体" w:hAnsi="宋体" w:eastAsia="宋体" w:cs="宋体"/>
          <w:kern w:val="2"/>
          <w:szCs w:val="28"/>
          <w:lang w:eastAsia="zh-CN"/>
        </w:rPr>
        <w:t>≈20Lg（r/r</w:t>
      </w:r>
      <w:r>
        <w:rPr>
          <w:rFonts w:hint="eastAsia" w:ascii="宋体" w:hAnsi="宋体" w:eastAsia="宋体" w:cs="宋体"/>
          <w:kern w:val="2"/>
          <w:szCs w:val="28"/>
          <w:vertAlign w:val="subscript"/>
          <w:lang w:eastAsia="zh-CN"/>
        </w:rPr>
        <w:t>o</w:t>
      </w:r>
      <w:r>
        <w:rPr>
          <w:rFonts w:hint="eastAsia" w:ascii="宋体" w:hAnsi="宋体" w:eastAsia="宋体" w:cs="宋体"/>
          <w:kern w:val="2"/>
          <w:szCs w:val="28"/>
          <w:lang w:eastAsia="zh-CN"/>
        </w:rPr>
        <w:t>））</w:t>
      </w:r>
    </w:p>
    <w:p>
      <w:pPr>
        <w:autoSpaceDE/>
        <w:autoSpaceDN/>
        <w:ind w:firstLine="560"/>
        <w:jc w:val="both"/>
        <w:rPr>
          <w:rFonts w:hint="eastAsia" w:ascii="宋体" w:hAnsi="宋体" w:eastAsia="宋体" w:cs="宋体"/>
          <w:kern w:val="2"/>
          <w:szCs w:val="28"/>
          <w:vertAlign w:val="subscript"/>
          <w:lang w:eastAsia="zh-CN"/>
        </w:rPr>
      </w:pPr>
      <w:r>
        <w:rPr>
          <w:rFonts w:hint="eastAsia" w:ascii="宋体" w:hAnsi="宋体" w:eastAsia="宋体" w:cs="宋体"/>
          <w:kern w:val="2"/>
          <w:szCs w:val="28"/>
          <w:lang w:eastAsia="zh-CN"/>
        </w:rPr>
        <w:t>②空气吸收衰减量A</w:t>
      </w:r>
      <w:r>
        <w:rPr>
          <w:rFonts w:hint="eastAsia" w:ascii="宋体" w:hAnsi="宋体" w:eastAsia="宋体" w:cs="宋体"/>
          <w:kern w:val="2"/>
          <w:szCs w:val="28"/>
          <w:vertAlign w:val="subscript"/>
          <w:lang w:eastAsia="zh-CN"/>
        </w:rPr>
        <w:t>atm</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drawing>
          <wp:anchor distT="0" distB="0" distL="0" distR="0" simplePos="0" relativeHeight="251715584" behindDoc="0" locked="0" layoutInCell="1" allowOverlap="1">
            <wp:simplePos x="0" y="0"/>
            <wp:positionH relativeFrom="column">
              <wp:posOffset>1585595</wp:posOffset>
            </wp:positionH>
            <wp:positionV relativeFrom="paragraph">
              <wp:posOffset>144145</wp:posOffset>
            </wp:positionV>
            <wp:extent cx="1030605" cy="402590"/>
            <wp:effectExtent l="0" t="0" r="0" b="16510"/>
            <wp:wrapTopAndBottom/>
            <wp:docPr id="5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6"/>
                    <pic:cNvPicPr>
                      <a:picLocks noChangeAspect="1" noChangeArrowheads="1"/>
                    </pic:cNvPicPr>
                  </pic:nvPicPr>
                  <pic:blipFill>
                    <a:blip r:embed="rId135"/>
                    <a:srcRect/>
                    <a:stretch>
                      <a:fillRect/>
                    </a:stretch>
                  </pic:blipFill>
                  <pic:spPr>
                    <a:xfrm>
                      <a:off x="0" y="0"/>
                      <a:ext cx="1030605" cy="402590"/>
                    </a:xfrm>
                    <a:prstGeom prst="rect">
                      <a:avLst/>
                    </a:prstGeom>
                    <a:noFill/>
                    <a:ln w="9525">
                      <a:noFill/>
                      <a:miter lim="800000"/>
                      <a:headEnd/>
                      <a:tailEnd/>
                    </a:ln>
                  </pic:spPr>
                </pic:pic>
              </a:graphicData>
            </a:graphic>
          </wp:anchor>
        </w:drawing>
      </w:r>
      <w:r>
        <w:rPr>
          <w:rFonts w:hint="eastAsia" w:ascii="宋体" w:hAnsi="宋体" w:eastAsia="宋体" w:cs="宋体"/>
          <w:kern w:val="2"/>
          <w:szCs w:val="28"/>
          <w:lang w:eastAsia="zh-CN"/>
        </w:rPr>
        <w:t>式中：r——为预测点距声源的距离（m）；</w:t>
      </w:r>
    </w:p>
    <w:p>
      <w:pPr>
        <w:autoSpaceDE/>
        <w:autoSpaceDN/>
        <w:ind w:firstLine="1200" w:firstLineChars="5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r</w:t>
      </w:r>
      <w:r>
        <w:rPr>
          <w:rFonts w:hint="eastAsia" w:ascii="宋体" w:hAnsi="宋体" w:eastAsia="宋体" w:cs="宋体"/>
          <w:kern w:val="2"/>
          <w:szCs w:val="28"/>
          <w:vertAlign w:val="subscript"/>
          <w:lang w:eastAsia="zh-CN"/>
        </w:rPr>
        <w:t>0</w:t>
      </w:r>
      <w:r>
        <w:rPr>
          <w:rFonts w:hint="eastAsia" w:ascii="宋体" w:hAnsi="宋体" w:eastAsia="宋体" w:cs="宋体"/>
          <w:kern w:val="2"/>
          <w:szCs w:val="28"/>
          <w:lang w:eastAsia="zh-CN"/>
        </w:rPr>
        <w:t>——为参考位置距离（m）；</w:t>
      </w:r>
    </w:p>
    <w:p>
      <w:pPr>
        <w:autoSpaceDE/>
        <w:autoSpaceDN/>
        <w:ind w:firstLine="1200" w:firstLineChars="5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α——为每100m空气吸收系数（dB）。</w:t>
      </w:r>
    </w:p>
    <w:p>
      <w:pPr>
        <w:autoSpaceDE/>
        <w:autoSpaceDN/>
        <w:ind w:firstLine="960" w:firstLineChars="40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此次预测不考虑空气吸收衰减量。</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③遮挡物引起的衰减量A</w:t>
      </w:r>
      <w:r>
        <w:rPr>
          <w:rFonts w:hint="eastAsia" w:ascii="宋体" w:hAnsi="宋体" w:eastAsia="宋体" w:cs="宋体"/>
          <w:kern w:val="2"/>
          <w:szCs w:val="28"/>
          <w:vertAlign w:val="subscript"/>
          <w:lang w:eastAsia="zh-CN"/>
        </w:rPr>
        <w:t>bar</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位于声源和预测点之间的实体障碍物，如围墙、建筑物、土坡或地堑等起声屏障作用，从而引起声能量的较大衰减，具体衰减根据不同声级的传播途径而定，一般取0~10dB(A)。</w:t>
      </w:r>
      <w:r>
        <w:rPr>
          <w:rFonts w:hint="eastAsia" w:cs="宋体"/>
          <w:kern w:val="2"/>
          <w:szCs w:val="28"/>
          <w:lang w:eastAsia="zh-CN"/>
        </w:rPr>
        <w:t>本项目</w:t>
      </w:r>
      <w:r>
        <w:rPr>
          <w:rFonts w:hint="eastAsia" w:ascii="宋体" w:hAnsi="宋体" w:eastAsia="宋体" w:cs="宋体"/>
          <w:kern w:val="2"/>
          <w:szCs w:val="28"/>
          <w:lang w:eastAsia="zh-CN"/>
        </w:rPr>
        <w:t>衰减量根据各主要厂房和建筑在厂区内的分布情况确定。</w:t>
      </w:r>
    </w:p>
    <w:p>
      <w:pPr>
        <w:autoSpaceDE/>
        <w:autoSpaceDN/>
        <w:ind w:firstLine="560"/>
        <w:jc w:val="both"/>
        <w:rPr>
          <w:rFonts w:hint="eastAsia" w:ascii="宋体" w:hAnsi="宋体" w:eastAsia="宋体" w:cs="宋体"/>
          <w:kern w:val="2"/>
          <w:szCs w:val="28"/>
          <w:vertAlign w:val="subscript"/>
          <w:lang w:eastAsia="zh-CN"/>
        </w:rPr>
      </w:pPr>
      <w:r>
        <w:rPr>
          <w:rFonts w:hint="eastAsia" w:ascii="宋体" w:hAnsi="宋体" w:eastAsia="宋体" w:cs="宋体"/>
          <w:kern w:val="2"/>
          <w:szCs w:val="28"/>
          <w:lang w:eastAsia="zh-CN"/>
        </w:rPr>
        <w:t>④附加衰减量A</w:t>
      </w:r>
      <w:r>
        <w:rPr>
          <w:rFonts w:hint="eastAsia" w:ascii="宋体" w:hAnsi="宋体" w:eastAsia="宋体" w:cs="宋体"/>
          <w:kern w:val="2"/>
          <w:szCs w:val="28"/>
          <w:vertAlign w:val="subscript"/>
          <w:lang w:eastAsia="zh-CN"/>
        </w:rPr>
        <w:t>exc</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附加衰减包括声波传播过程中由于云、雾、温度梯度、风引起的声能量衰减以及地面效应引起的声能量衰减。根据《环境影响评价技术导则－声环境》</w:t>
      </w:r>
      <w:r>
        <w:rPr>
          <w:rFonts w:hint="eastAsia" w:ascii="宋体" w:hAnsi="宋体" w:eastAsia="宋体" w:cs="宋体"/>
          <w:szCs w:val="28"/>
          <w:lang w:eastAsia="zh-CN"/>
        </w:rPr>
        <w:t>（HJ2.4-2009），不管传播多远，地面效应引起的附加衰减量的上限为10</w:t>
      </w:r>
      <w:r>
        <w:rPr>
          <w:rFonts w:hint="eastAsia" w:ascii="宋体" w:hAnsi="宋体" w:eastAsia="宋体" w:cs="宋体"/>
          <w:kern w:val="2"/>
          <w:szCs w:val="28"/>
          <w:lang w:eastAsia="zh-CN"/>
        </w:rPr>
        <w:t>dB(A)。地面效应引起的附加衰减量按下式计算：</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A</w:t>
      </w:r>
      <w:r>
        <w:rPr>
          <w:rFonts w:hint="eastAsia" w:ascii="宋体" w:hAnsi="宋体" w:eastAsia="宋体" w:cs="宋体"/>
          <w:kern w:val="2"/>
          <w:szCs w:val="28"/>
          <w:vertAlign w:val="subscript"/>
          <w:lang w:eastAsia="zh-CN"/>
        </w:rPr>
        <w:t>exe</w:t>
      </w:r>
      <w:r>
        <w:rPr>
          <w:rFonts w:hint="eastAsia" w:ascii="宋体" w:hAnsi="宋体" w:eastAsia="宋体" w:cs="宋体"/>
          <w:kern w:val="2"/>
          <w:szCs w:val="28"/>
          <w:lang w:eastAsia="zh-CN"/>
        </w:rPr>
        <w:t>=5lg（r/r</w:t>
      </w:r>
      <w:r>
        <w:rPr>
          <w:rFonts w:hint="eastAsia" w:ascii="宋体" w:hAnsi="宋体" w:eastAsia="宋体" w:cs="宋体"/>
          <w:kern w:val="2"/>
          <w:szCs w:val="28"/>
          <w:vertAlign w:val="subscript"/>
          <w:lang w:eastAsia="zh-CN"/>
        </w:rPr>
        <w:t>0</w:t>
      </w:r>
      <w:r>
        <w:rPr>
          <w:rFonts w:hint="eastAsia" w:ascii="宋体" w:hAnsi="宋体" w:eastAsia="宋体" w:cs="宋体"/>
          <w:kern w:val="2"/>
          <w:szCs w:val="28"/>
          <w:lang w:eastAsia="zh-CN"/>
        </w:rPr>
        <w:t>）dB(A)</w:t>
      </w:r>
    </w:p>
    <w:p>
      <w:pPr>
        <w:autoSpaceDE/>
        <w:autoSpaceDN/>
        <w:ind w:firstLine="560"/>
        <w:jc w:val="both"/>
        <w:rPr>
          <w:rFonts w:hint="eastAsia" w:ascii="宋体" w:hAnsi="宋体" w:eastAsia="宋体" w:cs="宋体"/>
          <w:kern w:val="2"/>
          <w:szCs w:val="28"/>
          <w:lang w:eastAsia="zh-CN"/>
        </w:rPr>
      </w:pPr>
      <w:r>
        <w:rPr>
          <w:rFonts w:hint="eastAsia" w:ascii="宋体" w:hAnsi="宋体" w:eastAsia="宋体" w:cs="宋体"/>
          <w:kern w:val="2"/>
          <w:szCs w:val="28"/>
          <w:lang w:eastAsia="zh-CN"/>
        </w:rPr>
        <w:t>根据厂区布置和噪声源强分布及外环境状况，取0～10dB(A)。</w:t>
      </w:r>
    </w:p>
    <w:p>
      <w:pPr>
        <w:pStyle w:val="7"/>
        <w:rPr>
          <w:rFonts w:hint="eastAsia" w:ascii="宋体" w:hAnsi="宋体" w:eastAsia="宋体" w:cs="宋体"/>
          <w:lang w:eastAsia="zh-CN"/>
        </w:rPr>
      </w:pPr>
      <w:r>
        <w:rPr>
          <w:rFonts w:hint="eastAsia" w:ascii="宋体" w:hAnsi="宋体" w:eastAsia="宋体" w:cs="宋体"/>
          <w:lang w:eastAsia="zh-CN"/>
        </w:rPr>
        <w:t>6.5.3 预测结果</w:t>
      </w:r>
    </w:p>
    <w:p>
      <w:pPr>
        <w:pStyle w:val="2"/>
        <w:spacing w:after="0"/>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噪声源200m无噪声敏感点。</w:t>
      </w:r>
    </w:p>
    <w:p>
      <w:pPr>
        <w:ind w:firstLine="560"/>
        <w:rPr>
          <w:rFonts w:hint="eastAsia" w:ascii="宋体" w:hAnsi="宋体" w:eastAsia="宋体" w:cs="宋体"/>
          <w:lang w:eastAsia="zh-CN"/>
        </w:rPr>
      </w:pPr>
      <w:r>
        <w:rPr>
          <w:rFonts w:hint="eastAsia" w:ascii="宋体" w:hAnsi="宋体" w:eastAsia="宋体" w:cs="宋体"/>
          <w:lang w:eastAsia="zh-CN"/>
        </w:rPr>
        <w:t>根据主要声环境源的情况，并考虑声屏障等声环境控制措施的降噪作用。利用预测模式与参数，得出各预测点的声环境值，再与现状测量值叠加，计算出预测点的声环境叠加值。预测结果见表6.5.3-1。</w:t>
      </w:r>
    </w:p>
    <w:p>
      <w:pPr>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表6.5.3-1  厂界及敏感点噪声预测结果  单位：dB（A）</w:t>
      </w:r>
    </w:p>
    <w:tbl>
      <w:tblPr>
        <w:tblStyle w:val="24"/>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993"/>
        <w:gridCol w:w="1813"/>
        <w:gridCol w:w="1937"/>
        <w:gridCol w:w="1813"/>
        <w:gridCol w:w="17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3" w:type="pct"/>
            <w:vMerge w:val="restar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预测点</w:t>
            </w:r>
          </w:p>
        </w:tc>
        <w:tc>
          <w:tcPr>
            <w:tcW w:w="3926" w:type="pct"/>
            <w:gridSpan w:val="4"/>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昼间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3" w:type="pct"/>
            <w:vMerge w:val="continue"/>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现状值</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贡献值</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预测值</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3"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南厂界</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46.7</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14.5</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46.7</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3"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西厂界</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58.1</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30.9</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58.1</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3"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北厂界</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41.1</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13.3</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41.1</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3"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东厂界</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53.7</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35.4</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53.8</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耿家林村</w:t>
            </w:r>
          </w:p>
        </w:tc>
        <w:tc>
          <w:tcPr>
            <w:tcW w:w="976"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53.7</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25.5</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53.7</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7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崔家王峪</w:t>
            </w:r>
          </w:p>
        </w:tc>
        <w:tc>
          <w:tcPr>
            <w:tcW w:w="976"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57.5</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23.0</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57.5</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1073" w:type="pct"/>
            <w:vMerge w:val="restar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预测点</w:t>
            </w:r>
          </w:p>
        </w:tc>
        <w:tc>
          <w:tcPr>
            <w:tcW w:w="3926" w:type="pct"/>
            <w:gridSpan w:val="4"/>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73" w:type="pct"/>
            <w:vMerge w:val="continue"/>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现状值</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贡献值</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预测值</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标准值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73"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南厂界</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45.2</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14.5</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45.2</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73"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西厂界</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61.6</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30.9</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61.6</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73"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北厂界</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46.4</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13.3</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46.4</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73"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东厂界</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48.4</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35.4</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48.6</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107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耿家林村</w:t>
            </w:r>
          </w:p>
        </w:tc>
        <w:tc>
          <w:tcPr>
            <w:tcW w:w="976"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48.4</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25.5</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48.4</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270" w:hRule="atLeast"/>
        </w:trPr>
        <w:tc>
          <w:tcPr>
            <w:tcW w:w="107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崔家王峪</w:t>
            </w:r>
          </w:p>
        </w:tc>
        <w:tc>
          <w:tcPr>
            <w:tcW w:w="976" w:type="pc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45.1</w:t>
            </w:r>
          </w:p>
        </w:tc>
        <w:tc>
          <w:tcPr>
            <w:tcW w:w="1043"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23.0</w:t>
            </w:r>
          </w:p>
        </w:tc>
        <w:tc>
          <w:tcPr>
            <w:tcW w:w="976"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45.1</w:t>
            </w:r>
          </w:p>
        </w:tc>
        <w:tc>
          <w:tcPr>
            <w:tcW w:w="930" w:type="pct"/>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w:t>
            </w:r>
          </w:p>
        </w:tc>
      </w:tr>
    </w:tbl>
    <w:p>
      <w:pPr>
        <w:ind w:firstLine="560"/>
        <w:rPr>
          <w:rFonts w:hint="eastAsia" w:ascii="宋体" w:hAnsi="宋体" w:eastAsia="宋体" w:cs="宋体"/>
          <w:lang w:eastAsia="zh-CN"/>
        </w:rPr>
      </w:pPr>
      <w:r>
        <w:rPr>
          <w:rFonts w:hint="eastAsia" w:ascii="宋体" w:hAnsi="宋体" w:eastAsia="宋体" w:cs="宋体"/>
          <w:lang w:eastAsia="zh-CN"/>
        </w:rPr>
        <w:t>由预测结果看出，</w:t>
      </w:r>
      <w:r>
        <w:rPr>
          <w:rFonts w:hint="eastAsia" w:cs="宋体"/>
          <w:lang w:eastAsia="zh-CN"/>
        </w:rPr>
        <w:t>本项目</w:t>
      </w:r>
      <w:r>
        <w:rPr>
          <w:rFonts w:hint="eastAsia" w:ascii="宋体" w:hAnsi="宋体" w:eastAsia="宋体" w:cs="宋体"/>
          <w:lang w:eastAsia="zh-CN"/>
        </w:rPr>
        <w:t>建成投产后，东、南、西厂界噪声预测值均满足《工业企业厂界</w:t>
      </w:r>
      <w:r>
        <w:rPr>
          <w:rFonts w:hint="eastAsia" w:cs="宋体"/>
          <w:lang w:eastAsia="zh-CN"/>
        </w:rPr>
        <w:t>环境</w:t>
      </w:r>
      <w:r>
        <w:rPr>
          <w:rFonts w:hint="eastAsia" w:ascii="宋体" w:hAnsi="宋体" w:eastAsia="宋体" w:cs="宋体"/>
          <w:lang w:eastAsia="zh-CN"/>
        </w:rPr>
        <w:t>噪声排放标准》（GB12348-2008）中2类标准要求。崔家王峪、耿家林村噪声均满足《声环境质量标准》(GB 3096-2008)2类标准要求。</w:t>
      </w:r>
    </w:p>
    <w:p>
      <w:pPr>
        <w:ind w:firstLine="560"/>
        <w:rPr>
          <w:rFonts w:hint="eastAsia" w:ascii="宋体" w:hAnsi="宋体" w:eastAsia="宋体" w:cs="宋体"/>
          <w:lang w:eastAsia="zh-CN"/>
        </w:rPr>
      </w:pPr>
      <w:r>
        <w:rPr>
          <w:rFonts w:hint="eastAsia" w:ascii="宋体" w:hAnsi="宋体" w:eastAsia="宋体" w:cs="宋体"/>
          <w:lang w:eastAsia="zh-CN"/>
        </w:rPr>
        <w:t>北厂界受交通噪声影响，昼间噪声预测值满足《工业企业厂界噪声排放标准》（GB12348-2008）中4类标准要求；夜间噪声预测前后无差别，北厂界夜间现状噪声不满足《工业企业厂界噪声排放标准》（GB12348-2008）中4类标准要求。</w:t>
      </w:r>
    </w:p>
    <w:p>
      <w:pPr>
        <w:ind w:firstLine="560"/>
        <w:rPr>
          <w:rFonts w:hint="eastAsia" w:ascii="宋体" w:hAnsi="宋体" w:eastAsia="宋体" w:cs="宋体"/>
          <w:lang w:eastAsia="zh-CN"/>
        </w:rPr>
      </w:pPr>
      <w:r>
        <w:rPr>
          <w:rFonts w:hint="eastAsia" w:ascii="宋体" w:hAnsi="宋体" w:eastAsia="宋体" w:cs="宋体"/>
          <w:lang w:eastAsia="zh-CN"/>
        </w:rPr>
        <w:t>因此，</w:t>
      </w:r>
      <w:r>
        <w:rPr>
          <w:rFonts w:hint="eastAsia" w:cs="宋体"/>
          <w:lang w:eastAsia="zh-CN"/>
        </w:rPr>
        <w:t>本项目</w:t>
      </w:r>
      <w:r>
        <w:rPr>
          <w:rFonts w:hint="eastAsia" w:ascii="宋体" w:hAnsi="宋体" w:eastAsia="宋体" w:cs="宋体"/>
          <w:lang w:eastAsia="zh-CN"/>
        </w:rPr>
        <w:t>营运后厂界噪声排放不会对周围声环境产生太大的影响。</w:t>
      </w:r>
    </w:p>
    <w:p>
      <w:pPr>
        <w:pStyle w:val="7"/>
        <w:rPr>
          <w:rFonts w:hint="eastAsia" w:ascii="宋体" w:hAnsi="宋体" w:eastAsia="宋体" w:cs="宋体"/>
          <w:lang w:eastAsia="zh-CN"/>
        </w:rPr>
      </w:pPr>
      <w:r>
        <w:rPr>
          <w:rFonts w:hint="eastAsia" w:ascii="宋体" w:hAnsi="宋体" w:eastAsia="宋体" w:cs="宋体"/>
          <w:lang w:eastAsia="zh-CN"/>
        </w:rPr>
        <w:t>6.5.4 爆破振动环境影响分析</w:t>
      </w:r>
    </w:p>
    <w:p>
      <w:pPr>
        <w:pStyle w:val="8"/>
        <w:rPr>
          <w:rFonts w:hint="eastAsia" w:ascii="宋体" w:hAnsi="宋体" w:eastAsia="宋体" w:cs="宋体"/>
          <w:lang w:eastAsia="zh-CN"/>
        </w:rPr>
      </w:pPr>
      <w:r>
        <w:rPr>
          <w:rFonts w:hint="eastAsia" w:ascii="宋体" w:hAnsi="宋体" w:eastAsia="宋体" w:cs="宋体"/>
          <w:lang w:eastAsia="zh-CN"/>
        </w:rPr>
        <w:t>6.5.4.1 爆破振动影响预测与分析</w:t>
      </w:r>
    </w:p>
    <w:p>
      <w:pPr>
        <w:ind w:firstLine="562"/>
        <w:rPr>
          <w:rFonts w:hint="eastAsia" w:ascii="宋体" w:hAnsi="宋体" w:eastAsia="宋体" w:cs="宋体"/>
          <w:b/>
          <w:bCs/>
          <w:lang w:eastAsia="zh-CN"/>
        </w:rPr>
      </w:pPr>
      <w:r>
        <w:rPr>
          <w:rFonts w:hint="eastAsia" w:ascii="宋体" w:hAnsi="宋体" w:eastAsia="宋体" w:cs="宋体"/>
          <w:b/>
          <w:bCs/>
          <w:lang w:eastAsia="zh-CN"/>
        </w:rPr>
        <w:t>1、爆破振动分析</w:t>
      </w:r>
    </w:p>
    <w:p>
      <w:pPr>
        <w:pStyle w:val="16"/>
        <w:ind w:firstLine="560"/>
        <w:rPr>
          <w:rFonts w:hint="eastAsia" w:ascii="宋体" w:hAnsi="宋体" w:eastAsia="宋体" w:cs="宋体"/>
        </w:rPr>
      </w:pPr>
      <w:r>
        <w:rPr>
          <w:rFonts w:hint="eastAsia" w:ascii="宋体" w:hAnsi="宋体" w:eastAsia="宋体" w:cs="宋体"/>
        </w:rPr>
        <w:t>由于目前尚未有针对铁矿开采地下爆破对地面影响的准确预测模式，本次评价参照《中国矿业》2004年09期中《地下爆破对地表屋场的影响分析》一文中对宜昌市樟村坪磷矿的实际开采爆破情况的研究来类比分析三期工程地下爆破对地面的影响。在经研究因地下爆破引起的建筑物地基振动水平与爆破药量、火药种类、起爆方法以及爆破地点的岩石性质、地基的成层状态、弹性性质和距地面的距离等因素有关。当具有一定重量的药包在无限介质内部爆炸时，在爆炸力作用下，距离药包中心不同区域的介质，由于受到的作用力不同，产生不同程度的破坏和振动现象，此现象随距离药包中心增大而逐渐消失，可简单划分为以下几个区域：</w:t>
      </w:r>
    </w:p>
    <w:p>
      <w:pPr>
        <w:pStyle w:val="16"/>
        <w:ind w:firstLine="560"/>
        <w:rPr>
          <w:rFonts w:hint="eastAsia" w:ascii="宋体" w:hAnsi="宋体" w:eastAsia="宋体" w:cs="宋体"/>
        </w:rPr>
      </w:pPr>
      <w:r>
        <w:rPr>
          <w:rFonts w:hint="eastAsia" w:ascii="宋体" w:hAnsi="宋体" w:eastAsia="宋体" w:cs="宋体"/>
        </w:rPr>
        <w:t>1、压缩圈：在半径R</w:t>
      </w:r>
      <w:r>
        <w:rPr>
          <w:rFonts w:hint="eastAsia" w:ascii="宋体" w:hAnsi="宋体" w:eastAsia="宋体" w:cs="宋体"/>
          <w:vertAlign w:val="subscript"/>
        </w:rPr>
        <w:t>1</w:t>
      </w:r>
      <w:r>
        <w:rPr>
          <w:rFonts w:hint="eastAsia" w:ascii="宋体" w:hAnsi="宋体" w:eastAsia="宋体" w:cs="宋体"/>
        </w:rPr>
        <w:t>范围内，介质直接承受药包爆炸而产生的极其巨大作用力影响，当介质为坚硬的脆性岩石时，岩石便会被粉碎。</w:t>
      </w:r>
    </w:p>
    <w:p>
      <w:pPr>
        <w:pStyle w:val="16"/>
        <w:ind w:firstLine="560"/>
        <w:rPr>
          <w:rFonts w:hint="eastAsia" w:ascii="宋体" w:hAnsi="宋体" w:eastAsia="宋体" w:cs="宋体"/>
        </w:rPr>
      </w:pPr>
      <w:r>
        <w:rPr>
          <w:rFonts w:hint="eastAsia" w:ascii="宋体" w:hAnsi="宋体" w:eastAsia="宋体" w:cs="宋体"/>
        </w:rPr>
        <w:t>2、抛掷圈：在半径R</w:t>
      </w:r>
      <w:r>
        <w:rPr>
          <w:rFonts w:hint="eastAsia" w:ascii="宋体" w:hAnsi="宋体" w:eastAsia="宋体" w:cs="宋体"/>
          <w:vertAlign w:val="subscript"/>
        </w:rPr>
        <w:t>1</w:t>
      </w:r>
      <w:r>
        <w:rPr>
          <w:rFonts w:hint="eastAsia" w:ascii="宋体" w:hAnsi="宋体" w:eastAsia="宋体" w:cs="宋体"/>
        </w:rPr>
        <w:t>～R</w:t>
      </w:r>
      <w:r>
        <w:rPr>
          <w:rFonts w:hint="eastAsia" w:ascii="宋体" w:hAnsi="宋体" w:eastAsia="宋体" w:cs="宋体"/>
          <w:vertAlign w:val="subscript"/>
        </w:rPr>
        <w:t>2</w:t>
      </w:r>
      <w:r>
        <w:rPr>
          <w:rFonts w:hint="eastAsia" w:ascii="宋体" w:hAnsi="宋体" w:eastAsia="宋体" w:cs="宋体"/>
        </w:rPr>
        <w:t>范围内，爆破后介质原有的结构受到破坏，分裂成大小形状不一的碎块。</w:t>
      </w:r>
    </w:p>
    <w:p>
      <w:pPr>
        <w:pStyle w:val="16"/>
        <w:ind w:firstLine="560"/>
        <w:rPr>
          <w:rFonts w:hint="eastAsia" w:ascii="宋体" w:hAnsi="宋体" w:eastAsia="宋体" w:cs="宋体"/>
        </w:rPr>
      </w:pPr>
      <w:r>
        <w:rPr>
          <w:rFonts w:hint="eastAsia" w:ascii="宋体" w:hAnsi="宋体" w:eastAsia="宋体" w:cs="宋体"/>
        </w:rPr>
        <w:t>3、破坏圈：在半径R</w:t>
      </w:r>
      <w:r>
        <w:rPr>
          <w:rFonts w:hint="eastAsia" w:ascii="宋体" w:hAnsi="宋体" w:eastAsia="宋体" w:cs="宋体"/>
          <w:vertAlign w:val="subscript"/>
        </w:rPr>
        <w:t>2</w:t>
      </w:r>
      <w:r>
        <w:rPr>
          <w:rFonts w:hint="eastAsia" w:ascii="宋体" w:hAnsi="宋体" w:eastAsia="宋体" w:cs="宋体"/>
        </w:rPr>
        <w:t>～R</w:t>
      </w:r>
      <w:r>
        <w:rPr>
          <w:rFonts w:hint="eastAsia" w:ascii="宋体" w:hAnsi="宋体" w:eastAsia="宋体" w:cs="宋体"/>
          <w:vertAlign w:val="subscript"/>
        </w:rPr>
        <w:t>3</w:t>
      </w:r>
      <w:r>
        <w:rPr>
          <w:rFonts w:hint="eastAsia" w:ascii="宋体" w:hAnsi="宋体" w:eastAsia="宋体" w:cs="宋体"/>
        </w:rPr>
        <w:t>之间的地带，爆破使介质结构受到不同程度的破坏。</w:t>
      </w:r>
    </w:p>
    <w:p>
      <w:pPr>
        <w:pStyle w:val="16"/>
        <w:ind w:firstLine="560"/>
        <w:rPr>
          <w:rFonts w:hint="eastAsia" w:ascii="宋体" w:hAnsi="宋体" w:eastAsia="宋体" w:cs="宋体"/>
        </w:rPr>
      </w:pPr>
      <w:r>
        <w:rPr>
          <w:rFonts w:hint="eastAsia" w:ascii="宋体" w:hAnsi="宋体" w:eastAsia="宋体" w:cs="宋体"/>
        </w:rPr>
        <w:t>4、振动圈：半径R</w:t>
      </w:r>
      <w:r>
        <w:rPr>
          <w:rFonts w:hint="eastAsia" w:ascii="宋体" w:hAnsi="宋体" w:eastAsia="宋体" w:cs="宋体"/>
          <w:vertAlign w:val="subscript"/>
        </w:rPr>
        <w:t>3</w:t>
      </w:r>
      <w:r>
        <w:rPr>
          <w:rFonts w:hint="eastAsia" w:ascii="宋体" w:hAnsi="宋体" w:eastAsia="宋体" w:cs="宋体"/>
        </w:rPr>
        <w:t>～R</w:t>
      </w:r>
      <w:r>
        <w:rPr>
          <w:rFonts w:hint="eastAsia" w:ascii="宋体" w:hAnsi="宋体" w:eastAsia="宋体" w:cs="宋体"/>
          <w:vertAlign w:val="subscript"/>
        </w:rPr>
        <w:t>4</w:t>
      </w:r>
      <w:r>
        <w:rPr>
          <w:rFonts w:hint="eastAsia" w:ascii="宋体" w:hAnsi="宋体" w:eastAsia="宋体" w:cs="宋体"/>
        </w:rPr>
        <w:t>之间，爆破作用力不能使介质产生破坏，此时介质在应力波的传播下，发生振动现象。</w:t>
      </w:r>
    </w:p>
    <w:p>
      <w:pPr>
        <w:pStyle w:val="16"/>
        <w:ind w:firstLine="560"/>
        <w:rPr>
          <w:rFonts w:hint="eastAsia" w:ascii="宋体" w:hAnsi="宋体" w:eastAsia="宋体" w:cs="宋体"/>
        </w:rPr>
      </w:pPr>
      <w:r>
        <w:rPr>
          <w:rFonts w:hint="eastAsia" w:ascii="宋体" w:hAnsi="宋体" w:eastAsia="宋体" w:cs="宋体"/>
        </w:rPr>
        <w:t>爆破作用圈的经验计算公式如下：</w:t>
      </w:r>
    </w:p>
    <w:p>
      <w:pPr>
        <w:pStyle w:val="16"/>
        <w:ind w:firstLine="560"/>
        <w:rPr>
          <w:rFonts w:hint="eastAsia" w:ascii="宋体" w:hAnsi="宋体" w:eastAsia="宋体" w:cs="宋体"/>
        </w:rPr>
      </w:pPr>
      <w:r>
        <w:rPr>
          <w:rFonts w:hint="eastAsia" w:ascii="宋体" w:hAnsi="宋体" w:eastAsia="宋体" w:cs="宋体"/>
        </w:rPr>
        <w:drawing>
          <wp:anchor distT="0" distB="0" distL="114300" distR="114300" simplePos="0" relativeHeight="251683840" behindDoc="0" locked="0" layoutInCell="1" allowOverlap="1">
            <wp:simplePos x="0" y="0"/>
            <wp:positionH relativeFrom="column">
              <wp:posOffset>2033270</wp:posOffset>
            </wp:positionH>
            <wp:positionV relativeFrom="paragraph">
              <wp:posOffset>42545</wp:posOffset>
            </wp:positionV>
            <wp:extent cx="1089660" cy="448945"/>
            <wp:effectExtent l="0" t="0" r="15240" b="8255"/>
            <wp:wrapTopAndBottom/>
            <wp:docPr id="3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图片 2"/>
                    <pic:cNvPicPr>
                      <a:picLocks noChangeAspect="1"/>
                    </pic:cNvPicPr>
                  </pic:nvPicPr>
                  <pic:blipFill>
                    <a:blip r:embed="rId136"/>
                    <a:stretch>
                      <a:fillRect/>
                    </a:stretch>
                  </pic:blipFill>
                  <pic:spPr>
                    <a:xfrm>
                      <a:off x="0" y="0"/>
                      <a:ext cx="1089660" cy="448945"/>
                    </a:xfrm>
                    <a:prstGeom prst="rect">
                      <a:avLst/>
                    </a:prstGeom>
                    <a:noFill/>
                    <a:ln>
                      <a:noFill/>
                    </a:ln>
                  </pic:spPr>
                </pic:pic>
              </a:graphicData>
            </a:graphic>
          </wp:anchor>
        </w:drawing>
      </w:r>
      <w:r>
        <w:rPr>
          <w:rFonts w:hint="eastAsia" w:ascii="宋体" w:hAnsi="宋体" w:eastAsia="宋体" w:cs="宋体"/>
        </w:rPr>
        <w:t>式中：R</w:t>
      </w:r>
      <w:r>
        <w:rPr>
          <w:rFonts w:hint="eastAsia" w:ascii="宋体" w:hAnsi="宋体" w:eastAsia="宋体" w:cs="宋体"/>
          <w:vertAlign w:val="subscript"/>
        </w:rPr>
        <w:t>i</w:t>
      </w:r>
      <w:r>
        <w:rPr>
          <w:rFonts w:hint="eastAsia" w:ascii="宋体" w:hAnsi="宋体" w:eastAsia="宋体" w:cs="宋体"/>
        </w:rPr>
        <w:t>―—爆破作用圈半径，m；</w:t>
      </w:r>
    </w:p>
    <w:p>
      <w:pPr>
        <w:pStyle w:val="16"/>
        <w:ind w:firstLine="1200" w:firstLineChars="500"/>
        <w:rPr>
          <w:rFonts w:hint="eastAsia" w:ascii="宋体" w:hAnsi="宋体" w:eastAsia="宋体" w:cs="宋体"/>
        </w:rPr>
      </w:pPr>
      <w:r>
        <w:rPr>
          <w:rFonts w:hint="eastAsia" w:ascii="宋体" w:hAnsi="宋体" w:eastAsia="宋体" w:cs="宋体"/>
        </w:rPr>
        <w:t>Q―—药包重量，kg；</w:t>
      </w:r>
    </w:p>
    <w:p>
      <w:pPr>
        <w:pStyle w:val="16"/>
        <w:ind w:firstLine="1200" w:firstLineChars="500"/>
        <w:rPr>
          <w:rFonts w:hint="eastAsia" w:ascii="宋体" w:hAnsi="宋体" w:eastAsia="宋体" w:cs="宋体"/>
        </w:rPr>
      </w:pPr>
      <w:r>
        <w:rPr>
          <w:rFonts w:hint="eastAsia" w:ascii="宋体" w:hAnsi="宋体" w:eastAsia="宋体" w:cs="宋体"/>
        </w:rPr>
        <w:t>K</w:t>
      </w:r>
      <w:r>
        <w:rPr>
          <w:rFonts w:hint="eastAsia" w:ascii="宋体" w:hAnsi="宋体" w:eastAsia="宋体" w:cs="宋体"/>
          <w:vertAlign w:val="subscript"/>
        </w:rPr>
        <w:t>i</w:t>
      </w:r>
      <w:r>
        <w:rPr>
          <w:rFonts w:hint="eastAsia" w:ascii="宋体" w:hAnsi="宋体" w:eastAsia="宋体" w:cs="宋体"/>
        </w:rPr>
        <w:t>―—与地质条件有关的常数。</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井下掘进过程乳化炸药的单次最大使用量为760kg，根据经验计算公式，其爆破作用圈半径见下表。</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表6.5.4-1 K</w:t>
      </w:r>
      <w:r>
        <w:rPr>
          <w:rFonts w:hint="eastAsia" w:ascii="宋体" w:hAnsi="宋体" w:eastAsia="宋体" w:cs="宋体"/>
          <w:b/>
          <w:bCs/>
          <w:sz w:val="24"/>
          <w:vertAlign w:val="subscript"/>
        </w:rPr>
        <w:t>i</w:t>
      </w:r>
      <w:r>
        <w:rPr>
          <w:rFonts w:hint="eastAsia" w:ascii="宋体" w:hAnsi="宋体" w:eastAsia="宋体" w:cs="宋体"/>
          <w:b/>
          <w:bCs/>
          <w:sz w:val="24"/>
        </w:rPr>
        <w:t>值范围及爆破作用圈半径</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37"/>
        <w:gridCol w:w="3607"/>
        <w:gridCol w:w="2322"/>
        <w:gridCol w:w="23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60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爆破作用圈名称</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K</w:t>
            </w:r>
            <w:r>
              <w:rPr>
                <w:rFonts w:hint="eastAsia" w:ascii="宋体" w:hAnsi="宋体" w:eastAsia="宋体" w:cs="宋体"/>
                <w:b/>
                <w:bCs/>
                <w:sz w:val="21"/>
                <w:szCs w:val="21"/>
                <w:vertAlign w:val="subscript"/>
              </w:rPr>
              <w:t>i</w:t>
            </w:r>
            <w:r>
              <w:rPr>
                <w:rFonts w:hint="eastAsia" w:ascii="宋体" w:hAnsi="宋体" w:eastAsia="宋体" w:cs="宋体"/>
                <w:b/>
                <w:bCs/>
                <w:sz w:val="21"/>
                <w:szCs w:val="21"/>
              </w:rPr>
              <w:t>值范围</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爆破作用圈半径（m）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360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压缩圈R</w:t>
            </w:r>
            <w:r>
              <w:rPr>
                <w:rFonts w:hint="eastAsia" w:ascii="宋体" w:hAnsi="宋体" w:eastAsia="宋体" w:cs="宋体"/>
                <w:sz w:val="21"/>
                <w:szCs w:val="21"/>
                <w:vertAlign w:val="subscript"/>
              </w:rPr>
              <w:t>1</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0.12~0.5</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1.10~4.56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360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抛掷圈R</w:t>
            </w:r>
            <w:r>
              <w:rPr>
                <w:rFonts w:hint="eastAsia" w:ascii="宋体" w:hAnsi="宋体" w:eastAsia="宋体" w:cs="宋体"/>
                <w:sz w:val="21"/>
                <w:szCs w:val="21"/>
                <w:vertAlign w:val="subscript"/>
              </w:rPr>
              <w:t>1</w:t>
            </w:r>
            <w:r>
              <w:rPr>
                <w:rFonts w:hint="eastAsia" w:ascii="宋体" w:hAnsi="宋体" w:eastAsia="宋体" w:cs="宋体"/>
                <w:sz w:val="21"/>
                <w:szCs w:val="21"/>
              </w:rPr>
              <w:t>～R</w:t>
            </w:r>
            <w:r>
              <w:rPr>
                <w:rFonts w:hint="eastAsia" w:ascii="宋体" w:hAnsi="宋体" w:eastAsia="宋体" w:cs="宋体"/>
                <w:sz w:val="21"/>
                <w:szCs w:val="21"/>
                <w:vertAlign w:val="subscript"/>
              </w:rPr>
              <w:t>2</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0.5~1.0</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4.56~9.13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360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破坏圈R</w:t>
            </w:r>
            <w:r>
              <w:rPr>
                <w:rFonts w:hint="eastAsia" w:ascii="宋体" w:hAnsi="宋体" w:eastAsia="宋体" w:cs="宋体"/>
                <w:sz w:val="21"/>
                <w:szCs w:val="21"/>
                <w:vertAlign w:val="subscript"/>
              </w:rPr>
              <w:t>2</w:t>
            </w:r>
            <w:r>
              <w:rPr>
                <w:rFonts w:hint="eastAsia" w:ascii="宋体" w:hAnsi="宋体" w:eastAsia="宋体" w:cs="宋体"/>
                <w:sz w:val="21"/>
                <w:szCs w:val="21"/>
              </w:rPr>
              <w:t>～R</w:t>
            </w:r>
            <w:r>
              <w:rPr>
                <w:rFonts w:hint="eastAsia" w:ascii="宋体" w:hAnsi="宋体" w:eastAsia="宋体" w:cs="宋体"/>
                <w:sz w:val="21"/>
                <w:szCs w:val="21"/>
                <w:vertAlign w:val="subscript"/>
              </w:rPr>
              <w:t>3</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1.0~2.4</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9.13~21.90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3607"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振动圈R</w:t>
            </w:r>
            <w:r>
              <w:rPr>
                <w:rFonts w:hint="eastAsia" w:ascii="宋体" w:hAnsi="宋体" w:eastAsia="宋体" w:cs="宋体"/>
                <w:sz w:val="21"/>
                <w:szCs w:val="21"/>
                <w:vertAlign w:val="subscript"/>
              </w:rPr>
              <w:t>3</w:t>
            </w:r>
            <w:r>
              <w:rPr>
                <w:rFonts w:hint="eastAsia" w:ascii="宋体" w:hAnsi="宋体" w:eastAsia="宋体" w:cs="宋体"/>
                <w:sz w:val="21"/>
                <w:szCs w:val="21"/>
              </w:rPr>
              <w:t>～R</w:t>
            </w:r>
            <w:r>
              <w:rPr>
                <w:rFonts w:hint="eastAsia" w:ascii="宋体" w:hAnsi="宋体" w:eastAsia="宋体" w:cs="宋体"/>
                <w:sz w:val="21"/>
                <w:szCs w:val="21"/>
                <w:vertAlign w:val="subscript"/>
              </w:rPr>
              <w:t>4</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2.4~20.0</w:t>
            </w:r>
          </w:p>
        </w:tc>
        <w:tc>
          <w:tcPr>
            <w:tcW w:w="232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21.90~182.5</w:t>
            </w:r>
          </w:p>
        </w:tc>
      </w:tr>
    </w:tbl>
    <w:p>
      <w:pPr>
        <w:pStyle w:val="16"/>
        <w:ind w:firstLine="560"/>
        <w:rPr>
          <w:rFonts w:hint="eastAsia" w:ascii="宋体" w:hAnsi="宋体" w:eastAsia="宋体" w:cs="宋体"/>
        </w:rPr>
      </w:pPr>
      <w:r>
        <w:rPr>
          <w:rFonts w:hint="eastAsia" w:ascii="宋体" w:hAnsi="宋体" w:eastAsia="宋体" w:cs="宋体"/>
        </w:rPr>
        <w:t>由上表可见，对于药包重量为760kg的爆破区段，距离爆破点1.10~182.5m范围内的地面建筑物将可能受到采矿爆破振动的影响。</w:t>
      </w:r>
    </w:p>
    <w:p>
      <w:pPr>
        <w:pStyle w:val="8"/>
        <w:rPr>
          <w:rFonts w:hint="eastAsia" w:ascii="宋体" w:hAnsi="宋体" w:eastAsia="宋体" w:cs="宋体"/>
          <w:lang w:eastAsia="zh-CN"/>
        </w:rPr>
      </w:pPr>
      <w:r>
        <w:rPr>
          <w:rFonts w:hint="eastAsia" w:ascii="宋体" w:hAnsi="宋体" w:eastAsia="宋体" w:cs="宋体"/>
          <w:lang w:eastAsia="zh-CN"/>
        </w:rPr>
        <w:t>6.5.4.2 爆破振动安全允许距离预测</w:t>
      </w:r>
    </w:p>
    <w:p>
      <w:pPr>
        <w:pStyle w:val="16"/>
        <w:ind w:firstLine="562"/>
        <w:rPr>
          <w:rFonts w:hint="eastAsia" w:ascii="宋体" w:hAnsi="宋体" w:eastAsia="宋体" w:cs="宋体"/>
          <w:b/>
          <w:bCs/>
        </w:rPr>
      </w:pPr>
      <w:r>
        <w:rPr>
          <w:rFonts w:hint="eastAsia" w:ascii="宋体" w:hAnsi="宋体" w:eastAsia="宋体" w:cs="宋体"/>
          <w:b/>
          <w:bCs/>
        </w:rPr>
        <w:t>1.爆破预测公式及参数选择</w:t>
      </w:r>
    </w:p>
    <w:p>
      <w:pPr>
        <w:pStyle w:val="16"/>
        <w:ind w:firstLine="560"/>
        <w:rPr>
          <w:rFonts w:hint="eastAsia" w:ascii="宋体" w:hAnsi="宋体" w:eastAsia="宋体" w:cs="宋体"/>
        </w:rPr>
      </w:pPr>
      <w:r>
        <w:rPr>
          <w:rFonts w:hint="eastAsia" w:ascii="宋体" w:hAnsi="宋体" w:eastAsia="宋体" w:cs="宋体"/>
        </w:rPr>
        <w:drawing>
          <wp:anchor distT="0" distB="0" distL="114300" distR="114300" simplePos="0" relativeHeight="251680768" behindDoc="0" locked="0" layoutInCell="1" allowOverlap="1">
            <wp:simplePos x="0" y="0"/>
            <wp:positionH relativeFrom="column">
              <wp:posOffset>1784350</wp:posOffset>
            </wp:positionH>
            <wp:positionV relativeFrom="paragraph">
              <wp:posOffset>795020</wp:posOffset>
            </wp:positionV>
            <wp:extent cx="1824355" cy="785495"/>
            <wp:effectExtent l="0" t="0" r="4445" b="14605"/>
            <wp:wrapTopAndBottom/>
            <wp:docPr id="4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图片 4"/>
                    <pic:cNvPicPr>
                      <a:picLocks noChangeAspect="1"/>
                    </pic:cNvPicPr>
                  </pic:nvPicPr>
                  <pic:blipFill>
                    <a:blip r:embed="rId137"/>
                    <a:stretch>
                      <a:fillRect/>
                    </a:stretch>
                  </pic:blipFill>
                  <pic:spPr>
                    <a:xfrm>
                      <a:off x="0" y="0"/>
                      <a:ext cx="1824355" cy="785495"/>
                    </a:xfrm>
                    <a:prstGeom prst="rect">
                      <a:avLst/>
                    </a:prstGeom>
                    <a:noFill/>
                    <a:ln>
                      <a:noFill/>
                    </a:ln>
                  </pic:spPr>
                </pic:pic>
              </a:graphicData>
            </a:graphic>
          </wp:anchor>
        </w:drawing>
      </w:r>
      <w:r>
        <w:rPr>
          <w:rFonts w:hint="eastAsia" w:ascii="宋体" w:hAnsi="宋体" w:eastAsia="宋体" w:cs="宋体"/>
        </w:rPr>
        <w:t>根据《爆破安全规程》（GB6722-2014）推荐的计算爆破振动对建筑物影响的安全距离公式为：</w:t>
      </w:r>
    </w:p>
    <w:p>
      <w:pPr>
        <w:pStyle w:val="16"/>
        <w:ind w:firstLine="560"/>
        <w:rPr>
          <w:rFonts w:hint="eastAsia" w:ascii="宋体" w:hAnsi="宋体" w:eastAsia="宋体" w:cs="宋体"/>
        </w:rPr>
      </w:pPr>
      <w:r>
        <w:rPr>
          <w:rFonts w:hint="eastAsia" w:ascii="宋体" w:hAnsi="宋体" w:eastAsia="宋体" w:cs="宋体"/>
        </w:rPr>
        <w:t>式中：v―爆破振动速度，cm/s；</w:t>
      </w:r>
    </w:p>
    <w:p>
      <w:pPr>
        <w:pStyle w:val="16"/>
        <w:ind w:firstLine="1200" w:firstLineChars="500"/>
        <w:rPr>
          <w:rFonts w:hint="eastAsia" w:ascii="宋体" w:hAnsi="宋体" w:eastAsia="宋体" w:cs="宋体"/>
        </w:rPr>
      </w:pPr>
      <w:r>
        <w:rPr>
          <w:rFonts w:hint="eastAsia" w:ascii="宋体" w:hAnsi="宋体" w:eastAsia="宋体" w:cs="宋体"/>
        </w:rPr>
        <w:t>K、α ―与爆破方法及基岩有关的系数，见表4.5.2-2。</w:t>
      </w:r>
    </w:p>
    <w:p>
      <w:pPr>
        <w:pStyle w:val="16"/>
        <w:ind w:firstLine="1200" w:firstLineChars="500"/>
        <w:rPr>
          <w:rFonts w:hint="eastAsia" w:ascii="宋体" w:hAnsi="宋体" w:eastAsia="宋体" w:cs="宋体"/>
        </w:rPr>
      </w:pPr>
      <w:r>
        <w:rPr>
          <w:rFonts w:hint="eastAsia" w:ascii="宋体" w:hAnsi="宋体" w:eastAsia="宋体" w:cs="宋体"/>
        </w:rPr>
        <w:t>Q―药包质量，齐发爆破为总药量，延时爆破为最大一段药量，kg，本工程乳化炸药量760kg；</w:t>
      </w:r>
    </w:p>
    <w:p>
      <w:pPr>
        <w:pStyle w:val="16"/>
        <w:ind w:firstLine="1200" w:firstLineChars="500"/>
        <w:rPr>
          <w:rFonts w:hint="eastAsia" w:ascii="宋体" w:hAnsi="宋体" w:eastAsia="宋体" w:cs="宋体"/>
        </w:rPr>
      </w:pPr>
      <w:r>
        <w:rPr>
          <w:rFonts w:hint="eastAsia" w:ascii="宋体" w:hAnsi="宋体" w:eastAsia="宋体" w:cs="宋体"/>
        </w:rPr>
        <w:t>R―距爆破中心的安全距离，m。</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表4.5.2-2 爆破区不同岩性的K、α值</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22"/>
        <w:gridCol w:w="2322"/>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2" w:type="dxa"/>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2322"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岩性</w:t>
            </w:r>
          </w:p>
        </w:tc>
        <w:tc>
          <w:tcPr>
            <w:tcW w:w="2322" w:type="dxa"/>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K</w:t>
            </w:r>
          </w:p>
        </w:tc>
        <w:tc>
          <w:tcPr>
            <w:tcW w:w="2322" w:type="dxa"/>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2"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232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坚硬岩石</w:t>
            </w:r>
          </w:p>
        </w:tc>
        <w:tc>
          <w:tcPr>
            <w:tcW w:w="232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50~150</w:t>
            </w:r>
          </w:p>
        </w:tc>
        <w:tc>
          <w:tcPr>
            <w:tcW w:w="2322"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2"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232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中硬岩石</w:t>
            </w:r>
          </w:p>
        </w:tc>
        <w:tc>
          <w:tcPr>
            <w:tcW w:w="232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150~250</w:t>
            </w:r>
          </w:p>
        </w:tc>
        <w:tc>
          <w:tcPr>
            <w:tcW w:w="2322"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322" w:type="dxa"/>
            <w:tcBorders>
              <w:left w:val="single" w:color="auto" w:sz="12" w:space="0"/>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2322"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软岩石</w:t>
            </w:r>
          </w:p>
        </w:tc>
        <w:tc>
          <w:tcPr>
            <w:tcW w:w="2322"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250~350</w:t>
            </w:r>
          </w:p>
        </w:tc>
        <w:tc>
          <w:tcPr>
            <w:tcW w:w="2322" w:type="dxa"/>
            <w:tcBorders>
              <w:bottom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1.8~2.0</w:t>
            </w:r>
          </w:p>
        </w:tc>
      </w:tr>
    </w:tbl>
    <w:p>
      <w:pPr>
        <w:pStyle w:val="16"/>
        <w:ind w:firstLine="560"/>
        <w:rPr>
          <w:rFonts w:hint="eastAsia" w:ascii="宋体" w:hAnsi="宋体" w:eastAsia="宋体" w:cs="宋体"/>
        </w:rPr>
      </w:pPr>
      <w:r>
        <w:rPr>
          <w:rFonts w:hint="eastAsia" w:ascii="宋体" w:hAnsi="宋体" w:eastAsia="宋体" w:cs="宋体"/>
        </w:rPr>
        <w:t>根据《爆破安全规程》可知，一般建筑物和构筑物的爆破地振安全性应满足安全振动速度的要求，主要类型的建（构）筑物地面质点的安全振动速度规定见表4.5.2-3。</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表4.5.2-3  3主要类型的建（构）筑物地面质点的安全振动速度</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3664"/>
        <w:gridCol w:w="1728"/>
        <w:gridCol w:w="1652"/>
        <w:gridCol w:w="1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vMerge w:val="restart"/>
            <w:tcBorders>
              <w:top w:val="single" w:color="auto" w:sz="12" w:space="0"/>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3664" w:type="dxa"/>
            <w:vMerge w:val="restart"/>
            <w:tcBorders>
              <w:top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保护对象类别</w:t>
            </w:r>
          </w:p>
        </w:tc>
        <w:tc>
          <w:tcPr>
            <w:tcW w:w="4981" w:type="dxa"/>
            <w:gridSpan w:val="3"/>
            <w:tcBorders>
              <w:top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安全允许振速（cm/s）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vMerge w:val="continue"/>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3664" w:type="dxa"/>
            <w:vMerge w:val="continue"/>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172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&lt;10Hz</w:t>
            </w:r>
          </w:p>
        </w:tc>
        <w:tc>
          <w:tcPr>
            <w:tcW w:w="165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10Hz~50Hz</w:t>
            </w:r>
          </w:p>
        </w:tc>
        <w:tc>
          <w:tcPr>
            <w:tcW w:w="1601"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50Hz~100Hz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366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土窑洞、土坯房、毛石房屋</w:t>
            </w:r>
          </w:p>
        </w:tc>
        <w:tc>
          <w:tcPr>
            <w:tcW w:w="172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0.5~1.0</w:t>
            </w:r>
          </w:p>
        </w:tc>
        <w:tc>
          <w:tcPr>
            <w:tcW w:w="165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0.7~1.2</w:t>
            </w:r>
          </w:p>
        </w:tc>
        <w:tc>
          <w:tcPr>
            <w:tcW w:w="1601"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366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一般砖房、非抗振的大型砌块建筑物</w:t>
            </w:r>
          </w:p>
        </w:tc>
        <w:tc>
          <w:tcPr>
            <w:tcW w:w="172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2.0~2.5</w:t>
            </w:r>
          </w:p>
        </w:tc>
        <w:tc>
          <w:tcPr>
            <w:tcW w:w="165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2.3~2.8</w:t>
            </w:r>
          </w:p>
        </w:tc>
        <w:tc>
          <w:tcPr>
            <w:tcW w:w="1601"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2.7~3.0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tcBorders>
              <w:lef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3664"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钢筋混凝土结构房屋</w:t>
            </w:r>
          </w:p>
        </w:tc>
        <w:tc>
          <w:tcPr>
            <w:tcW w:w="1728"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3.0~4.0</w:t>
            </w:r>
          </w:p>
        </w:tc>
        <w:tc>
          <w:tcPr>
            <w:tcW w:w="1652" w:type="dxa"/>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3.5~4.5</w:t>
            </w:r>
          </w:p>
        </w:tc>
        <w:tc>
          <w:tcPr>
            <w:tcW w:w="1601" w:type="dxa"/>
            <w:tcBorders>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tcBorders>
              <w:left w:val="single" w:color="auto" w:sz="12" w:space="0"/>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3664"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一般古建筑与古迹</w:t>
            </w:r>
          </w:p>
        </w:tc>
        <w:tc>
          <w:tcPr>
            <w:tcW w:w="1728"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0.1~0.3</w:t>
            </w:r>
          </w:p>
        </w:tc>
        <w:tc>
          <w:tcPr>
            <w:tcW w:w="1652" w:type="dxa"/>
            <w:tcBorders>
              <w:bottom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0.2~0.4</w:t>
            </w:r>
          </w:p>
        </w:tc>
        <w:tc>
          <w:tcPr>
            <w:tcW w:w="1601" w:type="dxa"/>
            <w:tcBorders>
              <w:bottom w:val="single" w:color="auto" w:sz="12" w:space="0"/>
              <w:right w:val="single" w:color="auto" w:sz="12" w:space="0"/>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0.3~0.5</w:t>
            </w:r>
          </w:p>
        </w:tc>
      </w:tr>
    </w:tbl>
    <w:p>
      <w:pPr>
        <w:pStyle w:val="16"/>
        <w:spacing w:line="240" w:lineRule="auto"/>
        <w:ind w:firstLine="0" w:firstLineChars="0"/>
        <w:rPr>
          <w:rFonts w:hint="eastAsia" w:ascii="宋体" w:hAnsi="宋体" w:eastAsia="宋体" w:cs="宋体"/>
          <w:sz w:val="21"/>
          <w:szCs w:val="21"/>
        </w:rPr>
      </w:pPr>
      <w:r>
        <w:rPr>
          <w:rFonts w:hint="eastAsia" w:ascii="宋体" w:hAnsi="宋体" w:eastAsia="宋体" w:cs="宋体"/>
          <w:sz w:val="21"/>
          <w:szCs w:val="21"/>
        </w:rPr>
        <w:t>注：频率范围可根据类似工程或现场实测波形选取。选取频率时亦可参考下列数据：硐室爆破＜20Hz；深孔爆破 10Hz～60Hz；浅孔爆破 40Hz～100Hz。</w:t>
      </w:r>
    </w:p>
    <w:p>
      <w:pPr>
        <w:pStyle w:val="16"/>
        <w:ind w:firstLine="560"/>
        <w:rPr>
          <w:rFonts w:hint="eastAsia" w:ascii="宋体" w:hAnsi="宋体" w:eastAsia="宋体" w:cs="宋体"/>
        </w:rPr>
      </w:pPr>
      <w:r>
        <w:rPr>
          <w:rFonts w:hint="eastAsia" w:ascii="宋体" w:hAnsi="宋体" w:eastAsia="宋体" w:cs="宋体"/>
        </w:rPr>
        <w:t>根据2019年储量核实报告可知，项目基岩属坚硬岩石；由表4.5.2-2可知，K 、α 分别选取150、1.5。地下开采爆破涉及地表建筑物为村庄居民住宅，按一般砖房、非抗振的大型砌块建筑物考虑，爆破为浅孔微差爆破，频率40~100Hz；由表4.5.2-3可知，安全振动速度取值3cm/s。</w:t>
      </w:r>
    </w:p>
    <w:p>
      <w:pPr>
        <w:pStyle w:val="16"/>
        <w:numPr>
          <w:ilvl w:val="0"/>
          <w:numId w:val="24"/>
        </w:numPr>
        <w:ind w:firstLineChars="0"/>
        <w:rPr>
          <w:rFonts w:hint="eastAsia" w:ascii="宋体" w:hAnsi="宋体" w:eastAsia="宋体" w:cs="宋体"/>
          <w:b/>
          <w:bCs/>
        </w:rPr>
      </w:pPr>
      <w:r>
        <w:rPr>
          <w:rFonts w:hint="eastAsia" w:ascii="宋体" w:hAnsi="宋体" w:eastAsia="宋体" w:cs="宋体"/>
          <w:b/>
          <w:bCs/>
        </w:rPr>
        <w:t>预测结果</w:t>
      </w:r>
    </w:p>
    <w:p>
      <w:pPr>
        <w:ind w:firstLine="560"/>
        <w:rPr>
          <w:rFonts w:hint="eastAsia" w:ascii="宋体" w:hAnsi="宋体" w:eastAsia="宋体" w:cs="宋体"/>
          <w:lang w:eastAsia="zh-CN"/>
        </w:rPr>
      </w:pPr>
      <w:r>
        <w:rPr>
          <w:rFonts w:hint="eastAsia" w:ascii="宋体" w:hAnsi="宋体" w:eastAsia="宋体" w:cs="宋体"/>
          <w:lang w:eastAsia="zh-CN"/>
        </w:rPr>
        <w:t>经计算得知，爆破振动对建筑物影响的安全距离为123.9m。</w:t>
      </w:r>
    </w:p>
    <w:p>
      <w:pPr>
        <w:pStyle w:val="8"/>
        <w:rPr>
          <w:rFonts w:hint="eastAsia" w:ascii="宋体" w:hAnsi="宋体" w:eastAsia="宋体" w:cs="宋体"/>
          <w:lang w:eastAsia="zh-CN"/>
        </w:rPr>
      </w:pPr>
      <w:r>
        <w:rPr>
          <w:rFonts w:hint="eastAsia" w:ascii="宋体" w:hAnsi="宋体" w:eastAsia="宋体" w:cs="宋体"/>
          <w:lang w:eastAsia="zh-CN"/>
        </w:rPr>
        <w:t>6.5.4.3 爆破振动影响评价与防护措施</w:t>
      </w:r>
    </w:p>
    <w:p>
      <w:pPr>
        <w:pStyle w:val="16"/>
        <w:ind w:firstLine="562"/>
        <w:rPr>
          <w:rFonts w:hint="eastAsia" w:ascii="宋体" w:hAnsi="宋体" w:eastAsia="宋体" w:cs="宋体"/>
          <w:b/>
          <w:bCs/>
        </w:rPr>
      </w:pPr>
      <w:r>
        <w:rPr>
          <w:rFonts w:hint="eastAsia" w:ascii="宋体" w:hAnsi="宋体" w:eastAsia="宋体" w:cs="宋体"/>
          <w:b/>
          <w:bCs/>
        </w:rPr>
        <w:t>1、爆破振动对地面建（构）筑物的影响</w:t>
      </w:r>
    </w:p>
    <w:p>
      <w:pPr>
        <w:pStyle w:val="16"/>
        <w:ind w:firstLine="560"/>
        <w:rPr>
          <w:rFonts w:hint="eastAsia" w:ascii="宋体" w:hAnsi="宋体" w:eastAsia="宋体" w:cs="宋体"/>
        </w:rPr>
      </w:pPr>
      <w:r>
        <w:rPr>
          <w:rFonts w:hint="eastAsia" w:ascii="宋体" w:hAnsi="宋体" w:eastAsia="宋体" w:cs="宋体"/>
        </w:rPr>
        <w:t>本工程开采深度为-50m~+157m水平，爆破点位0m和50m，，爆破点至地表建筑物最近距离为130m，因此，在保证乳化炸药用药量并规范操作的前提下，可满足爆破振动安全距离（123.9m）要求，不会对地表房屋造成破坏，对地面建筑物影响较小。</w:t>
      </w:r>
    </w:p>
    <w:p>
      <w:pPr>
        <w:pStyle w:val="16"/>
        <w:ind w:firstLine="562"/>
        <w:rPr>
          <w:rFonts w:hint="eastAsia" w:ascii="宋体" w:hAnsi="宋体" w:eastAsia="宋体" w:cs="宋体"/>
          <w:b/>
          <w:bCs/>
        </w:rPr>
      </w:pPr>
      <w:r>
        <w:rPr>
          <w:rFonts w:hint="eastAsia" w:ascii="宋体" w:hAnsi="宋体" w:eastAsia="宋体" w:cs="宋体"/>
          <w:b/>
          <w:bCs/>
        </w:rPr>
        <w:t>2、防护措施</w:t>
      </w:r>
    </w:p>
    <w:p>
      <w:pPr>
        <w:pStyle w:val="16"/>
        <w:ind w:firstLine="560"/>
        <w:rPr>
          <w:rFonts w:hint="eastAsia" w:ascii="宋体" w:hAnsi="宋体" w:eastAsia="宋体" w:cs="宋体"/>
        </w:rPr>
      </w:pPr>
      <w:r>
        <w:rPr>
          <w:rFonts w:hint="eastAsia" w:ascii="宋体" w:hAnsi="宋体" w:eastAsia="宋体" w:cs="宋体"/>
        </w:rPr>
        <w:t>（1）在保证给定体积的岩石爆破的前提下，尽可能减少乳化炸药的使用量及同一瞬时起爆的次数，从而减轻爆破振动对地表环境产生的不利影响。</w:t>
      </w:r>
    </w:p>
    <w:p>
      <w:pPr>
        <w:pStyle w:val="16"/>
        <w:ind w:firstLine="560"/>
        <w:rPr>
          <w:rFonts w:hint="eastAsia" w:ascii="宋体" w:hAnsi="宋体" w:eastAsia="宋体" w:cs="宋体"/>
        </w:rPr>
      </w:pPr>
      <w:r>
        <w:rPr>
          <w:rFonts w:hint="eastAsia" w:ascii="宋体" w:hAnsi="宋体" w:eastAsia="宋体" w:cs="宋体"/>
        </w:rPr>
        <w:t>（2）在每次爆破前提前告知或将爆破频次有可能受爆破振动影响的居民，以防对居民产生不良的心理影响。</w:t>
      </w:r>
    </w:p>
    <w:p>
      <w:pPr>
        <w:pStyle w:val="16"/>
        <w:ind w:firstLine="560"/>
        <w:rPr>
          <w:rFonts w:hint="eastAsia" w:ascii="宋体" w:hAnsi="宋体" w:eastAsia="宋体" w:cs="宋体"/>
        </w:rPr>
      </w:pPr>
      <w:r>
        <w:rPr>
          <w:rFonts w:hint="eastAsia" w:ascii="宋体" w:hAnsi="宋体" w:eastAsia="宋体" w:cs="宋体"/>
        </w:rPr>
        <w:t>（3）矿山施工单位应严格按《金属非金属矿山安全规程》、《爆破安全规程》和当地公安部门有关爆炸材料的规定、规范操作，严禁违章作业。</w:t>
      </w:r>
    </w:p>
    <w:p>
      <w:pPr>
        <w:pStyle w:val="16"/>
        <w:ind w:firstLine="560"/>
        <w:rPr>
          <w:rFonts w:hint="eastAsia" w:ascii="宋体" w:hAnsi="宋体" w:eastAsia="宋体" w:cs="宋体"/>
        </w:rPr>
      </w:pPr>
      <w:r>
        <w:rPr>
          <w:rFonts w:hint="eastAsia" w:ascii="宋体" w:hAnsi="宋体" w:eastAsia="宋体" w:cs="宋体"/>
        </w:rPr>
        <w:t>（4）建设单位配备振动监测仪器设备，定期对振动环境影响进行监测，对邻近村庄居民定期回访。</w:t>
      </w:r>
    </w:p>
    <w:p>
      <w:pPr>
        <w:pStyle w:val="8"/>
        <w:rPr>
          <w:rFonts w:hint="eastAsia" w:ascii="宋体" w:hAnsi="宋体" w:eastAsia="宋体" w:cs="宋体"/>
          <w:lang w:eastAsia="zh-CN"/>
        </w:rPr>
      </w:pPr>
      <w:r>
        <w:rPr>
          <w:rFonts w:hint="eastAsia" w:ascii="宋体" w:hAnsi="宋体" w:eastAsia="宋体" w:cs="宋体"/>
          <w:lang w:eastAsia="zh-CN"/>
        </w:rPr>
        <w:t>6.5.4.4 地下开采爆破振动测试对露天采场边坡稳定性分析</w:t>
      </w:r>
    </w:p>
    <w:p>
      <w:pPr>
        <w:pStyle w:val="16"/>
        <w:ind w:firstLine="560"/>
        <w:rPr>
          <w:rFonts w:hint="eastAsia" w:ascii="宋体" w:hAnsi="宋体" w:eastAsia="宋体" w:cs="宋体"/>
        </w:rPr>
      </w:pPr>
      <w:r>
        <w:rPr>
          <w:rFonts w:hint="eastAsia" w:ascii="宋体" w:hAnsi="宋体" w:eastAsia="宋体" w:cs="宋体"/>
        </w:rPr>
        <w:t>中钢集团马鞍山矿山研究院有限公司爆破工程技术人员于2018年10月2日至10月5日期间，使用先进的UBOX－5016爆破振动智能监测仪进行了三次爆破振动测试，共检测到33条振动波形，采样数量满足测振技术要求。</w:t>
      </w:r>
    </w:p>
    <w:p>
      <w:pPr>
        <w:pStyle w:val="16"/>
        <w:ind w:firstLine="560"/>
        <w:rPr>
          <w:rFonts w:hint="eastAsia" w:ascii="宋体" w:hAnsi="宋体" w:eastAsia="宋体" w:cs="宋体"/>
        </w:rPr>
      </w:pPr>
      <w:r>
        <w:rPr>
          <w:rFonts w:hint="eastAsia" w:ascii="宋体" w:hAnsi="宋体" w:eastAsia="宋体" w:cs="宋体"/>
        </w:rPr>
        <w:t>爆破工程技术人员以普遍采用的萨道夫斯基经验公式为基础，同时考虑地下爆区与露天边坡高差对振动的影响，进行爆破振动专业分析，拟合出地下深孔爆破振动向露天边坡的传播规律（或振动衰减规律），其结果可用于对以后的上河矿段地下深孔爆破引起的露天边坡振动强度的预测，并依据《爆破安全规程》GB6722－2014中的建筑物爆破振动安全允许标准，对上河矿段上、下盘露天岩石高边坡稳定性影响程度进行评估。</w:t>
      </w:r>
    </w:p>
    <w:p>
      <w:pPr>
        <w:pStyle w:val="16"/>
        <w:ind w:firstLine="560"/>
        <w:rPr>
          <w:rFonts w:hint="eastAsia" w:ascii="宋体" w:hAnsi="宋体" w:eastAsia="宋体" w:cs="宋体"/>
        </w:rPr>
      </w:pPr>
      <w:r>
        <w:rPr>
          <w:rFonts w:hint="eastAsia" w:ascii="宋体" w:hAnsi="宋体" w:eastAsia="宋体" w:cs="宋体"/>
        </w:rPr>
        <w:t>根据鲁南矿业有限公司王峪矿区上河矿段三次地下深孔爆破振动测试结果，对照《爆破安全规程》中露天边坡安全允许质点振动速度，确定三次爆破引起的振动未对上河矿段露天采坑上盘和下盘边坡产生破坏性影响。</w:t>
      </w:r>
    </w:p>
    <w:p>
      <w:pPr>
        <w:pStyle w:val="16"/>
        <w:ind w:firstLine="560"/>
        <w:rPr>
          <w:rFonts w:hint="eastAsia" w:ascii="宋体" w:hAnsi="宋体" w:eastAsia="宋体" w:cs="宋体"/>
        </w:rPr>
      </w:pPr>
      <w:r>
        <w:rPr>
          <w:rFonts w:hint="eastAsia" w:ascii="宋体" w:hAnsi="宋体" w:eastAsia="宋体" w:cs="宋体"/>
        </w:rPr>
        <w:t>根据拟合得出的上河矿段地下爆破振动传播规律公式，对地下深孔爆破各爆区的山东省冶金设计院股份有限公司莱钢集团鲁南矿业有限公司王峪矿区（100万t/a））露天转地下开采工程初步设计（变更）92最大分段装药量和总装药量进行一定控制后，不会引起露天边坡滑坡和大面积崩塌，但距离采坑底部平台较近的+72m分段爆坡时，爆破规模较大时，会造成边坡风化严重的部位浮石掉落。</w:t>
      </w:r>
    </w:p>
    <w:p>
      <w:pPr>
        <w:pStyle w:val="16"/>
        <w:ind w:firstLine="560"/>
        <w:rPr>
          <w:rFonts w:hint="eastAsia" w:ascii="宋体" w:hAnsi="宋体" w:eastAsia="宋体" w:cs="宋体"/>
        </w:rPr>
      </w:pPr>
      <w:r>
        <w:rPr>
          <w:rFonts w:hint="eastAsia" w:ascii="宋体" w:hAnsi="宋体" w:eastAsia="宋体" w:cs="宋体"/>
        </w:rPr>
        <w:t>根据《爆破安全规程》GB6722-2014，边坡处监测得到的振动速度值（单向最大速度7.125cm/s）小于国标规定的永久性岩石高边坡的安全允许质点振动速度（8.0cm/s），因此，2018年10月2日至10月5日期间的三次爆破不会造成边坡的破坏。因测点选择在距离爆区最近的边坡附近，远处的边坡更不会因爆破振动而损坏。</w:t>
      </w:r>
    </w:p>
    <w:p>
      <w:pPr>
        <w:pStyle w:val="16"/>
        <w:ind w:firstLine="560"/>
        <w:rPr>
          <w:rFonts w:hint="eastAsia" w:ascii="宋体" w:hAnsi="宋体" w:eastAsia="宋体" w:cs="宋体"/>
        </w:rPr>
      </w:pPr>
      <w:r>
        <w:rPr>
          <w:rFonts w:hint="eastAsia" w:ascii="宋体" w:hAnsi="宋体" w:eastAsia="宋体" w:cs="宋体"/>
        </w:rPr>
        <w:t>+53m分段爆区距离边坡较远，根据拟合的振动衰减公式预测结果，地下正常爆破不会对边坡造成损坏，但考虑到频繁爆破对边坡稳定性影响的累加效应，建议最大段装药量不大于1t，总药量不大于8t。+73m分段爆区距离边坡较近，最近处仅为21m，检测到的单向最大振速已接近边坡允许振速值，矿山爆破规模应进行控制，因此，建议+73m分段爆破，最大段装药量不大于350kg，总药量不大于5t。</w:t>
      </w:r>
    </w:p>
    <w:p>
      <w:pPr>
        <w:pStyle w:val="16"/>
        <w:ind w:firstLine="560"/>
        <w:rPr>
          <w:rFonts w:hint="eastAsia" w:ascii="宋体" w:hAnsi="宋体" w:eastAsia="宋体" w:cs="宋体"/>
        </w:rPr>
      </w:pPr>
      <w:r>
        <w:rPr>
          <w:rFonts w:hint="eastAsia" w:ascii="宋体" w:hAnsi="宋体" w:eastAsia="宋体" w:cs="宋体"/>
        </w:rPr>
        <w:t>爆破振动强度与传播途经的地质、地形、爆破规模、传播距离、爆破参数、起爆网路等因素有关，与边坡自振频率有关，爆破振动强度的影响因素众多，为了确保边坡安全，除控制矿山爆破规模外，可充分利用爆区与最近边坡之间的空区进行减振。</w:t>
      </w:r>
    </w:p>
    <w:p>
      <w:pPr>
        <w:pStyle w:val="7"/>
        <w:rPr>
          <w:rFonts w:hint="eastAsia" w:ascii="宋体" w:hAnsi="宋体" w:eastAsia="宋体" w:cs="宋体"/>
          <w:lang w:eastAsia="zh-CN"/>
        </w:rPr>
      </w:pPr>
      <w:r>
        <w:rPr>
          <w:rFonts w:hint="eastAsia" w:ascii="宋体" w:hAnsi="宋体" w:eastAsia="宋体" w:cs="宋体"/>
          <w:lang w:eastAsia="zh-CN"/>
        </w:rPr>
        <w:t>6.5.5 小结</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生产过程中的噪声源主要来自于凿岩机、爆破、空压机、风机、粗碎机等设备。通过预测结果可知，</w:t>
      </w:r>
      <w:r>
        <w:rPr>
          <w:rFonts w:hint="eastAsia" w:ascii="宋体" w:hAnsi="宋体" w:cs="宋体"/>
          <w:lang w:eastAsia="zh-CN"/>
        </w:rPr>
        <w:t>本项目</w:t>
      </w:r>
      <w:r>
        <w:rPr>
          <w:rFonts w:hint="eastAsia" w:ascii="宋体" w:hAnsi="宋体" w:eastAsia="宋体" w:cs="宋体"/>
        </w:rPr>
        <w:t>营运后厂界噪声排放不会对周围声环境产生太大的影响。</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开采深度为-50m~+157m水平，爆破点位0m和50m，爆破点至地表建筑物最近距离为130m，因此，在保证乳化炸药用药量并规范操作的前提下，可满足爆破振动安全距离（123.9m）要求，不会对地表房屋造成破坏，对地面建筑物影响较小。</w:t>
      </w:r>
    </w:p>
    <w:p>
      <w:pPr>
        <w:pStyle w:val="6"/>
        <w:rPr>
          <w:rFonts w:hint="eastAsia" w:ascii="宋体" w:hAnsi="宋体" w:eastAsia="宋体" w:cs="宋体"/>
          <w:lang w:eastAsia="zh-CN"/>
        </w:rPr>
      </w:pPr>
      <w:bookmarkStart w:id="165" w:name="_Toc11253"/>
      <w:bookmarkStart w:id="166" w:name="_Toc25411"/>
      <w:r>
        <w:rPr>
          <w:rFonts w:hint="eastAsia" w:ascii="宋体" w:hAnsi="宋体" w:eastAsia="宋体" w:cs="宋体"/>
          <w:lang w:eastAsia="zh-CN"/>
        </w:rPr>
        <w:t>6.6 土壤环境影响评价</w:t>
      </w:r>
      <w:bookmarkEnd w:id="165"/>
      <w:bookmarkEnd w:id="166"/>
    </w:p>
    <w:p>
      <w:pPr>
        <w:pStyle w:val="7"/>
        <w:rPr>
          <w:rFonts w:hint="eastAsia" w:ascii="宋体" w:hAnsi="宋体" w:eastAsia="宋体" w:cs="宋体"/>
          <w:lang w:eastAsia="zh-CN"/>
        </w:rPr>
      </w:pPr>
      <w:r>
        <w:rPr>
          <w:rFonts w:hint="eastAsia" w:ascii="宋体" w:hAnsi="宋体" w:eastAsia="宋体" w:cs="宋体"/>
          <w:lang w:eastAsia="zh-CN"/>
        </w:rPr>
        <w:t>6.6.1 土壤环境影响识别</w:t>
      </w:r>
    </w:p>
    <w:p>
      <w:pPr>
        <w:pStyle w:val="8"/>
        <w:rPr>
          <w:rFonts w:hint="eastAsia" w:ascii="宋体" w:hAnsi="宋体" w:eastAsia="宋体" w:cs="宋体"/>
          <w:lang w:eastAsia="zh-CN"/>
        </w:rPr>
      </w:pPr>
      <w:r>
        <w:rPr>
          <w:rFonts w:hint="eastAsia" w:ascii="宋体" w:hAnsi="宋体" w:eastAsia="宋体" w:cs="宋体"/>
          <w:lang w:eastAsia="zh-CN"/>
        </w:rPr>
        <w:t>6.6.1.1 建设项目土壤环境影响类型与影响途径识别</w:t>
      </w:r>
    </w:p>
    <w:p>
      <w:pPr>
        <w:pStyle w:val="16"/>
        <w:ind w:firstLine="560"/>
        <w:rPr>
          <w:rFonts w:hint="eastAsia" w:ascii="宋体" w:hAnsi="宋体" w:eastAsia="宋体" w:cs="宋体"/>
        </w:rPr>
      </w:pPr>
      <w:r>
        <w:rPr>
          <w:rFonts w:hint="eastAsia" w:ascii="宋体" w:hAnsi="宋体" w:eastAsia="宋体" w:cs="宋体"/>
        </w:rPr>
        <w:t>（1）施工期</w:t>
      </w:r>
    </w:p>
    <w:p>
      <w:pPr>
        <w:pStyle w:val="3"/>
        <w:spacing w:after="0"/>
        <w:ind w:left="0" w:leftChars="0"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施工期“废水”主要来源于施工人员生活污水、施工废水。其中施工过程中生活污水通过建设旱厕，将施工期生活污水收集后经化粪池处理后，供当地农村用作灌溉用水。施工场地四周设截水沟和沉淀池，施工废水经沉淀处理后，可回收用于工业场地的防尘和灰土拌和用水。</w:t>
      </w:r>
    </w:p>
    <w:p>
      <w:pPr>
        <w:pStyle w:val="3"/>
        <w:spacing w:after="0"/>
        <w:ind w:left="0" w:leftChars="0" w:firstLine="560"/>
        <w:rPr>
          <w:rFonts w:hint="eastAsia" w:ascii="宋体" w:hAnsi="宋体" w:eastAsia="宋体" w:cs="宋体"/>
          <w:lang w:eastAsia="zh-CN"/>
        </w:rPr>
      </w:pPr>
      <w:r>
        <w:rPr>
          <w:rFonts w:hint="eastAsia" w:ascii="宋体" w:hAnsi="宋体" w:eastAsia="宋体" w:cs="宋体"/>
          <w:lang w:eastAsia="zh-CN"/>
        </w:rPr>
        <w:t>施工期“废气”主要为施工扬尘和机械设备排放的尾气，而施工扬尘对环境的影响最为明显。由于施工场地设置围栏、洒水抑尘、覆盖防尘、限制车速、保持施工场地洁净、避免大风天气作业等防尘措施，且施工场地已经干化结实，起尘量很小。因此，</w:t>
      </w:r>
      <w:r>
        <w:rPr>
          <w:rFonts w:hint="eastAsia" w:cs="宋体"/>
          <w:lang w:eastAsia="zh-CN"/>
        </w:rPr>
        <w:t>本项目</w:t>
      </w:r>
      <w:r>
        <w:rPr>
          <w:rFonts w:hint="eastAsia" w:ascii="宋体" w:hAnsi="宋体" w:eastAsia="宋体" w:cs="宋体"/>
          <w:lang w:eastAsia="zh-CN"/>
        </w:rPr>
        <w:t>施工期产生的扬尘不会对土壤环境造成影响。</w:t>
      </w:r>
    </w:p>
    <w:p>
      <w:pPr>
        <w:pStyle w:val="3"/>
        <w:spacing w:after="0"/>
        <w:ind w:left="0" w:leftChars="0" w:firstLine="560"/>
        <w:rPr>
          <w:rFonts w:hint="eastAsia" w:ascii="宋体" w:hAnsi="宋体" w:eastAsia="宋体" w:cs="宋体"/>
          <w:lang w:eastAsia="zh-CN"/>
        </w:rPr>
      </w:pPr>
      <w:r>
        <w:rPr>
          <w:rFonts w:hint="eastAsia" w:ascii="宋体" w:hAnsi="宋体" w:eastAsia="宋体" w:cs="宋体"/>
          <w:lang w:eastAsia="zh-CN"/>
        </w:rPr>
        <w:t>施工期“废渣”主要为土地平整和施工产生的土石方，施工期产生的土石方，全部利用场地平整和硬化，无弃方产生，因此</w:t>
      </w:r>
      <w:r>
        <w:rPr>
          <w:rFonts w:hint="eastAsia" w:cs="宋体"/>
          <w:lang w:eastAsia="zh-CN"/>
        </w:rPr>
        <w:t>本项目</w:t>
      </w:r>
      <w:r>
        <w:rPr>
          <w:rFonts w:hint="eastAsia" w:ascii="宋体" w:hAnsi="宋体" w:eastAsia="宋体" w:cs="宋体"/>
          <w:lang w:eastAsia="zh-CN"/>
        </w:rPr>
        <w:t>施工期产生的弃渣不会对土壤环境造成影响。</w:t>
      </w:r>
    </w:p>
    <w:p>
      <w:pPr>
        <w:pStyle w:val="4"/>
        <w:spacing w:after="0" w:line="520" w:lineRule="exact"/>
        <w:ind w:left="0" w:leftChars="0"/>
        <w:rPr>
          <w:rFonts w:hint="eastAsia" w:ascii="宋体" w:hAnsi="宋体" w:eastAsia="宋体" w:cs="宋体"/>
          <w:lang w:eastAsia="zh-CN"/>
        </w:rPr>
      </w:pPr>
      <w:r>
        <w:rPr>
          <w:rFonts w:hint="eastAsia" w:ascii="宋体" w:hAnsi="宋体" w:eastAsia="宋体" w:cs="宋体"/>
          <w:lang w:eastAsia="zh-CN"/>
        </w:rPr>
        <w:t>（2）运营期</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采矿工业场地运营期间对土壤产生潜在污染途径的污染源包括：</w:t>
      </w:r>
    </w:p>
    <w:p>
      <w:pPr>
        <w:pStyle w:val="16"/>
        <w:ind w:firstLine="560"/>
        <w:rPr>
          <w:rFonts w:hint="eastAsia" w:ascii="宋体" w:hAnsi="宋体" w:eastAsia="宋体" w:cs="宋体"/>
        </w:rPr>
      </w:pPr>
      <w:r>
        <w:rPr>
          <w:rFonts w:hint="eastAsia" w:ascii="宋体" w:hAnsi="宋体" w:eastAsia="宋体" w:cs="宋体"/>
        </w:rPr>
        <w:t>1）</w:t>
      </w:r>
      <w:r>
        <w:rPr>
          <w:rFonts w:hint="eastAsia" w:ascii="宋体" w:hAnsi="宋体" w:cs="宋体"/>
          <w:lang w:eastAsia="zh-CN"/>
        </w:rPr>
        <w:t>本项目</w:t>
      </w:r>
      <w:r>
        <w:rPr>
          <w:rFonts w:hint="eastAsia" w:ascii="宋体" w:hAnsi="宋体" w:eastAsia="宋体" w:cs="宋体"/>
        </w:rPr>
        <w:t>在井下采矿、运输及爆破，地表运输程中产生的粉尘等；</w:t>
      </w:r>
    </w:p>
    <w:p>
      <w:pPr>
        <w:pStyle w:val="16"/>
        <w:ind w:firstLine="560"/>
        <w:rPr>
          <w:rFonts w:hint="eastAsia" w:ascii="宋体" w:hAnsi="宋体" w:eastAsia="宋体" w:cs="宋体"/>
        </w:rPr>
      </w:pPr>
      <w:r>
        <w:rPr>
          <w:rFonts w:hint="eastAsia" w:ascii="宋体" w:hAnsi="宋体" w:eastAsia="宋体" w:cs="宋体"/>
        </w:rPr>
        <w:t>2）矿井涌水、生活污水等在利用及处理过程中产生的地面漫流及水池发生破损导致的污水垂向入渗。项目建设活动中产生的废水、废气和废渣等典型污染物质，会对土壤产生一定的环境影响。</w:t>
      </w:r>
    </w:p>
    <w:p>
      <w:pPr>
        <w:pStyle w:val="16"/>
        <w:ind w:firstLine="560"/>
        <w:rPr>
          <w:rFonts w:hint="eastAsia" w:ascii="宋体" w:hAnsi="宋体" w:eastAsia="宋体" w:cs="宋体"/>
        </w:rPr>
      </w:pPr>
      <w:r>
        <w:rPr>
          <w:rFonts w:hint="eastAsia" w:ascii="宋体" w:hAnsi="宋体" w:eastAsia="宋体" w:cs="宋体"/>
        </w:rPr>
        <w:t>采矿工业场地主要以占用和污染两种方式污损土壤。建设期土壤环境影响类型与影响途径见表6.6.1-1。</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表6.6.1-1 建设项目土壤环境影响类型与影响途径识别表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78"/>
        <w:gridCol w:w="1271"/>
        <w:gridCol w:w="1076"/>
        <w:gridCol w:w="1116"/>
        <w:gridCol w:w="808"/>
        <w:gridCol w:w="698"/>
        <w:gridCol w:w="775"/>
        <w:gridCol w:w="830"/>
        <w:gridCol w:w="7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65" w:type="pct"/>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不同时段</w:t>
            </w:r>
          </w:p>
        </w:tc>
        <w:tc>
          <w:tcPr>
            <w:tcW w:w="2299" w:type="pct"/>
            <w:gridSpan w:val="4"/>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污染影响类</w:t>
            </w:r>
          </w:p>
        </w:tc>
        <w:tc>
          <w:tcPr>
            <w:tcW w:w="1634" w:type="pct"/>
            <w:gridSpan w:val="4"/>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生态影响类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065" w:type="pct"/>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p>
        </w:tc>
        <w:tc>
          <w:tcPr>
            <w:tcW w:w="684"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大气沉降</w:t>
            </w:r>
          </w:p>
        </w:tc>
        <w:tc>
          <w:tcPr>
            <w:tcW w:w="579"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地面漫流</w:t>
            </w:r>
          </w:p>
        </w:tc>
        <w:tc>
          <w:tcPr>
            <w:tcW w:w="60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垂直入渗</w:t>
            </w:r>
          </w:p>
        </w:tc>
        <w:tc>
          <w:tcPr>
            <w:tcW w:w="434"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其他</w:t>
            </w:r>
          </w:p>
        </w:tc>
        <w:tc>
          <w:tcPr>
            <w:tcW w:w="376"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盐化</w:t>
            </w:r>
          </w:p>
        </w:tc>
        <w:tc>
          <w:tcPr>
            <w:tcW w:w="417"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碱化</w:t>
            </w:r>
          </w:p>
        </w:tc>
        <w:tc>
          <w:tcPr>
            <w:tcW w:w="447"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酸化</w:t>
            </w:r>
          </w:p>
        </w:tc>
        <w:tc>
          <w:tcPr>
            <w:tcW w:w="394"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建设期</w:t>
            </w:r>
          </w:p>
        </w:tc>
        <w:tc>
          <w:tcPr>
            <w:tcW w:w="68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57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60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4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运营期</w:t>
            </w:r>
          </w:p>
        </w:tc>
        <w:tc>
          <w:tcPr>
            <w:tcW w:w="68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57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60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4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65"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服务期满后</w:t>
            </w:r>
          </w:p>
        </w:tc>
        <w:tc>
          <w:tcPr>
            <w:tcW w:w="68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57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601"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3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7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1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44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39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00" w:type="pct"/>
            <w:gridSpan w:val="9"/>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注：在可能产生的土壤环境影响类型处打“√”，列表未涵盖的可自行设计。</w:t>
            </w:r>
          </w:p>
        </w:tc>
      </w:tr>
    </w:tbl>
    <w:p>
      <w:pPr>
        <w:pStyle w:val="16"/>
        <w:ind w:firstLine="560"/>
        <w:rPr>
          <w:rFonts w:hint="eastAsia" w:ascii="宋体" w:hAnsi="宋体" w:eastAsia="宋体" w:cs="宋体"/>
        </w:rPr>
      </w:pPr>
      <w:r>
        <w:rPr>
          <w:rFonts w:hint="eastAsia" w:ascii="宋体" w:hAnsi="宋体" w:eastAsia="宋体" w:cs="宋体"/>
        </w:rPr>
        <w:t>综上分析可知，</w:t>
      </w:r>
      <w:r>
        <w:rPr>
          <w:rFonts w:hint="eastAsia" w:ascii="宋体" w:hAnsi="宋体" w:cs="宋体"/>
          <w:lang w:eastAsia="zh-CN"/>
        </w:rPr>
        <w:t>本项目</w:t>
      </w:r>
      <w:r>
        <w:rPr>
          <w:rFonts w:hint="eastAsia" w:ascii="宋体" w:hAnsi="宋体" w:eastAsia="宋体" w:cs="宋体"/>
        </w:rPr>
        <w:t>可能对土壤环境质量产生的环境影响主要来自运营期废水及扬尘等污染物通过大气沉降、垂向入渗等途径所产生的影响。</w:t>
      </w:r>
    </w:p>
    <w:p>
      <w:pPr>
        <w:pStyle w:val="8"/>
        <w:rPr>
          <w:rFonts w:hint="eastAsia" w:ascii="宋体" w:hAnsi="宋体" w:eastAsia="宋体" w:cs="宋体"/>
          <w:lang w:eastAsia="zh-CN"/>
        </w:rPr>
      </w:pPr>
      <w:r>
        <w:rPr>
          <w:rFonts w:hint="eastAsia" w:ascii="宋体" w:hAnsi="宋体" w:eastAsia="宋体" w:cs="宋体"/>
          <w:lang w:eastAsia="zh-CN"/>
        </w:rPr>
        <w:t>6.6.1.2 建设项目土壤环境影响源及影响因子识别</w:t>
      </w:r>
    </w:p>
    <w:p>
      <w:pPr>
        <w:pStyle w:val="16"/>
        <w:ind w:firstLine="560"/>
        <w:rPr>
          <w:rFonts w:hint="eastAsia" w:ascii="宋体" w:hAnsi="宋体" w:eastAsia="宋体" w:cs="宋体"/>
        </w:rPr>
      </w:pPr>
      <w:r>
        <w:rPr>
          <w:rFonts w:hint="eastAsia" w:ascii="宋体" w:hAnsi="宋体" w:eastAsia="宋体" w:cs="宋体"/>
        </w:rPr>
        <w:t>根据《环境影响评价技术导则 土壤环境（试行）》（HJ 964-2018）附录B对项目土壤环境影响源及影响因子进行识别，具体情况见表6.6.1-2。</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表6.6.1-2 污染影响型建设项目土壤环境影响源及影响因子识别表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931"/>
        <w:gridCol w:w="1638"/>
        <w:gridCol w:w="1335"/>
        <w:gridCol w:w="2194"/>
        <w:gridCol w:w="2294"/>
        <w:gridCol w:w="8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污染源</w:t>
            </w:r>
          </w:p>
        </w:tc>
        <w:tc>
          <w:tcPr>
            <w:tcW w:w="88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工艺流程/节点</w:t>
            </w:r>
          </w:p>
        </w:tc>
        <w:tc>
          <w:tcPr>
            <w:tcW w:w="718"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污染途径</w:t>
            </w:r>
          </w:p>
        </w:tc>
        <w:tc>
          <w:tcPr>
            <w:tcW w:w="1180"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全部污染物指标</w:t>
            </w:r>
          </w:p>
        </w:tc>
        <w:tc>
          <w:tcPr>
            <w:tcW w:w="1234"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特征因子</w:t>
            </w:r>
          </w:p>
        </w:tc>
        <w:tc>
          <w:tcPr>
            <w:tcW w:w="482"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中央</w:t>
            </w:r>
          </w:p>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回风井</w:t>
            </w:r>
          </w:p>
        </w:tc>
        <w:tc>
          <w:tcPr>
            <w:tcW w:w="88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采矿</w:t>
            </w:r>
          </w:p>
        </w:tc>
        <w:tc>
          <w:tcPr>
            <w:tcW w:w="718"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大气沉降</w:t>
            </w:r>
          </w:p>
        </w:tc>
        <w:tc>
          <w:tcPr>
            <w:tcW w:w="1180"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重金属</w:t>
            </w:r>
          </w:p>
        </w:tc>
        <w:tc>
          <w:tcPr>
            <w:tcW w:w="1234"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砷、镉、铜、铅、汞、镍</w:t>
            </w:r>
          </w:p>
        </w:tc>
        <w:tc>
          <w:tcPr>
            <w:tcW w:w="482"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涌水池</w:t>
            </w:r>
          </w:p>
        </w:tc>
        <w:tc>
          <w:tcPr>
            <w:tcW w:w="881"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储水</w:t>
            </w:r>
          </w:p>
        </w:tc>
        <w:tc>
          <w:tcPr>
            <w:tcW w:w="718"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垂直入渗</w:t>
            </w:r>
          </w:p>
        </w:tc>
        <w:tc>
          <w:tcPr>
            <w:tcW w:w="2194"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SS</w:t>
            </w:r>
          </w:p>
        </w:tc>
        <w:tc>
          <w:tcPr>
            <w:tcW w:w="2294"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w:t>
            </w:r>
          </w:p>
        </w:tc>
        <w:tc>
          <w:tcPr>
            <w:tcW w:w="482" w:type="pc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事故</w:t>
            </w:r>
          </w:p>
        </w:tc>
      </w:tr>
    </w:tbl>
    <w:p>
      <w:pPr>
        <w:pStyle w:val="7"/>
        <w:rPr>
          <w:rFonts w:hint="eastAsia" w:ascii="宋体" w:hAnsi="宋体" w:eastAsia="宋体" w:cs="宋体"/>
          <w:lang w:eastAsia="zh-CN"/>
        </w:rPr>
      </w:pPr>
      <w:r>
        <w:rPr>
          <w:rFonts w:hint="eastAsia" w:ascii="宋体" w:hAnsi="宋体" w:eastAsia="宋体" w:cs="宋体"/>
          <w:lang w:eastAsia="zh-CN"/>
        </w:rPr>
        <w:t>6.6.2 评价等级及评价范围的确定</w:t>
      </w:r>
    </w:p>
    <w:p>
      <w:pPr>
        <w:pStyle w:val="8"/>
        <w:rPr>
          <w:rFonts w:hint="eastAsia" w:ascii="宋体" w:hAnsi="宋体" w:eastAsia="宋体" w:cs="宋体"/>
          <w:lang w:eastAsia="zh-CN"/>
        </w:rPr>
      </w:pPr>
      <w:r>
        <w:rPr>
          <w:rFonts w:hint="eastAsia" w:ascii="宋体" w:hAnsi="宋体" w:eastAsia="宋体" w:cs="宋体"/>
          <w:lang w:eastAsia="zh-CN"/>
        </w:rPr>
        <w:t>6.6.2.1 评价等级的确定</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土壤环境（试行）》（HJ 964-2018），污染影响型建设项目所在地周边的土壤环境敏感程度分为敏感、较敏感、不敏感，判别依据见表6.6.2-1。</w:t>
      </w:r>
    </w:p>
    <w:p>
      <w:pPr>
        <w:autoSpaceDE/>
        <w:autoSpaceDN/>
        <w:spacing w:line="360" w:lineRule="auto"/>
        <w:ind w:firstLine="0" w:firstLineChars="0"/>
        <w:contextualSpacing/>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表6.6.2-1 污染影响型敏感程度分级表</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419"/>
        <w:gridCol w:w="76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tblHeader/>
          <w:jc w:val="center"/>
        </w:trPr>
        <w:tc>
          <w:tcPr>
            <w:tcW w:w="1419" w:type="dxa"/>
            <w:vAlign w:val="center"/>
          </w:tcPr>
          <w:p>
            <w:pPr>
              <w:keepNext w:val="0"/>
              <w:keepLines w:val="0"/>
              <w:suppressLineNumbers w:val="0"/>
              <w:autoSpaceDE/>
              <w:autoSpaceDN/>
              <w:adjustRightInd w:val="0"/>
              <w:spacing w:before="0" w:beforeAutospacing="0" w:after="0" w:afterAutospacing="0" w:line="320" w:lineRule="exact"/>
              <w:ind w:left="0" w:right="0" w:firstLine="0" w:firstLineChars="0"/>
              <w:contextualSpacing/>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敏感程度</w:t>
            </w:r>
          </w:p>
        </w:tc>
        <w:tc>
          <w:tcPr>
            <w:tcW w:w="7653" w:type="dxa"/>
            <w:vAlign w:val="center"/>
          </w:tcPr>
          <w:p>
            <w:pPr>
              <w:keepNext w:val="0"/>
              <w:keepLines w:val="0"/>
              <w:suppressLineNumbers w:val="0"/>
              <w:autoSpaceDE/>
              <w:autoSpaceDN/>
              <w:adjustRightInd w:val="0"/>
              <w:spacing w:before="0" w:beforeAutospacing="0" w:after="0" w:afterAutospacing="0" w:line="320" w:lineRule="exact"/>
              <w:ind w:left="0" w:right="0" w:firstLine="0" w:firstLineChars="0"/>
              <w:contextualSpacing/>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判别依据</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19" w:type="dxa"/>
            <w:vAlign w:val="center"/>
          </w:tcPr>
          <w:p>
            <w:pPr>
              <w:keepNext w:val="0"/>
              <w:keepLines w:val="0"/>
              <w:suppressLineNumbers w:val="0"/>
              <w:autoSpaceDE/>
              <w:autoSpaceDN/>
              <w:adjustRightInd w:val="0"/>
              <w:spacing w:before="0" w:beforeAutospacing="0" w:after="0" w:afterAutospacing="0" w:line="320" w:lineRule="exact"/>
              <w:ind w:left="0" w:right="0" w:firstLine="0" w:firstLineChars="0"/>
              <w:contextualSpacing/>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敏感</w:t>
            </w:r>
          </w:p>
        </w:tc>
        <w:tc>
          <w:tcPr>
            <w:tcW w:w="7653" w:type="dxa"/>
            <w:vAlign w:val="center"/>
          </w:tcPr>
          <w:p>
            <w:pPr>
              <w:keepNext w:val="0"/>
              <w:keepLines w:val="0"/>
              <w:suppressLineNumbers w:val="0"/>
              <w:autoSpaceDE/>
              <w:autoSpaceDN/>
              <w:adjustRightInd w:val="0"/>
              <w:spacing w:before="0" w:beforeAutospacing="0" w:after="0" w:afterAutospacing="0" w:line="320" w:lineRule="exact"/>
              <w:ind w:left="0" w:right="0" w:firstLine="0" w:firstLineChars="0"/>
              <w:contextualSpacing/>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建设项目周边存在耕地、园地、牧草地、饮用水水源地或居民区、学校、医院、疗养院、养老院等土壤环境敏感目标的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19" w:type="dxa"/>
            <w:vAlign w:val="center"/>
          </w:tcPr>
          <w:p>
            <w:pPr>
              <w:keepNext w:val="0"/>
              <w:keepLines w:val="0"/>
              <w:suppressLineNumbers w:val="0"/>
              <w:autoSpaceDE/>
              <w:autoSpaceDN/>
              <w:adjustRightInd w:val="0"/>
              <w:spacing w:before="0" w:beforeAutospacing="0" w:after="0" w:afterAutospacing="0" w:line="320" w:lineRule="exact"/>
              <w:ind w:left="0" w:right="0" w:firstLine="0" w:firstLineChars="0"/>
              <w:contextualSpacing/>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较敏感</w:t>
            </w:r>
          </w:p>
        </w:tc>
        <w:tc>
          <w:tcPr>
            <w:tcW w:w="7653" w:type="dxa"/>
            <w:vAlign w:val="center"/>
          </w:tcPr>
          <w:p>
            <w:pPr>
              <w:keepNext w:val="0"/>
              <w:keepLines w:val="0"/>
              <w:suppressLineNumbers w:val="0"/>
              <w:autoSpaceDE/>
              <w:autoSpaceDN/>
              <w:adjustRightInd w:val="0"/>
              <w:spacing w:before="0" w:beforeAutospacing="0" w:after="0" w:afterAutospacing="0" w:line="320" w:lineRule="exact"/>
              <w:ind w:left="0" w:right="0" w:firstLine="0" w:firstLineChars="0"/>
              <w:contextualSpacing/>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建设项目周边存在其他土壤环境敏感目标的</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19" w:type="dxa"/>
            <w:vAlign w:val="center"/>
          </w:tcPr>
          <w:p>
            <w:pPr>
              <w:keepNext w:val="0"/>
              <w:keepLines w:val="0"/>
              <w:suppressLineNumbers w:val="0"/>
              <w:autoSpaceDE/>
              <w:autoSpaceDN/>
              <w:adjustRightInd w:val="0"/>
              <w:spacing w:before="0" w:beforeAutospacing="0" w:after="0" w:afterAutospacing="0" w:line="320" w:lineRule="exact"/>
              <w:ind w:left="0" w:right="0" w:firstLine="0" w:firstLineChars="0"/>
              <w:contextualSpacing/>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不敏感</w:t>
            </w:r>
          </w:p>
        </w:tc>
        <w:tc>
          <w:tcPr>
            <w:tcW w:w="7653" w:type="dxa"/>
            <w:vAlign w:val="center"/>
          </w:tcPr>
          <w:p>
            <w:pPr>
              <w:keepNext w:val="0"/>
              <w:keepLines w:val="0"/>
              <w:suppressLineNumbers w:val="0"/>
              <w:autoSpaceDE/>
              <w:autoSpaceDN/>
              <w:adjustRightInd w:val="0"/>
              <w:spacing w:before="0" w:beforeAutospacing="0" w:after="0" w:afterAutospacing="0" w:line="320" w:lineRule="exact"/>
              <w:ind w:left="0" w:right="0" w:firstLine="0" w:firstLineChars="0"/>
              <w:contextualSpacing/>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其他情况</w:t>
            </w:r>
          </w:p>
        </w:tc>
      </w:tr>
    </w:tbl>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周边有耕地和园地，敏感程度为敏感。</w:t>
      </w:r>
    </w:p>
    <w:p>
      <w:pPr>
        <w:ind w:firstLine="560"/>
        <w:rPr>
          <w:rFonts w:hint="eastAsia" w:ascii="宋体" w:hAnsi="宋体" w:eastAsia="宋体" w:cs="宋体"/>
          <w:lang w:eastAsia="zh-CN"/>
        </w:rPr>
      </w:pPr>
      <w:r>
        <w:rPr>
          <w:rFonts w:hint="eastAsia" w:ascii="宋体" w:hAnsi="宋体" w:eastAsia="宋体" w:cs="宋体"/>
          <w:lang w:eastAsia="zh-CN"/>
        </w:rPr>
        <w:t>据《环境影响评价技术导则 土壤环境（试行）》（HJ 964-2018），污染影响型建设项目土壤环境影响评价工作等级依据项目类别、占地规模与敏感程度进行划分，详见表6.6.2-2。</w:t>
      </w:r>
    </w:p>
    <w:p>
      <w:pPr>
        <w:autoSpaceDE/>
        <w:autoSpaceDN/>
        <w:spacing w:line="360" w:lineRule="auto"/>
        <w:ind w:firstLine="0" w:firstLineChars="0"/>
        <w:contextualSpacing/>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表6.6.2-2 污染影响型评价工作等级划分表</w:t>
      </w:r>
    </w:p>
    <w:tbl>
      <w:tblPr>
        <w:tblStyle w:val="24"/>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75"/>
        <w:gridCol w:w="833"/>
        <w:gridCol w:w="806"/>
        <w:gridCol w:w="857"/>
        <w:gridCol w:w="855"/>
        <w:gridCol w:w="856"/>
        <w:gridCol w:w="713"/>
        <w:gridCol w:w="713"/>
        <w:gridCol w:w="857"/>
        <w:gridCol w:w="80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5" w:type="dxa"/>
            <w:vMerge w:val="restart"/>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right"/>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mc:AlternateContent>
                <mc:Choice Requires="wpg">
                  <w:drawing>
                    <wp:anchor distT="0" distB="0" distL="114300" distR="114300" simplePos="0" relativeHeight="251714560" behindDoc="0" locked="0" layoutInCell="1" allowOverlap="1">
                      <wp:simplePos x="0" y="0"/>
                      <wp:positionH relativeFrom="column">
                        <wp:posOffset>-635</wp:posOffset>
                      </wp:positionH>
                      <wp:positionV relativeFrom="paragraph">
                        <wp:posOffset>-635</wp:posOffset>
                      </wp:positionV>
                      <wp:extent cx="1113155" cy="583565"/>
                      <wp:effectExtent l="1270" t="5080" r="9525" b="20955"/>
                      <wp:wrapNone/>
                      <wp:docPr id="57" name="组合 57"/>
                      <wp:cNvGraphicFramePr/>
                      <a:graphic xmlns:a="http://schemas.openxmlformats.org/drawingml/2006/main">
                        <a:graphicData uri="http://schemas.microsoft.com/office/word/2010/wordprocessingGroup">
                          <wpg:wgp>
                            <wpg:cNvGrpSpPr/>
                            <wpg:grpSpPr>
                              <a:xfrm>
                                <a:off x="0" y="0"/>
                                <a:ext cx="1113155" cy="583565"/>
                                <a:chOff x="1567" y="6545"/>
                                <a:chExt cx="1753" cy="919"/>
                              </a:xfrm>
                            </wpg:grpSpPr>
                            <wps:wsp>
                              <wps:cNvPr id="22" name="直接连接符 22"/>
                              <wps:cNvCnPr/>
                              <wps:spPr>
                                <a:xfrm>
                                  <a:off x="2204" y="6545"/>
                                  <a:ext cx="1115" cy="917"/>
                                </a:xfrm>
                                <a:prstGeom prst="line">
                                  <a:avLst/>
                                </a:prstGeom>
                                <a:ln w="12700" cap="flat" cmpd="sng">
                                  <a:solidFill>
                                    <a:srgbClr val="000000"/>
                                  </a:solidFill>
                                  <a:prstDash val="solid"/>
                                  <a:headEnd type="none" w="med" len="med"/>
                                  <a:tailEnd type="none" w="med" len="med"/>
                                </a:ln>
                              </wps:spPr>
                              <wps:bodyPr/>
                            </wps:wsp>
                            <wps:wsp>
                              <wps:cNvPr id="55" name="直接连接符 55"/>
                              <wps:cNvCnPr/>
                              <wps:spPr>
                                <a:xfrm>
                                  <a:off x="1567" y="7060"/>
                                  <a:ext cx="1753" cy="404"/>
                                </a:xfrm>
                                <a:prstGeom prst="line">
                                  <a:avLst/>
                                </a:prstGeom>
                                <a:ln w="12700" cap="flat" cmpd="sng">
                                  <a:solidFill>
                                    <a:srgbClr val="000000"/>
                                  </a:solidFill>
                                  <a:prstDash val="solid"/>
                                  <a:headEnd type="none" w="med" len="med"/>
                                  <a:tailEnd type="none" w="med" len="med"/>
                                </a:ln>
                              </wps:spPr>
                              <wps:bodyPr/>
                            </wps:wsp>
                          </wpg:wgp>
                        </a:graphicData>
                      </a:graphic>
                    </wp:anchor>
                  </w:drawing>
                </mc:Choice>
                <mc:Fallback>
                  <w:pict>
                    <v:group id="_x0000_s1026" o:spid="_x0000_s1026" o:spt="203" style="position:absolute;left:0pt;margin-left:-0.05pt;margin-top:-0.05pt;height:45.95pt;width:87.65pt;z-index:251714560;mso-width-relative:page;mso-height-relative:page;" coordorigin="1567,6545" coordsize="1753,919" o:gfxdata="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iWAJd9UA&#10;AAAGAQAADwAAAAAAAAABACAAAAAiAAAAZHJzL2Rvd25yZXYueG1sUEsBAhQAFAAAAAgAh07iQFJD&#10;uzqUAgAAEwcAAA4AAAAAAAAAAQAgAAAAJAEAAGRycy9lMm9Eb2MueG1sUEsFBgAAAAAGAAYAWQEA&#10;ACoGAAAAAA==&#10;">
                      <o:lock v:ext="edit" aspectratio="f"/>
                      <v:line id="_x0000_s1026" o:spid="_x0000_s1026" o:spt="20" style="position:absolute;left:2204;top:6545;height:917;width:1115;" filled="f" stroked="t" coordsize="21600,21600" o:gfxdata="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wr5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_x0000_s1026" o:spid="_x0000_s1026" o:spt="20" style="position:absolute;left:1567;top:7060;height:404;width:1753;" filled="f" stroked="t" coordsize="21600,21600" o:gfxdata="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bOHw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w:pict>
                </mc:Fallback>
              </mc:AlternateContent>
            </w:r>
            <w:r>
              <w:rPr>
                <w:rFonts w:hint="eastAsia" w:ascii="宋体" w:hAnsi="宋体" w:eastAsia="宋体" w:cs="宋体"/>
                <w:b/>
                <w:bCs/>
                <w:kern w:val="2"/>
                <w:sz w:val="21"/>
                <w:szCs w:val="21"/>
                <w:lang w:eastAsia="zh-CN"/>
              </w:rPr>
              <w:t xml:space="preserve">        占地规模</w:t>
            </w:r>
          </w:p>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both"/>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评价工作等级</w:t>
            </w:r>
          </w:p>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both"/>
              <w:rPr>
                <w:rFonts w:hint="eastAsia" w:ascii="宋体" w:hAnsi="宋体" w:eastAsia="宋体" w:cs="宋体"/>
                <w:b/>
                <w:bCs/>
                <w:kern w:val="2"/>
                <w:sz w:val="21"/>
                <w:szCs w:val="21"/>
                <w:lang w:eastAsia="zh-CN"/>
              </w:rPr>
            </w:pPr>
          </w:p>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both"/>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敏感程度</w:t>
            </w:r>
          </w:p>
        </w:tc>
        <w:tc>
          <w:tcPr>
            <w:tcW w:w="2496"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Ⅰ类</w:t>
            </w:r>
          </w:p>
        </w:tc>
        <w:tc>
          <w:tcPr>
            <w:tcW w:w="2424"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Ⅱ类</w:t>
            </w:r>
          </w:p>
        </w:tc>
        <w:tc>
          <w:tcPr>
            <w:tcW w:w="2377" w:type="dxa"/>
            <w:gridSpan w:val="3"/>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Ⅲ类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5" w:type="dxa"/>
            <w:vMerge w:val="continue"/>
            <w:vAlign w:val="center"/>
          </w:tcPr>
          <w:p>
            <w:pPr>
              <w:keepNext w:val="0"/>
              <w:keepLines w:val="0"/>
              <w:suppressLineNumbers w:val="0"/>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p>
        </w:tc>
        <w:tc>
          <w:tcPr>
            <w:tcW w:w="83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大</w:t>
            </w:r>
          </w:p>
        </w:tc>
        <w:tc>
          <w:tcPr>
            <w:tcW w:w="80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中</w:t>
            </w:r>
          </w:p>
        </w:tc>
        <w:tc>
          <w:tcPr>
            <w:tcW w:w="85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小</w:t>
            </w:r>
          </w:p>
        </w:tc>
        <w:tc>
          <w:tcPr>
            <w:tcW w:w="8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大</w:t>
            </w:r>
          </w:p>
        </w:tc>
        <w:tc>
          <w:tcPr>
            <w:tcW w:w="85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中</w:t>
            </w:r>
          </w:p>
        </w:tc>
        <w:tc>
          <w:tcPr>
            <w:tcW w:w="71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小</w:t>
            </w:r>
          </w:p>
        </w:tc>
        <w:tc>
          <w:tcPr>
            <w:tcW w:w="71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大</w:t>
            </w:r>
          </w:p>
        </w:tc>
        <w:tc>
          <w:tcPr>
            <w:tcW w:w="85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中</w:t>
            </w:r>
          </w:p>
        </w:tc>
        <w:tc>
          <w:tcPr>
            <w:tcW w:w="80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敏感</w:t>
            </w:r>
          </w:p>
        </w:tc>
        <w:tc>
          <w:tcPr>
            <w:tcW w:w="83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80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85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b/>
                <w:bCs/>
                <w:sz w:val="21"/>
                <w:szCs w:val="21"/>
                <w:lang w:eastAsia="zh-CN"/>
              </w:rPr>
              <w:t>一级</w:t>
            </w:r>
          </w:p>
        </w:tc>
        <w:tc>
          <w:tcPr>
            <w:tcW w:w="8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85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71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71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85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80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较敏感</w:t>
            </w:r>
          </w:p>
        </w:tc>
        <w:tc>
          <w:tcPr>
            <w:tcW w:w="83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80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85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bCs/>
                <w:sz w:val="21"/>
                <w:szCs w:val="21"/>
                <w:lang w:eastAsia="zh-CN"/>
              </w:rPr>
              <w:t>二级</w:t>
            </w:r>
          </w:p>
        </w:tc>
        <w:tc>
          <w:tcPr>
            <w:tcW w:w="8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85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71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71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85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80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不敏感</w:t>
            </w:r>
          </w:p>
        </w:tc>
        <w:tc>
          <w:tcPr>
            <w:tcW w:w="83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80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85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855"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856"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71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713"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85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807" w:type="dxa"/>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072" w:type="dxa"/>
            <w:gridSpan w:val="10"/>
            <w:vAlign w:val="center"/>
          </w:tcPr>
          <w:p>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注：“--”表示可不开展土壤环境影响评价工作。</w:t>
            </w:r>
          </w:p>
        </w:tc>
      </w:tr>
    </w:tbl>
    <w:p>
      <w:pPr>
        <w:pStyle w:val="16"/>
        <w:ind w:firstLine="560"/>
        <w:rPr>
          <w:rFonts w:hint="eastAsia" w:ascii="宋体" w:hAnsi="宋体" w:eastAsia="宋体" w:cs="宋体"/>
        </w:rPr>
      </w:pPr>
      <w:r>
        <w:rPr>
          <w:rFonts w:hint="eastAsia" w:ascii="宋体" w:hAnsi="宋体" w:eastAsia="宋体" w:cs="宋体"/>
        </w:rPr>
        <w:t>根据《环境影响评价技术导则 土壤环境（试行）》（HJ 964-2018）附录A，</w:t>
      </w:r>
      <w:r>
        <w:rPr>
          <w:rFonts w:hint="eastAsia" w:ascii="宋体" w:hAnsi="宋体" w:cs="宋体"/>
          <w:lang w:eastAsia="zh-CN"/>
        </w:rPr>
        <w:t>本项目</w:t>
      </w:r>
      <w:r>
        <w:rPr>
          <w:rFonts w:hint="eastAsia" w:ascii="宋体" w:hAnsi="宋体" w:eastAsia="宋体" w:cs="宋体"/>
        </w:rPr>
        <w:t>属于“采矿业—金属矿、石油、页岩油开采”，对应土壤环境影响评价项目类别为Ⅰ类。</w:t>
      </w:r>
      <w:r>
        <w:rPr>
          <w:rFonts w:hint="eastAsia" w:ascii="宋体" w:hAnsi="宋体" w:cs="宋体"/>
          <w:lang w:eastAsia="zh-CN"/>
        </w:rPr>
        <w:t>本项目</w:t>
      </w:r>
      <w:r>
        <w:rPr>
          <w:rFonts w:hint="eastAsia" w:ascii="宋体" w:hAnsi="宋体" w:eastAsia="宋体" w:cs="宋体"/>
        </w:rPr>
        <w:t>占地规模为1.99hm</w:t>
      </w:r>
      <w:r>
        <w:rPr>
          <w:rFonts w:hint="eastAsia" w:ascii="宋体" w:hAnsi="宋体" w:eastAsia="宋体" w:cs="宋体"/>
          <w:vertAlign w:val="superscript"/>
        </w:rPr>
        <w:t>2</w:t>
      </w:r>
      <w:r>
        <w:rPr>
          <w:rFonts w:hint="eastAsia" w:ascii="宋体" w:hAnsi="宋体" w:eastAsia="宋体" w:cs="宋体"/>
        </w:rPr>
        <w:t>＜5hm</w:t>
      </w:r>
      <w:r>
        <w:rPr>
          <w:rFonts w:hint="eastAsia" w:ascii="宋体" w:hAnsi="宋体" w:eastAsia="宋体" w:cs="宋体"/>
          <w:vertAlign w:val="superscript"/>
        </w:rPr>
        <w:t>2</w:t>
      </w:r>
      <w:r>
        <w:rPr>
          <w:rFonts w:hint="eastAsia" w:ascii="宋体" w:hAnsi="宋体" w:eastAsia="宋体" w:cs="宋体"/>
        </w:rPr>
        <w:t>，属于小型。</w:t>
      </w:r>
    </w:p>
    <w:p>
      <w:pPr>
        <w:ind w:firstLine="560"/>
        <w:rPr>
          <w:rFonts w:hint="eastAsia" w:ascii="宋体" w:hAnsi="宋体" w:eastAsia="宋体" w:cs="宋体"/>
          <w:lang w:eastAsia="zh-CN"/>
        </w:rPr>
      </w:pPr>
      <w:r>
        <w:rPr>
          <w:rFonts w:hint="eastAsia" w:ascii="宋体" w:hAnsi="宋体" w:eastAsia="宋体" w:cs="宋体"/>
          <w:lang w:eastAsia="zh-CN"/>
        </w:rPr>
        <w:t>综上所述，</w:t>
      </w:r>
      <w:r>
        <w:rPr>
          <w:rFonts w:hint="eastAsia" w:cs="宋体"/>
          <w:lang w:eastAsia="zh-CN"/>
        </w:rPr>
        <w:t>本项目</w:t>
      </w:r>
      <w:r>
        <w:rPr>
          <w:rFonts w:hint="eastAsia" w:ascii="宋体" w:hAnsi="宋体" w:eastAsia="宋体" w:cs="宋体"/>
          <w:lang w:eastAsia="zh-CN"/>
        </w:rPr>
        <w:t>土壤环境影响评价等级为一级。</w:t>
      </w:r>
    </w:p>
    <w:p>
      <w:pPr>
        <w:pStyle w:val="8"/>
        <w:rPr>
          <w:rFonts w:hint="eastAsia" w:ascii="宋体" w:hAnsi="宋体" w:eastAsia="宋体" w:cs="宋体"/>
          <w:lang w:eastAsia="zh-CN"/>
        </w:rPr>
      </w:pPr>
      <w:r>
        <w:rPr>
          <w:rFonts w:hint="eastAsia" w:ascii="宋体" w:hAnsi="宋体" w:eastAsia="宋体" w:cs="宋体"/>
          <w:lang w:eastAsia="zh-CN"/>
        </w:rPr>
        <w:t>6.6.2.2 评价范围</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土壤环境（试行）》（HJ 964-2018），建设项目土壤环境影响现状调查范围具体见表6.6.2-3。</w:t>
      </w:r>
    </w:p>
    <w:p>
      <w:pPr>
        <w:autoSpaceDE/>
        <w:autoSpaceDN/>
        <w:spacing w:line="36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表6.6.2-3 现状调查范围</w:t>
      </w:r>
    </w:p>
    <w:tbl>
      <w:tblPr>
        <w:tblStyle w:val="60"/>
        <w:tblW w:w="4998"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09"/>
        <w:gridCol w:w="1354"/>
        <w:gridCol w:w="2056"/>
        <w:gridCol w:w="397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39" w:type="pct"/>
            <w:vMerge w:val="restart"/>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评价工作等级</w:t>
            </w:r>
          </w:p>
        </w:tc>
        <w:tc>
          <w:tcPr>
            <w:tcW w:w="744" w:type="pct"/>
            <w:vMerge w:val="restart"/>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影响类型</w:t>
            </w:r>
          </w:p>
        </w:tc>
        <w:tc>
          <w:tcPr>
            <w:tcW w:w="3315" w:type="pct"/>
            <w:gridSpan w:val="2"/>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调查范围</w:t>
            </w:r>
            <w:r>
              <w:rPr>
                <w:rFonts w:hint="eastAsia" w:ascii="宋体" w:hAnsi="宋体" w:eastAsia="宋体" w:cs="宋体"/>
                <w:b/>
                <w:bCs/>
                <w:sz w:val="21"/>
                <w:szCs w:val="21"/>
                <w:vertAlign w:val="superscript"/>
                <w:lang w:eastAsia="zh-CN"/>
              </w:rPr>
              <w:t>a</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tblHeader/>
          <w:jc w:val="center"/>
        </w:trPr>
        <w:tc>
          <w:tcPr>
            <w:tcW w:w="939" w:type="pct"/>
            <w:vMerge w:val="continue"/>
            <w:vAlign w:val="center"/>
          </w:tcPr>
          <w:p>
            <w:pPr>
              <w:spacing w:line="240" w:lineRule="auto"/>
              <w:ind w:firstLine="0" w:firstLineChars="0"/>
              <w:jc w:val="center"/>
              <w:rPr>
                <w:rFonts w:hint="eastAsia" w:ascii="宋体" w:hAnsi="宋体" w:eastAsia="宋体" w:cs="宋体"/>
                <w:b/>
                <w:bCs/>
                <w:sz w:val="21"/>
                <w:szCs w:val="21"/>
                <w:lang w:eastAsia="zh-CN"/>
              </w:rPr>
            </w:pPr>
          </w:p>
        </w:tc>
        <w:tc>
          <w:tcPr>
            <w:tcW w:w="744" w:type="pct"/>
            <w:vMerge w:val="continue"/>
            <w:vAlign w:val="center"/>
          </w:tcPr>
          <w:p>
            <w:pPr>
              <w:spacing w:line="240" w:lineRule="auto"/>
              <w:ind w:firstLine="0" w:firstLineChars="0"/>
              <w:jc w:val="center"/>
              <w:rPr>
                <w:rFonts w:hint="eastAsia" w:ascii="宋体" w:hAnsi="宋体" w:eastAsia="宋体" w:cs="宋体"/>
                <w:b/>
                <w:bCs/>
                <w:sz w:val="21"/>
                <w:szCs w:val="21"/>
                <w:lang w:eastAsia="zh-CN"/>
              </w:rPr>
            </w:pPr>
          </w:p>
        </w:tc>
        <w:tc>
          <w:tcPr>
            <w:tcW w:w="1130" w:type="pct"/>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占地</w:t>
            </w:r>
            <w:r>
              <w:rPr>
                <w:rFonts w:hint="eastAsia" w:ascii="宋体" w:hAnsi="宋体" w:eastAsia="宋体" w:cs="宋体"/>
                <w:b/>
                <w:bCs/>
                <w:sz w:val="21"/>
                <w:szCs w:val="21"/>
                <w:vertAlign w:val="superscript"/>
                <w:lang w:eastAsia="zh-CN"/>
              </w:rPr>
              <w:t>b</w:t>
            </w:r>
            <w:r>
              <w:rPr>
                <w:rFonts w:hint="eastAsia" w:ascii="宋体" w:hAnsi="宋体" w:eastAsia="宋体" w:cs="宋体"/>
                <w:b/>
                <w:bCs/>
                <w:sz w:val="21"/>
                <w:szCs w:val="21"/>
                <w:lang w:eastAsia="zh-CN"/>
              </w:rPr>
              <w:t>范围内</w:t>
            </w:r>
          </w:p>
        </w:tc>
        <w:tc>
          <w:tcPr>
            <w:tcW w:w="2185" w:type="pct"/>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占地范围外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restar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一级</w:t>
            </w: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生态影响型</w:t>
            </w:r>
          </w:p>
        </w:tc>
        <w:tc>
          <w:tcPr>
            <w:tcW w:w="1130" w:type="pct"/>
            <w:vMerge w:val="restar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全部</w:t>
            </w: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5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污染影响型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1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restar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二级</w:t>
            </w: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生态影响型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2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污染影响型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0.2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restar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三级</w:t>
            </w: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生态影响型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1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939"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744"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污染影响型</w:t>
            </w:r>
          </w:p>
        </w:tc>
        <w:tc>
          <w:tcPr>
            <w:tcW w:w="1130" w:type="pct"/>
            <w:vMerge w:val="continue"/>
            <w:vAlign w:val="center"/>
          </w:tcPr>
          <w:p>
            <w:pPr>
              <w:widowControl/>
              <w:autoSpaceDE/>
              <w:autoSpaceDN/>
              <w:spacing w:line="240" w:lineRule="auto"/>
              <w:ind w:firstLine="0" w:firstLineChars="0"/>
              <w:jc w:val="center"/>
              <w:rPr>
                <w:rFonts w:hint="eastAsia" w:ascii="宋体" w:hAnsi="宋体" w:eastAsia="宋体" w:cs="宋体"/>
                <w:sz w:val="21"/>
                <w:szCs w:val="21"/>
                <w:lang w:eastAsia="zh-CN"/>
              </w:rPr>
            </w:pPr>
          </w:p>
        </w:tc>
        <w:tc>
          <w:tcPr>
            <w:tcW w:w="2185" w:type="pct"/>
            <w:tcMar>
              <w:top w:w="0" w:type="dxa"/>
              <w:left w:w="0" w:type="dxa"/>
              <w:bottom w:w="0" w:type="dxa"/>
              <w:right w:w="0" w:type="dxa"/>
            </w:tcMar>
            <w:vAlign w:val="center"/>
          </w:tcPr>
          <w:p>
            <w:pPr>
              <w:autoSpaceDE/>
              <w:autoSpaceDN/>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kern w:val="2"/>
                <w:sz w:val="21"/>
                <w:szCs w:val="21"/>
                <w:lang w:eastAsia="zh-CN"/>
              </w:rPr>
              <w:t>0.05 km范围内</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000" w:type="pct"/>
            <w:gridSpan w:val="4"/>
            <w:tcMar>
              <w:top w:w="0" w:type="dxa"/>
              <w:left w:w="0" w:type="dxa"/>
              <w:bottom w:w="0" w:type="dxa"/>
              <w:right w:w="0" w:type="dxa"/>
            </w:tcMar>
            <w:vAlign w:val="center"/>
          </w:tcPr>
          <w:p>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a 涉及大气沉降途径影响的，可根据主导风向下风向的最大落地浓度点适当调整。</w:t>
            </w:r>
          </w:p>
          <w:p>
            <w:pPr>
              <w:spacing w:line="240" w:lineRule="auto"/>
              <w:ind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b 矿山类项目指开采区与各场地的占地；改、扩建类的指现有工程与</w:t>
            </w:r>
            <w:r>
              <w:rPr>
                <w:rFonts w:hint="eastAsia" w:cs="宋体"/>
                <w:sz w:val="21"/>
                <w:szCs w:val="21"/>
                <w:lang w:eastAsia="zh-CN"/>
              </w:rPr>
              <w:t>本项目</w:t>
            </w:r>
            <w:r>
              <w:rPr>
                <w:rFonts w:hint="eastAsia" w:ascii="宋体" w:hAnsi="宋体" w:eastAsia="宋体" w:cs="宋体"/>
                <w:sz w:val="21"/>
                <w:szCs w:val="21"/>
                <w:lang w:eastAsia="zh-CN"/>
              </w:rPr>
              <w:t>的占地。</w:t>
            </w:r>
          </w:p>
        </w:tc>
      </w:tr>
    </w:tbl>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属于污染影响型一级评价，现状调查评价范围为项目占地范围内和厂界外1km范围内。预测范围与现状调查评价范围一致。</w:t>
      </w:r>
    </w:p>
    <w:p>
      <w:pPr>
        <w:pStyle w:val="7"/>
        <w:rPr>
          <w:rFonts w:hint="eastAsia" w:ascii="宋体" w:hAnsi="宋体" w:eastAsia="宋体" w:cs="宋体"/>
          <w:lang w:eastAsia="zh-CN"/>
        </w:rPr>
      </w:pPr>
      <w:r>
        <w:rPr>
          <w:rFonts w:hint="eastAsia" w:ascii="宋体" w:hAnsi="宋体" w:eastAsia="宋体" w:cs="宋体"/>
          <w:lang w:eastAsia="zh-CN"/>
        </w:rPr>
        <w:t>6.6.3 土壤环境影响预测与评价</w:t>
      </w:r>
    </w:p>
    <w:p>
      <w:pPr>
        <w:pStyle w:val="8"/>
        <w:rPr>
          <w:rFonts w:hint="eastAsia" w:ascii="宋体" w:hAnsi="宋体" w:eastAsia="宋体" w:cs="宋体"/>
          <w:lang w:eastAsia="zh-CN"/>
        </w:rPr>
      </w:pPr>
      <w:r>
        <w:rPr>
          <w:rFonts w:hint="eastAsia" w:ascii="宋体" w:hAnsi="宋体" w:eastAsia="宋体" w:cs="宋体"/>
          <w:lang w:eastAsia="zh-CN"/>
        </w:rPr>
        <w:t>6.6.3.1 正常状况</w:t>
      </w:r>
    </w:p>
    <w:p>
      <w:pPr>
        <w:ind w:firstLine="560"/>
        <w:rPr>
          <w:rFonts w:hint="eastAsia" w:ascii="宋体" w:hAnsi="宋体" w:eastAsia="宋体" w:cs="宋体"/>
          <w:lang w:eastAsia="zh-CN"/>
        </w:rPr>
      </w:pPr>
      <w:r>
        <w:rPr>
          <w:rFonts w:hint="eastAsia" w:ascii="宋体" w:hAnsi="宋体" w:eastAsia="宋体" w:cs="宋体"/>
          <w:lang w:eastAsia="zh-CN"/>
        </w:rPr>
        <w:t>正常状况下，</w:t>
      </w:r>
      <w:r>
        <w:rPr>
          <w:rFonts w:hint="eastAsia" w:cs="宋体"/>
          <w:lang w:eastAsia="zh-CN"/>
        </w:rPr>
        <w:t>本项目</w:t>
      </w:r>
      <w:r>
        <w:rPr>
          <w:rFonts w:hint="eastAsia" w:ascii="宋体" w:hAnsi="宋体" w:eastAsia="宋体" w:cs="宋体"/>
          <w:lang w:eastAsia="zh-CN"/>
        </w:rPr>
        <w:t>地下采矿、运输、破碎及地表运输产生的粉尘量较小，且由于产生的粉尘组分与矿石一致，通过沉降至土壤表层，不会对土壤环境质量产生严重破坏。</w:t>
      </w:r>
    </w:p>
    <w:p>
      <w:pPr>
        <w:ind w:firstLine="560"/>
        <w:rPr>
          <w:rFonts w:hint="eastAsia" w:ascii="宋体" w:hAnsi="宋体" w:eastAsia="宋体" w:cs="宋体"/>
          <w:lang w:eastAsia="zh-CN"/>
        </w:rPr>
      </w:pPr>
      <w:r>
        <w:rPr>
          <w:rFonts w:hint="eastAsia" w:ascii="宋体" w:hAnsi="宋体" w:eastAsia="宋体" w:cs="宋体"/>
          <w:lang w:eastAsia="zh-CN"/>
        </w:rPr>
        <w:t>工业场地各车间地面均为混凝土硬化地面，厂区道路、专用场地均采取硬化措施，结合道路、场地布置修建排水沟排放厂区雨水；</w:t>
      </w:r>
      <w:r>
        <w:rPr>
          <w:rFonts w:hint="eastAsia" w:cs="宋体"/>
          <w:lang w:eastAsia="zh-CN"/>
        </w:rPr>
        <w:t>本项目</w:t>
      </w:r>
      <w:r>
        <w:rPr>
          <w:rFonts w:hint="eastAsia" w:ascii="宋体" w:hAnsi="宋体" w:eastAsia="宋体" w:cs="宋体"/>
          <w:lang w:eastAsia="zh-CN"/>
        </w:rPr>
        <w:t>矿井涌水全部收利用，实现“零”排放。且</w:t>
      </w:r>
      <w:r>
        <w:rPr>
          <w:rFonts w:hint="eastAsia" w:cs="宋体"/>
          <w:lang w:eastAsia="zh-CN"/>
        </w:rPr>
        <w:t>本项目</w:t>
      </w:r>
      <w:r>
        <w:rPr>
          <w:rFonts w:hint="eastAsia" w:ascii="宋体" w:hAnsi="宋体" w:eastAsia="宋体" w:cs="宋体"/>
          <w:lang w:eastAsia="zh-CN"/>
        </w:rPr>
        <w:t>各水池均采取防渗措施，能够有效防止废水的垂向入渗。因此，本次土壤污染预测情景主要针对非正常状况及风险事故状况下废石堆场淋滤液及选矿水发生垂向渗漏进行设定。</w:t>
      </w:r>
    </w:p>
    <w:p>
      <w:pPr>
        <w:pStyle w:val="8"/>
        <w:rPr>
          <w:rFonts w:hint="eastAsia" w:ascii="宋体" w:hAnsi="宋体" w:eastAsia="宋体" w:cs="宋体"/>
          <w:lang w:eastAsia="zh-CN"/>
        </w:rPr>
      </w:pPr>
      <w:r>
        <w:rPr>
          <w:rFonts w:hint="eastAsia" w:ascii="宋体" w:hAnsi="宋体" w:eastAsia="宋体" w:cs="宋体"/>
          <w:lang w:eastAsia="zh-CN"/>
        </w:rPr>
        <w:t>6.6.3.2 非正常状况</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采矿条件下，涉及到物料或污水漫流渗透进入土壤，主要为项目依托原矿石堆场发生硬化面破损，通过雨水或者发生小面积渗漏时，才可能有少量物料通过漏点，逐渐渗入土壤。此外，矿井涌水受水池破损等影响，废水进入土壤环境。</w:t>
      </w:r>
    </w:p>
    <w:p>
      <w:pPr>
        <w:ind w:firstLine="560"/>
        <w:rPr>
          <w:rFonts w:hint="eastAsia" w:ascii="宋体" w:hAnsi="宋体" w:eastAsia="宋体" w:cs="宋体"/>
          <w:lang w:eastAsia="zh-CN"/>
        </w:rPr>
      </w:pPr>
      <w:r>
        <w:rPr>
          <w:rFonts w:hint="eastAsia" w:ascii="宋体" w:hAnsi="宋体" w:eastAsia="宋体" w:cs="宋体"/>
          <w:lang w:eastAsia="zh-CN"/>
        </w:rPr>
        <w:t>根据地下涌水组分监测表2.2.6-2，可以看出，涉及GB 36600-2018中土壤中的各项重金属因子除了</w:t>
      </w:r>
      <w:r>
        <w:rPr>
          <w:rFonts w:hint="eastAsia" w:cs="宋体"/>
          <w:lang w:eastAsia="zh-CN"/>
        </w:rPr>
        <w:t>汞</w:t>
      </w:r>
      <w:r>
        <w:rPr>
          <w:rFonts w:hint="eastAsia" w:ascii="宋体" w:hAnsi="宋体" w:eastAsia="宋体" w:cs="宋体"/>
          <w:lang w:eastAsia="zh-CN"/>
        </w:rPr>
        <w:t>之外均未检出，汞的检出量很小，说明选矿水在事故或非正常工况下重金属发生渗漏对土壤环境影响很小。</w:t>
      </w:r>
    </w:p>
    <w:p>
      <w:pPr>
        <w:pStyle w:val="14"/>
        <w:ind w:firstLine="0" w:firstLineChars="0"/>
        <w:jc w:val="center"/>
        <w:rPr>
          <w:rFonts w:hint="eastAsia" w:ascii="宋体" w:hAnsi="宋体" w:eastAsia="宋体" w:cs="宋体"/>
          <w:b/>
          <w:bCs/>
          <w:sz w:val="24"/>
          <w:lang w:eastAsia="zh-CN" w:bidi="ar"/>
        </w:rPr>
      </w:pPr>
      <w:r>
        <w:rPr>
          <w:rFonts w:hint="eastAsia" w:ascii="宋体" w:hAnsi="宋体" w:eastAsia="宋体" w:cs="宋体"/>
          <w:b/>
          <w:bCs/>
          <w:sz w:val="24"/>
          <w:lang w:eastAsia="zh-CN" w:bidi="ar"/>
        </w:rPr>
        <w:t>表6.6.3-1 采矿矿井涌水水质监测结果</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638"/>
        <w:gridCol w:w="1699"/>
        <w:gridCol w:w="1007"/>
        <w:gridCol w:w="1517"/>
        <w:gridCol w:w="1937"/>
        <w:gridCol w:w="248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43" w:type="pct"/>
            <w:vMerge w:val="restar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序号</w:t>
            </w:r>
          </w:p>
        </w:tc>
        <w:tc>
          <w:tcPr>
            <w:tcW w:w="915" w:type="pct"/>
            <w:vMerge w:val="restar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监测项目</w:t>
            </w:r>
          </w:p>
        </w:tc>
        <w:tc>
          <w:tcPr>
            <w:tcW w:w="542" w:type="pct"/>
            <w:vMerge w:val="restar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单位</w:t>
            </w:r>
          </w:p>
        </w:tc>
        <w:tc>
          <w:tcPr>
            <w:tcW w:w="1860" w:type="pct"/>
            <w:gridSpan w:val="2"/>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王峪矿段南风井涌水池处监测结果</w:t>
            </w:r>
          </w:p>
        </w:tc>
        <w:tc>
          <w:tcPr>
            <w:tcW w:w="1337" w:type="pct"/>
            <w:vMerge w:val="restar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GB36600-2018 第二类用</w:t>
            </w:r>
          </w:p>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地筛选值（mg/kg）</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343"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915" w:type="pct"/>
            <w:vMerge w:val="continue"/>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542" w:type="pct"/>
            <w:vMerge w:val="continue"/>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c>
          <w:tcPr>
            <w:tcW w:w="817"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2021.06.24</w:t>
            </w:r>
          </w:p>
        </w:tc>
        <w:tc>
          <w:tcPr>
            <w:tcW w:w="1043"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2021.06.25</w:t>
            </w:r>
          </w:p>
        </w:tc>
        <w:tc>
          <w:tcPr>
            <w:tcW w:w="1337" w:type="pct"/>
            <w:vMerge w:val="continue"/>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3"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w:t>
            </w:r>
          </w:p>
        </w:tc>
        <w:tc>
          <w:tcPr>
            <w:tcW w:w="9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铜</w:t>
            </w:r>
          </w:p>
        </w:tc>
        <w:tc>
          <w:tcPr>
            <w:tcW w:w="54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0.05L</w:t>
            </w:r>
          </w:p>
        </w:tc>
        <w:tc>
          <w:tcPr>
            <w:tcW w:w="1043"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0.05L</w:t>
            </w:r>
          </w:p>
        </w:tc>
        <w:tc>
          <w:tcPr>
            <w:tcW w:w="133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18000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3"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2</w:t>
            </w:r>
          </w:p>
        </w:tc>
        <w:tc>
          <w:tcPr>
            <w:tcW w:w="9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镉</w:t>
            </w:r>
          </w:p>
        </w:tc>
        <w:tc>
          <w:tcPr>
            <w:tcW w:w="54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5.0×10</w:t>
            </w:r>
            <w:r>
              <w:rPr>
                <w:rFonts w:hint="eastAsia" w:ascii="宋体" w:hAnsi="宋体" w:eastAsia="宋体" w:cs="宋体"/>
                <w:color w:val="000000"/>
                <w:sz w:val="21"/>
                <w:szCs w:val="21"/>
                <w:vertAlign w:val="superscript"/>
                <w:lang w:bidi="ar"/>
              </w:rPr>
              <w:t>-4</w:t>
            </w:r>
            <w:r>
              <w:rPr>
                <w:rFonts w:hint="eastAsia" w:ascii="宋体" w:hAnsi="宋体" w:eastAsia="宋体" w:cs="宋体"/>
                <w:color w:val="000000"/>
                <w:sz w:val="21"/>
                <w:szCs w:val="21"/>
                <w:lang w:bidi="ar"/>
              </w:rPr>
              <w:t>L</w:t>
            </w:r>
          </w:p>
        </w:tc>
        <w:tc>
          <w:tcPr>
            <w:tcW w:w="1043"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5.0×10</w:t>
            </w:r>
            <w:r>
              <w:rPr>
                <w:rFonts w:hint="eastAsia" w:ascii="宋体" w:hAnsi="宋体" w:eastAsia="宋体" w:cs="宋体"/>
                <w:color w:val="000000"/>
                <w:sz w:val="21"/>
                <w:szCs w:val="21"/>
                <w:vertAlign w:val="superscript"/>
                <w:lang w:bidi="ar"/>
              </w:rPr>
              <w:t>-4</w:t>
            </w:r>
            <w:r>
              <w:rPr>
                <w:rFonts w:hint="eastAsia" w:ascii="宋体" w:hAnsi="宋体" w:eastAsia="宋体" w:cs="宋体"/>
                <w:color w:val="000000"/>
                <w:sz w:val="21"/>
                <w:szCs w:val="21"/>
                <w:lang w:bidi="ar"/>
              </w:rPr>
              <w:t>L</w:t>
            </w:r>
          </w:p>
        </w:tc>
        <w:tc>
          <w:tcPr>
            <w:tcW w:w="133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3"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3</w:t>
            </w:r>
          </w:p>
        </w:tc>
        <w:tc>
          <w:tcPr>
            <w:tcW w:w="9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铅</w:t>
            </w:r>
          </w:p>
        </w:tc>
        <w:tc>
          <w:tcPr>
            <w:tcW w:w="54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2.5×10</w:t>
            </w:r>
            <w:r>
              <w:rPr>
                <w:rStyle w:val="47"/>
                <w:rFonts w:hint="eastAsia" w:ascii="宋体" w:hAnsi="宋体" w:eastAsia="宋体" w:cs="宋体"/>
                <w:sz w:val="21"/>
                <w:szCs w:val="21"/>
                <w:lang w:bidi="ar"/>
              </w:rPr>
              <w:t>-3</w:t>
            </w:r>
            <w:r>
              <w:rPr>
                <w:rFonts w:hint="eastAsia" w:ascii="宋体" w:hAnsi="宋体" w:eastAsia="宋体" w:cs="宋体"/>
                <w:color w:val="000000"/>
                <w:sz w:val="21"/>
                <w:szCs w:val="21"/>
                <w:lang w:bidi="ar"/>
              </w:rPr>
              <w:t>L</w:t>
            </w:r>
          </w:p>
        </w:tc>
        <w:tc>
          <w:tcPr>
            <w:tcW w:w="1043"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2.5×10</w:t>
            </w:r>
            <w:r>
              <w:rPr>
                <w:rStyle w:val="47"/>
                <w:rFonts w:hint="eastAsia" w:ascii="宋体" w:hAnsi="宋体" w:eastAsia="宋体" w:cs="宋体"/>
                <w:sz w:val="21"/>
                <w:szCs w:val="21"/>
                <w:lang w:bidi="ar"/>
              </w:rPr>
              <w:t>-3</w:t>
            </w:r>
            <w:r>
              <w:rPr>
                <w:rFonts w:hint="eastAsia" w:ascii="宋体" w:hAnsi="宋体" w:eastAsia="宋体" w:cs="宋体"/>
                <w:color w:val="000000"/>
                <w:sz w:val="21"/>
                <w:szCs w:val="21"/>
                <w:lang w:bidi="ar"/>
              </w:rPr>
              <w:t>L</w:t>
            </w:r>
          </w:p>
        </w:tc>
        <w:tc>
          <w:tcPr>
            <w:tcW w:w="133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3"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w:t>
            </w:r>
          </w:p>
        </w:tc>
        <w:tc>
          <w:tcPr>
            <w:tcW w:w="9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砷</w:t>
            </w:r>
          </w:p>
        </w:tc>
        <w:tc>
          <w:tcPr>
            <w:tcW w:w="54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0.0003L</w:t>
            </w:r>
          </w:p>
        </w:tc>
        <w:tc>
          <w:tcPr>
            <w:tcW w:w="1043"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sz w:val="21"/>
                <w:szCs w:val="21"/>
                <w:lang w:bidi="ar"/>
              </w:rPr>
              <w:t>0.0003L</w:t>
            </w:r>
          </w:p>
        </w:tc>
        <w:tc>
          <w:tcPr>
            <w:tcW w:w="133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3"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w:t>
            </w:r>
          </w:p>
        </w:tc>
        <w:tc>
          <w:tcPr>
            <w:tcW w:w="9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bidi="ar"/>
              </w:rPr>
              <w:t>汞</w:t>
            </w:r>
          </w:p>
        </w:tc>
        <w:tc>
          <w:tcPr>
            <w:tcW w:w="54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mg/L</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bidi="ar"/>
              </w:rPr>
              <w:t>0.00008</w:t>
            </w:r>
          </w:p>
        </w:tc>
        <w:tc>
          <w:tcPr>
            <w:tcW w:w="1043"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bidi="ar"/>
              </w:rPr>
              <w:t>0.00004</w:t>
            </w:r>
          </w:p>
        </w:tc>
        <w:tc>
          <w:tcPr>
            <w:tcW w:w="133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43"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w:t>
            </w:r>
          </w:p>
        </w:tc>
        <w:tc>
          <w:tcPr>
            <w:tcW w:w="915"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镍</w:t>
            </w:r>
          </w:p>
        </w:tc>
        <w:tc>
          <w:tcPr>
            <w:tcW w:w="542" w:type="pct"/>
            <w:tcBorders>
              <w:tl2br w:val="nil"/>
              <w:tr2bl w:val="nil"/>
            </w:tcBorders>
            <w:shd w:val="clear" w:color="auto" w:fill="auto"/>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mg/L</w:t>
            </w:r>
          </w:p>
        </w:tc>
        <w:tc>
          <w:tcPr>
            <w:tcW w:w="817"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9.0×10</w:t>
            </w:r>
            <w:r>
              <w:rPr>
                <w:rFonts w:hint="eastAsia" w:ascii="宋体" w:hAnsi="宋体" w:eastAsia="宋体" w:cs="宋体"/>
                <w:color w:val="000000"/>
                <w:sz w:val="21"/>
                <w:szCs w:val="21"/>
                <w:vertAlign w:val="superscript"/>
                <w:lang w:bidi="ar"/>
              </w:rPr>
              <w:t>-4</w:t>
            </w:r>
            <w:r>
              <w:rPr>
                <w:rFonts w:hint="eastAsia" w:ascii="宋体" w:hAnsi="宋体" w:eastAsia="宋体" w:cs="宋体"/>
                <w:color w:val="000000"/>
                <w:sz w:val="21"/>
                <w:szCs w:val="21"/>
                <w:lang w:bidi="ar"/>
              </w:rPr>
              <w:t>L</w:t>
            </w:r>
          </w:p>
        </w:tc>
        <w:tc>
          <w:tcPr>
            <w:tcW w:w="1043" w:type="pct"/>
            <w:tcBorders>
              <w:tl2br w:val="nil"/>
              <w:tr2bl w:val="nil"/>
            </w:tcBorders>
            <w:shd w:val="clear" w:color="auto" w:fill="auto"/>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bidi="ar"/>
              </w:rPr>
            </w:pPr>
            <w:r>
              <w:rPr>
                <w:rFonts w:hint="eastAsia" w:ascii="宋体" w:hAnsi="宋体" w:eastAsia="宋体" w:cs="宋体"/>
                <w:color w:val="000000"/>
                <w:sz w:val="21"/>
                <w:szCs w:val="21"/>
                <w:lang w:bidi="ar"/>
              </w:rPr>
              <w:t>9.0×10</w:t>
            </w:r>
            <w:r>
              <w:rPr>
                <w:rFonts w:hint="eastAsia" w:ascii="宋体" w:hAnsi="宋体" w:eastAsia="宋体" w:cs="宋体"/>
                <w:color w:val="000000"/>
                <w:sz w:val="21"/>
                <w:szCs w:val="21"/>
                <w:vertAlign w:val="superscript"/>
                <w:lang w:bidi="ar"/>
              </w:rPr>
              <w:t>-4</w:t>
            </w:r>
            <w:r>
              <w:rPr>
                <w:rFonts w:hint="eastAsia" w:ascii="宋体" w:hAnsi="宋体" w:eastAsia="宋体" w:cs="宋体"/>
                <w:color w:val="000000"/>
                <w:sz w:val="21"/>
                <w:szCs w:val="21"/>
                <w:lang w:bidi="ar"/>
              </w:rPr>
              <w:t>L</w:t>
            </w:r>
          </w:p>
        </w:tc>
        <w:tc>
          <w:tcPr>
            <w:tcW w:w="1337" w:type="pct"/>
            <w:tcBorders>
              <w:tl2br w:val="nil"/>
              <w:tr2bl w:val="nil"/>
            </w:tcBorders>
            <w:shd w:val="clear" w:color="auto" w:fill="auto"/>
            <w:noWrap/>
            <w:vAlign w:val="center"/>
          </w:tcPr>
          <w:p>
            <w:pPr>
              <w:pStyle w:val="14"/>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900</w:t>
            </w:r>
          </w:p>
        </w:tc>
      </w:tr>
    </w:tbl>
    <w:p>
      <w:pPr>
        <w:pStyle w:val="2"/>
        <w:ind w:firstLine="560"/>
        <w:rPr>
          <w:rFonts w:hint="eastAsia" w:ascii="宋体" w:hAnsi="宋体" w:eastAsia="宋体" w:cs="宋体"/>
          <w:lang w:eastAsia="zh-CN"/>
        </w:rPr>
      </w:pPr>
      <w:r>
        <w:rPr>
          <w:rFonts w:hint="eastAsia" w:ascii="宋体" w:hAnsi="宋体" w:eastAsia="宋体" w:cs="宋体"/>
          <w:lang w:eastAsia="zh-CN"/>
        </w:rPr>
        <w:t>矿石堆场主要存贮的为矿石，本次根据</w:t>
      </w:r>
      <w:r>
        <w:rPr>
          <w:rFonts w:hint="eastAsia" w:cs="宋体"/>
          <w:lang w:eastAsia="zh-CN"/>
        </w:rPr>
        <w:t>本项目</w:t>
      </w:r>
      <w:r>
        <w:rPr>
          <w:rFonts w:hint="eastAsia" w:ascii="宋体" w:hAnsi="宋体" w:eastAsia="宋体" w:cs="宋体"/>
          <w:lang w:eastAsia="zh-CN"/>
        </w:rPr>
        <w:t>矿石浸出试验监测结果，选取污染物浓度最大值，作为特征污染物进行土壤预测的源强。污染预测情景为为矿石堆场在地面防渗层失效情况下，降雨淋滤废石所产生的淋滤液发生持续渗漏，具体计算结果见表6.6.3-2。</w:t>
      </w:r>
    </w:p>
    <w:p>
      <w:pPr>
        <w:autoSpaceDE/>
        <w:autoSpaceDN/>
        <w:spacing w:line="24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表6.6.3-2 土壤预测源强 单位：mg/L</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871"/>
        <w:gridCol w:w="1676"/>
        <w:gridCol w:w="1676"/>
        <w:gridCol w:w="1676"/>
        <w:gridCol w:w="16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8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序号</w:t>
            </w:r>
          </w:p>
        </w:tc>
        <w:tc>
          <w:tcPr>
            <w:tcW w:w="10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污染因子</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浓度（mg/L）</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年平均降水量（mm）</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面积（m</w:t>
            </w:r>
            <w:r>
              <w:rPr>
                <w:rFonts w:hint="eastAsia" w:ascii="宋体" w:hAnsi="宋体" w:eastAsia="宋体" w:cs="宋体"/>
                <w:b/>
                <w:bCs/>
                <w:kern w:val="2"/>
                <w:sz w:val="21"/>
                <w:vertAlign w:val="superscript"/>
                <w:lang w:eastAsia="zh-CN"/>
              </w:rPr>
              <w:t>2</w:t>
            </w:r>
            <w:r>
              <w:rPr>
                <w:rFonts w:hint="eastAsia" w:ascii="宋体" w:hAnsi="宋体" w:eastAsia="宋体" w:cs="宋体"/>
                <w:b/>
                <w:bCs/>
                <w:kern w:val="2"/>
                <w:sz w:val="21"/>
                <w:lang w:eastAsia="zh-CN"/>
              </w:rPr>
              <w:t>）</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泄露特征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w:t>
            </w:r>
          </w:p>
        </w:tc>
        <w:tc>
          <w:tcPr>
            <w:tcW w:w="10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铜</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902"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741.6</w:t>
            </w:r>
          </w:p>
        </w:tc>
        <w:tc>
          <w:tcPr>
            <w:tcW w:w="902"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7150</w:t>
            </w:r>
          </w:p>
        </w:tc>
        <w:tc>
          <w:tcPr>
            <w:tcW w:w="902" w:type="pct"/>
            <w:vMerge w:val="restar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事故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w:t>
            </w:r>
          </w:p>
        </w:tc>
        <w:tc>
          <w:tcPr>
            <w:tcW w:w="10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铅</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w:t>
            </w:r>
          </w:p>
        </w:tc>
        <w:tc>
          <w:tcPr>
            <w:tcW w:w="10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镉</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w:t>
            </w:r>
          </w:p>
        </w:tc>
        <w:tc>
          <w:tcPr>
            <w:tcW w:w="10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汞</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w:t>
            </w:r>
          </w:p>
        </w:tc>
        <w:tc>
          <w:tcPr>
            <w:tcW w:w="10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镍</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6</w:t>
            </w:r>
          </w:p>
        </w:tc>
        <w:tc>
          <w:tcPr>
            <w:tcW w:w="10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砷</w:t>
            </w:r>
          </w:p>
        </w:tc>
        <w:tc>
          <w:tcPr>
            <w:tcW w:w="90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c>
          <w:tcPr>
            <w:tcW w:w="902"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p>
        </w:tc>
      </w:tr>
    </w:tbl>
    <w:p>
      <w:pPr>
        <w:pStyle w:val="8"/>
        <w:rPr>
          <w:rFonts w:hint="eastAsia" w:ascii="宋体" w:hAnsi="宋体" w:eastAsia="宋体" w:cs="宋体"/>
          <w:lang w:eastAsia="zh-CN"/>
        </w:rPr>
      </w:pPr>
      <w:r>
        <w:rPr>
          <w:rFonts w:hint="eastAsia" w:ascii="宋体" w:hAnsi="宋体" w:eastAsia="宋体" w:cs="宋体"/>
          <w:lang w:eastAsia="zh-CN"/>
        </w:rPr>
        <w:t>6.6.3.3 大气沉降土壤影响预测</w:t>
      </w:r>
    </w:p>
    <w:p>
      <w:pPr>
        <w:ind w:firstLine="560"/>
        <w:rPr>
          <w:rFonts w:hint="eastAsia" w:ascii="宋体" w:hAnsi="宋体" w:eastAsia="宋体" w:cs="宋体"/>
          <w:lang w:eastAsia="zh-CN"/>
        </w:rPr>
      </w:pPr>
      <w:r>
        <w:rPr>
          <w:rFonts w:hint="eastAsia" w:ascii="宋体" w:hAnsi="宋体" w:eastAsia="宋体" w:cs="宋体"/>
          <w:lang w:eastAsia="zh-CN"/>
        </w:rPr>
        <w:t>建设项目为污染影响型建设项目，评价工作等级为一级，根据HJ 964-2018要求，本次预测方法参照附录E。预测方法如下：</w:t>
      </w:r>
    </w:p>
    <w:p>
      <w:pPr>
        <w:ind w:firstLine="560"/>
        <w:contextualSpacing/>
        <w:jc w:val="both"/>
        <w:textAlignment w:val="baseline"/>
        <w:rPr>
          <w:rFonts w:hint="eastAsia" w:ascii="宋体" w:hAnsi="宋体" w:eastAsia="宋体" w:cs="宋体"/>
          <w:kern w:val="2"/>
          <w:szCs w:val="28"/>
          <w:lang w:eastAsia="zh-CN"/>
        </w:rPr>
      </w:pPr>
      <w:r>
        <w:rPr>
          <w:rFonts w:hint="eastAsia" w:ascii="宋体" w:hAnsi="宋体" w:eastAsia="宋体" w:cs="宋体"/>
          <w:kern w:val="2"/>
          <w:szCs w:val="28"/>
          <w:lang w:eastAsia="zh-CN"/>
        </w:rPr>
        <w:t>（1）输入量计算</w:t>
      </w:r>
    </w:p>
    <w:p>
      <w:pPr>
        <w:ind w:firstLine="560"/>
        <w:rPr>
          <w:rFonts w:hint="eastAsia" w:ascii="宋体" w:hAnsi="宋体" w:eastAsia="宋体" w:cs="宋体"/>
          <w:lang w:eastAsia="zh-CN"/>
        </w:rPr>
      </w:pPr>
      <w:r>
        <w:rPr>
          <w:rFonts w:hint="eastAsia" w:ascii="宋体" w:hAnsi="宋体" w:eastAsia="宋体" w:cs="宋体"/>
          <w:lang w:eastAsia="zh-CN"/>
        </w:rPr>
        <w:t>a）单位质量土壤中某种物质的增量可用下式计算：</w:t>
      </w:r>
    </w:p>
    <w:p>
      <w:pPr>
        <w:ind w:firstLine="0" w:firstLineChars="0"/>
        <w:jc w:val="center"/>
        <w:rPr>
          <w:rFonts w:hint="eastAsia" w:ascii="宋体" w:hAnsi="宋体" w:eastAsia="宋体" w:cs="宋体"/>
          <w:lang w:eastAsia="zh-CN"/>
        </w:rPr>
      </w:pPr>
      <w:r>
        <w:rPr>
          <w:rFonts w:hint="eastAsia" w:ascii="宋体" w:hAnsi="宋体" w:eastAsia="宋体" w:cs="宋体"/>
          <w:lang w:eastAsia="zh-CN"/>
        </w:rPr>
        <w:t>∆S = n(Is − Ls − Rs)/(ρb × A × D)</w:t>
      </w:r>
    </w:p>
    <w:p>
      <w:pPr>
        <w:ind w:firstLine="0" w:firstLineChars="0"/>
        <w:rPr>
          <w:rFonts w:hint="eastAsia" w:ascii="宋体" w:hAnsi="宋体" w:eastAsia="宋体" w:cs="宋体"/>
          <w:lang w:eastAsia="zh-CN"/>
        </w:rPr>
      </w:pPr>
      <w:r>
        <w:rPr>
          <w:rFonts w:hint="eastAsia" w:ascii="宋体" w:hAnsi="宋体" w:eastAsia="宋体" w:cs="宋体"/>
          <w:lang w:eastAsia="zh-CN"/>
        </w:rPr>
        <w:t>式中：∆S—单位质量表层土壤中某种物质的增量，mg/kg；</w:t>
      </w:r>
    </w:p>
    <w:p>
      <w:pPr>
        <w:ind w:firstLine="560"/>
        <w:rPr>
          <w:rFonts w:hint="eastAsia" w:ascii="宋体" w:hAnsi="宋体" w:eastAsia="宋体" w:cs="宋体"/>
          <w:lang w:eastAsia="zh-CN"/>
        </w:rPr>
      </w:pPr>
      <w:r>
        <w:rPr>
          <w:rFonts w:hint="eastAsia" w:ascii="宋体" w:hAnsi="宋体" w:eastAsia="宋体" w:cs="宋体"/>
          <w:lang w:eastAsia="zh-CN"/>
        </w:rPr>
        <w:t>Is —预测评价范围内单位年份表层土壤中某种物质的输入量，mg（</w:t>
      </w:r>
      <w:r>
        <w:rPr>
          <w:rFonts w:hint="eastAsia" w:cs="宋体"/>
          <w:lang w:eastAsia="zh-CN"/>
        </w:rPr>
        <w:t>本项目</w:t>
      </w:r>
      <w:r>
        <w:rPr>
          <w:rFonts w:hint="eastAsia" w:ascii="宋体" w:hAnsi="宋体" w:eastAsia="宋体" w:cs="宋体"/>
          <w:lang w:eastAsia="zh-CN"/>
        </w:rPr>
        <w:t>铜3.75×10</w:t>
      </w:r>
      <w:r>
        <w:rPr>
          <w:rFonts w:hint="eastAsia" w:ascii="宋体" w:hAnsi="宋体" w:eastAsia="宋体" w:cs="宋体"/>
          <w:vertAlign w:val="superscript"/>
          <w:lang w:eastAsia="zh-CN"/>
        </w:rPr>
        <w:t>-2</w:t>
      </w:r>
      <w:r>
        <w:rPr>
          <w:rFonts w:hint="eastAsia" w:ascii="宋体" w:hAnsi="宋体" w:eastAsia="宋体" w:cs="宋体"/>
          <w:lang w:eastAsia="zh-CN"/>
        </w:rPr>
        <w:t>mg/kg、铅1.12×10</w:t>
      </w:r>
      <w:r>
        <w:rPr>
          <w:rFonts w:hint="eastAsia" w:ascii="宋体" w:hAnsi="宋体" w:eastAsia="宋体" w:cs="宋体"/>
          <w:vertAlign w:val="superscript"/>
          <w:lang w:eastAsia="zh-CN"/>
        </w:rPr>
        <w:t>-1</w:t>
      </w:r>
      <w:r>
        <w:rPr>
          <w:rFonts w:hint="eastAsia" w:ascii="宋体" w:hAnsi="宋体" w:eastAsia="宋体" w:cs="宋体"/>
          <w:lang w:eastAsia="zh-CN"/>
        </w:rPr>
        <w:t>mg/kgg、镉3.75×10</w:t>
      </w:r>
      <w:r>
        <w:rPr>
          <w:rFonts w:hint="eastAsia" w:ascii="宋体" w:hAnsi="宋体" w:eastAsia="宋体" w:cs="宋体"/>
          <w:vertAlign w:val="superscript"/>
          <w:lang w:eastAsia="zh-CN"/>
        </w:rPr>
        <w:t>-2</w:t>
      </w:r>
      <w:r>
        <w:rPr>
          <w:rFonts w:hint="eastAsia" w:ascii="宋体" w:hAnsi="宋体" w:eastAsia="宋体" w:cs="宋体"/>
          <w:lang w:eastAsia="zh-CN"/>
        </w:rPr>
        <w:t>mg/kg、汞7.5×10</w:t>
      </w:r>
      <w:r>
        <w:rPr>
          <w:rFonts w:hint="eastAsia" w:ascii="宋体" w:hAnsi="宋体" w:eastAsia="宋体" w:cs="宋体"/>
          <w:vertAlign w:val="superscript"/>
          <w:lang w:eastAsia="zh-CN"/>
        </w:rPr>
        <w:t>-5</w:t>
      </w:r>
      <w:r>
        <w:rPr>
          <w:rFonts w:hint="eastAsia" w:ascii="宋体" w:hAnsi="宋体" w:eastAsia="宋体" w:cs="宋体"/>
          <w:lang w:eastAsia="zh-CN"/>
        </w:rPr>
        <w:t>mg/kg、镍7.5×10</w:t>
      </w:r>
      <w:r>
        <w:rPr>
          <w:rFonts w:hint="eastAsia" w:ascii="宋体" w:hAnsi="宋体" w:eastAsia="宋体" w:cs="宋体"/>
          <w:vertAlign w:val="superscript"/>
          <w:lang w:eastAsia="zh-CN"/>
        </w:rPr>
        <w:t>-2</w:t>
      </w:r>
      <w:r>
        <w:rPr>
          <w:rFonts w:hint="eastAsia" w:ascii="宋体" w:hAnsi="宋体" w:eastAsia="宋体" w:cs="宋体"/>
          <w:lang w:eastAsia="zh-CN"/>
        </w:rPr>
        <w:t>mg/kg、砷3.75×10</w:t>
      </w:r>
      <w:r>
        <w:rPr>
          <w:rFonts w:hint="eastAsia" w:ascii="宋体" w:hAnsi="宋体" w:eastAsia="宋体" w:cs="宋体"/>
          <w:vertAlign w:val="superscript"/>
          <w:lang w:eastAsia="zh-CN"/>
        </w:rPr>
        <w:t>-2</w:t>
      </w:r>
      <w:r>
        <w:rPr>
          <w:rFonts w:hint="eastAsia" w:ascii="宋体" w:hAnsi="宋体" w:eastAsia="宋体" w:cs="宋体"/>
          <w:lang w:eastAsia="zh-CN"/>
        </w:rPr>
        <w:t>mg/kg）；</w:t>
      </w:r>
    </w:p>
    <w:p>
      <w:pPr>
        <w:ind w:firstLine="560"/>
        <w:rPr>
          <w:rFonts w:hint="eastAsia" w:ascii="宋体" w:hAnsi="宋体" w:eastAsia="宋体" w:cs="宋体"/>
          <w:lang w:eastAsia="zh-CN"/>
        </w:rPr>
      </w:pPr>
      <w:r>
        <w:rPr>
          <w:rFonts w:hint="eastAsia" w:ascii="宋体" w:hAnsi="宋体" w:eastAsia="宋体" w:cs="宋体"/>
          <w:lang w:eastAsia="zh-CN"/>
        </w:rPr>
        <w:t>Ls—预测评价范围内单位年份表层土壤中某种物质经淋溶排出的量，g（根据导则，本次评价只涉及大气沉降影响，故不考虑淋溶输出量，因此LS=0）；</w:t>
      </w:r>
    </w:p>
    <w:p>
      <w:pPr>
        <w:ind w:firstLine="560"/>
        <w:rPr>
          <w:rFonts w:hint="eastAsia" w:ascii="宋体" w:hAnsi="宋体" w:eastAsia="宋体" w:cs="宋体"/>
          <w:lang w:eastAsia="zh-CN"/>
        </w:rPr>
      </w:pPr>
      <w:r>
        <w:rPr>
          <w:rFonts w:hint="eastAsia" w:ascii="宋体" w:hAnsi="宋体" w:eastAsia="宋体" w:cs="宋体"/>
          <w:lang w:eastAsia="zh-CN"/>
        </w:rPr>
        <w:t>Rs—预测评价范围内单位年份表层土壤中某种物质经径流排出的量，g（根据导则，本次评价只涉及大气沉降影响，故不考虑淋溶输出量，因此Rs=0）；</w:t>
      </w:r>
    </w:p>
    <w:p>
      <w:pPr>
        <w:ind w:firstLine="560"/>
        <w:rPr>
          <w:rFonts w:hint="eastAsia" w:ascii="宋体" w:hAnsi="宋体" w:eastAsia="宋体" w:cs="宋体"/>
          <w:lang w:eastAsia="zh-CN"/>
        </w:rPr>
      </w:pPr>
      <w:r>
        <w:rPr>
          <w:rFonts w:hint="eastAsia" w:ascii="宋体" w:hAnsi="宋体" w:eastAsia="宋体" w:cs="宋体"/>
          <w:lang w:eastAsia="zh-CN"/>
        </w:rPr>
        <w:t>ρb—表层土壤容重，kg/m</w:t>
      </w:r>
      <w:r>
        <w:rPr>
          <w:rFonts w:hint="eastAsia" w:ascii="宋体" w:hAnsi="宋体" w:eastAsia="宋体" w:cs="宋体"/>
          <w:vertAlign w:val="superscript"/>
          <w:lang w:eastAsia="zh-CN"/>
        </w:rPr>
        <w:t>3</w:t>
      </w:r>
      <w:r>
        <w:rPr>
          <w:rFonts w:hint="eastAsia" w:ascii="宋体" w:hAnsi="宋体" w:eastAsia="宋体" w:cs="宋体"/>
          <w:lang w:eastAsia="zh-CN"/>
        </w:rPr>
        <w:t>，</w:t>
      </w:r>
      <w:r>
        <w:rPr>
          <w:rFonts w:hint="eastAsia" w:ascii="宋体" w:hAnsi="宋体" w:eastAsia="宋体" w:cs="宋体"/>
          <w:lang w:val="sq-AL" w:eastAsia="zh-CN"/>
        </w:rPr>
        <w:t>根据调查结果</w:t>
      </w:r>
      <w:r>
        <w:rPr>
          <w:rFonts w:hint="eastAsia" w:ascii="宋体" w:hAnsi="宋体" w:eastAsia="宋体" w:cs="宋体"/>
          <w:lang w:eastAsia="zh-CN"/>
        </w:rPr>
        <w:t>取1540kg/m</w:t>
      </w:r>
      <w:r>
        <w:rPr>
          <w:rFonts w:hint="eastAsia" w:ascii="宋体" w:hAnsi="宋体" w:eastAsia="宋体" w:cs="宋体"/>
          <w:vertAlign w:val="superscript"/>
          <w:lang w:eastAsia="zh-CN"/>
        </w:rPr>
        <w:t>3</w:t>
      </w:r>
      <w:r>
        <w:rPr>
          <w:rFonts w:hint="eastAsia" w:ascii="宋体" w:hAnsi="宋体" w:eastAsia="宋体" w:cs="宋体"/>
          <w:lang w:eastAsia="zh-CN"/>
        </w:rPr>
        <w:t>；</w:t>
      </w:r>
    </w:p>
    <w:p>
      <w:pPr>
        <w:ind w:firstLine="560"/>
        <w:rPr>
          <w:rFonts w:hint="eastAsia" w:ascii="宋体" w:hAnsi="宋体" w:eastAsia="宋体" w:cs="宋体"/>
          <w:lang w:eastAsia="zh-CN"/>
        </w:rPr>
      </w:pPr>
      <w:r>
        <w:rPr>
          <w:rFonts w:hint="eastAsia" w:ascii="宋体" w:hAnsi="宋体" w:eastAsia="宋体" w:cs="宋体"/>
          <w:lang w:eastAsia="zh-CN"/>
        </w:rPr>
        <w:t>A—预测评价范围，m</w:t>
      </w:r>
      <w:r>
        <w:rPr>
          <w:rFonts w:hint="eastAsia" w:ascii="宋体" w:hAnsi="宋体" w:eastAsia="宋体" w:cs="宋体"/>
          <w:vertAlign w:val="superscript"/>
          <w:lang w:eastAsia="zh-CN"/>
        </w:rPr>
        <w:t>2</w:t>
      </w:r>
      <w:r>
        <w:rPr>
          <w:rFonts w:hint="eastAsia" w:ascii="宋体" w:hAnsi="宋体" w:eastAsia="宋体" w:cs="宋体"/>
          <w:lang w:eastAsia="zh-CN"/>
        </w:rPr>
        <w:t>；本次预测评价范围为7150m</w:t>
      </w:r>
      <w:r>
        <w:rPr>
          <w:rFonts w:hint="eastAsia" w:ascii="宋体" w:hAnsi="宋体" w:eastAsia="宋体" w:cs="宋体"/>
          <w:vertAlign w:val="superscript"/>
          <w:lang w:eastAsia="zh-CN"/>
        </w:rPr>
        <w:t>2</w:t>
      </w:r>
      <w:r>
        <w:rPr>
          <w:rFonts w:hint="eastAsia" w:ascii="宋体" w:hAnsi="宋体" w:eastAsia="宋体" w:cs="宋体"/>
          <w:lang w:eastAsia="zh-CN"/>
        </w:rPr>
        <w:t>。</w:t>
      </w:r>
    </w:p>
    <w:p>
      <w:pPr>
        <w:ind w:firstLine="560"/>
        <w:rPr>
          <w:rFonts w:hint="eastAsia" w:ascii="宋体" w:hAnsi="宋体" w:eastAsia="宋体" w:cs="宋体"/>
          <w:lang w:eastAsia="zh-CN"/>
        </w:rPr>
      </w:pPr>
      <w:r>
        <w:rPr>
          <w:rFonts w:hint="eastAsia" w:ascii="宋体" w:hAnsi="宋体" w:eastAsia="宋体" w:cs="宋体"/>
          <w:lang w:eastAsia="zh-CN"/>
        </w:rPr>
        <w:t>D—表层土壤深度，m，取0.2m；</w:t>
      </w:r>
    </w:p>
    <w:p>
      <w:pPr>
        <w:ind w:firstLine="560"/>
        <w:rPr>
          <w:rFonts w:hint="eastAsia" w:ascii="宋体" w:hAnsi="宋体" w:eastAsia="宋体" w:cs="宋体"/>
          <w:lang w:eastAsia="zh-CN"/>
        </w:rPr>
      </w:pPr>
      <w:r>
        <w:rPr>
          <w:rFonts w:hint="eastAsia" w:ascii="宋体" w:hAnsi="宋体" w:eastAsia="宋体" w:cs="宋体"/>
          <w:lang w:eastAsia="zh-CN"/>
        </w:rPr>
        <w:t>n—持续年份，a</w:t>
      </w:r>
      <w:r>
        <w:rPr>
          <w:rFonts w:hint="eastAsia" w:ascii="宋体" w:hAnsi="宋体" w:eastAsia="宋体" w:cs="宋体"/>
          <w:lang w:val="sq-AL" w:eastAsia="zh-CN"/>
        </w:rPr>
        <w:t>，取</w:t>
      </w:r>
      <w:r>
        <w:rPr>
          <w:rFonts w:hint="eastAsia" w:ascii="宋体" w:hAnsi="宋体" w:eastAsia="宋体" w:cs="宋体"/>
          <w:lang w:eastAsia="zh-CN"/>
        </w:rPr>
        <w:t>43</w:t>
      </w:r>
      <w:r>
        <w:rPr>
          <w:rFonts w:hint="eastAsia" w:ascii="宋体" w:hAnsi="宋体" w:eastAsia="宋体" w:cs="宋体"/>
          <w:lang w:val="sq-AL" w:eastAsia="zh-CN"/>
        </w:rPr>
        <w:t>a</w:t>
      </w:r>
      <w:r>
        <w:rPr>
          <w:rFonts w:hint="eastAsia" w:ascii="宋体" w:hAnsi="宋体" w:eastAsia="宋体" w:cs="宋体"/>
          <w:lang w:eastAsia="zh-CN"/>
        </w:rPr>
        <w:t>。</w:t>
      </w:r>
    </w:p>
    <w:p>
      <w:pPr>
        <w:pStyle w:val="2"/>
        <w:spacing w:after="0"/>
        <w:ind w:left="560" w:firstLine="0" w:firstLineChars="0"/>
        <w:rPr>
          <w:rFonts w:hint="eastAsia" w:ascii="宋体" w:hAnsi="宋体" w:eastAsia="宋体" w:cs="宋体"/>
          <w:lang w:eastAsia="zh-CN"/>
        </w:rPr>
      </w:pPr>
      <w:r>
        <w:rPr>
          <w:rFonts w:hint="eastAsia" w:ascii="宋体" w:hAnsi="宋体" w:eastAsia="宋体" w:cs="宋体"/>
          <w:lang w:eastAsia="zh-CN"/>
        </w:rPr>
        <w:t>（2）单位质量土壤中某种物质预测值</w:t>
      </w:r>
    </w:p>
    <w:p>
      <w:pPr>
        <w:ind w:left="560" w:firstLine="0" w:firstLineChars="0"/>
        <w:rPr>
          <w:rFonts w:hint="eastAsia" w:ascii="宋体" w:hAnsi="宋体" w:eastAsia="宋体" w:cs="宋体"/>
          <w:lang w:eastAsia="zh-CN"/>
        </w:rPr>
      </w:pPr>
      <w:r>
        <w:rPr>
          <w:rFonts w:hint="eastAsia" w:ascii="宋体" w:hAnsi="宋体" w:eastAsia="宋体" w:cs="宋体"/>
          <w:lang w:eastAsia="zh-CN"/>
        </w:rPr>
        <w:t>采用下列公式计算单位质量土壤中某种物质预测值：</w:t>
      </w:r>
    </w:p>
    <w:p>
      <w:pPr>
        <w:ind w:firstLine="0" w:firstLineChars="0"/>
        <w:jc w:val="center"/>
        <w:rPr>
          <w:rFonts w:hint="eastAsia" w:ascii="宋体" w:hAnsi="宋体" w:eastAsia="宋体" w:cs="宋体"/>
          <w:lang w:eastAsia="zh-CN"/>
        </w:rPr>
      </w:pPr>
      <w:r>
        <w:rPr>
          <w:rFonts w:hint="eastAsia" w:ascii="宋体" w:hAnsi="宋体" w:eastAsia="宋体" w:cs="宋体"/>
          <w:lang w:eastAsia="zh-CN"/>
        </w:rPr>
        <w:t>S=Sb+ΔS</w:t>
      </w:r>
    </w:p>
    <w:p>
      <w:pPr>
        <w:ind w:left="560" w:firstLine="0" w:firstLineChars="0"/>
        <w:rPr>
          <w:rFonts w:hint="eastAsia" w:ascii="宋体" w:hAnsi="宋体" w:eastAsia="宋体" w:cs="宋体"/>
          <w:lang w:eastAsia="zh-CN"/>
        </w:rPr>
      </w:pPr>
      <w:r>
        <w:rPr>
          <w:rFonts w:hint="eastAsia" w:ascii="宋体" w:hAnsi="宋体" w:eastAsia="宋体" w:cs="宋体"/>
          <w:lang w:eastAsia="zh-CN"/>
        </w:rPr>
        <w:t>式中：Sb—单位质量土壤中某种物质的现状值，mg/kg；</w:t>
      </w:r>
    </w:p>
    <w:p>
      <w:pPr>
        <w:ind w:left="560" w:firstLine="720" w:firstLineChars="300"/>
        <w:rPr>
          <w:rFonts w:hint="eastAsia" w:ascii="宋体" w:hAnsi="宋体" w:eastAsia="宋体" w:cs="宋体"/>
          <w:lang w:eastAsia="zh-CN"/>
        </w:rPr>
      </w:pPr>
      <w:r>
        <w:rPr>
          <w:rFonts w:hint="eastAsia" w:ascii="宋体" w:hAnsi="宋体" w:eastAsia="宋体" w:cs="宋体"/>
          <w:lang w:eastAsia="zh-CN"/>
        </w:rPr>
        <w:t>ΔS—单位质量表层土壤中某种物质的增量，mg/kg；</w:t>
      </w:r>
    </w:p>
    <w:p>
      <w:pPr>
        <w:ind w:left="560" w:firstLine="720" w:firstLineChars="300"/>
        <w:rPr>
          <w:rFonts w:hint="eastAsia" w:ascii="宋体" w:hAnsi="宋体" w:eastAsia="宋体" w:cs="宋体"/>
          <w:lang w:eastAsia="zh-CN"/>
        </w:rPr>
      </w:pPr>
      <w:r>
        <w:rPr>
          <w:rFonts w:hint="eastAsia" w:ascii="宋体" w:hAnsi="宋体" w:eastAsia="宋体" w:cs="宋体"/>
          <w:lang w:eastAsia="zh-CN"/>
        </w:rPr>
        <w:t>S—单位质量表层土壤中某种物质的预测值，mg/kg；</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根据土壤现状监测结果，</w:t>
      </w:r>
      <w:r>
        <w:rPr>
          <w:rFonts w:hint="eastAsia" w:cs="宋体"/>
          <w:lang w:eastAsia="zh-CN"/>
        </w:rPr>
        <w:t>本项目</w:t>
      </w:r>
      <w:r>
        <w:rPr>
          <w:rFonts w:hint="eastAsia" w:ascii="宋体" w:hAnsi="宋体" w:eastAsia="宋体" w:cs="宋体"/>
          <w:lang w:eastAsia="zh-CN"/>
        </w:rPr>
        <w:t>场地土壤中各污染物最大现状值为：砷3.75mg/kg、镉0.24mg/kg、汞0.034mg/kg、铜52mg/kg、铅17.8mg/kg、镍120mg/kg。</w:t>
      </w:r>
    </w:p>
    <w:p>
      <w:pPr>
        <w:ind w:firstLine="560"/>
        <w:rPr>
          <w:rFonts w:hint="eastAsia" w:ascii="宋体" w:hAnsi="宋体" w:eastAsia="宋体" w:cs="宋体"/>
          <w:lang w:eastAsia="zh-CN"/>
        </w:rPr>
      </w:pPr>
      <w:r>
        <w:rPr>
          <w:rFonts w:hint="eastAsia" w:ascii="宋体" w:hAnsi="宋体" w:eastAsia="宋体" w:cs="宋体"/>
          <w:lang w:eastAsia="zh-CN"/>
        </w:rPr>
        <w:t>经叠加计算，工业场地单位质量表层土壤中预测值铜52.4 mg/kg、铅18.9 mg/kg、镉0.61 mg/kg、汞0.035 mg/kg、镍121 mg/kg、砷3.75 mg/kg，占标率分别为0.29%、2.36%、0.93%、0.09%、13.4%、6.26 %，远小于《土壤环境质量 建设用地土壤污染风险管控标准（试行）》（GB36600-2018）中第二类用地筛选值。因此，非正常工况下，</w:t>
      </w:r>
      <w:r>
        <w:rPr>
          <w:rFonts w:hint="eastAsia" w:cs="宋体"/>
          <w:lang w:eastAsia="zh-CN"/>
        </w:rPr>
        <w:t>本项目</w:t>
      </w:r>
      <w:r>
        <w:rPr>
          <w:rFonts w:hint="eastAsia" w:ascii="宋体" w:hAnsi="宋体" w:eastAsia="宋体" w:cs="宋体"/>
          <w:lang w:eastAsia="zh-CN"/>
        </w:rPr>
        <w:t>对土壤环境质量产生的影响较小。</w:t>
      </w:r>
    </w:p>
    <w:p>
      <w:pPr>
        <w:pStyle w:val="2"/>
        <w:spacing w:line="24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表6.6.3-3 土壤环境影响预测结果（单位：mg/kg）</w:t>
      </w:r>
    </w:p>
    <w:tbl>
      <w:tblPr>
        <w:tblStyle w:val="2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078"/>
        <w:gridCol w:w="1078"/>
        <w:gridCol w:w="1616"/>
        <w:gridCol w:w="1079"/>
        <w:gridCol w:w="1787"/>
        <w:gridCol w:w="264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污染因子</w:t>
            </w:r>
          </w:p>
        </w:tc>
        <w:tc>
          <w:tcPr>
            <w:tcW w:w="101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ΔS</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Sb</w:t>
            </w:r>
          </w:p>
        </w:tc>
        <w:tc>
          <w:tcPr>
            <w:tcW w:w="110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S</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GB36600-2018 中第二类用</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地筛选值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铜</w:t>
            </w:r>
          </w:p>
        </w:tc>
        <w:tc>
          <w:tcPr>
            <w:tcW w:w="101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0.37</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52</w:t>
            </w:r>
          </w:p>
        </w:tc>
        <w:tc>
          <w:tcPr>
            <w:tcW w:w="110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52.4</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18000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铅</w:t>
            </w:r>
          </w:p>
        </w:tc>
        <w:tc>
          <w:tcPr>
            <w:tcW w:w="101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1.10</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17.8</w:t>
            </w:r>
          </w:p>
        </w:tc>
        <w:tc>
          <w:tcPr>
            <w:tcW w:w="110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18.9</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镉</w:t>
            </w:r>
          </w:p>
        </w:tc>
        <w:tc>
          <w:tcPr>
            <w:tcW w:w="101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0.37</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0.24</w:t>
            </w:r>
          </w:p>
        </w:tc>
        <w:tc>
          <w:tcPr>
            <w:tcW w:w="110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0.61</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汞</w:t>
            </w:r>
          </w:p>
        </w:tc>
        <w:tc>
          <w:tcPr>
            <w:tcW w:w="101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7.32×10</w:t>
            </w:r>
            <w:r>
              <w:rPr>
                <w:rFonts w:hint="eastAsia" w:ascii="宋体" w:hAnsi="宋体" w:eastAsia="宋体" w:cs="宋体"/>
                <w:sz w:val="21"/>
                <w:szCs w:val="21"/>
                <w:vertAlign w:val="superscript"/>
                <w:lang w:eastAsia="zh-CN"/>
              </w:rPr>
              <w:t>-4</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0.034</w:t>
            </w:r>
          </w:p>
        </w:tc>
        <w:tc>
          <w:tcPr>
            <w:tcW w:w="110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0.035</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镍</w:t>
            </w:r>
          </w:p>
        </w:tc>
        <w:tc>
          <w:tcPr>
            <w:tcW w:w="101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0.73</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120</w:t>
            </w:r>
          </w:p>
        </w:tc>
        <w:tc>
          <w:tcPr>
            <w:tcW w:w="110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121</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900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w:t>
            </w:r>
          </w:p>
        </w:tc>
        <w:tc>
          <w:tcPr>
            <w:tcW w:w="721" w:type="pct"/>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砷</w:t>
            </w:r>
          </w:p>
        </w:tc>
        <w:tc>
          <w:tcPr>
            <w:tcW w:w="101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3.66×10</w:t>
            </w:r>
            <w:r>
              <w:rPr>
                <w:rFonts w:hint="eastAsia" w:ascii="宋体" w:hAnsi="宋体" w:eastAsia="宋体" w:cs="宋体"/>
                <w:sz w:val="21"/>
                <w:szCs w:val="21"/>
                <w:vertAlign w:val="superscript"/>
                <w:lang w:eastAsia="zh-CN"/>
              </w:rPr>
              <w:t>-3</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3.75</w:t>
            </w:r>
          </w:p>
        </w:tc>
        <w:tc>
          <w:tcPr>
            <w:tcW w:w="110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3.75</w:t>
            </w:r>
          </w:p>
        </w:tc>
        <w:tc>
          <w:tcPr>
            <w:tcW w:w="721"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60</w:t>
            </w:r>
          </w:p>
        </w:tc>
      </w:tr>
    </w:tbl>
    <w:p>
      <w:pPr>
        <w:pStyle w:val="7"/>
        <w:rPr>
          <w:rFonts w:hint="eastAsia" w:ascii="宋体" w:hAnsi="宋体" w:eastAsia="宋体" w:cs="宋体"/>
          <w:lang w:eastAsia="zh-CN"/>
        </w:rPr>
      </w:pPr>
      <w:r>
        <w:rPr>
          <w:rFonts w:hint="eastAsia" w:ascii="宋体" w:hAnsi="宋体" w:eastAsia="宋体" w:cs="宋体"/>
          <w:lang w:eastAsia="zh-CN"/>
        </w:rPr>
        <w:t>6.6.4 土壤环境保护措施</w:t>
      </w:r>
    </w:p>
    <w:p>
      <w:pPr>
        <w:pStyle w:val="8"/>
        <w:rPr>
          <w:rFonts w:hint="eastAsia" w:ascii="宋体" w:hAnsi="宋体" w:eastAsia="宋体" w:cs="宋体"/>
          <w:lang w:eastAsia="zh-CN"/>
        </w:rPr>
      </w:pPr>
      <w:r>
        <w:rPr>
          <w:rFonts w:hint="eastAsia" w:ascii="宋体" w:hAnsi="宋体" w:eastAsia="宋体" w:cs="宋体"/>
          <w:lang w:eastAsia="zh-CN"/>
        </w:rPr>
        <w:t>6.6.4.1 建设阶段</w:t>
      </w:r>
    </w:p>
    <w:p>
      <w:pPr>
        <w:ind w:firstLine="560"/>
        <w:rPr>
          <w:rFonts w:hint="eastAsia" w:ascii="宋体" w:hAnsi="宋体" w:eastAsia="宋体" w:cs="宋体"/>
          <w:lang w:eastAsia="zh-CN"/>
        </w:rPr>
      </w:pPr>
      <w:r>
        <w:rPr>
          <w:rFonts w:hint="eastAsia" w:ascii="宋体" w:hAnsi="宋体" w:eastAsia="宋体" w:cs="宋体"/>
          <w:lang w:eastAsia="zh-CN"/>
        </w:rPr>
        <w:t>挖掘地基、土地平整等将导致泥土裸露、原材物料的大量堆存、施工区内车辆运输等环节引起的道路扬尘等均会造成地面扬尘造成大气沉降。</w:t>
      </w:r>
      <w:r>
        <w:rPr>
          <w:rFonts w:hint="eastAsia" w:cs="宋体"/>
          <w:lang w:eastAsia="zh-CN"/>
        </w:rPr>
        <w:t>本项目</w:t>
      </w:r>
      <w:r>
        <w:rPr>
          <w:rFonts w:hint="eastAsia" w:ascii="宋体" w:hAnsi="宋体" w:eastAsia="宋体" w:cs="宋体"/>
          <w:lang w:eastAsia="zh-CN"/>
        </w:rPr>
        <w:t>将会采取以下措施减少污染：</w:t>
      </w:r>
    </w:p>
    <w:p>
      <w:pPr>
        <w:ind w:firstLine="560"/>
        <w:rPr>
          <w:rFonts w:hint="eastAsia" w:ascii="宋体" w:hAnsi="宋体" w:eastAsia="宋体" w:cs="宋体"/>
          <w:lang w:eastAsia="zh-CN"/>
        </w:rPr>
      </w:pPr>
      <w:r>
        <w:rPr>
          <w:rFonts w:hint="eastAsia" w:ascii="宋体" w:hAnsi="宋体" w:eastAsia="宋体" w:cs="宋体"/>
          <w:lang w:eastAsia="zh-CN"/>
        </w:rPr>
        <w:t>(1)施工场地每天定时洒水，防止浮尘产生，在大风日加大洒水量及洒水次数。</w:t>
      </w:r>
    </w:p>
    <w:p>
      <w:pPr>
        <w:ind w:firstLine="560"/>
        <w:rPr>
          <w:rFonts w:hint="eastAsia" w:ascii="宋体" w:hAnsi="宋体" w:eastAsia="宋体" w:cs="宋体"/>
          <w:lang w:eastAsia="zh-CN"/>
        </w:rPr>
      </w:pPr>
      <w:r>
        <w:rPr>
          <w:rFonts w:hint="eastAsia" w:ascii="宋体" w:hAnsi="宋体" w:eastAsia="宋体" w:cs="宋体"/>
          <w:lang w:eastAsia="zh-CN"/>
        </w:rPr>
        <w:t>(2)施工场地内运输通道及时清扫、冲洗，以减少汽车行驶扬尘。</w:t>
      </w:r>
    </w:p>
    <w:p>
      <w:pPr>
        <w:ind w:firstLine="560"/>
        <w:rPr>
          <w:rFonts w:hint="eastAsia" w:ascii="宋体" w:hAnsi="宋体" w:eastAsia="宋体" w:cs="宋体"/>
          <w:lang w:eastAsia="zh-CN"/>
        </w:rPr>
      </w:pPr>
      <w:r>
        <w:rPr>
          <w:rFonts w:hint="eastAsia" w:ascii="宋体" w:hAnsi="宋体" w:eastAsia="宋体" w:cs="宋体"/>
          <w:lang w:eastAsia="zh-CN"/>
        </w:rPr>
        <w:t>(3)运输车辆进入施工场地应低速行驶，或限速行驶，减少扬尘产生量。</w:t>
      </w:r>
    </w:p>
    <w:p>
      <w:pPr>
        <w:ind w:firstLine="560"/>
        <w:rPr>
          <w:rFonts w:hint="eastAsia" w:ascii="宋体" w:hAnsi="宋体" w:eastAsia="宋体" w:cs="宋体"/>
          <w:lang w:eastAsia="zh-CN"/>
        </w:rPr>
      </w:pPr>
      <w:r>
        <w:rPr>
          <w:rFonts w:hint="eastAsia" w:ascii="宋体" w:hAnsi="宋体" w:eastAsia="宋体" w:cs="宋体"/>
          <w:lang w:eastAsia="zh-CN"/>
        </w:rPr>
        <w:t>(4)施工渣土外运车辆应加盖蓬布，减少沿路遗洒。</w:t>
      </w:r>
    </w:p>
    <w:p>
      <w:pPr>
        <w:ind w:firstLine="560"/>
        <w:rPr>
          <w:rFonts w:hint="eastAsia" w:ascii="宋体" w:hAnsi="宋体" w:eastAsia="宋体" w:cs="宋体"/>
          <w:lang w:eastAsia="zh-CN"/>
        </w:rPr>
      </w:pPr>
      <w:r>
        <w:rPr>
          <w:rFonts w:hint="eastAsia" w:ascii="宋体" w:hAnsi="宋体" w:eastAsia="宋体" w:cs="宋体"/>
          <w:lang w:eastAsia="zh-CN"/>
        </w:rPr>
        <w:t>(5)起尘原材料的露天堆放要搭盖防尘布。</w:t>
      </w:r>
    </w:p>
    <w:p>
      <w:pPr>
        <w:ind w:firstLine="560"/>
        <w:rPr>
          <w:rFonts w:hint="eastAsia" w:ascii="宋体" w:hAnsi="宋体" w:eastAsia="宋体" w:cs="宋体"/>
          <w:lang w:eastAsia="zh-CN"/>
        </w:rPr>
      </w:pPr>
      <w:r>
        <w:rPr>
          <w:rFonts w:hint="eastAsia" w:ascii="宋体" w:hAnsi="宋体" w:eastAsia="宋体" w:cs="宋体"/>
          <w:lang w:eastAsia="zh-CN"/>
        </w:rPr>
        <w:t>(6)所有来往施工场地的多尘物料应用帆布覆盖。</w:t>
      </w:r>
    </w:p>
    <w:p>
      <w:pPr>
        <w:ind w:firstLine="560"/>
        <w:rPr>
          <w:rFonts w:hint="eastAsia" w:ascii="宋体" w:hAnsi="宋体" w:eastAsia="宋体" w:cs="宋体"/>
          <w:lang w:eastAsia="zh-CN"/>
        </w:rPr>
      </w:pPr>
      <w:r>
        <w:rPr>
          <w:rFonts w:hint="eastAsia" w:ascii="宋体" w:hAnsi="宋体" w:eastAsia="宋体" w:cs="宋体"/>
          <w:lang w:eastAsia="zh-CN"/>
        </w:rPr>
        <w:t>(7)施工过程中，应采用商品混凝土和水泥预制件，尽量少用干水泥。</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工程建设阶段不涉及地面漫流以及垂直入渗污染源，故采取上述措施后会有效控制大气沉降所带来的土壤环境风险。</w:t>
      </w:r>
    </w:p>
    <w:p>
      <w:pPr>
        <w:pStyle w:val="8"/>
        <w:rPr>
          <w:rFonts w:hint="eastAsia" w:ascii="宋体" w:hAnsi="宋体" w:eastAsia="宋体" w:cs="宋体"/>
          <w:lang w:eastAsia="zh-CN"/>
        </w:rPr>
      </w:pPr>
      <w:r>
        <w:rPr>
          <w:rFonts w:hint="eastAsia" w:ascii="宋体" w:hAnsi="宋体" w:eastAsia="宋体" w:cs="宋体"/>
          <w:lang w:eastAsia="zh-CN"/>
        </w:rPr>
        <w:t>6.6.4.2 生产运行阶段</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工程生产运行阶段将会采取以下措施减少对土壤环境污染：</w:t>
      </w:r>
    </w:p>
    <w:p>
      <w:pPr>
        <w:ind w:firstLine="560"/>
        <w:rPr>
          <w:rFonts w:hint="eastAsia" w:ascii="宋体" w:hAnsi="宋体" w:eastAsia="宋体" w:cs="宋体"/>
          <w:lang w:eastAsia="zh-CN"/>
        </w:rPr>
      </w:pPr>
      <w:r>
        <w:rPr>
          <w:rFonts w:hint="eastAsia" w:ascii="宋体" w:hAnsi="宋体" w:eastAsia="宋体" w:cs="宋体"/>
          <w:lang w:eastAsia="zh-CN"/>
        </w:rPr>
        <w:t>(1)工程运营期产生的地下涌水全部回用至选矿生产过程中；</w:t>
      </w:r>
    </w:p>
    <w:p>
      <w:pPr>
        <w:ind w:firstLine="560"/>
        <w:rPr>
          <w:rFonts w:hint="eastAsia" w:ascii="宋体" w:hAnsi="宋体" w:eastAsia="宋体" w:cs="宋体"/>
          <w:lang w:eastAsia="zh-CN"/>
        </w:rPr>
      </w:pPr>
      <w:r>
        <w:rPr>
          <w:rFonts w:hint="eastAsia" w:ascii="宋体" w:hAnsi="宋体" w:eastAsia="宋体" w:cs="宋体"/>
          <w:lang w:eastAsia="zh-CN"/>
        </w:rPr>
        <w:t>(2)在采矿过程中，采用湿式作业，降低粉尘的产生量；</w:t>
      </w:r>
    </w:p>
    <w:p>
      <w:pPr>
        <w:ind w:firstLine="560"/>
        <w:rPr>
          <w:rFonts w:hint="eastAsia" w:ascii="宋体" w:hAnsi="宋体" w:eastAsia="宋体" w:cs="宋体"/>
          <w:lang w:eastAsia="zh-CN"/>
        </w:rPr>
      </w:pPr>
      <w:r>
        <w:rPr>
          <w:rFonts w:hint="eastAsia" w:ascii="宋体" w:hAnsi="宋体" w:eastAsia="宋体" w:cs="宋体"/>
          <w:lang w:eastAsia="zh-CN"/>
        </w:rPr>
        <w:t>(3)工业场地内采取绿化措施，种植具有较强吸附能力的植物为主；</w:t>
      </w:r>
    </w:p>
    <w:p>
      <w:pPr>
        <w:ind w:firstLine="560"/>
        <w:rPr>
          <w:rFonts w:hint="eastAsia" w:ascii="宋体" w:hAnsi="宋体" w:eastAsia="宋体" w:cs="宋体"/>
          <w:lang w:eastAsia="zh-CN"/>
        </w:rPr>
      </w:pPr>
      <w:r>
        <w:rPr>
          <w:rFonts w:hint="eastAsia" w:ascii="宋体" w:hAnsi="宋体" w:eastAsia="宋体" w:cs="宋体"/>
          <w:lang w:eastAsia="zh-CN"/>
        </w:rPr>
        <w:t>(4)尾矿、废石临时堆场采用封闭式或半封闭式措施，及时进行苫盖及洒水等；</w:t>
      </w:r>
    </w:p>
    <w:p>
      <w:pPr>
        <w:ind w:firstLine="560"/>
        <w:rPr>
          <w:rFonts w:hint="eastAsia" w:ascii="宋体" w:hAnsi="宋体" w:eastAsia="宋体" w:cs="宋体"/>
          <w:lang w:eastAsia="zh-CN"/>
        </w:rPr>
      </w:pPr>
      <w:r>
        <w:rPr>
          <w:rFonts w:hint="eastAsia" w:ascii="宋体" w:hAnsi="宋体" w:eastAsia="宋体" w:cs="宋体"/>
          <w:lang w:eastAsia="zh-CN"/>
        </w:rPr>
        <w:t>(5)按设计对厂区进行分区防渗，同时布设监控井，定期对地下水进行监测，降低了防渗工程损坏事故排放的风险，减小了事故排放对土壤的影响。</w:t>
      </w:r>
    </w:p>
    <w:p>
      <w:pPr>
        <w:pStyle w:val="7"/>
        <w:rPr>
          <w:rFonts w:hint="eastAsia" w:ascii="宋体" w:hAnsi="宋体" w:eastAsia="宋体" w:cs="宋体"/>
          <w:lang w:eastAsia="zh-CN"/>
        </w:rPr>
      </w:pPr>
      <w:r>
        <w:rPr>
          <w:rFonts w:hint="eastAsia" w:ascii="宋体" w:hAnsi="宋体" w:eastAsia="宋体" w:cs="宋体"/>
          <w:lang w:eastAsia="zh-CN"/>
        </w:rPr>
        <w:t>6.6.5 小结</w:t>
      </w:r>
    </w:p>
    <w:p>
      <w:pPr>
        <w:ind w:firstLine="560"/>
        <w:rPr>
          <w:rFonts w:hint="eastAsia" w:ascii="宋体" w:hAnsi="宋体" w:eastAsia="宋体" w:cs="宋体"/>
          <w:lang w:val="sq-AL" w:eastAsia="zh-CN"/>
        </w:rPr>
      </w:pPr>
      <w:r>
        <w:rPr>
          <w:rFonts w:hint="eastAsia" w:ascii="宋体" w:hAnsi="宋体" w:eastAsia="宋体" w:cs="宋体"/>
          <w:lang w:val="sq-AL" w:eastAsia="zh-CN"/>
        </w:rPr>
        <w:t>项目区及周边区域目前土壤环境质量较好。通过预测评价，</w:t>
      </w:r>
      <w:r>
        <w:rPr>
          <w:rFonts w:hint="eastAsia" w:cs="宋体"/>
          <w:lang w:val="sq-AL" w:eastAsia="zh-CN"/>
        </w:rPr>
        <w:t>本项目</w:t>
      </w:r>
      <w:r>
        <w:rPr>
          <w:rFonts w:hint="eastAsia" w:ascii="宋体" w:hAnsi="宋体" w:eastAsia="宋体" w:cs="宋体"/>
          <w:lang w:val="sq-AL" w:eastAsia="zh-CN"/>
        </w:rPr>
        <w:t>运行期对周边土壤环境影响较小，</w:t>
      </w:r>
      <w:r>
        <w:rPr>
          <w:rFonts w:hint="eastAsia" w:cs="宋体"/>
          <w:lang w:val="sq-AL" w:eastAsia="zh-CN"/>
        </w:rPr>
        <w:t>本项目</w:t>
      </w:r>
      <w:r>
        <w:rPr>
          <w:rFonts w:hint="eastAsia" w:ascii="宋体" w:hAnsi="宋体" w:eastAsia="宋体" w:cs="宋体"/>
          <w:lang w:val="sq-AL" w:eastAsia="zh-CN"/>
        </w:rPr>
        <w:t>采取了相应的土壤防控措施。在落实好土壤防控措施的情况下，项目土壤环境影响可控，从土壤环境影响的角度，项目建设可行。</w:t>
      </w:r>
    </w:p>
    <w:p>
      <w:pPr>
        <w:ind w:firstLine="560"/>
        <w:rPr>
          <w:rFonts w:hint="eastAsia" w:ascii="宋体" w:hAnsi="宋体" w:eastAsia="宋体" w:cs="宋体"/>
          <w:lang w:val="sq-AL" w:eastAsia="zh-CN"/>
        </w:rPr>
      </w:pPr>
      <w:r>
        <w:rPr>
          <w:rFonts w:hint="eastAsia" w:ascii="宋体" w:hAnsi="宋体" w:eastAsia="宋体" w:cs="宋体"/>
          <w:lang w:val="sq-AL" w:eastAsia="zh-CN"/>
        </w:rPr>
        <w:t>项目土壤环境影响评价自查表见表6.</w:t>
      </w:r>
      <w:r>
        <w:rPr>
          <w:rFonts w:hint="eastAsia" w:ascii="宋体" w:hAnsi="宋体" w:eastAsia="宋体" w:cs="宋体"/>
          <w:lang w:eastAsia="zh-CN"/>
        </w:rPr>
        <w:t>6.5</w:t>
      </w:r>
      <w:r>
        <w:rPr>
          <w:rFonts w:hint="eastAsia" w:ascii="宋体" w:hAnsi="宋体" w:eastAsia="宋体" w:cs="宋体"/>
          <w:lang w:val="sq-AL" w:eastAsia="zh-CN"/>
        </w:rPr>
        <w:t>-</w:t>
      </w:r>
      <w:r>
        <w:rPr>
          <w:rFonts w:hint="eastAsia" w:ascii="宋体" w:hAnsi="宋体" w:eastAsia="宋体" w:cs="宋体"/>
          <w:lang w:eastAsia="zh-CN"/>
        </w:rPr>
        <w:t>1</w:t>
      </w:r>
      <w:r>
        <w:rPr>
          <w:rFonts w:hint="eastAsia" w:ascii="宋体" w:hAnsi="宋体" w:eastAsia="宋体" w:cs="宋体"/>
          <w:lang w:val="sq-AL" w:eastAsia="zh-CN"/>
        </w:rPr>
        <w:t>。</w:t>
      </w:r>
    </w:p>
    <w:p>
      <w:pPr>
        <w:spacing w:line="360" w:lineRule="auto"/>
        <w:ind w:firstLine="0" w:firstLineChars="0"/>
        <w:contextualSpacing/>
        <w:jc w:val="center"/>
        <w:textAlignment w:val="baseline"/>
        <w:rPr>
          <w:rFonts w:hint="eastAsia" w:ascii="宋体" w:hAnsi="宋体" w:eastAsia="宋体" w:cs="宋体"/>
          <w:b/>
          <w:bCs/>
          <w:sz w:val="24"/>
          <w:lang w:eastAsia="zh-CN"/>
        </w:rPr>
      </w:pPr>
      <w:r>
        <w:rPr>
          <w:rFonts w:hint="eastAsia" w:ascii="宋体" w:hAnsi="宋体" w:eastAsia="宋体" w:cs="宋体"/>
          <w:b/>
          <w:bCs/>
          <w:sz w:val="24"/>
          <w:lang w:eastAsia="zh-CN"/>
        </w:rPr>
        <w:t>表6.6.5-1 厂区土壤环境影响评价自查表</w:t>
      </w:r>
    </w:p>
    <w:tbl>
      <w:tblPr>
        <w:tblStyle w:val="24"/>
        <w:tblW w:w="5048"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0" w:type="dxa"/>
          <w:bottom w:w="0" w:type="dxa"/>
          <w:right w:w="0" w:type="dxa"/>
        </w:tblCellMar>
      </w:tblPr>
      <w:tblGrid>
        <w:gridCol w:w="406"/>
        <w:gridCol w:w="1672"/>
        <w:gridCol w:w="1400"/>
        <w:gridCol w:w="665"/>
        <w:gridCol w:w="849"/>
        <w:gridCol w:w="1612"/>
        <w:gridCol w:w="1441"/>
        <w:gridCol w:w="1144"/>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131" w:type="pct"/>
            <w:gridSpan w:val="2"/>
            <w:tcBorders>
              <w:top w:val="single" w:color="000000" w:sz="12" w:space="0"/>
              <w:left w:val="single" w:color="000000" w:sz="12"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工作内容</w:t>
            </w:r>
          </w:p>
        </w:tc>
        <w:tc>
          <w:tcPr>
            <w:tcW w:w="3247" w:type="pct"/>
            <w:gridSpan w:val="5"/>
            <w:tcBorders>
              <w:top w:val="single" w:color="000000" w:sz="12"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完成情况</w:t>
            </w:r>
          </w:p>
        </w:tc>
        <w:tc>
          <w:tcPr>
            <w:tcW w:w="621" w:type="pct"/>
            <w:tcBorders>
              <w:top w:val="single" w:color="000000" w:sz="12"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221" w:type="pct"/>
            <w:vMerge w:val="restart"/>
            <w:tcBorders>
              <w:top w:val="single" w:color="000000" w:sz="6" w:space="0"/>
              <w:left w:val="single" w:color="000000" w:sz="12"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影响识别</w:t>
            </w: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影响类型</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污染影响型√；生态影响型□；两种兼有□</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土地利用类型</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建设用地√；农用地□；未利用地√</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占地规模</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tabs>
                <w:tab w:val="left" w:pos="1370"/>
              </w:tabs>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1.99hm</w:t>
            </w:r>
            <w:r>
              <w:rPr>
                <w:rFonts w:hint="eastAsia" w:ascii="宋体" w:hAnsi="宋体" w:eastAsia="宋体" w:cs="宋体"/>
                <w:kern w:val="2"/>
                <w:sz w:val="21"/>
                <w:szCs w:val="21"/>
                <w:vertAlign w:val="superscript"/>
                <w:lang w:eastAsia="zh-CN"/>
              </w:rPr>
              <w:t>2</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敏感目标信息</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tabs>
                <w:tab w:val="left" w:pos="1639"/>
                <w:tab w:val="left" w:pos="3530"/>
              </w:tabs>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敏感目标（无）、方位（-）、距离（</w:t>
            </w:r>
            <w:r>
              <w:rPr>
                <w:rFonts w:hint="eastAsia" w:ascii="宋体" w:hAnsi="宋体" w:eastAsia="宋体" w:cs="宋体"/>
                <w:kern w:val="2"/>
                <w:sz w:val="21"/>
                <w:szCs w:val="21"/>
                <w:lang w:eastAsia="zh-CN" w:bidi="en-US"/>
              </w:rPr>
              <w:t>-</w:t>
            </w:r>
            <w:r>
              <w:rPr>
                <w:rFonts w:hint="eastAsia" w:ascii="宋体" w:hAnsi="宋体" w:eastAsia="宋体" w:cs="宋体"/>
                <w:kern w:val="2"/>
                <w:sz w:val="21"/>
                <w:szCs w:val="21"/>
                <w:lang w:eastAsia="zh-CN"/>
              </w:rPr>
              <w:t>）</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影响途径</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大气沉降√；地面漫流√；垂直入渗√；地下水位□；其他（）</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全部污染物</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重金属</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特征因子</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砷、镉、铜、铅、汞、镍</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所属土壤环境影响评价项目类别</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Ⅰ类√；Ⅱ类□；Ⅲ类□；Ⅳ类□</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敏感程度</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 xml:space="preserve">敏感√；较敏感□；不敏感□ </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131" w:type="pct"/>
            <w:gridSpan w:val="2"/>
            <w:tcBorders>
              <w:top w:val="single" w:color="000000" w:sz="6" w:space="0"/>
              <w:left w:val="single" w:color="000000" w:sz="12"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评价工作等级</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一级□；二级√；三级□</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221" w:type="pct"/>
            <w:vMerge w:val="restart"/>
            <w:tcBorders>
              <w:top w:val="single" w:color="000000" w:sz="6" w:space="0"/>
              <w:left w:val="single" w:color="000000" w:sz="12"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现状调查内容</w:t>
            </w: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资料收集</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a）√；b）√；c）√；d）√</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理化特性</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土壤pH、阳离子交换量、氧化还原电位、饱和导水率、土壤容重、孔隙度和土壤颜色、结构、质地、砂砾含量等</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同附录 C</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909" w:type="pct"/>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现状监测点位</w:t>
            </w:r>
          </w:p>
        </w:tc>
        <w:tc>
          <w:tcPr>
            <w:tcW w:w="76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p>
        </w:tc>
        <w:tc>
          <w:tcPr>
            <w:tcW w:w="82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占地范围内</w:t>
            </w:r>
          </w:p>
        </w:tc>
        <w:tc>
          <w:tcPr>
            <w:tcW w:w="87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占地范围外</w:t>
            </w:r>
          </w:p>
        </w:tc>
        <w:tc>
          <w:tcPr>
            <w:tcW w:w="78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深度</w:t>
            </w:r>
          </w:p>
        </w:tc>
        <w:tc>
          <w:tcPr>
            <w:tcW w:w="621" w:type="pct"/>
            <w:vMerge w:val="restar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点位布置图</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76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表层样点数</w:t>
            </w:r>
          </w:p>
        </w:tc>
        <w:tc>
          <w:tcPr>
            <w:tcW w:w="82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5</w:t>
            </w:r>
          </w:p>
        </w:tc>
        <w:tc>
          <w:tcPr>
            <w:tcW w:w="87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5</w:t>
            </w:r>
          </w:p>
        </w:tc>
        <w:tc>
          <w:tcPr>
            <w:tcW w:w="78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0~0.2</w:t>
            </w:r>
          </w:p>
        </w:tc>
        <w:tc>
          <w:tcPr>
            <w:tcW w:w="0" w:type="auto"/>
            <w:vMerge w:val="continue"/>
            <w:tcBorders>
              <w:top w:val="single" w:color="000000" w:sz="6" w:space="0"/>
              <w:left w:val="single" w:color="000000" w:sz="6" w:space="0"/>
              <w:bottom w:val="single" w:color="000000" w:sz="6" w:space="0"/>
              <w:right w:val="single" w:color="000000"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762"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柱状样点数</w:t>
            </w:r>
          </w:p>
        </w:tc>
        <w:tc>
          <w:tcPr>
            <w:tcW w:w="82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5</w:t>
            </w:r>
          </w:p>
        </w:tc>
        <w:tc>
          <w:tcPr>
            <w:tcW w:w="877"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0</w:t>
            </w:r>
          </w:p>
        </w:tc>
        <w:tc>
          <w:tcPr>
            <w:tcW w:w="78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0~3</w:t>
            </w:r>
          </w:p>
        </w:tc>
        <w:tc>
          <w:tcPr>
            <w:tcW w:w="0" w:type="auto"/>
            <w:vMerge w:val="continue"/>
            <w:tcBorders>
              <w:top w:val="single" w:color="000000" w:sz="6" w:space="0"/>
              <w:left w:val="single" w:color="000000" w:sz="6" w:space="0"/>
              <w:bottom w:val="single" w:color="000000" w:sz="6" w:space="0"/>
              <w:right w:val="single" w:color="000000"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现状监测因子</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pH值、全盐量；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荧蒽、苯并[k]荧蒽、䓛、二苯并[a,h]蒽、茚并[1,2,3-cd]芘、萘；铁、铝、钙、镁、锰、锌、钛、银、铬、钴、水溶性氟化物、总氟化物、总氰化物</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221" w:type="pct"/>
            <w:vMerge w:val="restart"/>
            <w:tcBorders>
              <w:top w:val="single" w:color="000000" w:sz="6" w:space="0"/>
              <w:left w:val="single" w:color="000000" w:sz="12"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现状评价</w:t>
            </w: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评价因子</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同现状监测因子</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评价标准</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GB 15618□；GB 36600√；表D.1□；表 D.2□；其他（</w:t>
            </w:r>
            <w:r>
              <w:rPr>
                <w:rFonts w:hint="eastAsia" w:ascii="宋体" w:hAnsi="宋体" w:eastAsia="宋体" w:cs="宋体"/>
                <w:kern w:val="2"/>
                <w:sz w:val="21"/>
                <w:szCs w:val="21"/>
                <w:lang w:eastAsia="zh-CN" w:bidi="en-US"/>
              </w:rPr>
              <w:t xml:space="preserve"> </w:t>
            </w:r>
            <w:r>
              <w:rPr>
                <w:rFonts w:hint="eastAsia" w:ascii="宋体" w:hAnsi="宋体" w:eastAsia="宋体" w:cs="宋体"/>
                <w:kern w:val="2"/>
                <w:sz w:val="21"/>
                <w:szCs w:val="21"/>
                <w:lang w:eastAsia="zh-CN"/>
              </w:rPr>
              <w:t>）</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现状评价结论</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bCs/>
                <w:kern w:val="2"/>
                <w:sz w:val="21"/>
                <w:szCs w:val="21"/>
                <w:lang w:eastAsia="zh-CN" w:bidi="en-US"/>
              </w:rPr>
              <w:t>厂内及区域土壤环境满足《土壤环境质量 建设用地土壤污染风险管控标准（试行）》(GB36600-2018)</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221" w:type="pct"/>
            <w:vMerge w:val="restart"/>
            <w:tcBorders>
              <w:top w:val="single" w:color="000000" w:sz="6" w:space="0"/>
              <w:left w:val="single" w:color="000000" w:sz="12"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影响预测</w:t>
            </w: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预测因子</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砷、镉、铜、铅、汞、镍</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预测方法</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tabs>
                <w:tab w:val="left" w:pos="2930"/>
              </w:tabs>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附录E√；附录F□；其他（  ）</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预测分析内容</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tabs>
                <w:tab w:val="left" w:pos="1639"/>
              </w:tabs>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影响范围（厂区周边1km范围）</w:t>
            </w:r>
          </w:p>
          <w:p>
            <w:pPr>
              <w:keepNext w:val="0"/>
              <w:keepLines w:val="0"/>
              <w:suppressLineNumbers w:val="0"/>
              <w:tabs>
                <w:tab w:val="left" w:pos="1639"/>
              </w:tabs>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影响程度（</w:t>
            </w:r>
            <w:r>
              <w:rPr>
                <w:rFonts w:hint="eastAsia" w:ascii="宋体" w:hAnsi="宋体" w:eastAsia="宋体" w:cs="宋体"/>
                <w:sz w:val="21"/>
                <w:szCs w:val="21"/>
                <w:lang w:eastAsia="zh-CN"/>
              </w:rPr>
              <w:t>对土壤环境影响较小</w:t>
            </w:r>
            <w:r>
              <w:rPr>
                <w:rFonts w:hint="eastAsia" w:ascii="宋体" w:hAnsi="宋体" w:eastAsia="宋体" w:cs="宋体"/>
                <w:kern w:val="2"/>
                <w:sz w:val="21"/>
                <w:szCs w:val="21"/>
                <w:lang w:eastAsia="zh-CN"/>
              </w:rPr>
              <w:t>）</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预测结论</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达标结论：a）√；b）□；c）□</w:t>
            </w:r>
          </w:p>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不达标结论：a）□；b）□</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221" w:type="pct"/>
            <w:vMerge w:val="restart"/>
            <w:tcBorders>
              <w:top w:val="single" w:color="000000" w:sz="6" w:space="0"/>
              <w:left w:val="single" w:color="000000" w:sz="12"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防治措施</w:t>
            </w: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防控措施</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土壤环境质量现状保障□；源头控制√；过程防控√；其他（</w:t>
            </w:r>
            <w:r>
              <w:rPr>
                <w:rFonts w:hint="eastAsia" w:ascii="宋体" w:hAnsi="宋体" w:eastAsia="宋体" w:cs="宋体"/>
                <w:kern w:val="2"/>
                <w:sz w:val="21"/>
                <w:szCs w:val="21"/>
                <w:lang w:eastAsia="zh-CN" w:bidi="en-US"/>
              </w:rPr>
              <w:t xml:space="preserve"> </w:t>
            </w:r>
            <w:r>
              <w:rPr>
                <w:rFonts w:hint="eastAsia" w:ascii="宋体" w:hAnsi="宋体" w:eastAsia="宋体" w:cs="宋体"/>
                <w:kern w:val="2"/>
                <w:sz w:val="21"/>
                <w:szCs w:val="21"/>
                <w:lang w:eastAsia="zh-CN"/>
              </w:rPr>
              <w:t>）</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p>
        </w:tc>
        <w:tc>
          <w:tcPr>
            <w:tcW w:w="909" w:type="pct"/>
            <w:vMerge w:val="restar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跟踪监测</w:t>
            </w:r>
          </w:p>
        </w:tc>
        <w:tc>
          <w:tcPr>
            <w:tcW w:w="112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监测点数</w:t>
            </w:r>
          </w:p>
        </w:tc>
        <w:tc>
          <w:tcPr>
            <w:tcW w:w="133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监测指标</w:t>
            </w:r>
          </w:p>
        </w:tc>
        <w:tc>
          <w:tcPr>
            <w:tcW w:w="78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监测频次</w:t>
            </w:r>
          </w:p>
        </w:tc>
        <w:tc>
          <w:tcPr>
            <w:tcW w:w="621" w:type="pct"/>
            <w:vMerge w:val="restar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0" w:type="auto"/>
            <w:vMerge w:val="continue"/>
            <w:tcBorders>
              <w:top w:val="single" w:color="000000" w:sz="6" w:space="0"/>
              <w:left w:val="single" w:color="000000" w:sz="6"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1124"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1</w:t>
            </w:r>
          </w:p>
        </w:tc>
        <w:tc>
          <w:tcPr>
            <w:tcW w:w="1338" w:type="pct"/>
            <w:gridSpan w:val="2"/>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砷、镉、铜、铅、汞、镍</w:t>
            </w:r>
          </w:p>
        </w:tc>
        <w:tc>
          <w:tcPr>
            <w:tcW w:w="783"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每5年1次</w:t>
            </w:r>
          </w:p>
        </w:tc>
        <w:tc>
          <w:tcPr>
            <w:tcW w:w="0" w:type="auto"/>
            <w:vMerge w:val="continue"/>
            <w:tcBorders>
              <w:top w:val="single" w:color="000000" w:sz="6" w:space="0"/>
              <w:left w:val="single" w:color="000000" w:sz="6" w:space="0"/>
              <w:bottom w:val="single" w:color="000000" w:sz="6" w:space="0"/>
              <w:right w:val="single" w:color="000000"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0" w:type="auto"/>
            <w:vMerge w:val="continue"/>
            <w:tcBorders>
              <w:top w:val="single" w:color="000000" w:sz="6" w:space="0"/>
              <w:left w:val="single" w:color="000000" w:sz="12" w:space="0"/>
              <w:bottom w:val="single" w:color="000000" w:sz="6" w:space="0"/>
              <w:right w:val="single" w:color="000000" w:sz="6"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c>
          <w:tcPr>
            <w:tcW w:w="909" w:type="pct"/>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信息公开指标</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p>
        </w:tc>
        <w:tc>
          <w:tcPr>
            <w:tcW w:w="0" w:type="auto"/>
            <w:vMerge w:val="continue"/>
            <w:tcBorders>
              <w:top w:val="single" w:color="000000" w:sz="6" w:space="0"/>
              <w:left w:val="single" w:color="000000" w:sz="6" w:space="0"/>
              <w:bottom w:val="single" w:color="000000" w:sz="6" w:space="0"/>
              <w:right w:val="single" w:color="000000" w:sz="12" w:space="0"/>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1131" w:type="pct"/>
            <w:gridSpan w:val="2"/>
            <w:tcBorders>
              <w:top w:val="single" w:color="000000" w:sz="6" w:space="0"/>
              <w:left w:val="single" w:color="000000" w:sz="12"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bidi="en-US"/>
              </w:rPr>
            </w:pPr>
            <w:r>
              <w:rPr>
                <w:rFonts w:hint="eastAsia" w:ascii="宋体" w:hAnsi="宋体" w:eastAsia="宋体" w:cs="宋体"/>
                <w:kern w:val="2"/>
                <w:sz w:val="21"/>
                <w:szCs w:val="21"/>
                <w:lang w:eastAsia="zh-CN"/>
              </w:rPr>
              <w:t>评价结论</w:t>
            </w:r>
          </w:p>
        </w:tc>
        <w:tc>
          <w:tcPr>
            <w:tcW w:w="3247" w:type="pct"/>
            <w:gridSpan w:val="5"/>
            <w:tcBorders>
              <w:top w:val="single" w:color="000000" w:sz="6" w:space="0"/>
              <w:left w:val="single" w:color="000000" w:sz="6" w:space="0"/>
              <w:bottom w:val="single" w:color="000000" w:sz="6" w:space="0"/>
              <w:right w:val="single" w:color="000000" w:sz="6"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bidi="en-US"/>
              </w:rPr>
              <w:t>项目土壤环境影响可控，从土壤环境影响角度，项目建设可行</w:t>
            </w:r>
          </w:p>
        </w:tc>
        <w:tc>
          <w:tcPr>
            <w:tcW w:w="621" w:type="pct"/>
            <w:tcBorders>
              <w:top w:val="single" w:color="000000" w:sz="6" w:space="0"/>
              <w:left w:val="single" w:color="000000" w:sz="6" w:space="0"/>
              <w:bottom w:val="single" w:color="000000" w:sz="6"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bidi="en-US"/>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283" w:hRule="atLeast"/>
          <w:jc w:val="center"/>
        </w:trPr>
        <w:tc>
          <w:tcPr>
            <w:tcW w:w="5000" w:type="pct"/>
            <w:gridSpan w:val="8"/>
            <w:tcBorders>
              <w:top w:val="single" w:color="000000" w:sz="6" w:space="0"/>
              <w:left w:val="single" w:color="000000" w:sz="12" w:space="0"/>
              <w:bottom w:val="single" w:color="000000" w:sz="12" w:space="0"/>
              <w:right w:val="single" w:color="000000" w:sz="12" w:space="0"/>
            </w:tcBorders>
            <w:vAlign w:val="center"/>
          </w:tcPr>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注 1：“□”为勾选项，可√；“（ ）”为内容填写项；“备注”为其他补充内容。</w:t>
            </w:r>
          </w:p>
          <w:p>
            <w:pPr>
              <w:keepNext w:val="0"/>
              <w:keepLines w:val="0"/>
              <w:suppressLineNumbers w:val="0"/>
              <w:adjustRightInd w:val="0"/>
              <w:snapToGri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bidi="en-US"/>
              </w:rPr>
            </w:pPr>
            <w:r>
              <w:rPr>
                <w:rFonts w:hint="eastAsia" w:ascii="宋体" w:hAnsi="宋体" w:eastAsia="宋体" w:cs="宋体"/>
                <w:kern w:val="2"/>
                <w:sz w:val="21"/>
                <w:szCs w:val="21"/>
                <w:lang w:eastAsia="zh-CN"/>
              </w:rPr>
              <w:t>注 2：需要分别开展土壤环境影响评级工作的，分别填写自查表。</w:t>
            </w:r>
          </w:p>
        </w:tc>
      </w:tr>
    </w:tbl>
    <w:p>
      <w:pPr>
        <w:pStyle w:val="6"/>
        <w:rPr>
          <w:rFonts w:hint="eastAsia" w:ascii="宋体" w:hAnsi="宋体" w:eastAsia="宋体" w:cs="宋体"/>
          <w:lang w:eastAsia="zh-CN"/>
        </w:rPr>
      </w:pPr>
      <w:bookmarkStart w:id="167" w:name="_Toc15753"/>
      <w:bookmarkStart w:id="168" w:name="_Toc7863"/>
      <w:r>
        <w:rPr>
          <w:rFonts w:hint="eastAsia" w:ascii="宋体" w:hAnsi="宋体" w:eastAsia="宋体" w:cs="宋体"/>
          <w:lang w:eastAsia="zh-CN"/>
        </w:rPr>
        <w:t>6.7 生态环境影响预测与评价</w:t>
      </w:r>
      <w:bookmarkEnd w:id="167"/>
      <w:bookmarkEnd w:id="168"/>
    </w:p>
    <w:p>
      <w:pPr>
        <w:pStyle w:val="7"/>
        <w:rPr>
          <w:rFonts w:hint="eastAsia" w:ascii="宋体" w:hAnsi="宋体" w:eastAsia="宋体" w:cs="宋体"/>
          <w:lang w:eastAsia="zh-CN"/>
        </w:rPr>
      </w:pPr>
      <w:r>
        <w:rPr>
          <w:rFonts w:hint="eastAsia" w:ascii="宋体" w:hAnsi="宋体" w:eastAsia="宋体" w:cs="宋体"/>
          <w:lang w:eastAsia="zh-CN"/>
        </w:rPr>
        <w:t>6.7.1 评价等级与范围</w:t>
      </w:r>
    </w:p>
    <w:p>
      <w:pPr>
        <w:pStyle w:val="8"/>
        <w:rPr>
          <w:rFonts w:hint="eastAsia" w:ascii="宋体" w:hAnsi="宋体" w:eastAsia="宋体" w:cs="宋体"/>
          <w:lang w:eastAsia="zh-CN"/>
        </w:rPr>
      </w:pPr>
      <w:r>
        <w:rPr>
          <w:rFonts w:hint="eastAsia" w:ascii="宋体" w:hAnsi="宋体" w:eastAsia="宋体" w:cs="宋体"/>
          <w:lang w:eastAsia="zh-CN"/>
        </w:rPr>
        <w:t>6.7.1.1 评价等级</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生态影响》(HJ 19-2011)，生态环境影响评价等级划分判据见表6.7.1-1。</w:t>
      </w:r>
    </w:p>
    <w:p>
      <w:pPr>
        <w:ind w:firstLine="562"/>
        <w:rPr>
          <w:rFonts w:hint="eastAsia" w:ascii="宋体" w:hAnsi="宋体" w:eastAsia="宋体" w:cs="宋体"/>
          <w:b/>
          <w:bCs/>
          <w:lang w:eastAsia="zh-CN"/>
        </w:rPr>
      </w:pPr>
      <w:r>
        <w:rPr>
          <w:rFonts w:hint="eastAsia" w:ascii="宋体" w:hAnsi="宋体" w:eastAsia="宋体" w:cs="宋体"/>
          <w:b/>
          <w:bCs/>
          <w:lang w:eastAsia="zh-CN"/>
        </w:rPr>
        <w:t>1、新增占地面积</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为井下开采，井下开采边界与原有采矿证一直，不新增占地；工业场地在原有矿区内建设，不新增占地，占地规模1.99hm</w:t>
      </w:r>
      <w:r>
        <w:rPr>
          <w:rFonts w:hint="eastAsia" w:ascii="宋体" w:hAnsi="宋体" w:eastAsia="宋体" w:cs="宋体"/>
          <w:vertAlign w:val="superscript"/>
          <w:lang w:eastAsia="zh-CN"/>
        </w:rPr>
        <w:t>2</w:t>
      </w:r>
      <w:r>
        <w:rPr>
          <w:rFonts w:hint="eastAsia" w:ascii="宋体" w:hAnsi="宋体" w:eastAsia="宋体" w:cs="宋体"/>
          <w:lang w:eastAsia="zh-CN"/>
        </w:rPr>
        <w:t>，具体见表5.5.1-1。</w:t>
      </w:r>
    </w:p>
    <w:p>
      <w:pPr>
        <w:ind w:firstLine="562"/>
        <w:rPr>
          <w:rFonts w:hint="eastAsia" w:ascii="宋体" w:hAnsi="宋体" w:eastAsia="宋体" w:cs="宋体"/>
          <w:b/>
          <w:bCs/>
          <w:lang w:eastAsia="zh-CN"/>
        </w:rPr>
      </w:pPr>
      <w:r>
        <w:rPr>
          <w:rFonts w:hint="eastAsia" w:ascii="宋体" w:hAnsi="宋体" w:eastAsia="宋体" w:cs="宋体"/>
          <w:b/>
          <w:bCs/>
          <w:lang w:eastAsia="zh-CN"/>
        </w:rPr>
        <w:t>2、影响区域生态敏感性</w:t>
      </w:r>
    </w:p>
    <w:p>
      <w:pPr>
        <w:ind w:firstLine="560"/>
        <w:rPr>
          <w:rFonts w:hint="eastAsia" w:ascii="宋体" w:hAnsi="宋体" w:eastAsia="宋体" w:cs="宋体"/>
          <w:lang w:eastAsia="zh-CN"/>
        </w:rPr>
      </w:pPr>
      <w:r>
        <w:rPr>
          <w:rFonts w:hint="eastAsia" w:ascii="宋体" w:hAnsi="宋体" w:eastAsia="宋体" w:cs="宋体"/>
          <w:lang w:eastAsia="zh-CN"/>
        </w:rPr>
        <w:t>经现场调查和资料收集，</w:t>
      </w:r>
      <w:r>
        <w:rPr>
          <w:rFonts w:hint="eastAsia" w:cs="宋体"/>
          <w:lang w:eastAsia="zh-CN"/>
        </w:rPr>
        <w:t>本项目</w:t>
      </w:r>
      <w:r>
        <w:rPr>
          <w:rFonts w:hint="eastAsia" w:ascii="宋体" w:hAnsi="宋体" w:eastAsia="宋体" w:cs="宋体"/>
          <w:lang w:eastAsia="zh-CN"/>
        </w:rPr>
        <w:t>生态影响范围内有山东沂水湿地公园，属于重要湿地，</w:t>
      </w:r>
      <w:r>
        <w:rPr>
          <w:rFonts w:hint="eastAsia" w:cs="宋体"/>
          <w:lang w:eastAsia="zh-CN"/>
        </w:rPr>
        <w:t>本项目</w:t>
      </w:r>
      <w:r>
        <w:rPr>
          <w:rFonts w:hint="eastAsia" w:ascii="宋体" w:hAnsi="宋体" w:eastAsia="宋体" w:cs="宋体"/>
          <w:lang w:eastAsia="zh-CN"/>
        </w:rPr>
        <w:t>生态敏感区为重要生态敏感区。</w:t>
      </w:r>
    </w:p>
    <w:p>
      <w:pPr>
        <w:ind w:firstLine="562"/>
        <w:rPr>
          <w:rFonts w:hint="eastAsia" w:ascii="宋体" w:hAnsi="宋体" w:eastAsia="宋体" w:cs="宋体"/>
          <w:b/>
          <w:bCs/>
          <w:lang w:eastAsia="zh-CN"/>
        </w:rPr>
      </w:pPr>
      <w:r>
        <w:rPr>
          <w:rFonts w:hint="eastAsia" w:ascii="宋体" w:hAnsi="宋体" w:eastAsia="宋体" w:cs="宋体"/>
          <w:b/>
          <w:bCs/>
          <w:lang w:eastAsia="zh-CN"/>
        </w:rPr>
        <w:t>3、评价等级确定</w:t>
      </w:r>
    </w:p>
    <w:p>
      <w:pPr>
        <w:ind w:firstLine="560"/>
        <w:rPr>
          <w:rFonts w:hint="eastAsia" w:ascii="宋体" w:hAnsi="宋体" w:eastAsia="宋体" w:cs="宋体"/>
          <w:lang w:eastAsia="zh-CN"/>
        </w:rPr>
      </w:pPr>
      <w:r>
        <w:rPr>
          <w:rFonts w:hint="eastAsia" w:ascii="宋体" w:hAnsi="宋体" w:eastAsia="宋体" w:cs="宋体"/>
          <w:lang w:eastAsia="zh-CN"/>
        </w:rPr>
        <w:t>根据《环境影响评价技术导则 生态影响》（HJ19-2011）中规定，生态环境影响评价等级划分判据见表6.7.1-2。</w:t>
      </w:r>
    </w:p>
    <w:p>
      <w:pPr>
        <w:tabs>
          <w:tab w:val="left" w:pos="4004"/>
        </w:tabs>
        <w:spacing w:line="360" w:lineRule="auto"/>
        <w:ind w:firstLine="0" w:firstLineChars="0"/>
        <w:jc w:val="center"/>
        <w:rPr>
          <w:rFonts w:hint="eastAsia" w:ascii="宋体" w:hAnsi="宋体" w:eastAsia="宋体" w:cs="宋体"/>
          <w:b/>
          <w:sz w:val="24"/>
          <w:lang w:eastAsia="zh-CN"/>
        </w:rPr>
      </w:pPr>
      <w:r>
        <w:rPr>
          <w:rFonts w:hint="eastAsia" w:ascii="宋体" w:hAnsi="宋体" w:eastAsia="宋体" w:cs="宋体"/>
          <w:b/>
          <w:sz w:val="24"/>
          <w:lang w:eastAsia="zh-CN"/>
        </w:rPr>
        <w:t>表6.7.1-2 生态环境影响评价工作等级划分表</w:t>
      </w:r>
    </w:p>
    <w:tbl>
      <w:tblPr>
        <w:tblStyle w:val="24"/>
        <w:tblW w:w="5070" w:type="pct"/>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autofit"/>
        <w:tblCellMar>
          <w:top w:w="0" w:type="dxa"/>
          <w:left w:w="0" w:type="dxa"/>
          <w:bottom w:w="0" w:type="dxa"/>
          <w:right w:w="0" w:type="dxa"/>
        </w:tblCellMar>
      </w:tblPr>
      <w:tblGrid>
        <w:gridCol w:w="1927"/>
        <w:gridCol w:w="2199"/>
        <w:gridCol w:w="2952"/>
        <w:gridCol w:w="2151"/>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vMerge w:val="restart"/>
            <w:tcBorders>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w w:val="95"/>
                <w:sz w:val="21"/>
                <w:szCs w:val="22"/>
              </w:rPr>
            </w:pPr>
            <w:r>
              <w:rPr>
                <w:rFonts w:hint="eastAsia" w:ascii="宋体" w:hAnsi="宋体" w:eastAsia="宋体" w:cs="宋体"/>
                <w:b/>
                <w:w w:val="95"/>
                <w:sz w:val="21"/>
                <w:szCs w:val="22"/>
              </w:rPr>
              <w:t>影响区域</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w w:val="95"/>
                <w:sz w:val="21"/>
                <w:szCs w:val="22"/>
              </w:rPr>
              <w:t>生态敏感性</w:t>
            </w:r>
          </w:p>
        </w:tc>
        <w:tc>
          <w:tcPr>
            <w:tcW w:w="3955" w:type="pct"/>
            <w:gridSpan w:val="3"/>
            <w:tcBorders>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lang w:eastAsia="zh-CN"/>
              </w:rPr>
            </w:pPr>
            <w:r>
              <w:rPr>
                <w:rFonts w:hint="eastAsia" w:ascii="宋体" w:hAnsi="宋体" w:eastAsia="宋体" w:cs="宋体"/>
                <w:b/>
                <w:w w:val="95"/>
                <w:sz w:val="21"/>
                <w:szCs w:val="22"/>
                <w:lang w:eastAsia="zh-CN"/>
              </w:rPr>
              <w:t>工程占地（水域）范围</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2"/>
                <w:szCs w:val="22"/>
                <w:lang w:eastAsia="zh-CN"/>
              </w:rPr>
            </w:pPr>
          </w:p>
        </w:tc>
        <w:tc>
          <w:tcPr>
            <w:tcW w:w="119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面积≥20km</w:t>
            </w:r>
            <w:r>
              <w:rPr>
                <w:rFonts w:hint="eastAsia" w:ascii="宋体" w:hAnsi="宋体" w:eastAsia="宋体" w:cs="宋体"/>
                <w:b/>
                <w:position w:val="6"/>
                <w:sz w:val="14"/>
                <w:szCs w:val="22"/>
              </w:rPr>
              <w:t>2</w:t>
            </w:r>
            <w:r>
              <w:rPr>
                <w:rFonts w:hint="eastAsia" w:ascii="宋体" w:hAnsi="宋体" w:eastAsia="宋体" w:cs="宋体"/>
                <w:b/>
                <w:sz w:val="21"/>
                <w:szCs w:val="22"/>
              </w:rPr>
              <w:t>或长度</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≥100km</w:t>
            </w:r>
          </w:p>
        </w:tc>
        <w:tc>
          <w:tcPr>
            <w:tcW w:w="15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面积2km</w:t>
            </w:r>
            <w:r>
              <w:rPr>
                <w:rFonts w:hint="eastAsia" w:ascii="宋体" w:hAnsi="宋体" w:eastAsia="宋体" w:cs="宋体"/>
                <w:b/>
                <w:position w:val="6"/>
                <w:sz w:val="14"/>
                <w:szCs w:val="22"/>
              </w:rPr>
              <w:t>2</w:t>
            </w:r>
            <w:r>
              <w:rPr>
                <w:rFonts w:hint="eastAsia" w:ascii="宋体" w:hAnsi="宋体" w:eastAsia="宋体" w:cs="宋体"/>
                <w:b/>
                <w:sz w:val="21"/>
                <w:szCs w:val="22"/>
              </w:rPr>
              <w:t>-20km</w:t>
            </w:r>
            <w:r>
              <w:rPr>
                <w:rFonts w:hint="eastAsia" w:ascii="宋体" w:hAnsi="宋体" w:eastAsia="宋体" w:cs="宋体"/>
                <w:b/>
                <w:position w:val="6"/>
                <w:sz w:val="14"/>
                <w:szCs w:val="22"/>
              </w:rPr>
              <w:t>2</w:t>
            </w:r>
            <w:r>
              <w:rPr>
                <w:rFonts w:hint="eastAsia" w:ascii="宋体" w:hAnsi="宋体" w:eastAsia="宋体" w:cs="宋体"/>
                <w:b/>
                <w:sz w:val="21"/>
                <w:szCs w:val="22"/>
              </w:rPr>
              <w:t>或长度50km-100km</w:t>
            </w:r>
          </w:p>
        </w:tc>
        <w:tc>
          <w:tcPr>
            <w:tcW w:w="1165" w:type="pct"/>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面积≤2km</w:t>
            </w:r>
            <w:r>
              <w:rPr>
                <w:rFonts w:hint="eastAsia" w:ascii="宋体" w:hAnsi="宋体" w:eastAsia="宋体" w:cs="宋体"/>
                <w:b/>
                <w:position w:val="6"/>
                <w:sz w:val="14"/>
                <w:szCs w:val="22"/>
              </w:rPr>
              <w:t>2</w:t>
            </w:r>
            <w:r>
              <w:rPr>
                <w:rFonts w:hint="eastAsia" w:ascii="宋体" w:hAnsi="宋体" w:eastAsia="宋体" w:cs="宋体"/>
                <w:b/>
                <w:sz w:val="21"/>
                <w:szCs w:val="22"/>
              </w:rPr>
              <w:t>或长度</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sz w:val="21"/>
                <w:szCs w:val="22"/>
              </w:rPr>
            </w:pPr>
            <w:r>
              <w:rPr>
                <w:rFonts w:hint="eastAsia" w:ascii="宋体" w:hAnsi="宋体" w:eastAsia="宋体" w:cs="宋体"/>
                <w:b/>
                <w:sz w:val="21"/>
                <w:szCs w:val="22"/>
              </w:rPr>
              <w:t>≤50km</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特殊生态敏感区</w:t>
            </w:r>
          </w:p>
        </w:tc>
        <w:tc>
          <w:tcPr>
            <w:tcW w:w="119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c>
          <w:tcPr>
            <w:tcW w:w="15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c>
          <w:tcPr>
            <w:tcW w:w="1165" w:type="pct"/>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重要生态敏感区</w:t>
            </w:r>
          </w:p>
        </w:tc>
        <w:tc>
          <w:tcPr>
            <w:tcW w:w="1191"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一级</w:t>
            </w:r>
          </w:p>
        </w:tc>
        <w:tc>
          <w:tcPr>
            <w:tcW w:w="1599" w:type="pct"/>
            <w:tcBorders>
              <w:top w:val="single" w:color="000000" w:sz="4" w:space="0"/>
              <w:left w:val="single" w:color="000000" w:sz="4"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二级</w:t>
            </w:r>
          </w:p>
        </w:tc>
        <w:tc>
          <w:tcPr>
            <w:tcW w:w="1165" w:type="pct"/>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b/>
                <w:bCs/>
                <w:sz w:val="21"/>
                <w:szCs w:val="22"/>
              </w:rPr>
              <w:t>三级</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044" w:type="pct"/>
            <w:tcBorders>
              <w:top w:val="single" w:color="000000" w:sz="4" w:space="0"/>
              <w:left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一般生态敏感区</w:t>
            </w:r>
          </w:p>
        </w:tc>
        <w:tc>
          <w:tcPr>
            <w:tcW w:w="1191"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二级</w:t>
            </w:r>
          </w:p>
        </w:tc>
        <w:tc>
          <w:tcPr>
            <w:tcW w:w="1599" w:type="pct"/>
            <w:tcBorders>
              <w:top w:val="single" w:color="000000" w:sz="4" w:space="0"/>
              <w:left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三级</w:t>
            </w:r>
          </w:p>
        </w:tc>
        <w:tc>
          <w:tcPr>
            <w:tcW w:w="1165" w:type="pct"/>
            <w:tcBorders>
              <w:top w:val="single" w:color="000000" w:sz="4" w:space="0"/>
              <w:left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2"/>
              </w:rPr>
            </w:pPr>
            <w:r>
              <w:rPr>
                <w:rFonts w:hint="eastAsia" w:ascii="宋体" w:hAnsi="宋体" w:eastAsia="宋体" w:cs="宋体"/>
                <w:sz w:val="21"/>
                <w:szCs w:val="22"/>
              </w:rPr>
              <w:t>三级</w:t>
            </w:r>
          </w:p>
        </w:tc>
      </w:tr>
    </w:tbl>
    <w:p>
      <w:pPr>
        <w:ind w:firstLine="560"/>
        <w:rPr>
          <w:rFonts w:hint="eastAsia" w:ascii="宋体" w:hAnsi="宋体" w:eastAsia="宋体" w:cs="宋体"/>
          <w:lang w:eastAsia="zh-CN"/>
        </w:rPr>
      </w:pPr>
      <w:r>
        <w:rPr>
          <w:rFonts w:hint="eastAsia" w:ascii="宋体" w:hAnsi="宋体" w:eastAsia="宋体" w:cs="宋体"/>
          <w:lang w:eastAsia="zh-CN"/>
        </w:rPr>
        <w:t>综上所述，</w:t>
      </w:r>
      <w:r>
        <w:rPr>
          <w:rFonts w:hint="eastAsia" w:cs="宋体"/>
          <w:lang w:eastAsia="zh-CN"/>
        </w:rPr>
        <w:t>本项目</w:t>
      </w:r>
      <w:r>
        <w:rPr>
          <w:rFonts w:hint="eastAsia" w:ascii="宋体" w:hAnsi="宋体" w:eastAsia="宋体" w:cs="宋体"/>
          <w:lang w:eastAsia="zh-CN"/>
        </w:rPr>
        <w:t>生态环境影响评价等级确定为三级。</w:t>
      </w:r>
    </w:p>
    <w:p>
      <w:pPr>
        <w:pStyle w:val="8"/>
        <w:rPr>
          <w:rFonts w:hint="eastAsia" w:ascii="宋体" w:hAnsi="宋体" w:eastAsia="宋体" w:cs="宋体"/>
          <w:lang w:eastAsia="zh-CN"/>
        </w:rPr>
      </w:pPr>
      <w:r>
        <w:rPr>
          <w:rFonts w:hint="eastAsia" w:ascii="宋体" w:hAnsi="宋体" w:eastAsia="宋体" w:cs="宋体"/>
          <w:lang w:eastAsia="zh-CN"/>
        </w:rPr>
        <w:t>6.6.1.2 评价范围</w:t>
      </w:r>
    </w:p>
    <w:p>
      <w:pPr>
        <w:ind w:firstLine="560"/>
        <w:rPr>
          <w:rFonts w:hint="eastAsia" w:ascii="宋体" w:hAnsi="宋体" w:eastAsia="宋体" w:cs="宋体"/>
          <w:lang w:eastAsia="zh-CN"/>
        </w:rPr>
      </w:pPr>
      <w:r>
        <w:rPr>
          <w:rFonts w:hint="eastAsia" w:ascii="宋体" w:hAnsi="宋体" w:eastAsia="宋体" w:cs="宋体"/>
          <w:lang w:eastAsia="zh-CN"/>
        </w:rPr>
        <w:t>依据《环境影响评价技术导则 生态影响》(HJ 19-2011)，以评价项目影响区域所涉及的完整气候单元、水文单元、生态单元、地理单元综合确定项目的生态影响评价范围。</w:t>
      </w:r>
    </w:p>
    <w:p>
      <w:pPr>
        <w:ind w:firstLine="560"/>
        <w:rPr>
          <w:rFonts w:hint="eastAsia" w:ascii="宋体" w:hAnsi="宋体" w:eastAsia="宋体" w:cs="宋体"/>
          <w:lang w:eastAsia="zh-CN"/>
        </w:rPr>
      </w:pPr>
      <w:r>
        <w:rPr>
          <w:rFonts w:hint="eastAsia" w:ascii="宋体" w:hAnsi="宋体" w:eastAsia="宋体" w:cs="宋体"/>
          <w:lang w:eastAsia="zh-CN"/>
        </w:rPr>
        <w:t>考虑到矿山开采可能对区域生态环境造成影响，拟将以矿区边界外扩500m及岩石移动范围内区域作为生态影响评价的范围。</w:t>
      </w:r>
    </w:p>
    <w:p>
      <w:pPr>
        <w:pStyle w:val="7"/>
        <w:rPr>
          <w:rFonts w:hint="eastAsia" w:ascii="宋体" w:hAnsi="宋体" w:eastAsia="宋体" w:cs="宋体"/>
          <w:lang w:eastAsia="zh-CN"/>
        </w:rPr>
      </w:pPr>
      <w:r>
        <w:rPr>
          <w:rFonts w:hint="eastAsia" w:ascii="宋体" w:hAnsi="宋体" w:eastAsia="宋体" w:cs="宋体"/>
          <w:lang w:eastAsia="zh-CN"/>
        </w:rPr>
        <w:t>6.6.2 评价方法</w:t>
      </w:r>
    </w:p>
    <w:p>
      <w:pPr>
        <w:ind w:firstLine="560"/>
        <w:rPr>
          <w:rFonts w:hint="eastAsia" w:ascii="宋体" w:hAnsi="宋体" w:eastAsia="宋体" w:cs="宋体"/>
          <w:lang w:eastAsia="zh-CN"/>
        </w:rPr>
      </w:pPr>
      <w:r>
        <w:rPr>
          <w:rFonts w:hint="eastAsia" w:ascii="宋体" w:hAnsi="宋体" w:eastAsia="宋体" w:cs="宋体"/>
          <w:lang w:eastAsia="zh-CN"/>
        </w:rPr>
        <w:t>本次评价从实际出发，采用方法以调查和类比为主，对植被现状用文字描述，对生物量采用类比计算，对采用的生态防护措施进行具体分析，对地表扰动等生态恢复和补偿措施重点加强。</w:t>
      </w:r>
    </w:p>
    <w:p>
      <w:pPr>
        <w:pStyle w:val="7"/>
        <w:rPr>
          <w:rFonts w:hint="eastAsia" w:ascii="宋体" w:hAnsi="宋体" w:eastAsia="宋体" w:cs="宋体"/>
          <w:lang w:eastAsia="zh-CN"/>
        </w:rPr>
      </w:pPr>
      <w:r>
        <w:rPr>
          <w:rFonts w:hint="eastAsia" w:ascii="宋体" w:hAnsi="宋体" w:eastAsia="宋体" w:cs="宋体"/>
          <w:lang w:eastAsia="zh-CN"/>
        </w:rPr>
        <w:t>6.6.3 评价内容</w:t>
      </w:r>
    </w:p>
    <w:p>
      <w:pPr>
        <w:ind w:firstLine="560"/>
        <w:rPr>
          <w:rFonts w:hint="eastAsia" w:ascii="宋体" w:hAnsi="宋体" w:eastAsia="宋体" w:cs="宋体"/>
          <w:lang w:eastAsia="zh-CN"/>
        </w:rPr>
      </w:pPr>
      <w:r>
        <w:rPr>
          <w:rFonts w:hint="eastAsia" w:ascii="宋体" w:hAnsi="宋体" w:eastAsia="宋体" w:cs="宋体"/>
          <w:lang w:eastAsia="zh-CN"/>
        </w:rPr>
        <w:t>根据项目建设对生态环境的影响情况，结合项目所在区域的生态环境特征，以及影响识别和评价因子的筛选结果，确定评价工作内容如下：</w:t>
      </w:r>
    </w:p>
    <w:p>
      <w:pPr>
        <w:ind w:firstLine="560"/>
        <w:rPr>
          <w:rFonts w:hint="eastAsia" w:ascii="宋体" w:hAnsi="宋体" w:eastAsia="宋体" w:cs="宋体"/>
          <w:lang w:eastAsia="zh-CN"/>
        </w:rPr>
      </w:pPr>
      <w:r>
        <w:rPr>
          <w:rFonts w:hint="eastAsia" w:ascii="宋体" w:hAnsi="宋体" w:eastAsia="宋体" w:cs="宋体"/>
          <w:lang w:eastAsia="zh-CN"/>
        </w:rPr>
        <w:t>（1）生态环境现状调查与评价</w:t>
      </w:r>
    </w:p>
    <w:p>
      <w:pPr>
        <w:ind w:firstLine="560"/>
        <w:rPr>
          <w:rFonts w:hint="eastAsia" w:ascii="宋体" w:hAnsi="宋体" w:eastAsia="宋体" w:cs="宋体"/>
          <w:lang w:eastAsia="zh-CN"/>
        </w:rPr>
      </w:pPr>
      <w:r>
        <w:rPr>
          <w:rFonts w:hint="eastAsia" w:ascii="宋体" w:hAnsi="宋体" w:eastAsia="宋体" w:cs="宋体"/>
          <w:lang w:eastAsia="zh-CN"/>
        </w:rPr>
        <w:t>对评价区生态系统类型、土地利用、植被类型、土壤侵蚀现状进行调查与分析。</w:t>
      </w:r>
    </w:p>
    <w:p>
      <w:pPr>
        <w:ind w:firstLine="560"/>
        <w:rPr>
          <w:rFonts w:hint="eastAsia" w:ascii="宋体" w:hAnsi="宋体" w:eastAsia="宋体" w:cs="宋体"/>
          <w:lang w:eastAsia="zh-CN"/>
        </w:rPr>
      </w:pPr>
      <w:r>
        <w:rPr>
          <w:rFonts w:hint="eastAsia" w:ascii="宋体" w:hAnsi="宋体" w:eastAsia="宋体" w:cs="宋体"/>
          <w:lang w:eastAsia="zh-CN"/>
        </w:rPr>
        <w:t>（2）生态影响预测与评价</w:t>
      </w:r>
    </w:p>
    <w:p>
      <w:pPr>
        <w:ind w:firstLine="560"/>
        <w:rPr>
          <w:rFonts w:hint="eastAsia" w:ascii="宋体" w:hAnsi="宋体" w:eastAsia="宋体" w:cs="宋体"/>
          <w:lang w:eastAsia="zh-CN"/>
        </w:rPr>
      </w:pPr>
      <w:r>
        <w:rPr>
          <w:rFonts w:hint="eastAsia" w:ascii="宋体" w:hAnsi="宋体" w:eastAsia="宋体" w:cs="宋体"/>
          <w:lang w:eastAsia="zh-CN"/>
        </w:rPr>
        <w:t>①生物多样性：矿区范围内植物资源与野生动物资源；</w:t>
      </w:r>
    </w:p>
    <w:p>
      <w:pPr>
        <w:ind w:firstLine="560"/>
        <w:rPr>
          <w:rFonts w:hint="eastAsia" w:ascii="宋体" w:hAnsi="宋体" w:eastAsia="宋体" w:cs="宋体"/>
          <w:lang w:eastAsia="zh-CN"/>
        </w:rPr>
      </w:pPr>
      <w:r>
        <w:rPr>
          <w:rFonts w:hint="eastAsia" w:ascii="宋体" w:hAnsi="宋体" w:eastAsia="宋体" w:cs="宋体"/>
          <w:lang w:eastAsia="zh-CN"/>
        </w:rPr>
        <w:t>②土地利用和农业生态系统：矿区及选矿厂范围内内农业生产结构，主要预测评价对农业生产的影响；</w:t>
      </w:r>
    </w:p>
    <w:p>
      <w:pPr>
        <w:ind w:firstLine="560"/>
        <w:rPr>
          <w:rFonts w:hint="eastAsia" w:ascii="宋体" w:hAnsi="宋体" w:eastAsia="宋体" w:cs="宋体"/>
          <w:lang w:eastAsia="zh-CN"/>
        </w:rPr>
      </w:pPr>
      <w:r>
        <w:rPr>
          <w:rFonts w:hint="eastAsia" w:ascii="宋体" w:hAnsi="宋体" w:eastAsia="宋体" w:cs="宋体"/>
          <w:lang w:eastAsia="zh-CN"/>
        </w:rPr>
        <w:t>③水土流失：本次评价将分析项目施工期对水土资源以及水土流失的影响；</w:t>
      </w:r>
    </w:p>
    <w:p>
      <w:pPr>
        <w:ind w:firstLine="560"/>
        <w:rPr>
          <w:rFonts w:hint="eastAsia" w:ascii="宋体" w:hAnsi="宋体" w:eastAsia="宋体" w:cs="宋体"/>
          <w:lang w:eastAsia="zh-CN"/>
        </w:rPr>
      </w:pPr>
      <w:r>
        <w:rPr>
          <w:rFonts w:hint="eastAsia" w:ascii="宋体" w:hAnsi="宋体" w:eastAsia="宋体" w:cs="宋体"/>
          <w:lang w:eastAsia="zh-CN"/>
        </w:rPr>
        <w:t>④地下开采对地表的影响。</w:t>
      </w:r>
    </w:p>
    <w:p>
      <w:pPr>
        <w:pStyle w:val="7"/>
        <w:rPr>
          <w:rFonts w:hint="eastAsia" w:ascii="宋体" w:hAnsi="宋体" w:eastAsia="宋体" w:cs="宋体"/>
          <w:lang w:eastAsia="zh-CN"/>
        </w:rPr>
      </w:pPr>
      <w:r>
        <w:rPr>
          <w:rFonts w:hint="eastAsia" w:ascii="宋体" w:hAnsi="宋体" w:eastAsia="宋体" w:cs="宋体"/>
          <w:lang w:eastAsia="zh-CN"/>
        </w:rPr>
        <w:t>6.6.4 施工期生态环境影响</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工程总占地面积1.99hm</w:t>
      </w:r>
      <w:r>
        <w:rPr>
          <w:rFonts w:hint="eastAsia" w:ascii="宋体" w:hAnsi="宋体" w:eastAsia="宋体" w:cs="宋体"/>
          <w:vertAlign w:val="superscript"/>
          <w:lang w:eastAsia="zh-CN"/>
        </w:rPr>
        <w:t>2</w:t>
      </w:r>
      <w:r>
        <w:rPr>
          <w:rFonts w:hint="eastAsia" w:ascii="宋体" w:hAnsi="宋体" w:eastAsia="宋体" w:cs="宋体"/>
          <w:lang w:eastAsia="zh-CN"/>
        </w:rPr>
        <w:t>，占地为企业工矿用地，不涉及基本农田。施工期对土地利用类型的影响主要表现</w:t>
      </w:r>
      <w:r>
        <w:rPr>
          <w:rFonts w:hint="eastAsia" w:cs="宋体"/>
          <w:lang w:eastAsia="zh-CN"/>
        </w:rPr>
        <w:t>用地类型的转换（由闲置工业用地转换成工业占地）</w:t>
      </w:r>
      <w:r>
        <w:rPr>
          <w:rFonts w:hint="eastAsia" w:ascii="宋体" w:hAnsi="宋体" w:eastAsia="宋体" w:cs="宋体"/>
          <w:lang w:eastAsia="zh-CN"/>
        </w:rPr>
        <w:t>，对生态系统、植被等的影响较小。</w:t>
      </w:r>
    </w:p>
    <w:p>
      <w:pPr>
        <w:ind w:firstLine="560"/>
        <w:rPr>
          <w:rFonts w:hint="eastAsia" w:ascii="宋体" w:hAnsi="宋体" w:eastAsia="宋体" w:cs="宋体"/>
          <w:lang w:eastAsia="zh-CN"/>
        </w:rPr>
      </w:pPr>
      <w:r>
        <w:rPr>
          <w:rFonts w:hint="eastAsia" w:ascii="宋体" w:hAnsi="宋体" w:eastAsia="宋体" w:cs="宋体"/>
          <w:lang w:eastAsia="zh-CN"/>
        </w:rPr>
        <w:t>施工期对陆生动物的影响主要是施工人员活动和工程施工噪声对动物的惊扰。受人类开发活动的影响，施工期间，周边区域的鸟类由于受到施工噪声和人为活动等干扰将被迫离开原来的领地，但鸟类具有较强的迁移能力，在占地区外易于寻找到类似适宜的生存环境。评价区兽类种类较少，生态类型较单一，主要为穴居型，包括刺猬、小家鼠、大仓鼠、黄鼬等。它们一般体型较小，主要在地面活动觅食，栖息、避敌于洞穴中，施工活动对其影响不大。</w:t>
      </w:r>
    </w:p>
    <w:p>
      <w:pPr>
        <w:pStyle w:val="7"/>
        <w:rPr>
          <w:rFonts w:hint="eastAsia" w:ascii="宋体" w:hAnsi="宋体" w:eastAsia="宋体" w:cs="宋体"/>
          <w:lang w:eastAsia="zh-CN"/>
        </w:rPr>
      </w:pPr>
      <w:r>
        <w:rPr>
          <w:rFonts w:hint="eastAsia" w:ascii="宋体" w:hAnsi="宋体" w:eastAsia="宋体" w:cs="宋体"/>
          <w:lang w:eastAsia="zh-CN"/>
        </w:rPr>
        <w:t>6.6.5 营运期生态环境影响</w:t>
      </w:r>
    </w:p>
    <w:p>
      <w:pPr>
        <w:pStyle w:val="8"/>
        <w:rPr>
          <w:rFonts w:hint="eastAsia" w:ascii="宋体" w:hAnsi="宋体" w:eastAsia="宋体" w:cs="宋体"/>
          <w:lang w:eastAsia="zh-CN"/>
        </w:rPr>
      </w:pPr>
      <w:r>
        <w:rPr>
          <w:rFonts w:hint="eastAsia" w:ascii="宋体" w:hAnsi="宋体" w:eastAsia="宋体" w:cs="宋体"/>
          <w:lang w:eastAsia="zh-CN"/>
        </w:rPr>
        <w:t>6.6.5.1 土地利用影响分析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采矿属于地下开采，地下采掘项目运营期对生态环境的影响主要表现为地表的塌陷而形成的塌陷坡地或常年或季节性积水洼地，从而导致土壤理化性质的改变及土地利用类型的变化。由于</w:t>
      </w:r>
      <w:r>
        <w:rPr>
          <w:rFonts w:hint="eastAsia" w:cs="宋体"/>
          <w:lang w:eastAsia="zh-CN"/>
        </w:rPr>
        <w:t>本项目</w:t>
      </w:r>
      <w:r>
        <w:rPr>
          <w:rFonts w:hint="eastAsia" w:ascii="宋体" w:hAnsi="宋体" w:eastAsia="宋体" w:cs="宋体"/>
          <w:lang w:eastAsia="zh-CN"/>
        </w:rPr>
        <w:t>采用废石和尾砂进行充填处理采空区，可有效的防止地表陷落，使地表基本维持原有状态。充填体的支护作用，主要在于对围岩的限制作用和与围岩的共同作用。一方面充填体以对松脱岩块的滑移施加侧压、支撑破碎围岩、限制空区围岩移动等多种方式来阻止和限制围岩发生变形和位移，达到对围岩的限制作用；另一方面，充填体与围岩按变形协调理论共同承担载荷，改善采场周围岩体的应力分布和状态，提高围岩自身的承载能力，共同维护采场的稳定。</w:t>
      </w:r>
    </w:p>
    <w:p>
      <w:pPr>
        <w:ind w:firstLine="560"/>
        <w:rPr>
          <w:rFonts w:hint="eastAsia" w:ascii="宋体" w:hAnsi="宋体" w:eastAsia="宋体" w:cs="宋体"/>
          <w:lang w:eastAsia="zh-CN"/>
        </w:rPr>
      </w:pPr>
      <w:r>
        <w:rPr>
          <w:rFonts w:hint="eastAsia" w:ascii="宋体" w:hAnsi="宋体" w:eastAsia="宋体" w:cs="宋体"/>
          <w:lang w:eastAsia="zh-CN"/>
        </w:rPr>
        <w:t>铁矿开采不同于煤矿等，开采面积相对较小，在采取充填法后，项目运营期不会因地表塌陷而带来生态问题，不会对土地利用类型造成较大影响。</w:t>
      </w:r>
    </w:p>
    <w:p>
      <w:pPr>
        <w:pStyle w:val="8"/>
        <w:rPr>
          <w:rFonts w:hint="eastAsia" w:ascii="宋体" w:hAnsi="宋体" w:eastAsia="宋体" w:cs="宋体"/>
          <w:lang w:eastAsia="zh-CN"/>
        </w:rPr>
      </w:pPr>
      <w:r>
        <w:rPr>
          <w:rFonts w:hint="eastAsia" w:ascii="宋体" w:hAnsi="宋体" w:eastAsia="宋体" w:cs="宋体"/>
          <w:lang w:eastAsia="zh-CN"/>
        </w:rPr>
        <w:t>6.6.5.2 地形地貌影响分析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采用地下开采方式，根据第7章地质环境影响评价结果，</w:t>
      </w:r>
      <w:r>
        <w:rPr>
          <w:rFonts w:hint="eastAsia" w:cs="宋体"/>
          <w:lang w:eastAsia="zh-CN"/>
        </w:rPr>
        <w:t>本项目</w:t>
      </w:r>
      <w:r>
        <w:rPr>
          <w:rFonts w:hint="eastAsia" w:ascii="宋体" w:hAnsi="宋体" w:eastAsia="宋体" w:cs="宋体"/>
          <w:lang w:eastAsia="zh-CN"/>
        </w:rPr>
        <w:t>加剧地质灾害危险性的概率较小，对该区域的地形地貌影响较小。项目开采过程中会利用废石、尾砂进行井下充填，在开采过程中上覆岩体一般不会塌陷，矿区地表建设不会对土地功能和植被形成新的明显损毁。随着土地复垦、植被绿化等工程的实施，各损毁土地的区域在矿山生产结束后也会采用一定的绿化措施，土地功能及植被损毁的趋势将得到有效遏制和补偿性恢复；矿山对地貌景观的影响与现状相比不会有明显变化，地表建设中的生态补偿措施会使水土流失程度将逐渐减轻，地质地貌景观逐年改善。</w:t>
      </w:r>
    </w:p>
    <w:p>
      <w:pPr>
        <w:pStyle w:val="8"/>
        <w:rPr>
          <w:rFonts w:hint="eastAsia" w:ascii="宋体" w:hAnsi="宋体" w:eastAsia="宋体" w:cs="宋体"/>
          <w:lang w:eastAsia="zh-CN"/>
        </w:rPr>
      </w:pPr>
      <w:r>
        <w:rPr>
          <w:rFonts w:hint="eastAsia" w:ascii="宋体" w:hAnsi="宋体" w:eastAsia="宋体" w:cs="宋体"/>
          <w:lang w:eastAsia="zh-CN"/>
        </w:rPr>
        <w:t>6.6.5.3 对植物影响分析</w:t>
      </w:r>
    </w:p>
    <w:p>
      <w:pPr>
        <w:ind w:firstLine="562"/>
        <w:rPr>
          <w:rFonts w:hint="eastAsia" w:ascii="宋体" w:hAnsi="宋体" w:eastAsia="宋体" w:cs="宋体"/>
          <w:b/>
          <w:bCs/>
          <w:lang w:eastAsia="zh-CN"/>
        </w:rPr>
      </w:pPr>
      <w:r>
        <w:rPr>
          <w:rFonts w:hint="eastAsia" w:ascii="宋体" w:hAnsi="宋体" w:eastAsia="宋体" w:cs="宋体"/>
          <w:b/>
          <w:bCs/>
          <w:lang w:eastAsia="zh-CN"/>
        </w:rPr>
        <w:t>1、地下水疏干对植物影响</w:t>
      </w:r>
    </w:p>
    <w:p>
      <w:pPr>
        <w:ind w:firstLine="560"/>
        <w:rPr>
          <w:rFonts w:hint="eastAsia" w:ascii="宋体" w:hAnsi="宋体" w:eastAsia="宋体" w:cs="宋体"/>
          <w:lang w:eastAsia="zh-CN"/>
        </w:rPr>
      </w:pPr>
      <w:r>
        <w:rPr>
          <w:rFonts w:hint="eastAsia" w:ascii="宋体" w:hAnsi="宋体" w:eastAsia="宋体" w:cs="宋体"/>
          <w:lang w:eastAsia="zh-CN"/>
        </w:rPr>
        <w:t>由水文地质资料可知，矿区周边主要含水层为分布于沂河两岸河漫滩和阶地上的第四系冲洪积孔隙含水层，主要隔水层为F1断层。本区域地下水补给来源主要为大气降水和地表水的渗入补给，其次是灌溉回渗和上游地下径流补给。</w:t>
      </w:r>
    </w:p>
    <w:p>
      <w:pPr>
        <w:ind w:firstLine="560"/>
        <w:rPr>
          <w:rFonts w:hint="eastAsia" w:ascii="宋体" w:hAnsi="宋体" w:eastAsia="宋体" w:cs="宋体"/>
          <w:lang w:eastAsia="zh-CN"/>
        </w:rPr>
      </w:pPr>
      <w:r>
        <w:rPr>
          <w:rFonts w:hint="eastAsia" w:ascii="宋体" w:hAnsi="宋体" w:eastAsia="宋体" w:cs="宋体"/>
          <w:lang w:eastAsia="zh-CN"/>
        </w:rPr>
        <w:t>矿山开采初期，由于开采深度较大，区域地下水水位下降存在一定的滞后效应，在开采中期，地下水水位下降幅度加大，但由于受到周边地下水的补给作用，地下水水位逐步达到稳定。随着开采深度的进一步加大，至开采中后期地下水受到补给量增加和越流排泄的减少共同作用，水位较之前有所回升，直至矿区开采服务期满。</w:t>
      </w:r>
    </w:p>
    <w:p>
      <w:pPr>
        <w:ind w:firstLine="560"/>
        <w:rPr>
          <w:rFonts w:hint="eastAsia" w:ascii="宋体" w:hAnsi="宋体" w:eastAsia="宋体" w:cs="宋体"/>
          <w:lang w:eastAsia="zh-CN"/>
        </w:rPr>
      </w:pPr>
      <w:r>
        <w:rPr>
          <w:rFonts w:hint="eastAsia" w:ascii="宋体" w:hAnsi="宋体" w:eastAsia="宋体" w:cs="宋体"/>
          <w:lang w:eastAsia="zh-CN"/>
        </w:rPr>
        <w:t>评价区地表植被主要是为玉米、小麦、桃、苹果等农田作物，供水方式主要为灌溉。此外，山上、道路沟渠两旁、农田林网地带及村落附近分布有零星人工林和灌草丛，常见种类包括杨树、柳树等乔木以及黄背草、狗尾草、鹅观草、白羊草、牛舌头、猪毛草等草本植物，无珍稀野生植物分布。矿区开采期间导致一定量的水资源损失，由于采取保留矿柱等措施，对区域地下水资源量造成的影响较小。工程建设不会对区域地表植被产生较大影响。</w:t>
      </w:r>
    </w:p>
    <w:p>
      <w:pPr>
        <w:ind w:firstLine="562"/>
        <w:rPr>
          <w:rFonts w:hint="eastAsia" w:ascii="宋体" w:hAnsi="宋体" w:eastAsia="宋体" w:cs="宋体"/>
          <w:b/>
          <w:bCs/>
          <w:lang w:eastAsia="zh-CN"/>
        </w:rPr>
      </w:pPr>
      <w:r>
        <w:rPr>
          <w:rFonts w:hint="eastAsia" w:ascii="宋体" w:hAnsi="宋体" w:eastAsia="宋体" w:cs="宋体"/>
          <w:b/>
          <w:bCs/>
          <w:lang w:eastAsia="zh-CN"/>
        </w:rPr>
        <w:t>2、粉尘排放对植物影响</w:t>
      </w:r>
    </w:p>
    <w:p>
      <w:pPr>
        <w:ind w:firstLine="560"/>
        <w:rPr>
          <w:rFonts w:hint="eastAsia" w:ascii="宋体" w:hAnsi="宋体" w:eastAsia="宋体" w:cs="宋体"/>
          <w:lang w:eastAsia="zh-CN"/>
        </w:rPr>
      </w:pPr>
      <w:r>
        <w:rPr>
          <w:rFonts w:hint="eastAsia" w:ascii="宋体" w:hAnsi="宋体" w:eastAsia="宋体" w:cs="宋体"/>
          <w:lang w:eastAsia="zh-CN"/>
        </w:rPr>
        <w:t>植物的茎叶表面往往是粗糙的，有的还能分泌出油脂和浆液，所以植物能对空气中的粉尘进行阻隔、吸附，据测定，1m</w:t>
      </w:r>
      <w:r>
        <w:rPr>
          <w:rFonts w:hint="eastAsia" w:ascii="宋体" w:hAnsi="宋体" w:eastAsia="宋体" w:cs="宋体"/>
          <w:vertAlign w:val="superscript"/>
          <w:lang w:eastAsia="zh-CN"/>
        </w:rPr>
        <w:t>2</w:t>
      </w:r>
      <w:r>
        <w:rPr>
          <w:rFonts w:hint="eastAsia" w:ascii="宋体" w:hAnsi="宋体" w:eastAsia="宋体" w:cs="宋体"/>
          <w:lang w:eastAsia="zh-CN"/>
        </w:rPr>
        <w:t>榆树叶每天可滞尘12.27g，1hm</w:t>
      </w:r>
      <w:r>
        <w:rPr>
          <w:rFonts w:hint="eastAsia" w:ascii="宋体" w:hAnsi="宋体" w:eastAsia="宋体" w:cs="宋体"/>
          <w:vertAlign w:val="superscript"/>
          <w:lang w:eastAsia="zh-CN"/>
        </w:rPr>
        <w:t>2</w:t>
      </w:r>
      <w:r>
        <w:rPr>
          <w:rFonts w:hint="eastAsia" w:ascii="宋体" w:hAnsi="宋体" w:eastAsia="宋体" w:cs="宋体"/>
          <w:lang w:eastAsia="zh-CN"/>
        </w:rPr>
        <w:t>松林1年可滞尘34t，而草地足球场的飘尘量可比非草地足球场减小3/4。根据我国目前已有研究显示：滞尘时间越长，单位面积叶片上的粉尘量越大，表明植物对粉尘有吸附作用，随着粉尘的增加，叶片的滞尘作用逐渐减弱；叶片上的粉尘越多，对植物光合作用的负影响就越大；同时也说明叶片对粉尘污染有治理作用。</w:t>
      </w:r>
    </w:p>
    <w:p>
      <w:pPr>
        <w:ind w:firstLine="560"/>
        <w:rPr>
          <w:rFonts w:hint="eastAsia" w:ascii="宋体" w:hAnsi="宋体" w:eastAsia="宋体" w:cs="宋体"/>
          <w:lang w:eastAsia="zh-CN"/>
        </w:rPr>
      </w:pPr>
      <w:r>
        <w:rPr>
          <w:rFonts w:hint="eastAsia" w:ascii="宋体" w:hAnsi="宋体" w:eastAsia="宋体" w:cs="宋体"/>
          <w:lang w:eastAsia="zh-CN"/>
        </w:rPr>
        <w:t>为减轻粉尘排放对植物的危害，可采用定期对植被进行清理的方法。项目区域植物多为春花秋实，夏季枝叶繁茂时期，雨量较为充沛，可实现清洗的目标，因此主要影响在春、秋季节。</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选址位于丘陵地区，厂址周围植被覆盖率高，现有植被以次生乔木、灌木丛和草本植物群落为主，无珍稀植物和古树名木；区内生态环境质量良好；区内景观功能较为单一，稳定性良好，景观的生物恢复能力良好。因此粉尘排放对周围植被的影响较小。</w:t>
      </w:r>
    </w:p>
    <w:p>
      <w:pPr>
        <w:pStyle w:val="8"/>
        <w:rPr>
          <w:rFonts w:hint="eastAsia" w:ascii="宋体" w:hAnsi="宋体" w:eastAsia="宋体" w:cs="宋体"/>
          <w:lang w:eastAsia="zh-CN"/>
        </w:rPr>
      </w:pPr>
      <w:r>
        <w:rPr>
          <w:rFonts w:hint="eastAsia" w:ascii="宋体" w:hAnsi="宋体" w:eastAsia="宋体" w:cs="宋体"/>
          <w:lang w:eastAsia="zh-CN"/>
        </w:rPr>
        <w:t>6.6.</w:t>
      </w:r>
      <w:r>
        <w:rPr>
          <w:rFonts w:hint="eastAsia" w:eastAsia="宋体" w:cs="宋体"/>
          <w:lang w:val="en-US" w:eastAsia="zh-CN"/>
        </w:rPr>
        <w:t>5</w:t>
      </w:r>
      <w:r>
        <w:rPr>
          <w:rFonts w:hint="eastAsia" w:ascii="宋体" w:hAnsi="宋体" w:eastAsia="宋体" w:cs="宋体"/>
          <w:lang w:eastAsia="zh-CN"/>
        </w:rPr>
        <w:t>.4 对动物影响分析</w:t>
      </w:r>
    </w:p>
    <w:p>
      <w:pPr>
        <w:ind w:firstLine="560"/>
        <w:rPr>
          <w:rFonts w:hint="eastAsia" w:ascii="宋体" w:hAnsi="宋体" w:eastAsia="宋体" w:cs="宋体"/>
          <w:lang w:eastAsia="zh-CN"/>
        </w:rPr>
      </w:pPr>
      <w:r>
        <w:rPr>
          <w:rFonts w:hint="eastAsia" w:ascii="宋体" w:hAnsi="宋体" w:eastAsia="宋体" w:cs="宋体"/>
          <w:lang w:eastAsia="zh-CN"/>
        </w:rPr>
        <w:t>矿山项目对动物资源的影响主要是在开采过程中爆破和掘进等作业会产生噪声和振动，交通运输和施工人员的活动及使用机械也会产生的噪声，将会对附近栖息在灌草丛中的小型野生动物如昆虫类、爬行类、鸟类及小型哺乳动物产生一定影响，对其正常生活产生干扰，造成其大部分迁离其原栖息地。</w:t>
      </w:r>
    </w:p>
    <w:p>
      <w:pPr>
        <w:ind w:firstLine="560"/>
        <w:rPr>
          <w:rFonts w:hint="eastAsia" w:ascii="宋体" w:hAnsi="宋体" w:eastAsia="宋体" w:cs="宋体"/>
          <w:lang w:eastAsia="zh-CN"/>
        </w:rPr>
      </w:pPr>
      <w:r>
        <w:rPr>
          <w:rFonts w:hint="eastAsia" w:ascii="宋体" w:hAnsi="宋体" w:eastAsia="宋体" w:cs="宋体"/>
          <w:lang w:eastAsia="zh-CN"/>
        </w:rPr>
        <w:t>由于矿区及其周边地区人类活动频繁，对噪声和振动敏感的野生动物已经迁移出本区域，只剩下与人类活动较密切的动物在该区栖息。本次评价生态环境调查期间，并未发现有珍稀、濒危动物，也未在评价区域内观察到大型野生哺乳动物，只是偶见雀形目小型鸟类。项目建设噪声和振动影响在采取必要治理措施后，对周边环境影响不大，也不会对矿区周边地区现有动物资源的造成明显影响。</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对动物的影响在项目服务期满并采取生态恢复措施后将逐步得到恢复。</w:t>
      </w:r>
    </w:p>
    <w:p>
      <w:pPr>
        <w:pStyle w:val="8"/>
        <w:rPr>
          <w:rFonts w:hint="eastAsia" w:ascii="宋体" w:hAnsi="宋体" w:eastAsia="宋体" w:cs="宋体"/>
          <w:lang w:eastAsia="zh-CN"/>
        </w:rPr>
      </w:pPr>
      <w:r>
        <w:rPr>
          <w:rFonts w:hint="eastAsia" w:ascii="宋体" w:hAnsi="宋体" w:eastAsia="宋体" w:cs="宋体"/>
          <w:lang w:eastAsia="zh-CN"/>
        </w:rPr>
        <w:t>6.6.</w:t>
      </w:r>
      <w:r>
        <w:rPr>
          <w:rFonts w:hint="eastAsia" w:eastAsia="宋体" w:cs="宋体"/>
          <w:lang w:val="en-US" w:eastAsia="zh-CN"/>
        </w:rPr>
        <w:t>5</w:t>
      </w:r>
      <w:r>
        <w:rPr>
          <w:rFonts w:hint="eastAsia" w:ascii="宋体" w:hAnsi="宋体" w:eastAsia="宋体" w:cs="宋体"/>
          <w:lang w:eastAsia="zh-CN"/>
        </w:rPr>
        <w:t>.5 生物多样性影响分析</w:t>
      </w:r>
    </w:p>
    <w:p>
      <w:pPr>
        <w:ind w:firstLine="560"/>
        <w:rPr>
          <w:rFonts w:hint="eastAsia" w:ascii="宋体" w:hAnsi="宋体" w:eastAsia="宋体" w:cs="宋体"/>
          <w:lang w:eastAsia="zh-CN"/>
        </w:rPr>
      </w:pPr>
      <w:r>
        <w:rPr>
          <w:rFonts w:hint="eastAsia" w:ascii="宋体" w:hAnsi="宋体" w:eastAsia="宋体" w:cs="宋体"/>
          <w:lang w:eastAsia="zh-CN"/>
        </w:rPr>
        <w:t>由于现有工程植物生境的破坏，使得植被覆盖率降低，植物生产能力下降，生物多样性降低，从而导致环境功能的下降，再加上动物的迁移，使矿区范围内的总生物量减少，对局部区域的生物量有一定影响。然该地方现存的植物物种是周边地区常见的物种，生态调查未发现区域范围内有受保护的珍惜植物。只要项目注意及时利用当地植被物种进行复垦绿化，不会对当地及邻近地区植物种类的生存和繁衍造成严重影响。另外，项目周边地区环境条件类似，野生动物可就近迁入周边地区继续生存繁衍，对整个地区生态系统的功能和稳定性不会产生大的影响，也不会引起物种的损失。</w:t>
      </w:r>
    </w:p>
    <w:p>
      <w:pPr>
        <w:pStyle w:val="8"/>
        <w:rPr>
          <w:rFonts w:hint="eastAsia" w:ascii="宋体" w:hAnsi="宋体" w:eastAsia="宋体" w:cs="宋体"/>
          <w:lang w:eastAsia="zh-CN"/>
        </w:rPr>
      </w:pPr>
      <w:r>
        <w:rPr>
          <w:rFonts w:hint="eastAsia" w:ascii="宋体" w:hAnsi="宋体" w:eastAsia="宋体" w:cs="宋体"/>
          <w:lang w:eastAsia="zh-CN"/>
        </w:rPr>
        <w:t>6.6.</w:t>
      </w:r>
      <w:r>
        <w:rPr>
          <w:rFonts w:hint="eastAsia" w:eastAsia="宋体" w:cs="宋体"/>
          <w:lang w:val="en-US" w:eastAsia="zh-CN"/>
        </w:rPr>
        <w:t>5</w:t>
      </w:r>
      <w:r>
        <w:rPr>
          <w:rFonts w:hint="eastAsia" w:ascii="宋体" w:hAnsi="宋体" w:eastAsia="宋体" w:cs="宋体"/>
          <w:lang w:eastAsia="zh-CN"/>
        </w:rPr>
        <w:t>.6 对土壤影响分析</w:t>
      </w:r>
    </w:p>
    <w:p>
      <w:pPr>
        <w:ind w:firstLine="560"/>
        <w:rPr>
          <w:rFonts w:hint="eastAsia" w:ascii="宋体" w:hAnsi="宋体" w:eastAsia="宋体" w:cs="宋体"/>
          <w:lang w:eastAsia="zh-CN"/>
        </w:rPr>
      </w:pPr>
      <w:r>
        <w:rPr>
          <w:rFonts w:hint="eastAsia" w:ascii="宋体" w:hAnsi="宋体" w:eastAsia="宋体" w:cs="宋体"/>
          <w:lang w:eastAsia="zh-CN"/>
        </w:rPr>
        <w:t>矿山产生的废渣、废水、粉尘有害组分少，含量低，废渣堆稳定，不易污染水、土环境。废石中不含有害成分，经降雨产生的淋滤液对周边土地无污染。</w:t>
      </w:r>
    </w:p>
    <w:p>
      <w:pPr>
        <w:ind w:firstLine="560"/>
        <w:rPr>
          <w:rFonts w:hint="eastAsia" w:ascii="宋体" w:hAnsi="宋体" w:eastAsia="宋体" w:cs="宋体"/>
          <w:lang w:eastAsia="zh-CN"/>
        </w:rPr>
      </w:pPr>
      <w:r>
        <w:rPr>
          <w:rFonts w:hint="eastAsia" w:ascii="宋体" w:hAnsi="宋体" w:eastAsia="宋体" w:cs="宋体"/>
          <w:lang w:eastAsia="zh-CN"/>
        </w:rPr>
        <w:t>生活废水由于排放量小，经一定时间可氧化分解。生产废水和废石中不含有放射性物质和其他对人畜有害的物质，对土壤和环境不会产生危害。矿山采用地下开采，对土壤未产生污染，今后也不会产生明显影响。矿山工程活动主要为地下采矿，地表工程活动较少，各构（建）筑物占地面积小，地表变形小，程度轻，对土壤环境质量影响小。</w:t>
      </w:r>
    </w:p>
    <w:p>
      <w:pPr>
        <w:pStyle w:val="8"/>
        <w:rPr>
          <w:rFonts w:hint="eastAsia" w:ascii="宋体" w:hAnsi="宋体" w:eastAsia="宋体" w:cs="宋体"/>
          <w:lang w:eastAsia="zh-CN"/>
        </w:rPr>
      </w:pPr>
      <w:r>
        <w:rPr>
          <w:rFonts w:hint="eastAsia" w:ascii="宋体" w:hAnsi="宋体" w:eastAsia="宋体" w:cs="宋体"/>
          <w:lang w:eastAsia="zh-CN"/>
        </w:rPr>
        <w:t>6.6.4.7 对景观的影响</w:t>
      </w:r>
    </w:p>
    <w:p>
      <w:pPr>
        <w:ind w:firstLine="560"/>
        <w:rPr>
          <w:rFonts w:hint="eastAsia" w:ascii="宋体" w:hAnsi="宋体" w:eastAsia="宋体" w:cs="宋体"/>
          <w:lang w:eastAsia="zh-CN"/>
        </w:rPr>
      </w:pPr>
      <w:r>
        <w:rPr>
          <w:rFonts w:hint="eastAsia" w:ascii="宋体" w:hAnsi="宋体" w:eastAsia="宋体" w:cs="宋体"/>
          <w:lang w:eastAsia="zh-CN"/>
        </w:rPr>
        <w:t>运营期景观没有变化，以道路为廊道，以草地、园地、林地、交通运输用地、城镇村及工矿用地为斑块的景观生态系统。</w:t>
      </w:r>
    </w:p>
    <w:p>
      <w:pPr>
        <w:pStyle w:val="8"/>
        <w:rPr>
          <w:rFonts w:hint="eastAsia" w:ascii="宋体" w:hAnsi="宋体" w:eastAsia="宋体" w:cs="宋体"/>
          <w:lang w:eastAsia="zh-CN"/>
        </w:rPr>
      </w:pPr>
      <w:r>
        <w:rPr>
          <w:rFonts w:hint="eastAsia" w:ascii="宋体" w:hAnsi="宋体" w:eastAsia="宋体" w:cs="宋体"/>
          <w:lang w:eastAsia="zh-CN"/>
        </w:rPr>
        <w:t>6.6.4.8 地面塌陷影响分析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采用上向水平分层充填采矿法，采用废石、尾砂胶结充填，采空区充填率不低于90%，根据地质土地复垦方案，矿山建设和生产可能引发或加剧采空塌陷及伴生地裂缝地质灾害可能性小，因此，地面塌陷对生态环境影响较小。</w:t>
      </w:r>
    </w:p>
    <w:p>
      <w:pPr>
        <w:pStyle w:val="7"/>
        <w:rPr>
          <w:rFonts w:hint="eastAsia" w:ascii="宋体" w:hAnsi="宋体" w:eastAsia="宋体" w:cs="宋体"/>
          <w:lang w:eastAsia="zh-CN"/>
        </w:rPr>
      </w:pPr>
      <w:r>
        <w:rPr>
          <w:rFonts w:hint="eastAsia" w:ascii="宋体" w:hAnsi="宋体" w:eastAsia="宋体" w:cs="宋体"/>
          <w:lang w:eastAsia="zh-CN"/>
        </w:rPr>
        <w:t>6.6.6 服务期满后生态环境影响评价</w:t>
      </w:r>
    </w:p>
    <w:p>
      <w:pPr>
        <w:ind w:firstLine="560"/>
        <w:rPr>
          <w:rFonts w:hint="eastAsia" w:ascii="宋体" w:hAnsi="宋体" w:eastAsia="宋体" w:cs="宋体"/>
          <w:lang w:eastAsia="zh-CN"/>
        </w:rPr>
      </w:pPr>
      <w:r>
        <w:rPr>
          <w:rFonts w:hint="eastAsia" w:ascii="宋体" w:hAnsi="宋体" w:eastAsia="宋体" w:cs="宋体"/>
          <w:lang w:eastAsia="zh-CN"/>
        </w:rPr>
        <w:t>矿山服务年限为43年。矿山服务期满以后，采矿工业场地对于地表的扰动也随之结束，对生态环境在平面和立体两个方向的扰动基本趋于稳定。服务期满后由于对采矿区工业场地地面建筑等予以部分拆除，并进行植被恢复或者土地复垦，矿区的生态环境虽然暂时不能完全恢复到原来的状态，但经过一段时间后，随着植被量的增加，生态结构和功能得到优化，生态系统连通性和完整性有所增加。矿山服务期满后，矿区对周围生态环境的影响在原有程度范围内将不会再产生新的不利影响产生。由于建设单位已委托单位编制出完善的土地复垦规划，对受扰动区域将进行全面的整治、绿化措施，矿区整体的环境状况将会逐渐得到改善。</w:t>
      </w:r>
    </w:p>
    <w:p>
      <w:pPr>
        <w:pStyle w:val="7"/>
        <w:rPr>
          <w:rFonts w:hint="eastAsia" w:ascii="宋体" w:hAnsi="宋体" w:eastAsia="宋体" w:cs="宋体"/>
          <w:lang w:eastAsia="zh-CN"/>
        </w:rPr>
      </w:pPr>
      <w:r>
        <w:rPr>
          <w:rFonts w:hint="eastAsia" w:ascii="宋体" w:hAnsi="宋体" w:eastAsia="宋体" w:cs="宋体"/>
          <w:lang w:eastAsia="zh-CN"/>
        </w:rPr>
        <w:t>6.6.7 生态保护措施</w:t>
      </w:r>
    </w:p>
    <w:p>
      <w:pPr>
        <w:pStyle w:val="8"/>
        <w:rPr>
          <w:rFonts w:hint="eastAsia" w:ascii="宋体" w:hAnsi="宋体" w:eastAsia="宋体" w:cs="宋体"/>
          <w:lang w:eastAsia="zh-CN"/>
        </w:rPr>
      </w:pPr>
      <w:r>
        <w:rPr>
          <w:rFonts w:hint="eastAsia" w:ascii="宋体" w:hAnsi="宋体" w:eastAsia="宋体" w:cs="宋体"/>
          <w:lang w:eastAsia="zh-CN"/>
        </w:rPr>
        <w:t>6.6.7.1 生态影响的减缓与防护措施</w:t>
      </w:r>
    </w:p>
    <w:p>
      <w:pPr>
        <w:ind w:firstLine="560"/>
        <w:rPr>
          <w:rFonts w:hint="eastAsia" w:ascii="宋体" w:hAnsi="宋体" w:eastAsia="宋体" w:cs="宋体"/>
          <w:lang w:eastAsia="zh-CN"/>
        </w:rPr>
      </w:pPr>
      <w:r>
        <w:rPr>
          <w:rFonts w:hint="eastAsia" w:ascii="宋体" w:hAnsi="宋体" w:eastAsia="宋体" w:cs="宋体"/>
          <w:lang w:eastAsia="zh-CN"/>
        </w:rPr>
        <w:t>（1）施工区的临时堆料场、施工车辆、新开辟的临时施工便道，新搭建的施工营地应集中安置，尽量避免随处而放或零散放置；施工人员的生活垃圾应进行统一处理后，集中运出施工区以外，杜绝随意乱丢乱扔，压毁耕地植被。</w:t>
      </w:r>
    </w:p>
    <w:p>
      <w:pPr>
        <w:ind w:firstLine="560"/>
        <w:rPr>
          <w:rFonts w:hint="eastAsia" w:ascii="宋体" w:hAnsi="宋体" w:eastAsia="宋体" w:cs="宋体"/>
          <w:lang w:eastAsia="zh-CN"/>
        </w:rPr>
      </w:pPr>
      <w:r>
        <w:rPr>
          <w:rFonts w:hint="eastAsia" w:ascii="宋体" w:hAnsi="宋体" w:eastAsia="宋体" w:cs="宋体"/>
          <w:lang w:eastAsia="zh-CN"/>
        </w:rPr>
        <w:t>（2）施工时，施工活动要保证在征地范围内进行，施工便道及临时占地要尽量缩小范围。减少对耕地的占用，加强对植被的保护。</w:t>
      </w:r>
    </w:p>
    <w:p>
      <w:pPr>
        <w:ind w:firstLine="560"/>
        <w:rPr>
          <w:rFonts w:hint="eastAsia" w:ascii="宋体" w:hAnsi="宋体" w:eastAsia="宋体" w:cs="宋体"/>
          <w:lang w:eastAsia="zh-CN"/>
        </w:rPr>
      </w:pPr>
      <w:r>
        <w:rPr>
          <w:rFonts w:hint="eastAsia" w:ascii="宋体" w:hAnsi="宋体" w:eastAsia="宋体" w:cs="宋体"/>
          <w:lang w:eastAsia="zh-CN"/>
        </w:rPr>
        <w:t>（3）对表土进行保护和利用。</w:t>
      </w:r>
      <w:r>
        <w:rPr>
          <w:rFonts w:hint="eastAsia" w:cs="宋体"/>
          <w:lang w:eastAsia="zh-CN"/>
        </w:rPr>
        <w:t>本项目</w:t>
      </w:r>
      <w:r>
        <w:rPr>
          <w:rFonts w:hint="eastAsia" w:ascii="宋体" w:hAnsi="宋体" w:eastAsia="宋体" w:cs="宋体"/>
          <w:lang w:eastAsia="zh-CN"/>
        </w:rPr>
        <w:t>表土剥离区主要为采选工业场地、风井工业场地。表土堆存区进行遮盖，防止水土流失。</w:t>
      </w:r>
    </w:p>
    <w:p>
      <w:pPr>
        <w:ind w:firstLine="560"/>
        <w:rPr>
          <w:rFonts w:hint="eastAsia" w:ascii="宋体" w:hAnsi="宋体" w:eastAsia="宋体" w:cs="宋体"/>
          <w:lang w:eastAsia="zh-CN"/>
        </w:rPr>
      </w:pPr>
      <w:r>
        <w:rPr>
          <w:rFonts w:hint="eastAsia" w:ascii="宋体" w:hAnsi="宋体" w:eastAsia="宋体" w:cs="宋体"/>
          <w:lang w:eastAsia="zh-CN"/>
        </w:rPr>
        <w:t>（4）绿化措施。加强工程区绿化，采取乔、灌、草结合的形式进行绿化。在“适地适树、适地适草”的原则下，树种、草种的选择应对该地区的地形、土壤和气候条件经过详细的调查，以当地优良乡土树种为主，适当引进新的优良树种、草种，保证绿化栽植的成活率。</w:t>
      </w:r>
    </w:p>
    <w:p>
      <w:pPr>
        <w:ind w:firstLine="560"/>
        <w:rPr>
          <w:rFonts w:hint="eastAsia" w:ascii="宋体" w:hAnsi="宋体" w:eastAsia="宋体" w:cs="宋体"/>
          <w:lang w:eastAsia="zh-CN"/>
        </w:rPr>
      </w:pPr>
      <w:r>
        <w:rPr>
          <w:rFonts w:hint="eastAsia" w:ascii="宋体" w:hAnsi="宋体" w:eastAsia="宋体" w:cs="宋体"/>
          <w:lang w:eastAsia="zh-CN"/>
        </w:rPr>
        <w:t>（5）管理措施。在工程管理机构，应设置生态管理人员，建立各种管理及报告制度，开展对工程影响区的环境教育，提高工作人员和管理人员环境意识。通过动态监测和完善管理，使生态向良性或有利方向发展。</w:t>
      </w:r>
    </w:p>
    <w:p>
      <w:pPr>
        <w:pStyle w:val="8"/>
        <w:rPr>
          <w:rFonts w:hint="eastAsia" w:ascii="宋体" w:hAnsi="宋体" w:eastAsia="宋体" w:cs="宋体"/>
          <w:lang w:eastAsia="zh-CN"/>
        </w:rPr>
      </w:pPr>
      <w:r>
        <w:rPr>
          <w:rFonts w:hint="eastAsia" w:ascii="宋体" w:hAnsi="宋体" w:eastAsia="宋体" w:cs="宋体"/>
          <w:lang w:eastAsia="zh-CN"/>
        </w:rPr>
        <w:t>6.6.7.2 生态恢复措施</w:t>
      </w:r>
    </w:p>
    <w:p>
      <w:pPr>
        <w:ind w:firstLine="562"/>
        <w:rPr>
          <w:rFonts w:hint="eastAsia" w:ascii="宋体" w:hAnsi="宋体" w:eastAsia="宋体" w:cs="宋体"/>
          <w:b/>
          <w:bCs/>
          <w:lang w:eastAsia="zh-CN"/>
        </w:rPr>
      </w:pPr>
      <w:r>
        <w:rPr>
          <w:rFonts w:hint="eastAsia" w:ascii="宋体" w:hAnsi="宋体" w:eastAsia="宋体" w:cs="宋体"/>
          <w:b/>
          <w:bCs/>
          <w:lang w:eastAsia="zh-CN"/>
        </w:rPr>
        <w:t>1、土地复垦方案</w:t>
      </w:r>
    </w:p>
    <w:p>
      <w:pPr>
        <w:ind w:firstLine="560"/>
        <w:rPr>
          <w:rFonts w:hint="eastAsia" w:ascii="宋体" w:hAnsi="宋体" w:eastAsia="宋体" w:cs="宋体"/>
          <w:lang w:eastAsia="zh-CN"/>
        </w:rPr>
      </w:pPr>
      <w:r>
        <w:rPr>
          <w:rFonts w:hint="eastAsia" w:ascii="宋体" w:hAnsi="宋体" w:eastAsia="宋体" w:cs="宋体"/>
          <w:lang w:eastAsia="zh-CN"/>
        </w:rPr>
        <w:t>建设单位委托淄博杲坤地质勘察工程有限公司编制了《莱钢集团鲁南矿业有限公司王峪矿区铁矿矿山地质环境保护与土地复垦方案》，并于 2020年7月5日通过专家评审，见附件。</w:t>
      </w:r>
    </w:p>
    <w:p>
      <w:pPr>
        <w:ind w:firstLine="560"/>
        <w:rPr>
          <w:rFonts w:hint="eastAsia" w:ascii="宋体" w:hAnsi="宋体" w:eastAsia="宋体" w:cs="宋体"/>
          <w:lang w:eastAsia="zh-CN"/>
        </w:rPr>
      </w:pPr>
      <w:r>
        <w:rPr>
          <w:rFonts w:hint="eastAsia" w:ascii="宋体" w:hAnsi="宋体" w:eastAsia="宋体" w:cs="宋体"/>
          <w:lang w:eastAsia="zh-CN"/>
        </w:rPr>
        <w:t>（1）复垦区范围</w:t>
      </w:r>
    </w:p>
    <w:p>
      <w:pPr>
        <w:ind w:firstLine="560"/>
        <w:rPr>
          <w:rFonts w:hint="eastAsia" w:ascii="宋体" w:hAnsi="宋体" w:eastAsia="宋体" w:cs="宋体"/>
          <w:lang w:eastAsia="zh-CN"/>
        </w:rPr>
      </w:pPr>
      <w:r>
        <w:rPr>
          <w:rFonts w:hint="eastAsia" w:ascii="宋体" w:hAnsi="宋体" w:eastAsia="宋体" w:cs="宋体"/>
          <w:lang w:eastAsia="zh-CN"/>
        </w:rPr>
        <w:t>根据土地损毁分析与预测结果，项目区对土地的损毁主要表现为王峪北风井工业场地、王峪中央回风井工业场地、王峪南风井工业场地和王峪皮带斜井工业场地。</w:t>
      </w:r>
      <w:r>
        <w:rPr>
          <w:rFonts w:hint="eastAsia" w:cs="宋体"/>
          <w:lang w:eastAsia="zh-CN"/>
        </w:rPr>
        <w:t>本项目</w:t>
      </w:r>
      <w:r>
        <w:rPr>
          <w:rFonts w:hint="eastAsia" w:ascii="宋体" w:hAnsi="宋体" w:eastAsia="宋体" w:cs="宋体"/>
          <w:lang w:eastAsia="zh-CN"/>
        </w:rPr>
        <w:t>土地损毁程度具体见表6.6.7-2。</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表6.6.7-2 </w:t>
      </w:r>
      <w:r>
        <w:rPr>
          <w:rFonts w:hint="eastAsia" w:cs="宋体"/>
          <w:b/>
          <w:bCs/>
          <w:sz w:val="24"/>
          <w:lang w:eastAsia="zh-CN"/>
        </w:rPr>
        <w:t>本项目</w:t>
      </w:r>
      <w:r>
        <w:rPr>
          <w:rFonts w:hint="eastAsia" w:ascii="宋体" w:hAnsi="宋体" w:eastAsia="宋体" w:cs="宋体"/>
          <w:b/>
          <w:bCs/>
          <w:sz w:val="24"/>
          <w:lang w:eastAsia="zh-CN"/>
        </w:rPr>
        <w:t>土地损毁程度汇总表</w:t>
      </w:r>
    </w:p>
    <w:tbl>
      <w:tblPr>
        <w:tblStyle w:val="2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2"/>
        <w:gridCol w:w="1180"/>
        <w:gridCol w:w="1423"/>
        <w:gridCol w:w="1791"/>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6" w:type="pct"/>
            <w:tcBorders>
              <w:top w:val="single" w:color="auto" w:sz="12" w:space="0"/>
              <w:lef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复垦单元</w:t>
            </w:r>
          </w:p>
        </w:tc>
        <w:tc>
          <w:tcPr>
            <w:tcW w:w="635" w:type="pct"/>
            <w:tcBorders>
              <w:top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损毁方式</w:t>
            </w:r>
          </w:p>
        </w:tc>
        <w:tc>
          <w:tcPr>
            <w:tcW w:w="766" w:type="pct"/>
            <w:tcBorders>
              <w:top w:val="single" w:color="auto" w:sz="12" w:space="0"/>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损毁程度</w:t>
            </w:r>
          </w:p>
        </w:tc>
        <w:tc>
          <w:tcPr>
            <w:tcW w:w="964" w:type="pct"/>
            <w:tcBorders>
              <w:top w:val="single" w:color="auto" w:sz="12" w:space="0"/>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损毁类型</w:t>
            </w:r>
          </w:p>
        </w:tc>
        <w:tc>
          <w:tcPr>
            <w:tcW w:w="1086" w:type="pct"/>
            <w:tcBorders>
              <w:top w:val="single" w:color="auto" w:sz="12" w:space="0"/>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损毁面积（hm</w:t>
            </w:r>
            <w:r>
              <w:rPr>
                <w:rFonts w:hint="eastAsia" w:ascii="宋体" w:hAnsi="宋体" w:eastAsia="宋体" w:cs="宋体"/>
                <w:b/>
                <w:bCs/>
                <w:sz w:val="21"/>
                <w:szCs w:val="21"/>
                <w:vertAlign w:val="superscript"/>
                <w:lang w:eastAsia="zh-CN"/>
              </w:rPr>
              <w:t>2</w:t>
            </w:r>
            <w:r>
              <w:rPr>
                <w:rFonts w:hint="eastAsia" w:ascii="宋体" w:hAnsi="宋体" w:eastAsia="宋体" w:cs="宋体"/>
                <w:b/>
                <w:bCs/>
                <w:sz w:val="21"/>
                <w:szCs w:val="21"/>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6" w:type="pct"/>
            <w:tcBorders>
              <w:lef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王峪北风井工业场地</w:t>
            </w:r>
          </w:p>
        </w:tc>
        <w:tc>
          <w:tcPr>
            <w:tcW w:w="635"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压占</w:t>
            </w:r>
          </w:p>
        </w:tc>
        <w:tc>
          <w:tcPr>
            <w:tcW w:w="766"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重度</w:t>
            </w:r>
          </w:p>
        </w:tc>
        <w:tc>
          <w:tcPr>
            <w:tcW w:w="964"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采矿用地</w:t>
            </w:r>
          </w:p>
        </w:tc>
        <w:tc>
          <w:tcPr>
            <w:tcW w:w="1086"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6" w:type="pct"/>
            <w:tcBorders>
              <w:lef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王峪中央回风井工业场地</w:t>
            </w:r>
          </w:p>
        </w:tc>
        <w:tc>
          <w:tcPr>
            <w:tcW w:w="635"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压占</w:t>
            </w:r>
          </w:p>
        </w:tc>
        <w:tc>
          <w:tcPr>
            <w:tcW w:w="76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重度</w:t>
            </w:r>
          </w:p>
        </w:tc>
        <w:tc>
          <w:tcPr>
            <w:tcW w:w="964"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采矿用地</w:t>
            </w:r>
          </w:p>
        </w:tc>
        <w:tc>
          <w:tcPr>
            <w:tcW w:w="1086"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6" w:type="pct"/>
            <w:vMerge w:val="restart"/>
            <w:tcBorders>
              <w:lef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王峪南风井工业场地</w:t>
            </w:r>
          </w:p>
        </w:tc>
        <w:tc>
          <w:tcPr>
            <w:tcW w:w="635"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压占</w:t>
            </w:r>
          </w:p>
        </w:tc>
        <w:tc>
          <w:tcPr>
            <w:tcW w:w="76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重度</w:t>
            </w:r>
          </w:p>
        </w:tc>
        <w:tc>
          <w:tcPr>
            <w:tcW w:w="964"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采矿用地</w:t>
            </w:r>
          </w:p>
        </w:tc>
        <w:tc>
          <w:tcPr>
            <w:tcW w:w="1086"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6" w:type="pct"/>
            <w:vMerge w:val="continue"/>
            <w:tcBorders>
              <w:lef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635"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压占</w:t>
            </w:r>
          </w:p>
        </w:tc>
        <w:tc>
          <w:tcPr>
            <w:tcW w:w="76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重度</w:t>
            </w:r>
          </w:p>
        </w:tc>
        <w:tc>
          <w:tcPr>
            <w:tcW w:w="964"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其他草地</w:t>
            </w:r>
          </w:p>
        </w:tc>
        <w:tc>
          <w:tcPr>
            <w:tcW w:w="1086"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6" w:type="pct"/>
            <w:tcBorders>
              <w:lef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王峪皮带斜井工业场地</w:t>
            </w:r>
          </w:p>
        </w:tc>
        <w:tc>
          <w:tcPr>
            <w:tcW w:w="635"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压占</w:t>
            </w:r>
          </w:p>
        </w:tc>
        <w:tc>
          <w:tcPr>
            <w:tcW w:w="766" w:type="pct"/>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重度</w:t>
            </w:r>
          </w:p>
        </w:tc>
        <w:tc>
          <w:tcPr>
            <w:tcW w:w="964"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农村宅基地</w:t>
            </w:r>
          </w:p>
        </w:tc>
        <w:tc>
          <w:tcPr>
            <w:tcW w:w="1086" w:type="pct"/>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6" w:type="pct"/>
            <w:tcBorders>
              <w:left w:val="single" w:color="auto" w:sz="12" w:space="0"/>
              <w:bottom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合计</w:t>
            </w:r>
          </w:p>
        </w:tc>
        <w:tc>
          <w:tcPr>
            <w:tcW w:w="635" w:type="pct"/>
            <w:tcBorders>
              <w:left w:val="single" w:color="auto" w:sz="12" w:space="0"/>
              <w:bottom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766" w:type="pct"/>
            <w:tcBorders>
              <w:bottom w:val="single" w:color="auto" w:sz="12" w:space="0"/>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964" w:type="pct"/>
            <w:tcBorders>
              <w:bottom w:val="single" w:color="auto" w:sz="12" w:space="0"/>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w:t>
            </w:r>
          </w:p>
        </w:tc>
        <w:tc>
          <w:tcPr>
            <w:tcW w:w="1086" w:type="pct"/>
            <w:tcBorders>
              <w:bottom w:val="single" w:color="auto" w:sz="12" w:space="0"/>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1.99</w:t>
            </w:r>
          </w:p>
        </w:tc>
      </w:tr>
    </w:tbl>
    <w:p>
      <w:pPr>
        <w:ind w:firstLine="560"/>
        <w:rPr>
          <w:rFonts w:hint="eastAsia" w:ascii="宋体" w:hAnsi="宋体" w:eastAsia="宋体" w:cs="宋体"/>
          <w:lang w:eastAsia="zh-CN"/>
        </w:rPr>
      </w:pPr>
      <w:r>
        <w:rPr>
          <w:rFonts w:hint="eastAsia" w:ascii="宋体" w:hAnsi="宋体" w:eastAsia="宋体" w:cs="宋体"/>
          <w:lang w:eastAsia="zh-CN"/>
        </w:rPr>
        <w:t>（2）影响程度</w:t>
      </w:r>
    </w:p>
    <w:p>
      <w:pPr>
        <w:ind w:firstLine="560"/>
        <w:rPr>
          <w:rFonts w:hint="eastAsia" w:ascii="宋体" w:hAnsi="宋体" w:eastAsia="宋体" w:cs="宋体"/>
          <w:lang w:eastAsia="zh-CN"/>
        </w:rPr>
      </w:pPr>
      <w:r>
        <w:rPr>
          <w:rFonts w:hint="eastAsia" w:ascii="宋体" w:hAnsi="宋体" w:eastAsia="宋体" w:cs="宋体"/>
          <w:lang w:eastAsia="zh-CN"/>
        </w:rPr>
        <w:t>王峪矿段含水层影响范围，包含王峪北风井工业场地、王峪中央回风井工业场地、王峪南风井工业场地，总面积约为55.41hm2，为现状评估和预测评估的较严重区，地质灾害危险性为小；含水层破坏为较严重；地质地貌景观影响较轻；水土污染影响较轻。将其作为矿山地质环境重点防治区。闭坑后建（构）筑物拆除、井筒封闭、复耕为旱地。加强水土污染监测，进行地下水监测。</w:t>
      </w:r>
    </w:p>
    <w:p>
      <w:pPr>
        <w:ind w:firstLine="560"/>
        <w:rPr>
          <w:rFonts w:hint="eastAsia" w:ascii="宋体" w:hAnsi="宋体" w:eastAsia="宋体" w:cs="宋体"/>
          <w:lang w:eastAsia="zh-CN"/>
        </w:rPr>
      </w:pPr>
      <w:r>
        <w:rPr>
          <w:rFonts w:hint="eastAsia" w:ascii="宋体" w:hAnsi="宋体" w:eastAsia="宋体" w:cs="宋体"/>
          <w:lang w:eastAsia="zh-CN"/>
        </w:rPr>
        <w:t>（3）复垦措施</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根据地面占地土地损毁方式、程度等，对其进行复垦，采取的复垦措施均为：建（构）筑物拆除、砾石清理、覆土工程、土地平整。</w:t>
      </w:r>
    </w:p>
    <w:p>
      <w:pPr>
        <w:ind w:firstLine="560"/>
        <w:rPr>
          <w:rFonts w:hint="eastAsia" w:ascii="宋体" w:hAnsi="宋体" w:eastAsia="宋体" w:cs="宋体"/>
          <w:lang w:eastAsia="zh-CN"/>
        </w:rPr>
      </w:pPr>
      <w:r>
        <w:rPr>
          <w:rFonts w:hint="eastAsia" w:ascii="宋体" w:hAnsi="宋体" w:eastAsia="宋体" w:cs="宋体"/>
          <w:lang w:eastAsia="zh-CN"/>
        </w:rPr>
        <w:t>（4）矿山地质环境监测</w:t>
      </w:r>
    </w:p>
    <w:p>
      <w:pPr>
        <w:ind w:firstLine="560"/>
        <w:rPr>
          <w:rFonts w:hint="eastAsia" w:ascii="宋体" w:hAnsi="宋体" w:eastAsia="宋体" w:cs="宋体"/>
          <w:lang w:eastAsia="zh-CN"/>
        </w:rPr>
      </w:pPr>
      <w:r>
        <w:rPr>
          <w:rFonts w:hint="eastAsia" w:ascii="宋体" w:hAnsi="宋体" w:eastAsia="宋体" w:cs="宋体"/>
          <w:lang w:eastAsia="zh-CN"/>
        </w:rPr>
        <w:t>根据矿山地质环境现状及预测，未来矿区的生产将对地下含水层产生影响，因而，矿山环境监测包括地面变形监测、含水层监测、土壤污染监测。监测工作由山东省莱钢集团鲁南矿业有限公司负责并组织实施，并成立专职机构，加强对本方案实施的组织管理和行政管理。矿产资源管理部门负责监督管理。</w:t>
      </w:r>
    </w:p>
    <w:p>
      <w:pPr>
        <w:ind w:firstLine="560"/>
        <w:rPr>
          <w:rFonts w:hint="eastAsia" w:ascii="宋体" w:hAnsi="宋体" w:eastAsia="宋体" w:cs="宋体"/>
          <w:lang w:eastAsia="zh-CN"/>
        </w:rPr>
      </w:pPr>
      <w:r>
        <w:rPr>
          <w:rFonts w:hint="eastAsia" w:ascii="宋体" w:hAnsi="宋体" w:eastAsia="宋体" w:cs="宋体"/>
          <w:lang w:eastAsia="zh-CN"/>
        </w:rPr>
        <w:t>（5）结论</w:t>
      </w:r>
    </w:p>
    <w:p>
      <w:pPr>
        <w:ind w:firstLine="560"/>
        <w:rPr>
          <w:rFonts w:hint="eastAsia" w:ascii="宋体" w:hAnsi="宋体" w:eastAsia="宋体" w:cs="宋体"/>
          <w:lang w:eastAsia="zh-CN"/>
        </w:rPr>
      </w:pPr>
      <w:r>
        <w:rPr>
          <w:rFonts w:hint="eastAsia" w:ascii="宋体" w:hAnsi="宋体" w:eastAsia="宋体" w:cs="宋体"/>
          <w:lang w:eastAsia="zh-CN"/>
        </w:rPr>
        <w:t>矿山地质环境治理与复垦方案的实施，将达到改善生态环境、提高土地生产力、改善土地利用结构以及保障矿区生产安全生态效益。本次矿山地质环境治理与土地复垦方案实施后，使得矿区够达到土地复垦、生态重建的目的。</w:t>
      </w:r>
    </w:p>
    <w:p>
      <w:pPr>
        <w:numPr>
          <w:ilvl w:val="0"/>
          <w:numId w:val="23"/>
        </w:numPr>
        <w:ind w:firstLine="562" w:firstLineChars="0"/>
        <w:rPr>
          <w:rFonts w:hint="eastAsia" w:ascii="宋体" w:hAnsi="宋体" w:eastAsia="宋体" w:cs="宋体"/>
          <w:b/>
          <w:bCs/>
          <w:lang w:eastAsia="zh-CN"/>
        </w:rPr>
      </w:pPr>
      <w:r>
        <w:rPr>
          <w:rFonts w:hint="eastAsia" w:ascii="宋体" w:hAnsi="宋体" w:eastAsia="宋体" w:cs="宋体"/>
          <w:b/>
          <w:bCs/>
          <w:lang w:eastAsia="zh-CN"/>
        </w:rPr>
        <w:t>水土保持</w:t>
      </w:r>
    </w:p>
    <w:p>
      <w:pPr>
        <w:ind w:firstLine="560"/>
        <w:rPr>
          <w:rFonts w:hint="eastAsia" w:ascii="宋体" w:hAnsi="宋体" w:eastAsia="宋体" w:cs="宋体"/>
          <w:lang w:eastAsia="zh-CN"/>
        </w:rPr>
      </w:pPr>
      <w:r>
        <w:rPr>
          <w:rFonts w:hint="eastAsia" w:ascii="宋体" w:hAnsi="宋体" w:eastAsia="宋体" w:cs="宋体"/>
          <w:lang w:eastAsia="zh-CN"/>
        </w:rPr>
        <w:t>（1）水土流失防治责任范围</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水土流失防治责任范围见表6.6.7-3。</w:t>
      </w:r>
    </w:p>
    <w:p>
      <w:pPr>
        <w:pStyle w:val="2"/>
        <w:spacing w:after="0" w:line="36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表6.6.7-3 </w:t>
      </w:r>
      <w:r>
        <w:rPr>
          <w:rFonts w:hint="eastAsia" w:cs="宋体"/>
          <w:b/>
          <w:bCs/>
          <w:sz w:val="24"/>
          <w:lang w:eastAsia="zh-CN"/>
        </w:rPr>
        <w:t>本项目</w:t>
      </w:r>
      <w:r>
        <w:rPr>
          <w:rFonts w:hint="eastAsia" w:ascii="宋体" w:hAnsi="宋体" w:eastAsia="宋体" w:cs="宋体"/>
          <w:b/>
          <w:bCs/>
          <w:sz w:val="24"/>
          <w:lang w:eastAsia="zh-CN"/>
        </w:rPr>
        <w:t>防治责任范围监测表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3510"/>
        <w:gridCol w:w="2322"/>
        <w:gridCol w:w="23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top w:val="single" w:color="auto" w:sz="12" w:space="0"/>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3510"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项目</w:t>
            </w:r>
          </w:p>
        </w:tc>
        <w:tc>
          <w:tcPr>
            <w:tcW w:w="2322"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占地性质</w:t>
            </w:r>
          </w:p>
        </w:tc>
        <w:tc>
          <w:tcPr>
            <w:tcW w:w="2322" w:type="dxa"/>
            <w:tcBorders>
              <w:top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面积（hm</w:t>
            </w:r>
            <w:r>
              <w:rPr>
                <w:rFonts w:hint="eastAsia" w:ascii="宋体" w:hAnsi="宋体" w:eastAsia="宋体" w:cs="宋体"/>
                <w:b/>
                <w:bCs/>
                <w:sz w:val="21"/>
                <w:szCs w:val="21"/>
                <w:vertAlign w:val="superscript"/>
                <w:lang w:eastAsia="zh-CN"/>
              </w:rPr>
              <w:t>2</w:t>
            </w:r>
            <w:r>
              <w:rPr>
                <w:rFonts w:hint="eastAsia" w:ascii="宋体" w:hAnsi="宋体" w:eastAsia="宋体" w:cs="宋体"/>
                <w:b/>
                <w:bCs/>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3510"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王峪主井工业场地</w:t>
            </w:r>
          </w:p>
        </w:tc>
        <w:tc>
          <w:tcPr>
            <w:tcW w:w="2322"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永久占地</w:t>
            </w:r>
          </w:p>
        </w:tc>
        <w:tc>
          <w:tcPr>
            <w:tcW w:w="2322" w:type="dxa"/>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3510"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王峪北进风井场地</w:t>
            </w:r>
          </w:p>
        </w:tc>
        <w:tc>
          <w:tcPr>
            <w:tcW w:w="2322"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永久占地</w:t>
            </w:r>
          </w:p>
        </w:tc>
        <w:tc>
          <w:tcPr>
            <w:tcW w:w="2322" w:type="dxa"/>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34" w:type="dxa"/>
            <w:tcBorders>
              <w:left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3510" w:type="dxa"/>
            <w:tcBorders>
              <w:bottom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王峪中央回风井场地</w:t>
            </w:r>
          </w:p>
        </w:tc>
        <w:tc>
          <w:tcPr>
            <w:tcW w:w="2322"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永久占地</w:t>
            </w:r>
          </w:p>
        </w:tc>
        <w:tc>
          <w:tcPr>
            <w:tcW w:w="2322" w:type="dxa"/>
            <w:tcBorders>
              <w:bottom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0.76</w:t>
            </w:r>
          </w:p>
        </w:tc>
      </w:tr>
    </w:tbl>
    <w:p>
      <w:pPr>
        <w:ind w:left="560" w:firstLine="0" w:firstLineChars="0"/>
        <w:rPr>
          <w:rFonts w:hint="eastAsia" w:ascii="宋体" w:hAnsi="宋体" w:eastAsia="宋体" w:cs="宋体"/>
          <w:lang w:eastAsia="zh-CN"/>
        </w:rPr>
      </w:pPr>
      <w:r>
        <w:rPr>
          <w:rFonts w:hint="eastAsia" w:ascii="宋体" w:hAnsi="宋体" w:eastAsia="宋体" w:cs="宋体"/>
          <w:lang w:eastAsia="zh-CN"/>
        </w:rPr>
        <w:t>（2）水土保持措施</w:t>
      </w:r>
    </w:p>
    <w:p>
      <w:pPr>
        <w:pStyle w:val="2"/>
        <w:ind w:left="560" w:firstLine="0" w:firstLineChars="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采取了工程措施、植物措施和临时措施相结合的防护体系。项目实施的水土流失防治措施总体布局体系表如下：</w:t>
      </w:r>
    </w:p>
    <w:p>
      <w:pPr>
        <w:pStyle w:val="2"/>
        <w:spacing w:after="0" w:line="36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表6.6.7-4 项目水土流失防治措施总体布局体系一览表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225"/>
        <w:gridCol w:w="2326"/>
        <w:gridCol w:w="1888"/>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top w:val="single" w:color="auto" w:sz="12" w:space="0"/>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2225"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项目</w:t>
            </w:r>
          </w:p>
        </w:tc>
        <w:tc>
          <w:tcPr>
            <w:tcW w:w="2326" w:type="dxa"/>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工程措施</w:t>
            </w:r>
          </w:p>
        </w:tc>
        <w:tc>
          <w:tcPr>
            <w:tcW w:w="1888" w:type="dxa"/>
            <w:tcBorders>
              <w:top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植物措施</w:t>
            </w:r>
          </w:p>
        </w:tc>
        <w:tc>
          <w:tcPr>
            <w:tcW w:w="2138" w:type="dxa"/>
            <w:tcBorders>
              <w:top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临时措施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2225"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王峪主井工业场地</w:t>
            </w:r>
          </w:p>
        </w:tc>
        <w:tc>
          <w:tcPr>
            <w:tcW w:w="232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厂内排水沟、厂外排水沟、土地整治</w:t>
            </w:r>
          </w:p>
        </w:tc>
        <w:tc>
          <w:tcPr>
            <w:tcW w:w="1888" w:type="dxa"/>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场区绿化</w:t>
            </w:r>
          </w:p>
        </w:tc>
        <w:tc>
          <w:tcPr>
            <w:tcW w:w="2138" w:type="dxa"/>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临时道路防护、临时排水沟、表土剥离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2225"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王峪北进风井场地</w:t>
            </w:r>
          </w:p>
        </w:tc>
        <w:tc>
          <w:tcPr>
            <w:tcW w:w="2326"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土地整治</w:t>
            </w:r>
          </w:p>
        </w:tc>
        <w:tc>
          <w:tcPr>
            <w:tcW w:w="1888" w:type="dxa"/>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场区绿化</w:t>
            </w:r>
          </w:p>
        </w:tc>
        <w:tc>
          <w:tcPr>
            <w:tcW w:w="2138" w:type="dxa"/>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表土剥离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09" w:type="dxa"/>
            <w:tcBorders>
              <w:left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2225" w:type="dxa"/>
            <w:tcBorders>
              <w:bottom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王峪中央回风井场地</w:t>
            </w:r>
          </w:p>
        </w:tc>
        <w:tc>
          <w:tcPr>
            <w:tcW w:w="2326"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厂内排水沟、土地整治</w:t>
            </w:r>
          </w:p>
        </w:tc>
        <w:tc>
          <w:tcPr>
            <w:tcW w:w="1888" w:type="dxa"/>
            <w:tcBorders>
              <w:bottom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场区绿化</w:t>
            </w:r>
          </w:p>
        </w:tc>
        <w:tc>
          <w:tcPr>
            <w:tcW w:w="2138" w:type="dxa"/>
            <w:tcBorders>
              <w:bottom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表土剥离</w:t>
            </w:r>
          </w:p>
        </w:tc>
      </w:tr>
    </w:tbl>
    <w:p>
      <w:pPr>
        <w:ind w:firstLine="560"/>
        <w:rPr>
          <w:rFonts w:hint="eastAsia" w:ascii="宋体" w:hAnsi="宋体" w:eastAsia="宋体" w:cs="宋体"/>
          <w:lang w:eastAsia="zh-CN"/>
        </w:rPr>
      </w:pPr>
      <w:r>
        <w:rPr>
          <w:rFonts w:hint="eastAsia" w:ascii="宋体" w:hAnsi="宋体" w:eastAsia="宋体" w:cs="宋体"/>
          <w:lang w:eastAsia="zh-CN"/>
        </w:rPr>
        <w:t>（3）结论</w:t>
      </w:r>
    </w:p>
    <w:p>
      <w:pPr>
        <w:ind w:firstLine="560"/>
        <w:rPr>
          <w:rFonts w:hint="eastAsia" w:ascii="宋体" w:hAnsi="宋体" w:eastAsia="宋体" w:cs="宋体"/>
          <w:lang w:eastAsia="zh-CN"/>
        </w:rPr>
      </w:pPr>
      <w:r>
        <w:rPr>
          <w:rFonts w:hint="eastAsia" w:ascii="宋体" w:hAnsi="宋体" w:eastAsia="宋体" w:cs="宋体"/>
          <w:lang w:eastAsia="zh-CN"/>
        </w:rPr>
        <w:t>现有的各项水土保持工程措施已发挥作用，各防治分区没有产生水土流失危害，生产运营正常。</w:t>
      </w:r>
    </w:p>
    <w:p>
      <w:pPr>
        <w:pStyle w:val="7"/>
        <w:rPr>
          <w:rFonts w:hint="eastAsia" w:ascii="宋体" w:hAnsi="宋体" w:eastAsia="宋体" w:cs="宋体"/>
          <w:lang w:eastAsia="zh-CN"/>
        </w:rPr>
      </w:pPr>
      <w:r>
        <w:rPr>
          <w:rFonts w:hint="eastAsia" w:ascii="宋体" w:hAnsi="宋体" w:eastAsia="宋体" w:cs="宋体"/>
          <w:lang w:eastAsia="zh-CN"/>
        </w:rPr>
        <w:t>6.6.8 小结</w:t>
      </w:r>
    </w:p>
    <w:p>
      <w:pPr>
        <w:pStyle w:val="16"/>
        <w:ind w:firstLine="560"/>
        <w:rPr>
          <w:rFonts w:hint="eastAsia" w:ascii="宋体" w:hAnsi="宋体" w:eastAsia="宋体" w:cs="宋体"/>
        </w:rPr>
      </w:pPr>
      <w:r>
        <w:rPr>
          <w:rFonts w:hint="eastAsia" w:ascii="宋体" w:hAnsi="宋体" w:eastAsia="宋体" w:cs="宋体"/>
        </w:rPr>
        <w:t>根据现场勘查矿区范围内动植物主要为该区常见、广布种，未发现濒危珍稀保护动植物分布。矿区采用废石、尾砂胶结充填的方法可以有效控制地表变形，引发采空塌陷及地表裂缝的可能性极小。本次扩能工程新增地面工程占地均为工况用地，不会造成明显的土地利用情况的变化，对区域景观、动植物和生态环境影响较小。</w:t>
      </w:r>
    </w:p>
    <w:p>
      <w:pPr>
        <w:pStyle w:val="6"/>
        <w:rPr>
          <w:rFonts w:hint="eastAsia" w:ascii="宋体" w:hAnsi="宋体" w:eastAsia="宋体" w:cs="宋体"/>
          <w:lang w:eastAsia="zh-CN"/>
        </w:rPr>
      </w:pPr>
      <w:bookmarkStart w:id="169" w:name="_Toc262"/>
      <w:bookmarkStart w:id="170" w:name="_Toc16721"/>
      <w:r>
        <w:rPr>
          <w:rFonts w:hint="eastAsia" w:ascii="宋体" w:hAnsi="宋体" w:eastAsia="宋体" w:cs="宋体"/>
          <w:lang w:eastAsia="zh-CN"/>
        </w:rPr>
        <w:t>6.8 固体废物环境影响分析</w:t>
      </w:r>
      <w:bookmarkEnd w:id="169"/>
      <w:bookmarkEnd w:id="170"/>
    </w:p>
    <w:p>
      <w:pPr>
        <w:pStyle w:val="7"/>
        <w:rPr>
          <w:rFonts w:hint="eastAsia" w:ascii="宋体" w:hAnsi="宋体" w:eastAsia="宋体" w:cs="宋体"/>
          <w:lang w:eastAsia="zh-CN"/>
        </w:rPr>
      </w:pPr>
      <w:r>
        <w:rPr>
          <w:rFonts w:hint="eastAsia" w:ascii="宋体" w:hAnsi="宋体" w:eastAsia="宋体" w:cs="宋体"/>
          <w:lang w:eastAsia="zh-CN"/>
        </w:rPr>
        <w:t>6.8.1 固体废物的产生与处置</w:t>
      </w:r>
    </w:p>
    <w:p>
      <w:pPr>
        <w:pStyle w:val="2"/>
        <w:spacing w:after="0"/>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投产后，固体废物产生及处置情况详见表6.8.1-1。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表6.8.1-1 </w:t>
      </w:r>
      <w:r>
        <w:rPr>
          <w:rFonts w:hint="eastAsia" w:cs="宋体"/>
          <w:b/>
          <w:bCs/>
          <w:sz w:val="24"/>
          <w:lang w:eastAsia="zh-CN"/>
        </w:rPr>
        <w:t>本项目</w:t>
      </w:r>
      <w:r>
        <w:rPr>
          <w:rFonts w:hint="eastAsia" w:ascii="宋体" w:hAnsi="宋体" w:eastAsia="宋体" w:cs="宋体"/>
          <w:b/>
          <w:bCs/>
          <w:sz w:val="24"/>
          <w:lang w:eastAsia="zh-CN"/>
        </w:rPr>
        <w:t>固体废物产生与处置情况一览表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1112"/>
        <w:gridCol w:w="1113"/>
        <w:gridCol w:w="1146"/>
        <w:gridCol w:w="1822"/>
        <w:gridCol w:w="3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111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产生环节</w:t>
            </w:r>
          </w:p>
        </w:tc>
        <w:tc>
          <w:tcPr>
            <w:tcW w:w="1113"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名称</w:t>
            </w:r>
          </w:p>
        </w:tc>
        <w:tc>
          <w:tcPr>
            <w:tcW w:w="1146"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固废属性</w:t>
            </w:r>
          </w:p>
        </w:tc>
        <w:tc>
          <w:tcPr>
            <w:tcW w:w="182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产生量（t/a）</w:t>
            </w:r>
          </w:p>
        </w:tc>
        <w:tc>
          <w:tcPr>
            <w:tcW w:w="345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处理处置措施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11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采矿</w:t>
            </w:r>
          </w:p>
        </w:tc>
        <w:tc>
          <w:tcPr>
            <w:tcW w:w="1113"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废石</w:t>
            </w:r>
          </w:p>
        </w:tc>
        <w:tc>
          <w:tcPr>
            <w:tcW w:w="1146"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一般固废</w:t>
            </w:r>
          </w:p>
        </w:tc>
        <w:tc>
          <w:tcPr>
            <w:tcW w:w="182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8.5万</w:t>
            </w:r>
          </w:p>
        </w:tc>
        <w:tc>
          <w:tcPr>
            <w:tcW w:w="345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掘进废石不出坑，直接回填采空区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11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井下水仓</w:t>
            </w:r>
          </w:p>
        </w:tc>
        <w:tc>
          <w:tcPr>
            <w:tcW w:w="1113"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污泥</w:t>
            </w:r>
          </w:p>
        </w:tc>
        <w:tc>
          <w:tcPr>
            <w:tcW w:w="1146"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一般固废</w:t>
            </w:r>
          </w:p>
        </w:tc>
        <w:tc>
          <w:tcPr>
            <w:tcW w:w="182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85</w:t>
            </w:r>
          </w:p>
        </w:tc>
        <w:tc>
          <w:tcPr>
            <w:tcW w:w="345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直接回填采空区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111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涌水池</w:t>
            </w:r>
          </w:p>
        </w:tc>
        <w:tc>
          <w:tcPr>
            <w:tcW w:w="1113"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污泥</w:t>
            </w:r>
          </w:p>
        </w:tc>
        <w:tc>
          <w:tcPr>
            <w:tcW w:w="1146"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一般固废</w:t>
            </w:r>
          </w:p>
        </w:tc>
        <w:tc>
          <w:tcPr>
            <w:tcW w:w="182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115</w:t>
            </w:r>
          </w:p>
        </w:tc>
        <w:tc>
          <w:tcPr>
            <w:tcW w:w="345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及时运到选矿厂进行磁选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112" w:type="dxa"/>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设备维修</w:t>
            </w:r>
          </w:p>
        </w:tc>
        <w:tc>
          <w:tcPr>
            <w:tcW w:w="1113"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废矿物油</w:t>
            </w:r>
          </w:p>
        </w:tc>
        <w:tc>
          <w:tcPr>
            <w:tcW w:w="1146"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危险废物</w:t>
            </w:r>
          </w:p>
        </w:tc>
        <w:tc>
          <w:tcPr>
            <w:tcW w:w="182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0.5</w:t>
            </w:r>
          </w:p>
        </w:tc>
        <w:tc>
          <w:tcPr>
            <w:tcW w:w="3452" w:type="dxa"/>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暂存危废暂存间，并委托有资质单位处置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3" w:type="dxa"/>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1112" w:type="dxa"/>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1113"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废油桶</w:t>
            </w:r>
          </w:p>
        </w:tc>
        <w:tc>
          <w:tcPr>
            <w:tcW w:w="1146"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危险废物</w:t>
            </w:r>
          </w:p>
        </w:tc>
        <w:tc>
          <w:tcPr>
            <w:tcW w:w="1822"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0.4</w:t>
            </w:r>
          </w:p>
        </w:tc>
        <w:tc>
          <w:tcPr>
            <w:tcW w:w="3452" w:type="dxa"/>
            <w:vMerge w:val="continue"/>
            <w:vAlign w:val="center"/>
          </w:tcPr>
          <w:p>
            <w:pPr>
              <w:pStyle w:val="2"/>
              <w:keepNext w:val="0"/>
              <w:keepLines w:val="0"/>
              <w:suppressLineNumbers w:val="0"/>
              <w:spacing w:before="0" w:beforeAutospacing="0" w:after="0" w:afterAutospacing="0" w:line="240" w:lineRule="auto"/>
              <w:ind w:right="0" w:firstLine="0" w:firstLineChars="0"/>
              <w:jc w:val="both"/>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8" w:type="dxa"/>
            <w:gridSpan w:val="6"/>
            <w:vAlign w:val="center"/>
          </w:tcPr>
          <w:p>
            <w:pPr>
              <w:pStyle w:val="2"/>
              <w:keepNext w:val="0"/>
              <w:keepLines w:val="0"/>
              <w:suppressLineNumbers w:val="0"/>
              <w:spacing w:before="0" w:beforeAutospacing="0" w:after="0" w:afterAutospacing="0" w:line="240" w:lineRule="auto"/>
              <w:ind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备注：</w:t>
            </w:r>
            <w:r>
              <w:rPr>
                <w:rFonts w:hint="eastAsia" w:cs="宋体"/>
                <w:sz w:val="21"/>
                <w:szCs w:val="21"/>
                <w:lang w:eastAsia="zh-CN"/>
              </w:rPr>
              <w:t>本项目</w:t>
            </w:r>
            <w:r>
              <w:rPr>
                <w:rFonts w:hint="eastAsia" w:ascii="宋体" w:hAnsi="宋体" w:eastAsia="宋体" w:cs="宋体"/>
                <w:sz w:val="21"/>
                <w:szCs w:val="21"/>
                <w:lang w:eastAsia="zh-CN"/>
              </w:rPr>
              <w:t>不新增人员，职工生活垃圾产生及处置情况见现有项目，</w:t>
            </w:r>
            <w:r>
              <w:rPr>
                <w:rFonts w:hint="eastAsia" w:cs="宋体"/>
                <w:sz w:val="21"/>
                <w:szCs w:val="21"/>
                <w:lang w:eastAsia="zh-CN"/>
              </w:rPr>
              <w:t>本项目</w:t>
            </w:r>
            <w:r>
              <w:rPr>
                <w:rFonts w:hint="eastAsia" w:ascii="宋体" w:hAnsi="宋体" w:eastAsia="宋体" w:cs="宋体"/>
                <w:sz w:val="21"/>
                <w:szCs w:val="21"/>
                <w:lang w:eastAsia="zh-CN"/>
              </w:rPr>
              <w:t>不再考虑。</w:t>
            </w:r>
          </w:p>
        </w:tc>
      </w:tr>
    </w:tbl>
    <w:p>
      <w:pPr>
        <w:pStyle w:val="7"/>
        <w:rPr>
          <w:rFonts w:hint="eastAsia" w:ascii="宋体" w:hAnsi="宋体" w:eastAsia="宋体" w:cs="宋体"/>
          <w:lang w:eastAsia="zh-CN"/>
        </w:rPr>
      </w:pPr>
      <w:r>
        <w:rPr>
          <w:rFonts w:hint="eastAsia" w:ascii="宋体" w:hAnsi="宋体" w:eastAsia="宋体" w:cs="宋体"/>
          <w:lang w:eastAsia="zh-CN"/>
        </w:rPr>
        <w:t>6.8.2 固体废物鉴别</w:t>
      </w:r>
    </w:p>
    <w:p>
      <w:pPr>
        <w:ind w:firstLine="560"/>
        <w:rPr>
          <w:rFonts w:hint="eastAsia" w:ascii="宋体" w:hAnsi="宋体" w:eastAsia="宋体" w:cs="宋体"/>
          <w:lang w:eastAsia="zh-CN"/>
        </w:rPr>
      </w:pPr>
      <w:r>
        <w:rPr>
          <w:rFonts w:hint="eastAsia" w:ascii="宋体" w:hAnsi="宋体" w:eastAsia="宋体" w:cs="宋体"/>
          <w:lang w:eastAsia="zh-CN"/>
        </w:rPr>
        <w:t>2021年7月20日，</w:t>
      </w:r>
      <w:r>
        <w:rPr>
          <w:rFonts w:hint="eastAsia" w:ascii="宋体" w:hAnsi="宋体" w:eastAsia="宋体" w:cs="宋体"/>
        </w:rPr>
        <w:fldChar w:fldCharType="begin"/>
      </w:r>
      <w:r>
        <w:rPr>
          <w:rFonts w:hint="eastAsia" w:ascii="宋体" w:hAnsi="宋体" w:eastAsia="宋体" w:cs="宋体"/>
        </w:rPr>
        <w:instrText xml:space="preserve"> HYPERLINK "https://qdponytest.51pla.com/" \o "青岛谱尼测试有限公司" </w:instrText>
      </w:r>
      <w:r>
        <w:rPr>
          <w:rFonts w:hint="eastAsia" w:ascii="宋体" w:hAnsi="宋体" w:eastAsia="宋体" w:cs="宋体"/>
        </w:rPr>
        <w:fldChar w:fldCharType="separate"/>
      </w:r>
      <w:r>
        <w:rPr>
          <w:rFonts w:hint="eastAsia" w:ascii="宋体" w:hAnsi="宋体" w:eastAsia="宋体" w:cs="宋体"/>
          <w:lang w:eastAsia="zh-CN"/>
        </w:rPr>
        <w:t>青岛谱尼测试有限公司</w:t>
      </w:r>
      <w:r>
        <w:rPr>
          <w:rFonts w:hint="eastAsia" w:ascii="宋体" w:hAnsi="宋体" w:eastAsia="宋体" w:cs="宋体"/>
          <w:lang w:eastAsia="zh-CN"/>
        </w:rPr>
        <w:fldChar w:fldCharType="end"/>
      </w:r>
      <w:r>
        <w:rPr>
          <w:rFonts w:hint="eastAsia" w:ascii="宋体" w:hAnsi="宋体" w:eastAsia="宋体" w:cs="宋体"/>
          <w:lang w:eastAsia="zh-CN"/>
        </w:rPr>
        <w:t>对地下采矿挖出的废石及企业产生的尾矿进行检定。按照《固体废物浸出毒性浸出方法水平振荡法》（HJ 557-2010）规定方法获得浸出液，根据GB/T 15555规定的方法进行测定。浸出试验结果见表6.8.2-1。</w:t>
      </w:r>
    </w:p>
    <w:p>
      <w:pPr>
        <w:autoSpaceDE/>
        <w:autoSpaceDN/>
        <w:spacing w:line="24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表6.8.2-1 选矿产生的废石和尾矿浸出试验测定结果一览表 单位：mg/L</w:t>
      </w:r>
    </w:p>
    <w:tbl>
      <w:tblPr>
        <w:tblStyle w:val="25"/>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882"/>
        <w:gridCol w:w="1685"/>
        <w:gridCol w:w="2164"/>
        <w:gridCol w:w="28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序号</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监测项目</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废石</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尾矿</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lang w:eastAsia="zh-CN"/>
              </w:rPr>
            </w:pPr>
            <w:r>
              <w:rPr>
                <w:rFonts w:hint="eastAsia" w:ascii="宋体" w:hAnsi="宋体" w:eastAsia="宋体" w:cs="宋体"/>
                <w:b/>
                <w:bCs/>
                <w:kern w:val="2"/>
                <w:sz w:val="21"/>
                <w:lang w:eastAsia="zh-CN"/>
              </w:rPr>
              <w:t>GB 8978-1996标准限值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pH（无量纲）</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7.45</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铝</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钙</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35.5</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镁</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4.35</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5</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铁</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0.10</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1.27</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6</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锰</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0.02</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7</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铜</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8</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锌</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9</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铅</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10</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镉</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11</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汞</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12</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铬</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13</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六价铬</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14</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镍</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15</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砷</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16</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银</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17</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钴</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18</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钛</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19</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氟化物</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0.330</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20</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钒</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21</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铊</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22</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锑</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8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23</w:t>
            </w:r>
          </w:p>
        </w:tc>
        <w:tc>
          <w:tcPr>
            <w:tcW w:w="101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氰化物</w:t>
            </w:r>
          </w:p>
        </w:tc>
        <w:tc>
          <w:tcPr>
            <w:tcW w:w="907"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w:t>
            </w:r>
          </w:p>
        </w:tc>
        <w:tc>
          <w:tcPr>
            <w:tcW w:w="116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ND</w:t>
            </w:r>
          </w:p>
        </w:tc>
        <w:tc>
          <w:tcPr>
            <w:tcW w:w="1525"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lang w:eastAsia="zh-CN"/>
              </w:rPr>
            </w:pPr>
            <w:r>
              <w:rPr>
                <w:rFonts w:hint="eastAsia" w:ascii="宋体" w:hAnsi="宋体" w:eastAsia="宋体" w:cs="宋体"/>
                <w:kern w:val="2"/>
                <w:sz w:val="21"/>
                <w:lang w:eastAsia="zh-CN"/>
              </w:rPr>
              <w:t>0.5</w:t>
            </w:r>
          </w:p>
        </w:tc>
      </w:tr>
    </w:tbl>
    <w:p>
      <w:pPr>
        <w:autoSpaceDE/>
        <w:autoSpaceDN/>
        <w:spacing w:line="240" w:lineRule="auto"/>
        <w:ind w:firstLine="0" w:firstLineChars="0"/>
        <w:jc w:val="both"/>
        <w:rPr>
          <w:rFonts w:hint="eastAsia" w:ascii="宋体" w:hAnsi="宋体" w:eastAsia="宋体" w:cs="宋体"/>
          <w:kern w:val="2"/>
          <w:sz w:val="21"/>
          <w:lang w:eastAsia="zh-CN"/>
        </w:rPr>
      </w:pPr>
    </w:p>
    <w:p>
      <w:pPr>
        <w:ind w:firstLine="560"/>
        <w:rPr>
          <w:rFonts w:hint="eastAsia" w:ascii="宋体" w:hAnsi="宋体" w:eastAsia="宋体" w:cs="宋体"/>
          <w:lang w:eastAsia="zh-CN"/>
        </w:rPr>
      </w:pPr>
      <w:r>
        <w:rPr>
          <w:rFonts w:hint="eastAsia" w:ascii="宋体" w:hAnsi="宋体" w:eastAsia="宋体" w:cs="宋体"/>
          <w:lang w:eastAsia="zh-CN"/>
        </w:rPr>
        <w:t>根据上表可知，废石及尾矿浸出液中有害组分含量均未超出GB 8979中最高允许排放浓度，且pH值在6~9范围内，满足《一般工业固体废物储存、处置场控制标准》（GB18599-2020）规定的第Ⅰ类一般工业固体废物的要求。因此，</w:t>
      </w:r>
      <w:r>
        <w:rPr>
          <w:rFonts w:hint="eastAsia" w:cs="宋体"/>
          <w:lang w:eastAsia="zh-CN"/>
        </w:rPr>
        <w:t>本项目</w:t>
      </w:r>
      <w:r>
        <w:rPr>
          <w:rFonts w:hint="eastAsia" w:ascii="宋体" w:hAnsi="宋体" w:eastAsia="宋体" w:cs="宋体"/>
          <w:lang w:eastAsia="zh-CN"/>
        </w:rPr>
        <w:t xml:space="preserve">的废石、尾矿属于第Ⅰ类一般工业固体废物。 </w:t>
      </w:r>
    </w:p>
    <w:p>
      <w:pPr>
        <w:pStyle w:val="7"/>
        <w:rPr>
          <w:rFonts w:hint="eastAsia" w:ascii="宋体" w:hAnsi="宋体" w:eastAsia="宋体" w:cs="宋体"/>
          <w:lang w:eastAsia="zh-CN"/>
        </w:rPr>
      </w:pPr>
      <w:r>
        <w:rPr>
          <w:rFonts w:hint="eastAsia" w:ascii="宋体" w:hAnsi="宋体" w:eastAsia="宋体" w:cs="宋体"/>
          <w:lang w:eastAsia="zh-CN"/>
        </w:rPr>
        <w:t>6.8.3 固废的影响分析</w:t>
      </w:r>
    </w:p>
    <w:p>
      <w:pPr>
        <w:ind w:firstLine="560"/>
        <w:rPr>
          <w:rFonts w:hint="eastAsia" w:ascii="宋体" w:hAnsi="宋体" w:eastAsia="宋体" w:cs="宋体"/>
          <w:lang w:eastAsia="zh-CN"/>
        </w:rPr>
      </w:pPr>
      <w:r>
        <w:rPr>
          <w:rFonts w:hint="eastAsia" w:ascii="宋体" w:hAnsi="宋体" w:eastAsia="宋体" w:cs="宋体"/>
          <w:lang w:eastAsia="zh-CN"/>
        </w:rPr>
        <w:t>（1）采矿废石</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生产期间井下掘进废石约</w:t>
      </w:r>
      <w:r>
        <w:rPr>
          <w:rFonts w:hint="eastAsia" w:cs="宋体"/>
          <w:lang w:val="en-US" w:eastAsia="zh-CN"/>
        </w:rPr>
        <w:t>7.6</w:t>
      </w:r>
      <w:r>
        <w:rPr>
          <w:rFonts w:hint="eastAsia" w:ascii="宋体" w:hAnsi="宋体" w:eastAsia="宋体" w:cs="宋体"/>
          <w:lang w:eastAsia="zh-CN"/>
        </w:rPr>
        <w:t>万t/a，全部用于回填采空区，废石不出坑。</w:t>
      </w:r>
    </w:p>
    <w:p>
      <w:pPr>
        <w:ind w:firstLine="560"/>
        <w:rPr>
          <w:rFonts w:hint="eastAsia" w:ascii="宋体" w:hAnsi="宋体" w:eastAsia="宋体" w:cs="宋体"/>
          <w:lang w:eastAsia="zh-CN"/>
        </w:rPr>
      </w:pPr>
      <w:r>
        <w:rPr>
          <w:rFonts w:hint="eastAsia" w:ascii="宋体" w:hAnsi="宋体" w:eastAsia="宋体" w:cs="宋体"/>
          <w:lang w:eastAsia="zh-CN"/>
        </w:rPr>
        <w:t>（2）污泥</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污泥主要包括井下水仓污泥和南风井处涌水池污泥。其中井下水仓污泥产生量分别约为85t/a，污泥不出井，直接回填采空区；涌水池污泥产生量约为115t/a，定期清理，清理出污泥直接运输至选矿厂进行磁选。</w:t>
      </w:r>
    </w:p>
    <w:p>
      <w:pPr>
        <w:ind w:firstLine="560"/>
        <w:rPr>
          <w:rFonts w:hint="eastAsia" w:ascii="宋体" w:hAnsi="宋体" w:eastAsia="宋体" w:cs="宋体"/>
          <w:lang w:eastAsia="zh-CN"/>
        </w:rPr>
      </w:pPr>
      <w:r>
        <w:rPr>
          <w:rFonts w:hint="eastAsia" w:ascii="宋体" w:hAnsi="宋体" w:eastAsia="宋体" w:cs="宋体"/>
          <w:lang w:eastAsia="zh-CN"/>
        </w:rPr>
        <w:t>（3）设备维修</w:t>
      </w:r>
    </w:p>
    <w:p>
      <w:pPr>
        <w:pStyle w:val="16"/>
        <w:ind w:firstLine="560"/>
        <w:rPr>
          <w:rFonts w:hint="eastAsia" w:ascii="宋体" w:hAnsi="宋体" w:eastAsia="宋体" w:cs="宋体"/>
        </w:rPr>
      </w:pPr>
      <w:r>
        <w:rPr>
          <w:rFonts w:hint="eastAsia" w:ascii="宋体" w:hAnsi="宋体" w:eastAsia="宋体" w:cs="宋体"/>
        </w:rPr>
        <w:t>设备维护所产生的危废主要是废矿物油和废油桶，其中废矿物油（HW08废矿物油与含矿物油废物900-249-08）产生量约0.5t/年；废油桶（HW49其他废物900-041-49）产生量约0.4t/a。废矿物油及废油桶收集后暂存公司危废暂存间，委托有资质单位统一处理。危险废物暂存间按照《危险废物贮存污染控制标准》（GB18597-2001）及2013年修改单要求建设。</w:t>
      </w:r>
    </w:p>
    <w:p>
      <w:pPr>
        <w:pStyle w:val="7"/>
        <w:rPr>
          <w:rFonts w:hint="eastAsia" w:ascii="宋体" w:hAnsi="宋体" w:eastAsia="宋体" w:cs="宋体"/>
          <w:lang w:eastAsia="zh-CN"/>
        </w:rPr>
      </w:pPr>
      <w:r>
        <w:rPr>
          <w:rFonts w:hint="eastAsia" w:ascii="宋体" w:hAnsi="宋体" w:eastAsia="宋体" w:cs="宋体"/>
          <w:lang w:eastAsia="zh-CN"/>
        </w:rPr>
        <w:t>6.8.4 与鲁环办函[2016]141 号文的符合性</w:t>
      </w:r>
    </w:p>
    <w:p>
      <w:pPr>
        <w:pStyle w:val="16"/>
        <w:ind w:firstLine="560"/>
        <w:rPr>
          <w:rFonts w:hint="eastAsia" w:ascii="宋体" w:hAnsi="宋体" w:eastAsia="宋体" w:cs="宋体"/>
        </w:rPr>
      </w:pPr>
      <w:r>
        <w:rPr>
          <w:rFonts w:hint="eastAsia" w:ascii="宋体" w:hAnsi="宋体" w:eastAsia="宋体" w:cs="宋体"/>
        </w:rPr>
        <w:t>2016年9月30日，山东省环境保护厅办公室以鲁环办函[2016]141号文《关于进一步加强建设项目固体废物环境管理的通知》进一步规范了固体废物建设项目环评和验收工作。</w:t>
      </w:r>
      <w:r>
        <w:rPr>
          <w:rFonts w:hint="eastAsia" w:ascii="宋体" w:hAnsi="宋体" w:cs="宋体"/>
          <w:lang w:eastAsia="zh-CN"/>
        </w:rPr>
        <w:t>本项目</w:t>
      </w:r>
      <w:r>
        <w:rPr>
          <w:rFonts w:hint="eastAsia" w:ascii="宋体" w:hAnsi="宋体" w:eastAsia="宋体" w:cs="宋体"/>
        </w:rPr>
        <w:t>的固体废物主要有采矿废石，井下水仓沉淀污泥，涌水池沉淀污泥，机修废物等。项目固体废物管理与鲁环办函[2016]141号文符合性分析见表6.8.4-1。由表可知，本次环评严格按照文件要求梳理项目产生的固体废物，对废石、尾砂进行了属性鉴定，提出了合理可行的贮存、处置措施。</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表6.8.4-1 项目建设与鲁环办函[2016]141 号文符合性一览表</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606"/>
        <w:gridCol w:w="2404"/>
        <w:gridCol w:w="12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1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通知要求</w:t>
            </w:r>
          </w:p>
        </w:tc>
        <w:tc>
          <w:tcPr>
            <w:tcW w:w="129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cs="宋体"/>
                <w:b/>
                <w:bCs/>
                <w:sz w:val="21"/>
                <w:szCs w:val="21"/>
                <w:lang w:eastAsia="zh-CN"/>
              </w:rPr>
              <w:t>本项目</w:t>
            </w:r>
          </w:p>
        </w:tc>
        <w:tc>
          <w:tcPr>
            <w:tcW w:w="68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结合建设项目的工艺过程，梳理说明各类固体废物(固态、半固态及高浓度液体)的产生环节、主要成分和理化特性。</w:t>
            </w:r>
          </w:p>
        </w:tc>
        <w:tc>
          <w:tcPr>
            <w:tcW w:w="129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本次环评梳理了项目生产过程中产生的各类固体废物。</w:t>
            </w:r>
          </w:p>
        </w:tc>
        <w:tc>
          <w:tcPr>
            <w:tcW w:w="68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根据《固体废物鉴别导则(试行)》(国家环保总局公告2006年 11 号)的规定，对建设项目产生的各类副产物是否属于固体废物进行判断。</w:t>
            </w:r>
          </w:p>
        </w:tc>
        <w:tc>
          <w:tcPr>
            <w:tcW w:w="129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cs="宋体"/>
                <w:sz w:val="21"/>
                <w:szCs w:val="21"/>
                <w:lang w:eastAsia="zh-CN"/>
              </w:rPr>
              <w:t>本项目</w:t>
            </w:r>
            <w:r>
              <w:rPr>
                <w:rFonts w:hint="eastAsia" w:ascii="宋体" w:hAnsi="宋体" w:eastAsia="宋体" w:cs="宋体"/>
                <w:sz w:val="21"/>
                <w:szCs w:val="21"/>
              </w:rPr>
              <w:t>对疑似危险废物的废石、尾砂进行了浸出实验鉴定，确定废石、尾砂属于第I类一般工业固体废物。</w:t>
            </w:r>
          </w:p>
        </w:tc>
        <w:tc>
          <w:tcPr>
            <w:tcW w:w="68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对分析结果进行汇总，以列表形式说明建设项目产生的固体废物的名称、类别、属性和数量等情况。在评价建设项目固体废物的环境影响时，要逐项评价建设项目业主单位提出的固体废物利用处置方案是否符合环保要求，并对其可行性进行论证。环评机构要根据建设项目固体废物工程分析和环境影响预测结果，提出废物分类收集、安全贮存、综合利用和无害化处置的合理建议，按照《环境影响评价技术导则》的有关要求，编写环境影响报告固体废物污染防治章节。</w:t>
            </w:r>
          </w:p>
        </w:tc>
        <w:tc>
          <w:tcPr>
            <w:tcW w:w="129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cs="宋体"/>
                <w:sz w:val="21"/>
                <w:szCs w:val="21"/>
                <w:lang w:eastAsia="zh-CN"/>
              </w:rPr>
              <w:t>本项目</w:t>
            </w:r>
            <w:r>
              <w:rPr>
                <w:rFonts w:hint="eastAsia" w:ascii="宋体" w:hAnsi="宋体" w:eastAsia="宋体" w:cs="宋体"/>
                <w:sz w:val="21"/>
                <w:szCs w:val="21"/>
              </w:rPr>
              <w:t>以列表形式给出了固体废物的名称、类别、属性和数量等情况。详见表6.5.1-1。业主单位提出的固体废物处置措施合理可行。</w:t>
            </w:r>
          </w:p>
        </w:tc>
        <w:tc>
          <w:tcPr>
            <w:tcW w:w="68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19"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明确建设项目固体废物污染防治的主体责任。</w:t>
            </w:r>
          </w:p>
        </w:tc>
        <w:tc>
          <w:tcPr>
            <w:tcW w:w="1295"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鲁南矿业是</w:t>
            </w:r>
            <w:r>
              <w:rPr>
                <w:rFonts w:hint="eastAsia" w:ascii="宋体" w:hAnsi="宋体" w:cs="宋体"/>
                <w:sz w:val="21"/>
                <w:szCs w:val="21"/>
                <w:lang w:eastAsia="zh-CN"/>
              </w:rPr>
              <w:t>本项目</w:t>
            </w:r>
            <w:r>
              <w:rPr>
                <w:rFonts w:hint="eastAsia" w:ascii="宋体" w:hAnsi="宋体" w:eastAsia="宋体" w:cs="宋体"/>
                <w:sz w:val="21"/>
                <w:szCs w:val="21"/>
              </w:rPr>
              <w:t>固体废物的责任主体。</w:t>
            </w:r>
          </w:p>
        </w:tc>
        <w:tc>
          <w:tcPr>
            <w:tcW w:w="684"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符合</w:t>
            </w:r>
          </w:p>
        </w:tc>
      </w:tr>
    </w:tbl>
    <w:p>
      <w:pPr>
        <w:pStyle w:val="7"/>
        <w:rPr>
          <w:rFonts w:hint="eastAsia" w:ascii="宋体" w:hAnsi="宋体" w:eastAsia="宋体" w:cs="宋体"/>
          <w:lang w:eastAsia="zh-CN"/>
        </w:rPr>
      </w:pPr>
      <w:r>
        <w:rPr>
          <w:rFonts w:hint="eastAsia" w:ascii="宋体" w:hAnsi="宋体" w:eastAsia="宋体" w:cs="宋体"/>
          <w:lang w:eastAsia="zh-CN"/>
        </w:rPr>
        <w:t>6.8.5 小结</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固体废物主要是采矿废石、井下水仓沉淀污泥、涌水池沉淀污泥、机修废物等。废石用于井下充填不出井；井下水仓污泥直接回填采空区；机修废物及时收集暂存至危险废物暂存间，并委托有资质单位处置，以上措施都是广泛，稳定、可靠的固废治理措施，符合《关于进一步加强建设项目固体废物环境管理的通知》（鲁环办函〔2016〕141号）相关要求。</w:t>
      </w:r>
    </w:p>
    <w:p>
      <w:pPr>
        <w:ind w:firstLine="560"/>
        <w:rPr>
          <w:rFonts w:hint="eastAsia" w:ascii="宋体" w:hAnsi="宋体" w:eastAsia="宋体" w:cs="宋体"/>
          <w:lang w:eastAsia="zh-CN"/>
        </w:rPr>
      </w:pPr>
      <w:r>
        <w:rPr>
          <w:rFonts w:hint="eastAsia" w:ascii="宋体" w:hAnsi="宋体" w:eastAsia="宋体" w:cs="宋体"/>
          <w:lang w:eastAsia="zh-CN"/>
        </w:rPr>
        <w:t>综上所述，</w:t>
      </w:r>
      <w:r>
        <w:rPr>
          <w:rFonts w:hint="eastAsia" w:cs="宋体"/>
          <w:lang w:eastAsia="zh-CN"/>
        </w:rPr>
        <w:t>本项目</w:t>
      </w:r>
      <w:r>
        <w:rPr>
          <w:rFonts w:hint="eastAsia" w:ascii="宋体" w:hAnsi="宋体" w:eastAsia="宋体" w:cs="宋体"/>
          <w:lang w:eastAsia="zh-CN"/>
        </w:rPr>
        <w:t>营运期固体废物得到有效处置，对周边环境影响较小。</w:t>
      </w:r>
    </w:p>
    <w:p>
      <w:pPr>
        <w:pStyle w:val="6"/>
        <w:rPr>
          <w:rFonts w:hint="eastAsia" w:ascii="宋体" w:hAnsi="宋体" w:eastAsia="宋体" w:cs="宋体"/>
          <w:lang w:eastAsia="zh-CN"/>
        </w:rPr>
      </w:pPr>
      <w:bookmarkStart w:id="171" w:name="_Toc32009"/>
      <w:bookmarkStart w:id="172" w:name="_Toc9437"/>
      <w:r>
        <w:rPr>
          <w:rFonts w:hint="eastAsia" w:ascii="宋体" w:hAnsi="宋体" w:eastAsia="宋体" w:cs="宋体"/>
          <w:lang w:eastAsia="zh-CN"/>
        </w:rPr>
        <w:t>6.9 环境风险分析</w:t>
      </w:r>
      <w:bookmarkEnd w:id="171"/>
      <w:bookmarkEnd w:id="172"/>
    </w:p>
    <w:p>
      <w:pPr>
        <w:ind w:firstLine="560"/>
        <w:rPr>
          <w:rFonts w:hint="eastAsia" w:ascii="宋体" w:hAnsi="宋体" w:eastAsia="宋体" w:cs="宋体"/>
          <w:lang w:eastAsia="zh-CN"/>
        </w:rPr>
      </w:pPr>
      <w:r>
        <w:rPr>
          <w:rFonts w:hint="eastAsia" w:ascii="宋体" w:hAnsi="宋体" w:eastAsia="宋体" w:cs="宋体"/>
          <w:lang w:eastAsia="zh-CN"/>
        </w:rPr>
        <w:t>本次评价遵照国家环保总局环发[2005]152 号文《关于防范环境风险加强环境影响评价管理的通知》精神，以《建设项目环境风险评价技术导则》（HJ 169-2018）为指导，结合《关于进一步加强环境影响评价管理防范环境风险的通知》（环发【2012】77号），通过对</w:t>
      </w:r>
      <w:r>
        <w:rPr>
          <w:rFonts w:hint="eastAsia" w:cs="宋体"/>
          <w:lang w:eastAsia="zh-CN"/>
        </w:rPr>
        <w:t>本项目</w:t>
      </w:r>
      <w:r>
        <w:rPr>
          <w:rFonts w:hint="eastAsia" w:ascii="宋体" w:hAnsi="宋体" w:eastAsia="宋体" w:cs="宋体"/>
          <w:lang w:eastAsia="zh-CN"/>
        </w:rPr>
        <w:t>进行风险识别和源项分析，进行风险计算和评价，提出减缓风险的措施和应急预案，为环境管理提供资料和依据，达到降低危险、减少危害的目的。</w:t>
      </w:r>
    </w:p>
    <w:p>
      <w:pPr>
        <w:pStyle w:val="7"/>
        <w:rPr>
          <w:rFonts w:hint="eastAsia" w:ascii="宋体" w:hAnsi="宋体" w:eastAsia="宋体" w:cs="宋体"/>
          <w:lang w:eastAsia="zh-CN"/>
        </w:rPr>
      </w:pPr>
      <w:r>
        <w:rPr>
          <w:rFonts w:hint="eastAsia" w:ascii="宋体" w:hAnsi="宋体" w:eastAsia="宋体" w:cs="宋体"/>
          <w:lang w:eastAsia="zh-CN"/>
        </w:rPr>
        <w:t>6.9.1 评价依据</w:t>
      </w:r>
    </w:p>
    <w:p>
      <w:pPr>
        <w:pStyle w:val="8"/>
        <w:rPr>
          <w:rFonts w:hint="eastAsia" w:ascii="宋体" w:hAnsi="宋体" w:eastAsia="宋体" w:cs="宋体"/>
          <w:lang w:eastAsia="zh-CN"/>
        </w:rPr>
      </w:pPr>
      <w:r>
        <w:rPr>
          <w:rFonts w:hint="eastAsia" w:ascii="宋体" w:hAnsi="宋体" w:eastAsia="宋体" w:cs="宋体"/>
          <w:lang w:eastAsia="zh-CN"/>
        </w:rPr>
        <w:t>6.9.1.1 风险调查</w:t>
      </w:r>
    </w:p>
    <w:p>
      <w:pPr>
        <w:ind w:firstLine="560"/>
        <w:rPr>
          <w:rFonts w:hint="eastAsia" w:ascii="宋体" w:hAnsi="宋体" w:eastAsia="宋体" w:cs="宋体"/>
          <w:lang w:eastAsia="zh-CN"/>
        </w:rPr>
      </w:pPr>
      <w:r>
        <w:rPr>
          <w:rFonts w:hint="eastAsia" w:ascii="宋体" w:hAnsi="宋体" w:eastAsia="宋体" w:cs="宋体"/>
          <w:lang w:eastAsia="zh-CN"/>
        </w:rPr>
        <w:t>调查</w:t>
      </w:r>
      <w:r>
        <w:rPr>
          <w:rFonts w:hint="eastAsia" w:cs="宋体"/>
          <w:lang w:eastAsia="zh-CN"/>
        </w:rPr>
        <w:t>本项目</w:t>
      </w:r>
      <w:r>
        <w:rPr>
          <w:rFonts w:hint="eastAsia" w:ascii="宋体" w:hAnsi="宋体" w:eastAsia="宋体" w:cs="宋体"/>
          <w:lang w:eastAsia="zh-CN"/>
        </w:rPr>
        <w:t>危险物质数量和分布情况，生产工艺特点，收集危险物质安全技术说明书（MSDS）等基础资料。</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原辅材料使用情况见表 6.9.1-1。</w:t>
      </w:r>
    </w:p>
    <w:p>
      <w:pPr>
        <w:pStyle w:val="2"/>
        <w:spacing w:line="360" w:lineRule="auto"/>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表6.9.1-1 </w:t>
      </w:r>
      <w:r>
        <w:rPr>
          <w:rFonts w:hint="eastAsia" w:cs="宋体"/>
          <w:b/>
          <w:bCs/>
          <w:sz w:val="24"/>
          <w:lang w:eastAsia="zh-CN"/>
        </w:rPr>
        <w:t>本项目</w:t>
      </w:r>
      <w:r>
        <w:rPr>
          <w:rFonts w:hint="eastAsia" w:ascii="宋体" w:hAnsi="宋体" w:eastAsia="宋体" w:cs="宋体"/>
          <w:b/>
          <w:bCs/>
          <w:sz w:val="24"/>
          <w:lang w:eastAsia="zh-CN"/>
        </w:rPr>
        <w:t>原辅材料使用情况一览表</w:t>
      </w:r>
    </w:p>
    <w:tbl>
      <w:tblPr>
        <w:tblStyle w:val="25"/>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300"/>
        <w:gridCol w:w="958"/>
        <w:gridCol w:w="1424"/>
        <w:gridCol w:w="3265"/>
        <w:gridCol w:w="15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序号</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名称</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bidi="ar"/>
              </w:rPr>
            </w:pPr>
            <w:r>
              <w:rPr>
                <w:rFonts w:hint="eastAsia" w:ascii="宋体" w:hAnsi="宋体" w:eastAsia="宋体" w:cs="宋体"/>
                <w:b/>
                <w:bCs/>
                <w:sz w:val="21"/>
                <w:szCs w:val="21"/>
                <w:lang w:eastAsia="zh-CN" w:bidi="ar"/>
              </w:rPr>
              <w:t>单位</w:t>
            </w:r>
          </w:p>
        </w:tc>
        <w:tc>
          <w:tcPr>
            <w:tcW w:w="7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用量</w:t>
            </w:r>
          </w:p>
        </w:tc>
        <w:tc>
          <w:tcPr>
            <w:tcW w:w="175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储存位置</w:t>
            </w: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sz w:val="21"/>
                <w:szCs w:val="21"/>
                <w:lang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1</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乳化炸药</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kg/a</w:t>
            </w:r>
          </w:p>
        </w:tc>
        <w:tc>
          <w:tcPr>
            <w:tcW w:w="7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1251158</w:t>
            </w:r>
          </w:p>
        </w:tc>
        <w:tc>
          <w:tcPr>
            <w:tcW w:w="1758" w:type="pct"/>
            <w:vMerge w:val="restart"/>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both"/>
              <w:textAlignment w:val="center"/>
              <w:rPr>
                <w:rFonts w:hint="eastAsia" w:ascii="宋体" w:hAnsi="宋体" w:eastAsia="宋体" w:cs="宋体"/>
                <w:color w:val="000000"/>
                <w:kern w:val="2"/>
                <w:sz w:val="21"/>
                <w:szCs w:val="21"/>
                <w:lang w:eastAsia="zh-CN"/>
              </w:rPr>
            </w:pPr>
            <w:r>
              <w:rPr>
                <w:rFonts w:hint="eastAsia" w:ascii="宋体" w:hAnsi="宋体" w:eastAsia="宋体" w:cs="宋体"/>
                <w:color w:val="000000"/>
                <w:sz w:val="21"/>
                <w:szCs w:val="21"/>
                <w:lang w:eastAsia="zh-CN" w:bidi="ar"/>
              </w:rPr>
              <w:t>上河矿段-50m水平的井下爆破器材分库</w:t>
            </w: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炸药（主要成分为硝酸铵）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2</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雷管发</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发/a</w:t>
            </w:r>
          </w:p>
        </w:tc>
        <w:tc>
          <w:tcPr>
            <w:tcW w:w="7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675714</w:t>
            </w:r>
          </w:p>
        </w:tc>
        <w:tc>
          <w:tcPr>
            <w:tcW w:w="1758"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3</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导爆索</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m/a</w:t>
            </w:r>
          </w:p>
        </w:tc>
        <w:tc>
          <w:tcPr>
            <w:tcW w:w="7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1131852</w:t>
            </w:r>
          </w:p>
        </w:tc>
        <w:tc>
          <w:tcPr>
            <w:tcW w:w="1758"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845"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4</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柴油</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kg/a</w:t>
            </w:r>
          </w:p>
        </w:tc>
        <w:tc>
          <w:tcPr>
            <w:tcW w:w="7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305996</w:t>
            </w:r>
          </w:p>
        </w:tc>
        <w:tc>
          <w:tcPr>
            <w:tcW w:w="1758"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sz w:val="21"/>
                <w:szCs w:val="21"/>
                <w:lang w:eastAsia="zh-CN" w:bidi="ar"/>
              </w:rPr>
              <w:t>50m</w:t>
            </w:r>
            <w:r>
              <w:rPr>
                <w:rFonts w:hint="eastAsia" w:ascii="宋体" w:hAnsi="宋体" w:eastAsia="宋体" w:cs="宋体"/>
                <w:sz w:val="21"/>
                <w:szCs w:val="21"/>
                <w:vertAlign w:val="superscript"/>
                <w:lang w:eastAsia="zh-CN" w:bidi="ar"/>
              </w:rPr>
              <w:t>3</w:t>
            </w:r>
            <w:r>
              <w:rPr>
                <w:rFonts w:hint="eastAsia" w:ascii="宋体" w:hAnsi="宋体" w:eastAsia="宋体" w:cs="宋体"/>
                <w:sz w:val="21"/>
                <w:szCs w:val="21"/>
                <w:lang w:eastAsia="zh-CN" w:bidi="ar"/>
              </w:rPr>
              <w:t>柴油罐4 个；最大储存量 40t；储存位置：加油站</w:t>
            </w:r>
          </w:p>
        </w:tc>
        <w:tc>
          <w:tcPr>
            <w:tcW w:w="845"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油类物质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5</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机油</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kg/a</w:t>
            </w:r>
          </w:p>
        </w:tc>
        <w:tc>
          <w:tcPr>
            <w:tcW w:w="7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61199</w:t>
            </w:r>
          </w:p>
        </w:tc>
        <w:tc>
          <w:tcPr>
            <w:tcW w:w="1758" w:type="pct"/>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规格100kg/桶；最大储存量 1t；储存位置：北仓库</w:t>
            </w:r>
          </w:p>
        </w:tc>
        <w:tc>
          <w:tcPr>
            <w:tcW w:w="8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12"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6</w:t>
            </w:r>
          </w:p>
        </w:tc>
        <w:tc>
          <w:tcPr>
            <w:tcW w:w="70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液压油</w:t>
            </w:r>
          </w:p>
        </w:tc>
        <w:tc>
          <w:tcPr>
            <w:tcW w:w="51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r>
              <w:rPr>
                <w:rFonts w:hint="eastAsia" w:ascii="宋体" w:hAnsi="宋体" w:eastAsia="宋体" w:cs="宋体"/>
                <w:sz w:val="21"/>
                <w:szCs w:val="21"/>
                <w:lang w:eastAsia="zh-CN" w:bidi="ar"/>
              </w:rPr>
              <w:t>kg/a</w:t>
            </w:r>
          </w:p>
        </w:tc>
        <w:tc>
          <w:tcPr>
            <w:tcW w:w="767"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6120</w:t>
            </w:r>
          </w:p>
        </w:tc>
        <w:tc>
          <w:tcPr>
            <w:tcW w:w="1758" w:type="pct"/>
            <w:vMerge w:val="continue"/>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p>
        </w:tc>
        <w:tc>
          <w:tcPr>
            <w:tcW w:w="845" w:type="pct"/>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bidi="ar"/>
              </w:rPr>
            </w:pPr>
          </w:p>
        </w:tc>
      </w:tr>
    </w:tbl>
    <w:p>
      <w:pPr>
        <w:ind w:firstLine="560"/>
        <w:rPr>
          <w:rFonts w:hint="eastAsia" w:ascii="宋体" w:hAnsi="宋体" w:eastAsia="宋体" w:cs="宋体"/>
          <w:lang w:eastAsia="zh-CN"/>
        </w:rPr>
      </w:pPr>
      <w:r>
        <w:rPr>
          <w:rFonts w:hint="eastAsia" w:ascii="宋体" w:hAnsi="宋体" w:eastAsia="宋体" w:cs="宋体"/>
          <w:lang w:eastAsia="zh-CN"/>
        </w:rPr>
        <w:t>由上表可知，</w:t>
      </w:r>
      <w:r>
        <w:rPr>
          <w:rFonts w:hint="eastAsia" w:cs="宋体"/>
          <w:lang w:eastAsia="zh-CN"/>
        </w:rPr>
        <w:t>本项目</w:t>
      </w:r>
      <w:r>
        <w:rPr>
          <w:rFonts w:hint="eastAsia" w:ascii="宋体" w:hAnsi="宋体" w:eastAsia="宋体" w:cs="宋体"/>
          <w:lang w:eastAsia="zh-CN"/>
        </w:rPr>
        <w:t>危险物质主要为炸药（主要成分为硝酸铵）、电子雷管及油类物质，如柴油、机油、黄油等。炸药和油类均外购，存储周期根据使用情况有所调整。</w:t>
      </w:r>
    </w:p>
    <w:p>
      <w:pPr>
        <w:ind w:firstLine="560"/>
        <w:rPr>
          <w:rFonts w:hint="eastAsia" w:ascii="宋体" w:hAnsi="宋体" w:eastAsia="宋体" w:cs="宋体"/>
          <w:lang w:eastAsia="zh-CN"/>
        </w:rPr>
      </w:pPr>
      <w:r>
        <w:rPr>
          <w:rFonts w:hint="eastAsia" w:ascii="宋体" w:hAnsi="宋体" w:eastAsia="宋体" w:cs="宋体"/>
          <w:lang w:eastAsia="zh-CN"/>
        </w:rPr>
        <w:t>硝酸铵、柴油理化性质及基本特征情况见表6.9.1-2、表6.9.1-3。</w:t>
      </w:r>
    </w:p>
    <w:p>
      <w:pPr>
        <w:autoSpaceDE/>
        <w:autoSpaceDN/>
        <w:spacing w:line="360" w:lineRule="auto"/>
        <w:ind w:firstLine="48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表6.9.1-2  硝酸铵安全技术说明书</w:t>
      </w:r>
    </w:p>
    <w:tbl>
      <w:tblPr>
        <w:tblStyle w:val="24"/>
        <w:tblW w:w="9195"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05"/>
        <w:gridCol w:w="2582"/>
        <w:gridCol w:w="540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标识</w:t>
            </w: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中文名：硝酸铵</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化学文摘号(CAS 号)：6484-52-2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restar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理化性质</w:t>
            </w:r>
          </w:p>
        </w:tc>
        <w:tc>
          <w:tcPr>
            <w:tcW w:w="7990" w:type="dxa"/>
            <w:gridSpan w:val="2"/>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外观与性状：无色无臭的透明结晶或呈白色的小颗粒，有潮解性。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熔点(℃)：169.6 </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相对密度(水=1)：1.72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沸点(℃)：210 </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相对密度(空气=1)：无资料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饱和蒸气压(kPa) ：无资料</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燃烧热(kJ/mol)：无资料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临界温度(℃)：无资料 </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辛醇/水分配系数对数值：无资料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临界压力(MPa)：无资料</w:t>
            </w:r>
          </w:p>
        </w:tc>
        <w:tc>
          <w:tcPr>
            <w:tcW w:w="5408" w:type="dxa"/>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溶解性：易溶于水、乙醇、丙酮、氨水，不溶于乙醚。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restar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燃爆性及消防</w:t>
            </w: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燃烧性：助燃 </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稳定性：稳定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最小点火能(mJ)：- </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聚合危害：不能出现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闪点(℃)：210</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引燃温度(℃)：-</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避免接触的条件：-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避免接触的条件：-</w:t>
            </w:r>
          </w:p>
        </w:tc>
        <w:tc>
          <w:tcPr>
            <w:tcW w:w="5408" w:type="dxa"/>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禁忌物：强还原剂、强酸、易燃或可燃物、活性金属粉末。</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58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最大爆炸压力(MPa)：- </w:t>
            </w:r>
          </w:p>
        </w:tc>
        <w:tc>
          <w:tcPr>
            <w:tcW w:w="5408"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燃烧(分解)产物：氮氧化物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0"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危险特性：强氧化剂。遇可燃物着火时，能助长火势。与可燃物粉末混合能发生激烈反应而爆炸。受强烈震动也会起爆。急剧加热时可发生爆炸。与还原剂、有机物、易燃物如硫、磷或金属粉末等混合可形成爆炸性混合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0"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灭火方法：消防人员需佩戴防毒面具、穿全身消防服，在上风向灭火。切勿将水流直接射至熔融物，以免引起严重的流淌火灾或引起剧烈的沸溅。遇大火，消防人员须在有防护掩蔽处操作。灭火剂：水、雾状水。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restar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毒性及健康危害</w:t>
            </w:r>
          </w:p>
        </w:tc>
        <w:tc>
          <w:tcPr>
            <w:tcW w:w="7990"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接触限值：中国        MAC：-</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TLVTN：-             TLVWN：-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0"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急性毒性：    LD50：4820mg/kg(小鼠经口)     LC50：无资料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0"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侵入途径：皮肤接触、眼睛接触、吸入、食入。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0"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健康危害：对呼吸道、眼及皮肤有刺激性。接触后可引起恶心、呕吐、头痛、虚弱、无力和虚脱等。大量接触可引起高铁血红蛋白血症，影响血液的携氧能力，出现紫绀、头痛、头晕、虚脱，甚至死亡。口服引起剧烈腹痛、呕吐、血便、休克、全身抽搐、昏迷，甚至死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急救</w:t>
            </w:r>
          </w:p>
        </w:tc>
        <w:tc>
          <w:tcPr>
            <w:tcW w:w="7990"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皮肤接触：脱去被污染的衣着，用大量流动清水冲洗。</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眼睛接触：提起眼睑，用流动清水或生理盐水冲洗。就医。</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吸入：迅速脱离现场至空气新鲜处。保持呼吸道通畅。如呼吸困难，给输氧。如呼吸停止，立即进行人工呼吸。就医。</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食入：用水漱口，给饮牛奶或蛋清。就医。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泄露处理</w:t>
            </w:r>
          </w:p>
        </w:tc>
        <w:tc>
          <w:tcPr>
            <w:tcW w:w="7990"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应急处理：隔离泄漏污染区，限制出入。建议应急处理人员戴防尘面具（全面罩），穿防毒服。不要直接接触泄漏物。勿使泄漏物与还原剂、有机物、易燃物或金属粉末接触。</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小量泄漏：小心扫起，收集于干燥、洁净、有盖的容器中。</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大量泄漏：收集回收或运至废物处理场所处置。</w:t>
            </w:r>
          </w:p>
        </w:tc>
      </w:tr>
    </w:tbl>
    <w:p>
      <w:pPr>
        <w:autoSpaceDE/>
        <w:autoSpaceDN/>
        <w:spacing w:line="360" w:lineRule="auto"/>
        <w:ind w:firstLine="48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表6.9.1-3 柴油安全技术说明书</w:t>
      </w:r>
    </w:p>
    <w:tbl>
      <w:tblPr>
        <w:tblStyle w:val="24"/>
        <w:tblW w:w="9197"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205"/>
        <w:gridCol w:w="2772"/>
        <w:gridCol w:w="522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标识</w:t>
            </w: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中文名：柴油</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化学文摘号(CAS 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restar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理化性质</w:t>
            </w:r>
          </w:p>
        </w:tc>
        <w:tc>
          <w:tcPr>
            <w:tcW w:w="7992" w:type="dxa"/>
            <w:gridSpan w:val="2"/>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外观与性状：稍有粘性的棕色液体。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熔点(℃)：-18</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相对密度(水=1)：0.87-0.9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沸点(℃)：282-338 </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相对密度(空气=1)：无资料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饱和蒸气压(kPa)：无资料 </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燃烧热(kJ/mol)：无资料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临界温度(℃)：无资料 </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辛醇/水分配系数对数值：无资料</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临界压力(MPa)：无资料</w:t>
            </w:r>
          </w:p>
        </w:tc>
        <w:tc>
          <w:tcPr>
            <w:tcW w:w="5220" w:type="dxa"/>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溶解性：-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restar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燃爆性及消防</w:t>
            </w: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燃烧性：易燃 </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稳定性：稳定</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最小点火能(mJ)：- </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聚合危害：不能出现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闪点(℃)：38</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引燃温度(℃)： 257</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避免接触的条件：-</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爆炸极限(V%)：无资料 </w:t>
            </w:r>
          </w:p>
        </w:tc>
        <w:tc>
          <w:tcPr>
            <w:tcW w:w="5220" w:type="dxa"/>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禁忌物：强氧化剂、卤素。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2772"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 xml:space="preserve">最大爆炸压力(MPa)：- </w:t>
            </w:r>
          </w:p>
        </w:tc>
        <w:tc>
          <w:tcPr>
            <w:tcW w:w="5220"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燃烧(分解)产物：一氧化碳、二氧化碳。</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危险特性：遇明火、高热或与氧化剂接触，有引起燃烧爆炸的危险。若遇高热，容器内压增大，有开裂和爆炸的危险。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灭火方法：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restart"/>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毒性及健康危害</w:t>
            </w: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接触限值：中国     MAC：-</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TLVTN：-          TLVWN：-</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急性毒性：          LD50：-         LC50：-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侵入途径：皮肤接触、眼睛接触、吸入、食入。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vMerge w:val="continue"/>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健康危害：皮肤接触可为主要吸收途径，可致急性肾脏损害。柴油可引起接触性皮炎、</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油性痤疮。吸入其雾滴或液体呛入可引起吸入性肺炎。能经胎盘进入胎儿血中。柴油废气可引起眼、鼻刺激症状，头晕及头痛。</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急救</w:t>
            </w: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皮肤接触：立即脱去污染的衣着，用肥皂水和清水彻底冲洗皮肤。就医。</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眼睛接触：提起眼睑，用流动清水或生理盐水冲洗。就医。</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吸入：迅速脱离现场至空气新鲜处。保持呼吸道通畅。如呼吸困难，给输氧。如呼吸停止，立即进行人工呼吸。就医。</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食入：尽快彻底洗胃。就医。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环境危害</w:t>
            </w: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该物质对环境有危害，建议不要让其进入环境。对水体和大气可造成污染，破坏水生生物呼吸系统。对海藻应给予特别注意。</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1205" w:type="dxa"/>
            <w:tcBorders>
              <w:tl2br w:val="nil"/>
              <w:tr2bl w:val="nil"/>
            </w:tcBorders>
            <w:shd w:val="clear" w:color="auto" w:fill="auto"/>
            <w:noWrap/>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泄露处理</w:t>
            </w:r>
          </w:p>
        </w:tc>
        <w:tc>
          <w:tcPr>
            <w:tcW w:w="7992" w:type="dxa"/>
            <w:gridSpan w:val="2"/>
            <w:tcBorders>
              <w:tl2br w:val="nil"/>
              <w:tr2bl w:val="nil"/>
            </w:tcBorders>
            <w:shd w:val="clear" w:color="auto" w:fill="auto"/>
            <w:vAlign w:val="center"/>
          </w:tcPr>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迅速撤离泄漏污染区人员至安全区。对泄漏源进行隔离，严格限制出入。切断火源。建议应急处理人员戴自给正压式呼吸器，穿一般作业工作服。尽可能切断泄漏源。防止流入下水道、排洪沟等限制性空间。</w:t>
            </w:r>
            <w:r>
              <w:rPr>
                <w:rFonts w:hint="eastAsia" w:ascii="宋体" w:hAnsi="宋体" w:eastAsia="宋体" w:cs="宋体"/>
                <w:sz w:val="21"/>
                <w:szCs w:val="21"/>
                <w:lang w:eastAsia="zh-CN"/>
              </w:rPr>
              <w:br w:type="textWrapping"/>
            </w:r>
            <w:r>
              <w:rPr>
                <w:rFonts w:hint="eastAsia" w:ascii="宋体" w:hAnsi="宋体" w:eastAsia="宋体" w:cs="宋体"/>
                <w:sz w:val="21"/>
                <w:szCs w:val="21"/>
                <w:lang w:eastAsia="zh-CN"/>
              </w:rPr>
              <w:t>小量泄漏：用活性炭或其它惰性材料吸收。</w:t>
            </w:r>
          </w:p>
          <w:p>
            <w:pPr>
              <w:pStyle w:val="2"/>
              <w:keepNext w:val="0"/>
              <w:keepLines w:val="0"/>
              <w:suppressLineNumbers w:val="0"/>
              <w:spacing w:before="0" w:beforeAutospacing="0" w:after="0" w:afterAutospacing="0" w:line="240" w:lineRule="auto"/>
              <w:ind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大量泄漏：构筑围堤或挖坑收容。用泵转移至槽车或专用收集器内，回收或运至废物处理场所处置。</w:t>
            </w:r>
          </w:p>
        </w:tc>
      </w:tr>
    </w:tbl>
    <w:p>
      <w:pPr>
        <w:pStyle w:val="8"/>
        <w:rPr>
          <w:rFonts w:hint="eastAsia" w:ascii="宋体" w:hAnsi="宋体" w:eastAsia="宋体" w:cs="宋体"/>
          <w:lang w:eastAsia="zh-CN"/>
        </w:rPr>
      </w:pPr>
      <w:r>
        <w:rPr>
          <w:rFonts w:hint="eastAsia" w:ascii="宋体" w:hAnsi="宋体" w:eastAsia="宋体" w:cs="宋体"/>
          <w:lang w:eastAsia="zh-CN"/>
        </w:rPr>
        <w:t>6.9.1.2 环境风险潜势初判</w:t>
      </w:r>
    </w:p>
    <w:p>
      <w:pPr>
        <w:pStyle w:val="2"/>
        <w:spacing w:after="0"/>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涉及的危险物料主要为乳化炸药。乳化炸药是一种含水炸药，由氧化剂水溶液、燃料油、乳化剂和敏化剂4种基本成分组成。氧化剂的水溶液以硝酸铵（65%左右）为主，添加少量的硝酸钠（15%）做辅助氧化剂，水的含量在8%~16%之间。</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乳化炸药日消耗量760kg，放置于上河矿段－50m水平井下爆破器材分库中，爆破器材分库炸药设计存放量为4.5t，暂存量按照最大容量4.5t计算。</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动力燃油物质主要为柴油，日均消耗量0.93t，利用企业现有加油站内50m</w:t>
      </w:r>
      <w:r>
        <w:rPr>
          <w:rFonts w:hint="eastAsia" w:ascii="宋体" w:hAnsi="宋体" w:eastAsia="宋体" w:cs="宋体"/>
          <w:vertAlign w:val="superscript"/>
          <w:lang w:eastAsia="zh-CN"/>
        </w:rPr>
        <w:t>3</w:t>
      </w:r>
      <w:r>
        <w:rPr>
          <w:rFonts w:hint="eastAsia" w:ascii="宋体" w:hAnsi="宋体" w:eastAsia="宋体" w:cs="宋体"/>
          <w:lang w:eastAsia="zh-CN"/>
        </w:rPr>
        <w:t>柴油罐4个；最大储存量40t；储存位置：加油站。</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根据《建设项目环境风险评价技术导则》（HJ169-2018）附录B，重点关注的危险物质及临界量，硝酸铵临界量为50t，油类物质临界量2500t。根据附录C，危险物质及工艺系统危险性（P）的分级，危险物质数量与临界量比值（Q）计算结果如下：</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Q=4.5×0.65/50+0.93/2500=0.059＜1。该项目的环境风险潜势为I。</w:t>
      </w:r>
    </w:p>
    <w:p>
      <w:pPr>
        <w:pStyle w:val="8"/>
        <w:rPr>
          <w:rFonts w:hint="eastAsia" w:ascii="宋体" w:hAnsi="宋体" w:eastAsia="宋体" w:cs="宋体"/>
          <w:lang w:eastAsia="zh-CN"/>
        </w:rPr>
      </w:pPr>
      <w:r>
        <w:rPr>
          <w:rFonts w:hint="eastAsia" w:ascii="宋体" w:hAnsi="宋体" w:eastAsia="宋体" w:cs="宋体"/>
          <w:lang w:eastAsia="zh-CN"/>
        </w:rPr>
        <w:t xml:space="preserve">6.9.1.3 评价等级 </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根据《建设项目环境风险评价技术导则》（HJ 169－2018），建设项目环境风险评价等级的确定依据建设项目涉及的物质及工艺系统危险性和所在地的环境敏感性确定环境风险潜势的不同划分为一级、二级和三级。按照表6.9.1-4确定评价工作等级。</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表6.9.1-4 评价工作等级划分</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57"/>
        <w:gridCol w:w="1858"/>
        <w:gridCol w:w="1858"/>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tcBorders>
              <w:top w:val="single" w:color="auto" w:sz="12" w:space="0"/>
              <w:lef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环境风险潜势</w:t>
            </w:r>
          </w:p>
        </w:tc>
        <w:tc>
          <w:tcPr>
            <w:tcW w:w="1857" w:type="dxa"/>
            <w:tcBorders>
              <w:top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Ⅳ、Ⅳ</w:t>
            </w:r>
            <w:r>
              <w:rPr>
                <w:rFonts w:hint="eastAsia" w:ascii="宋体" w:hAnsi="宋体" w:eastAsia="宋体" w:cs="宋体"/>
                <w:sz w:val="21"/>
                <w:szCs w:val="21"/>
                <w:vertAlign w:val="superscript"/>
                <w:lang w:eastAsia="zh-CN"/>
              </w:rPr>
              <w:t>+</w:t>
            </w:r>
          </w:p>
        </w:tc>
        <w:tc>
          <w:tcPr>
            <w:tcW w:w="1858" w:type="dxa"/>
            <w:tcBorders>
              <w:top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Ⅲ</w:t>
            </w:r>
          </w:p>
        </w:tc>
        <w:tc>
          <w:tcPr>
            <w:tcW w:w="1858" w:type="dxa"/>
            <w:tcBorders>
              <w:top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Ⅱ</w:t>
            </w:r>
          </w:p>
        </w:tc>
        <w:tc>
          <w:tcPr>
            <w:tcW w:w="1858" w:type="dxa"/>
            <w:tcBorders>
              <w:top w:val="single" w:color="auto" w:sz="12" w:space="0"/>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857" w:type="dxa"/>
            <w:tcBorders>
              <w:lef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评价工作等级</w:t>
            </w:r>
          </w:p>
        </w:tc>
        <w:tc>
          <w:tcPr>
            <w:tcW w:w="1857"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w:t>
            </w:r>
          </w:p>
        </w:tc>
        <w:tc>
          <w:tcPr>
            <w:tcW w:w="1858"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w:t>
            </w:r>
          </w:p>
        </w:tc>
        <w:tc>
          <w:tcPr>
            <w:tcW w:w="1858"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w:t>
            </w:r>
          </w:p>
        </w:tc>
        <w:tc>
          <w:tcPr>
            <w:tcW w:w="1858" w:type="dxa"/>
            <w:tcBorders>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简单分析</w:t>
            </w:r>
            <w:r>
              <w:rPr>
                <w:rFonts w:hint="eastAsia" w:ascii="宋体" w:hAnsi="宋体" w:eastAsia="宋体" w:cs="宋体"/>
                <w:sz w:val="21"/>
                <w:szCs w:val="21"/>
                <w:vertAlign w:val="superscript"/>
                <w:lang w:eastAsia="zh-CN"/>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288" w:type="dxa"/>
            <w:gridSpan w:val="5"/>
            <w:tcBorders>
              <w:left w:val="single" w:color="auto" w:sz="12" w:space="0"/>
              <w:bottom w:val="single" w:color="auto" w:sz="12" w:space="0"/>
              <w:right w:val="single" w:color="auto" w:sz="12" w:space="0"/>
            </w:tcBorders>
            <w:vAlign w:val="center"/>
          </w:tcPr>
          <w:p>
            <w:pPr>
              <w:pStyle w:val="2"/>
              <w:keepNext w:val="0"/>
              <w:keepLines w:val="0"/>
              <w:suppressLineNumbers w:val="0"/>
              <w:spacing w:before="0" w:beforeAutospacing="0" w:after="0" w:afterAutospacing="0" w:line="240" w:lineRule="auto"/>
              <w:ind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a：是相对于详细评价工作内容而言，在描述危险物质、环境影响途径、环境危害后果、风险防范措施等方面给出定性的说明。见附录A。</w:t>
            </w:r>
          </w:p>
        </w:tc>
      </w:tr>
    </w:tbl>
    <w:p>
      <w:pPr>
        <w:pStyle w:val="2"/>
        <w:spacing w:after="0"/>
        <w:ind w:firstLine="560"/>
        <w:rPr>
          <w:rFonts w:hint="eastAsia" w:ascii="宋体" w:hAnsi="宋体" w:eastAsia="宋体" w:cs="宋体"/>
          <w:lang w:eastAsia="zh-CN"/>
        </w:rPr>
      </w:pPr>
      <w:r>
        <w:rPr>
          <w:rFonts w:hint="eastAsia" w:ascii="宋体" w:hAnsi="宋体" w:eastAsia="宋体" w:cs="宋体"/>
          <w:lang w:eastAsia="zh-CN"/>
        </w:rPr>
        <w:t>根据环境风险潜势初判可知，该项目环境风险潜势为I，因此，</w:t>
      </w:r>
      <w:r>
        <w:rPr>
          <w:rFonts w:hint="eastAsia" w:cs="宋体"/>
          <w:lang w:eastAsia="zh-CN"/>
        </w:rPr>
        <w:t>本项目</w:t>
      </w:r>
      <w:r>
        <w:rPr>
          <w:rFonts w:hint="eastAsia" w:ascii="宋体" w:hAnsi="宋体" w:eastAsia="宋体" w:cs="宋体"/>
          <w:lang w:eastAsia="zh-CN"/>
        </w:rPr>
        <w:t>环境风险评价等级定为简要分析。</w:t>
      </w:r>
    </w:p>
    <w:p>
      <w:pPr>
        <w:pStyle w:val="7"/>
        <w:rPr>
          <w:rFonts w:hint="eastAsia" w:ascii="宋体" w:hAnsi="宋体" w:eastAsia="宋体" w:cs="宋体"/>
          <w:lang w:eastAsia="zh-CN"/>
        </w:rPr>
      </w:pPr>
      <w:r>
        <w:rPr>
          <w:rFonts w:hint="eastAsia" w:ascii="宋体" w:hAnsi="宋体" w:eastAsia="宋体" w:cs="宋体"/>
          <w:lang w:eastAsia="zh-CN"/>
        </w:rPr>
        <w:t>6.9.2 环境敏感目标调查</w:t>
      </w:r>
    </w:p>
    <w:p>
      <w:pPr>
        <w:ind w:firstLine="560"/>
        <w:rPr>
          <w:rFonts w:hint="eastAsia" w:ascii="宋体" w:hAnsi="宋体" w:eastAsia="宋体" w:cs="宋体"/>
          <w:lang w:eastAsia="zh-CN"/>
        </w:rPr>
      </w:pPr>
      <w:r>
        <w:rPr>
          <w:rFonts w:hint="eastAsia" w:ascii="宋体" w:hAnsi="宋体" w:eastAsia="宋体" w:cs="宋体"/>
          <w:lang w:eastAsia="zh-CN"/>
        </w:rPr>
        <w:t>根据风险</w:t>
      </w:r>
      <w:r>
        <w:rPr>
          <w:rFonts w:hint="eastAsia" w:ascii="宋体" w:hAnsi="宋体" w:eastAsia="宋体" w:cs="宋体"/>
          <w:highlight w:val="none"/>
          <w:shd w:val="clear"/>
          <w:lang w:eastAsia="zh-CN"/>
        </w:rPr>
        <w:t>物质可能的影响途径，按照《建设项目环境风险评价技术导则》（HJ 169-2018）中的规定，采矿工程环境空气评价范围以采矿地表工业场地为中心的半径3km范围，评价区域内的主要敏感目标为村庄，距离</w:t>
      </w:r>
      <w:r>
        <w:rPr>
          <w:rFonts w:hint="eastAsia" w:cs="宋体"/>
          <w:highlight w:val="none"/>
          <w:shd w:val="clear"/>
          <w:lang w:eastAsia="zh-CN"/>
        </w:rPr>
        <w:t>本项目</w:t>
      </w:r>
      <w:r>
        <w:rPr>
          <w:rFonts w:hint="eastAsia" w:ascii="宋体" w:hAnsi="宋体" w:eastAsia="宋体" w:cs="宋体"/>
          <w:highlight w:val="none"/>
          <w:shd w:val="clear"/>
          <w:lang w:eastAsia="zh-CN"/>
        </w:rPr>
        <w:t>主工业场地边界小于3km的村镇均作为本次评价的环境风险保护目标。详</w:t>
      </w:r>
      <w:r>
        <w:rPr>
          <w:rFonts w:hint="eastAsia" w:ascii="宋体" w:hAnsi="宋体" w:eastAsia="宋体" w:cs="宋体"/>
          <w:lang w:eastAsia="zh-CN"/>
        </w:rPr>
        <w:t>见表1.6.2-1。</w:t>
      </w:r>
    </w:p>
    <w:p>
      <w:pPr>
        <w:pStyle w:val="7"/>
        <w:rPr>
          <w:rFonts w:hint="eastAsia" w:ascii="宋体" w:hAnsi="宋体" w:eastAsia="宋体" w:cs="宋体"/>
          <w:lang w:eastAsia="zh-CN"/>
        </w:rPr>
      </w:pPr>
      <w:r>
        <w:rPr>
          <w:rFonts w:hint="eastAsia" w:ascii="宋体" w:hAnsi="宋体" w:eastAsia="宋体" w:cs="宋体"/>
          <w:lang w:eastAsia="zh-CN"/>
        </w:rPr>
        <w:t>6.9.3 环境风险识别</w:t>
      </w:r>
    </w:p>
    <w:p>
      <w:pPr>
        <w:ind w:firstLine="560"/>
        <w:rPr>
          <w:rFonts w:hint="eastAsia" w:ascii="宋体" w:hAnsi="宋体" w:eastAsia="宋体" w:cs="宋体"/>
          <w:lang w:eastAsia="zh-CN"/>
        </w:rPr>
      </w:pPr>
      <w:r>
        <w:rPr>
          <w:rFonts w:hint="eastAsia" w:ascii="宋体" w:hAnsi="宋体" w:eastAsia="宋体" w:cs="宋体"/>
          <w:lang w:eastAsia="zh-CN"/>
        </w:rPr>
        <w:t>风险识别的目标是确定危险因素和风险类型。风险识别的范围包括生产设施风险识别和生产过程所涉及的物质风险识别。</w:t>
      </w:r>
    </w:p>
    <w:p>
      <w:pPr>
        <w:pStyle w:val="8"/>
        <w:rPr>
          <w:rFonts w:hint="eastAsia" w:ascii="宋体" w:hAnsi="宋体" w:eastAsia="宋体" w:cs="宋体"/>
          <w:lang w:eastAsia="zh-CN"/>
        </w:rPr>
      </w:pPr>
      <w:r>
        <w:rPr>
          <w:rFonts w:hint="eastAsia" w:ascii="宋体" w:hAnsi="宋体" w:eastAsia="宋体" w:cs="宋体"/>
          <w:lang w:eastAsia="zh-CN"/>
        </w:rPr>
        <w:t>6.9.3.1 物质风险识别</w:t>
      </w:r>
    </w:p>
    <w:p>
      <w:pPr>
        <w:pStyle w:val="2"/>
        <w:spacing w:after="0"/>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原辅材料中，可能构成风险的是乳化炸药及柴油等。详细说明见6.9.1节。</w:t>
      </w:r>
    </w:p>
    <w:p>
      <w:pPr>
        <w:pStyle w:val="8"/>
        <w:rPr>
          <w:rFonts w:hint="eastAsia" w:ascii="宋体" w:hAnsi="宋体" w:eastAsia="宋体" w:cs="宋体"/>
          <w:lang w:eastAsia="zh-CN"/>
        </w:rPr>
      </w:pPr>
      <w:r>
        <w:rPr>
          <w:rFonts w:hint="eastAsia" w:ascii="宋体" w:hAnsi="宋体" w:eastAsia="宋体" w:cs="宋体"/>
          <w:lang w:eastAsia="zh-CN"/>
        </w:rPr>
        <w:t>6.9.3.2 生产设施风险识别</w:t>
      </w:r>
    </w:p>
    <w:p>
      <w:pPr>
        <w:pStyle w:val="2"/>
        <w:spacing w:after="0"/>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生产过程中的环境风险主要有以下几种：</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1）矿区内不设炸药库，只在井下设炸药分发室，贮存量约为4.5t。炸药在装药和放炮的过程中、没有使用完的炸药如果未按规定退到指定的地点、未爆炸或未爆炸完的炸药在装卸矿岩的过程中都有发生爆炸的可能。</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（2）突水</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开拓井巷和回采矿石，必然破坏矿体围岩或者顶底板含水岩层，揭露一些地下导水通道，从而使地下水及与之联系的其他补给水源（如地表水、大气降水）流入井巷。如果在井巷顶底或侧帮及回采工作面的局部，迅速形成突水事故。</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（3）采空区塌陷</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在采掘之后，掩体中出现了空间——井巷、硐室和采场，会引起局部的应力集中。这会导致围岩发生弹性变形、弯曲或破裂。表现为采场顶板大范围的垮落，采空区大范围塌陷。</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（4）管线</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管线分为尾砂充填管线、尾矿浆输送管线、尾矿库回水管线。管线风险主要为输砂、回水管线出现跑、冒、漏现象时，致使尾矿浆或选矿工艺循环水泄漏，对泄漏点周边环境产生一定影响。可能影响的环境要素包括地下水、土壤、生态环境。</w:t>
      </w:r>
    </w:p>
    <w:p>
      <w:pPr>
        <w:pStyle w:val="7"/>
        <w:rPr>
          <w:rFonts w:hint="eastAsia" w:ascii="宋体" w:hAnsi="宋体" w:eastAsia="宋体" w:cs="宋体"/>
          <w:lang w:eastAsia="zh-CN"/>
        </w:rPr>
      </w:pPr>
      <w:r>
        <w:rPr>
          <w:rFonts w:hint="eastAsia" w:ascii="宋体" w:hAnsi="宋体" w:eastAsia="宋体" w:cs="宋体"/>
          <w:lang w:eastAsia="zh-CN"/>
        </w:rPr>
        <w:t>6.9.4 环境风险分析与防范措施</w:t>
      </w:r>
    </w:p>
    <w:p>
      <w:pPr>
        <w:pStyle w:val="8"/>
        <w:rPr>
          <w:rFonts w:hint="eastAsia" w:ascii="宋体" w:hAnsi="宋体" w:eastAsia="宋体" w:cs="宋体"/>
          <w:lang w:eastAsia="zh-CN"/>
        </w:rPr>
      </w:pPr>
      <w:r>
        <w:rPr>
          <w:rFonts w:hint="eastAsia" w:ascii="宋体" w:hAnsi="宋体" w:eastAsia="宋体" w:cs="宋体"/>
          <w:lang w:eastAsia="zh-CN"/>
        </w:rPr>
        <w:t>6.9.4.1 炸药爆炸</w:t>
      </w:r>
    </w:p>
    <w:p>
      <w:pPr>
        <w:ind w:firstLine="562"/>
        <w:rPr>
          <w:rFonts w:hint="eastAsia" w:ascii="宋体" w:hAnsi="宋体" w:eastAsia="宋体" w:cs="宋体"/>
          <w:b/>
          <w:bCs/>
          <w:lang w:eastAsia="zh-CN"/>
        </w:rPr>
      </w:pPr>
      <w:r>
        <w:rPr>
          <w:rFonts w:hint="eastAsia" w:ascii="宋体" w:hAnsi="宋体" w:eastAsia="宋体" w:cs="宋体"/>
          <w:b/>
          <w:bCs/>
          <w:lang w:eastAsia="zh-CN"/>
        </w:rPr>
        <w:t>1、影响分析</w:t>
      </w:r>
    </w:p>
    <w:p>
      <w:pPr>
        <w:ind w:firstLine="560"/>
        <w:rPr>
          <w:rFonts w:hint="eastAsia" w:ascii="宋体" w:hAnsi="宋体" w:eastAsia="宋体" w:cs="宋体"/>
          <w:lang w:eastAsia="zh-CN"/>
        </w:rPr>
      </w:pPr>
      <w:r>
        <w:rPr>
          <w:rFonts w:hint="eastAsia" w:ascii="宋体" w:hAnsi="宋体" w:eastAsia="宋体" w:cs="宋体"/>
          <w:lang w:eastAsia="zh-CN"/>
        </w:rPr>
        <w:t>爆炸物品是蕴藏巨大能量的危险品。爆炸物品爆炸不仅产生强大的冲击波，还伴随火灾及产生有毒有害气体。若发生爆炸，将造成严重的人身伤害和财产损失。</w:t>
      </w:r>
    </w:p>
    <w:p>
      <w:pPr>
        <w:ind w:firstLine="560"/>
        <w:rPr>
          <w:rFonts w:hint="eastAsia" w:ascii="宋体" w:hAnsi="宋体" w:eastAsia="宋体" w:cs="宋体"/>
          <w:lang w:eastAsia="zh-CN"/>
        </w:rPr>
      </w:pPr>
      <w:r>
        <w:rPr>
          <w:rFonts w:hint="eastAsia" w:ascii="宋体" w:hAnsi="宋体" w:eastAsia="宋体" w:cs="宋体"/>
          <w:lang w:eastAsia="zh-CN"/>
        </w:rPr>
        <w:t>项目工程为地下开采、地下爆破，无炸药库。井下分发室、爆破面存在炸药因装卸不慎或遇明火而发生爆炸的可能，若是周边生产矿工撤离不及时，对周边矿工的安全构成威胁。只要工程爆破由经过专门培训有爆破许可证的工人负责，并提前做好通知预警，禁止随便进入矿区，就不会造成人员伤亡与财产损失。</w:t>
      </w:r>
    </w:p>
    <w:p>
      <w:pPr>
        <w:ind w:firstLine="560"/>
        <w:rPr>
          <w:rFonts w:hint="eastAsia" w:ascii="宋体" w:hAnsi="宋体" w:eastAsia="宋体" w:cs="宋体"/>
          <w:lang w:eastAsia="zh-CN"/>
        </w:rPr>
      </w:pPr>
      <w:r>
        <w:rPr>
          <w:rFonts w:hint="eastAsia" w:ascii="宋体" w:hAnsi="宋体" w:eastAsia="宋体" w:cs="宋体"/>
          <w:lang w:eastAsia="zh-CN"/>
        </w:rPr>
        <w:t>项目在爆炸品的运输过程中同样存在爆炸意外风险，运输人员必须要有足够的爆破技术和安全常识，并严格按照相关规程进行运输，运输路线避免经过城镇等人口密集区。</w:t>
      </w:r>
    </w:p>
    <w:p>
      <w:pPr>
        <w:ind w:firstLine="560"/>
        <w:rPr>
          <w:rFonts w:hint="eastAsia" w:ascii="宋体" w:hAnsi="宋体" w:eastAsia="宋体" w:cs="宋体"/>
          <w:lang w:eastAsia="zh-CN"/>
        </w:rPr>
      </w:pPr>
      <w:r>
        <w:rPr>
          <w:rFonts w:hint="eastAsia" w:ascii="宋体" w:hAnsi="宋体" w:eastAsia="宋体" w:cs="宋体"/>
          <w:lang w:eastAsia="zh-CN"/>
        </w:rPr>
        <w:t>矿山不建炸药库，井下设爆破材料发放室，爆破器材由当地民爆公司统一配送。</w:t>
      </w:r>
    </w:p>
    <w:p>
      <w:pPr>
        <w:ind w:firstLine="562"/>
        <w:rPr>
          <w:rFonts w:hint="eastAsia" w:ascii="宋体" w:hAnsi="宋体" w:eastAsia="宋体" w:cs="宋体"/>
          <w:b/>
          <w:bCs/>
          <w:lang w:eastAsia="zh-CN"/>
        </w:rPr>
      </w:pPr>
      <w:r>
        <w:rPr>
          <w:rFonts w:hint="eastAsia" w:ascii="宋体" w:hAnsi="宋体" w:eastAsia="宋体" w:cs="宋体"/>
          <w:b/>
          <w:bCs/>
          <w:lang w:eastAsia="zh-CN"/>
        </w:rPr>
        <w:t>2、风险防范措施</w:t>
      </w:r>
    </w:p>
    <w:p>
      <w:pPr>
        <w:ind w:firstLine="560"/>
        <w:rPr>
          <w:rFonts w:hint="eastAsia" w:ascii="宋体" w:hAnsi="宋体" w:eastAsia="宋体" w:cs="宋体"/>
          <w:lang w:eastAsia="zh-CN"/>
        </w:rPr>
      </w:pPr>
      <w:r>
        <w:rPr>
          <w:rFonts w:hint="eastAsia" w:ascii="宋体" w:hAnsi="宋体" w:eastAsia="宋体" w:cs="宋体"/>
          <w:lang w:eastAsia="zh-CN"/>
        </w:rPr>
        <w:t>建设单位应从以下几个方面做好炸药的风险防范措施：</w:t>
      </w:r>
    </w:p>
    <w:p>
      <w:pPr>
        <w:ind w:firstLine="560"/>
        <w:rPr>
          <w:rFonts w:hint="eastAsia" w:ascii="宋体" w:hAnsi="宋体" w:eastAsia="宋体" w:cs="宋体"/>
          <w:lang w:eastAsia="zh-CN"/>
        </w:rPr>
      </w:pPr>
      <w:r>
        <w:rPr>
          <w:rFonts w:hint="eastAsia" w:ascii="宋体" w:hAnsi="宋体" w:eastAsia="宋体" w:cs="宋体"/>
          <w:lang w:eastAsia="zh-CN"/>
        </w:rPr>
        <w:t>①制定防盗窃、防抢劫、防破坏的应急预案和实施细则，并每半年组织人员进行一次演练，以便遇到紧急情况时能够从容应对。</w:t>
      </w:r>
    </w:p>
    <w:p>
      <w:pPr>
        <w:ind w:firstLine="560"/>
        <w:rPr>
          <w:rFonts w:hint="eastAsia" w:ascii="宋体" w:hAnsi="宋体" w:eastAsia="宋体" w:cs="宋体"/>
          <w:lang w:eastAsia="zh-CN"/>
        </w:rPr>
      </w:pPr>
      <w:r>
        <w:rPr>
          <w:rFonts w:hint="eastAsia" w:ascii="宋体" w:hAnsi="宋体" w:eastAsia="宋体" w:cs="宋体"/>
          <w:lang w:eastAsia="zh-CN"/>
        </w:rPr>
        <w:t>②与周围企业、附近村庄、最近的派出所、消防队等单位协防，做好应急处理。</w:t>
      </w:r>
    </w:p>
    <w:p>
      <w:pPr>
        <w:ind w:firstLine="560"/>
        <w:rPr>
          <w:rFonts w:hint="eastAsia" w:ascii="宋体" w:hAnsi="宋体" w:eastAsia="宋体" w:cs="宋体"/>
          <w:lang w:eastAsia="zh-CN"/>
        </w:rPr>
      </w:pPr>
      <w:r>
        <w:rPr>
          <w:rFonts w:hint="eastAsia" w:ascii="宋体" w:hAnsi="宋体" w:eastAsia="宋体" w:cs="宋体"/>
          <w:lang w:eastAsia="zh-CN"/>
        </w:rPr>
        <w:t>③专人主管哑炮处理，凿岩前必须检查工作面上有无哑炮，有哑炮时则必须处理之后方可凿岩，严禁沿残眼打孔；制定盲炮处理责任制，出现盲炮当班处理，当班无法处理的盲炮，交班时要交代清楚，有记录，并上报主管部门。</w:t>
      </w:r>
    </w:p>
    <w:p>
      <w:pPr>
        <w:ind w:firstLine="560"/>
        <w:rPr>
          <w:rFonts w:hint="eastAsia" w:ascii="宋体" w:hAnsi="宋体" w:eastAsia="宋体" w:cs="宋体"/>
          <w:lang w:eastAsia="zh-CN"/>
        </w:rPr>
      </w:pPr>
      <w:r>
        <w:rPr>
          <w:rFonts w:hint="eastAsia" w:ascii="宋体" w:hAnsi="宋体" w:eastAsia="宋体" w:cs="宋体"/>
          <w:lang w:eastAsia="zh-CN"/>
        </w:rPr>
        <w:t>④对炸药和爆破器的管理上严格执行公安部的有关规定；使用过程建立使用量的记录档案，防止炸药的流失。</w:t>
      </w:r>
    </w:p>
    <w:p>
      <w:pPr>
        <w:ind w:firstLine="560"/>
        <w:rPr>
          <w:rFonts w:hint="eastAsia" w:ascii="宋体" w:hAnsi="宋体" w:eastAsia="宋体" w:cs="宋体"/>
          <w:lang w:eastAsia="zh-CN"/>
        </w:rPr>
      </w:pPr>
      <w:r>
        <w:rPr>
          <w:rFonts w:hint="eastAsia" w:ascii="宋体" w:hAnsi="宋体" w:eastAsia="宋体" w:cs="宋体"/>
          <w:lang w:eastAsia="zh-CN"/>
        </w:rPr>
        <w:t>⑤设定爆破警戒线，放炮前10分钟清理现场，现场无关人员必须全部撤离至安全地方。</w:t>
      </w:r>
    </w:p>
    <w:p>
      <w:pPr>
        <w:ind w:firstLine="560"/>
        <w:rPr>
          <w:rFonts w:hint="eastAsia" w:ascii="宋体" w:hAnsi="宋体" w:eastAsia="宋体" w:cs="宋体"/>
          <w:lang w:eastAsia="zh-CN"/>
        </w:rPr>
      </w:pPr>
      <w:r>
        <w:rPr>
          <w:rFonts w:hint="eastAsia" w:ascii="宋体" w:hAnsi="宋体" w:eastAsia="宋体" w:cs="宋体"/>
          <w:lang w:eastAsia="zh-CN"/>
        </w:rPr>
        <w:t>⑥选用鉴定合格的导爆元件，导爆管的加工使用，起爆药包的段别、数量，装存结构等必须符合设计要求，并按爆破规程进行；装药工序必须按操作规程进行。</w:t>
      </w:r>
    </w:p>
    <w:p>
      <w:pPr>
        <w:ind w:firstLine="560"/>
        <w:rPr>
          <w:rFonts w:hint="eastAsia" w:ascii="宋体" w:hAnsi="宋体" w:eastAsia="宋体" w:cs="宋体"/>
          <w:lang w:eastAsia="zh-CN"/>
        </w:rPr>
      </w:pPr>
      <w:r>
        <w:rPr>
          <w:rFonts w:hint="eastAsia" w:ascii="宋体" w:hAnsi="宋体" w:eastAsia="宋体" w:cs="宋体"/>
          <w:lang w:eastAsia="zh-CN"/>
        </w:rPr>
        <w:t>⑦爆破作业人员必须经培训、考试合格，并持有公安机关颁发的爆炸物品作业证，并严格按照《中华人民共和国民用爆炸物品管理条例》和《爆破作业安全规程》执行。</w:t>
      </w:r>
    </w:p>
    <w:p>
      <w:pPr>
        <w:pStyle w:val="8"/>
        <w:rPr>
          <w:rFonts w:hint="eastAsia" w:ascii="宋体" w:hAnsi="宋体" w:eastAsia="宋体" w:cs="宋体"/>
          <w:lang w:eastAsia="zh-CN"/>
        </w:rPr>
      </w:pPr>
      <w:r>
        <w:rPr>
          <w:rFonts w:hint="eastAsia" w:ascii="宋体" w:hAnsi="宋体" w:eastAsia="宋体" w:cs="宋体"/>
          <w:lang w:eastAsia="zh-CN"/>
        </w:rPr>
        <w:t>6.9.4.2 地下水透水</w:t>
      </w:r>
    </w:p>
    <w:p>
      <w:pPr>
        <w:ind w:firstLine="562"/>
        <w:rPr>
          <w:rFonts w:hint="eastAsia" w:ascii="宋体" w:hAnsi="宋体" w:eastAsia="宋体" w:cs="宋体"/>
          <w:b/>
          <w:bCs/>
          <w:lang w:eastAsia="zh-CN"/>
        </w:rPr>
      </w:pPr>
      <w:r>
        <w:rPr>
          <w:rFonts w:hint="eastAsia" w:ascii="宋体" w:hAnsi="宋体" w:eastAsia="宋体" w:cs="宋体"/>
          <w:b/>
          <w:bCs/>
          <w:lang w:eastAsia="zh-CN"/>
        </w:rPr>
        <w:t>1、影响分析</w:t>
      </w:r>
    </w:p>
    <w:p>
      <w:pPr>
        <w:ind w:firstLine="560"/>
        <w:rPr>
          <w:rFonts w:hint="eastAsia" w:ascii="宋体" w:hAnsi="宋体" w:eastAsia="宋体" w:cs="宋体"/>
          <w:lang w:eastAsia="zh-CN"/>
        </w:rPr>
      </w:pPr>
      <w:r>
        <w:rPr>
          <w:rFonts w:hint="eastAsia" w:ascii="宋体" w:hAnsi="宋体" w:eastAsia="宋体" w:cs="宋体"/>
          <w:lang w:eastAsia="zh-CN"/>
        </w:rPr>
        <w:t>矿山水灾事故主要有12种类型：井口灌入水、井筒渍水溃沙、回采工作面突水、地表积水溃入回采工作面、回采工作面透水、掘进工作面突水、掘进工作面透水、注浆跑水冲埋、防水密闭失效透水、钻孔溃水、突水。其中属于地下水突出的便有十类之多，由此可见矿山地下水突出事故发生的频率较多，是矿山安全生产的重点防范对象。</w:t>
      </w:r>
    </w:p>
    <w:p>
      <w:pPr>
        <w:ind w:firstLine="560"/>
        <w:rPr>
          <w:rFonts w:hint="eastAsia" w:ascii="宋体" w:hAnsi="宋体" w:eastAsia="宋体" w:cs="宋体"/>
          <w:lang w:eastAsia="zh-CN"/>
        </w:rPr>
      </w:pPr>
      <w:r>
        <w:rPr>
          <w:rFonts w:hint="eastAsia" w:ascii="宋体" w:hAnsi="宋体" w:eastAsia="宋体" w:cs="宋体"/>
          <w:lang w:eastAsia="zh-CN"/>
        </w:rPr>
        <w:t>地下水突出事故发生有3个必要条件，只有3个必要条件同时具备，才会发生水灾事故。这3个必要条件是：</w:t>
      </w:r>
    </w:p>
    <w:p>
      <w:pPr>
        <w:ind w:firstLine="560"/>
        <w:rPr>
          <w:rFonts w:hint="eastAsia" w:ascii="宋体" w:hAnsi="宋体" w:eastAsia="宋体" w:cs="宋体"/>
          <w:lang w:eastAsia="zh-CN"/>
        </w:rPr>
      </w:pPr>
      <w:r>
        <w:rPr>
          <w:rFonts w:hint="eastAsia" w:ascii="宋体" w:hAnsi="宋体" w:eastAsia="宋体" w:cs="宋体"/>
          <w:lang w:eastAsia="zh-CN"/>
        </w:rPr>
        <w:t>（1）水源：水源是发生水灾事故的第一个必要条件，这里指的水包括地表积水、洪水、松散层水、岩溶裂隙水、砂岩裂隙水、采空区水、灌注浆水、生产用水等8种。造成重大或特别重大事故的水源往往是岩溶裂隙水和采空区水。</w:t>
      </w:r>
    </w:p>
    <w:p>
      <w:pPr>
        <w:ind w:firstLine="560"/>
        <w:rPr>
          <w:rFonts w:hint="eastAsia" w:ascii="宋体" w:hAnsi="宋体" w:eastAsia="宋体" w:cs="宋体"/>
          <w:lang w:eastAsia="zh-CN"/>
        </w:rPr>
      </w:pPr>
      <w:r>
        <w:rPr>
          <w:rFonts w:hint="eastAsia" w:ascii="宋体" w:hAnsi="宋体" w:eastAsia="宋体" w:cs="宋体"/>
          <w:lang w:eastAsia="zh-CN"/>
        </w:rPr>
        <w:t>（2）导水通道：导水通道是发生水灾的第二个必要条件，它包括自然通道和人工通道两类。自然通道主要有断层、裂隙、陷落柱等，人工通道有钻孔、开挖面、井口、生产用水管路等。</w:t>
      </w:r>
    </w:p>
    <w:p>
      <w:pPr>
        <w:ind w:firstLine="560"/>
        <w:rPr>
          <w:rFonts w:hint="eastAsia" w:ascii="宋体" w:hAnsi="宋体" w:eastAsia="宋体" w:cs="宋体"/>
          <w:lang w:eastAsia="zh-CN"/>
        </w:rPr>
      </w:pPr>
      <w:r>
        <w:rPr>
          <w:rFonts w:hint="eastAsia" w:ascii="宋体" w:hAnsi="宋体" w:eastAsia="宋体" w:cs="宋体"/>
          <w:lang w:eastAsia="zh-CN"/>
        </w:rPr>
        <w:t>（3）释放水空间：只有上述两个条件，没有释放水空间，也是不可能发生水灾事故的。这个释放水空间是人们根据设计生产需要开挖出来的一个空间，包括井筒、巷道、峒室、采空区等。</w:t>
      </w:r>
    </w:p>
    <w:p>
      <w:pPr>
        <w:ind w:firstLine="560"/>
        <w:rPr>
          <w:rFonts w:hint="eastAsia" w:ascii="宋体" w:hAnsi="宋体" w:eastAsia="宋体" w:cs="宋体"/>
          <w:lang w:eastAsia="zh-CN"/>
        </w:rPr>
      </w:pPr>
      <w:r>
        <w:rPr>
          <w:rFonts w:hint="eastAsia" w:ascii="宋体" w:hAnsi="宋体" w:eastAsia="宋体" w:cs="宋体"/>
          <w:lang w:eastAsia="zh-CN"/>
        </w:rPr>
        <w:t>根据水文地质调查资料，项目所在区内主要含水层为分布于沂河两岸河漫滩和阶地上的第四系冲洪积孔隙含水层，下伏前寒武变质岩系为含水微弱的基岩裂隙水弱含水岩带，单位涌水量9.98～23.52L/s,，排水设施完善。因此，本矿区发生大规模突水事故的可能性较小。</w:t>
      </w:r>
    </w:p>
    <w:p>
      <w:pPr>
        <w:ind w:firstLine="562"/>
        <w:rPr>
          <w:rFonts w:hint="eastAsia" w:ascii="宋体" w:hAnsi="宋体" w:eastAsia="宋体" w:cs="宋体"/>
          <w:b/>
          <w:bCs/>
          <w:lang w:eastAsia="zh-CN"/>
        </w:rPr>
      </w:pPr>
      <w:r>
        <w:rPr>
          <w:rFonts w:hint="eastAsia" w:ascii="宋体" w:hAnsi="宋体" w:eastAsia="宋体" w:cs="宋体"/>
          <w:b/>
          <w:bCs/>
          <w:lang w:eastAsia="zh-CN"/>
        </w:rPr>
        <w:t>2、风险防范措施</w:t>
      </w:r>
    </w:p>
    <w:p>
      <w:pPr>
        <w:ind w:firstLine="560"/>
        <w:rPr>
          <w:rFonts w:hint="eastAsia" w:ascii="宋体" w:hAnsi="宋体" w:eastAsia="宋体" w:cs="宋体"/>
          <w:lang w:eastAsia="zh-CN"/>
        </w:rPr>
      </w:pPr>
      <w:r>
        <w:rPr>
          <w:rFonts w:hint="eastAsia" w:ascii="宋体" w:hAnsi="宋体" w:eastAsia="宋体" w:cs="宋体"/>
          <w:lang w:eastAsia="zh-CN"/>
        </w:rPr>
        <w:t>建设单位应从以下几个方面做好地下水突水的风险防范措施：</w:t>
      </w:r>
    </w:p>
    <w:p>
      <w:pPr>
        <w:ind w:firstLine="560"/>
        <w:rPr>
          <w:rFonts w:hint="eastAsia" w:ascii="宋体" w:hAnsi="宋体" w:eastAsia="宋体" w:cs="宋体"/>
          <w:lang w:eastAsia="zh-CN"/>
        </w:rPr>
      </w:pPr>
      <w:r>
        <w:rPr>
          <w:rFonts w:hint="eastAsia" w:ascii="宋体" w:hAnsi="宋体" w:eastAsia="宋体" w:cs="宋体"/>
          <w:lang w:eastAsia="zh-CN"/>
        </w:rPr>
        <w:t>（1）为防地表水涌入井下，井口和工业场地等处，设置防洪设施。</w:t>
      </w:r>
    </w:p>
    <w:p>
      <w:pPr>
        <w:ind w:firstLine="560"/>
        <w:rPr>
          <w:rFonts w:hint="eastAsia" w:ascii="宋体" w:hAnsi="宋体" w:eastAsia="宋体" w:cs="宋体"/>
          <w:lang w:eastAsia="zh-CN"/>
        </w:rPr>
      </w:pPr>
      <w:r>
        <w:rPr>
          <w:rFonts w:hint="eastAsia" w:ascii="宋体" w:hAnsi="宋体" w:eastAsia="宋体" w:cs="宋体"/>
          <w:lang w:eastAsia="zh-CN"/>
        </w:rPr>
        <w:t>（2）在雨季要做好防洪工程的检查和维护工作，保证排水设施的正常运行。</w:t>
      </w:r>
    </w:p>
    <w:p>
      <w:pPr>
        <w:ind w:firstLine="560"/>
        <w:rPr>
          <w:rFonts w:hint="eastAsia" w:ascii="宋体" w:hAnsi="宋体" w:eastAsia="宋体" w:cs="宋体"/>
          <w:lang w:eastAsia="zh-CN"/>
        </w:rPr>
      </w:pPr>
      <w:r>
        <w:rPr>
          <w:rFonts w:hint="eastAsia" w:ascii="宋体" w:hAnsi="宋体" w:eastAsia="宋体" w:cs="宋体"/>
          <w:lang w:eastAsia="zh-CN"/>
        </w:rPr>
        <w:t>（3）加强矿山水文地质工作，准确描述控水构造带，在布置井巷工程时，应尽可能避开控水构造带。对接近水体的地带或可能与水体有联系的地段，应坚持“有疑必探，先探后掘”的原则，编制探水设计。</w:t>
      </w:r>
    </w:p>
    <w:p>
      <w:pPr>
        <w:ind w:firstLine="560"/>
        <w:rPr>
          <w:rFonts w:hint="eastAsia" w:ascii="宋体" w:hAnsi="宋体" w:eastAsia="宋体" w:cs="宋体"/>
          <w:lang w:eastAsia="zh-CN"/>
        </w:rPr>
      </w:pPr>
      <w:r>
        <w:rPr>
          <w:rFonts w:hint="eastAsia" w:ascii="宋体" w:hAnsi="宋体" w:eastAsia="宋体" w:cs="宋体"/>
          <w:lang w:eastAsia="zh-CN"/>
        </w:rPr>
        <w:t>（4）矿山应当建立健全防范汛期自然灾害引发事故灾难的组织机构和制度。编制汛期防灾工作方案，加强汛期调度和值班工作。</w:t>
      </w:r>
    </w:p>
    <w:p>
      <w:pPr>
        <w:ind w:firstLine="560"/>
        <w:rPr>
          <w:rFonts w:hint="eastAsia" w:ascii="宋体" w:hAnsi="宋体" w:eastAsia="宋体" w:cs="宋体"/>
          <w:lang w:eastAsia="zh-CN"/>
        </w:rPr>
      </w:pPr>
      <w:r>
        <w:rPr>
          <w:rFonts w:hint="eastAsia" w:ascii="宋体" w:hAnsi="宋体" w:eastAsia="宋体" w:cs="宋体"/>
          <w:lang w:eastAsia="zh-CN"/>
        </w:rPr>
        <w:t>（5）矿山应当主动与气象、水利、防汛等部门联系，建立灾害性天气预警和预防机制，及时掌握危及矿山安全生产的暴雨洪水灾害信息。</w:t>
      </w:r>
    </w:p>
    <w:p>
      <w:pPr>
        <w:ind w:firstLine="560"/>
        <w:rPr>
          <w:rFonts w:hint="eastAsia" w:ascii="宋体" w:hAnsi="宋体" w:eastAsia="宋体" w:cs="宋体"/>
          <w:lang w:eastAsia="zh-CN"/>
        </w:rPr>
      </w:pPr>
      <w:r>
        <w:rPr>
          <w:rFonts w:hint="eastAsia" w:ascii="宋体" w:hAnsi="宋体" w:eastAsia="宋体" w:cs="宋体"/>
          <w:lang w:eastAsia="zh-CN"/>
        </w:rPr>
        <w:t>（6）矿山应当查清矿区及附近地面水系的汇水和渗漏情况、疏水能力和有关水利工程情况。掌握当地历年极端天气降雨量和最高洪水位资料，存在隐患的要采取积极的防范和整改措施。</w:t>
      </w:r>
    </w:p>
    <w:p>
      <w:pPr>
        <w:ind w:firstLine="560"/>
        <w:rPr>
          <w:rFonts w:hint="eastAsia" w:ascii="宋体" w:hAnsi="宋体" w:eastAsia="宋体" w:cs="宋体"/>
          <w:lang w:eastAsia="zh-CN"/>
        </w:rPr>
      </w:pPr>
      <w:r>
        <w:rPr>
          <w:rFonts w:hint="eastAsia" w:ascii="宋体" w:hAnsi="宋体" w:eastAsia="宋体" w:cs="宋体"/>
          <w:lang w:eastAsia="zh-CN"/>
        </w:rPr>
        <w:t>（7）矿山企业在汛期来临前，应当组织力量对防排水设施、蓄水设施检修、清挖、泄流，保证在汛期有可靠的蓄水能力和水路畅通。</w:t>
      </w:r>
    </w:p>
    <w:p>
      <w:pPr>
        <w:ind w:firstLine="560"/>
        <w:rPr>
          <w:rFonts w:hint="eastAsia" w:ascii="宋体" w:hAnsi="宋体" w:eastAsia="宋体" w:cs="宋体"/>
          <w:lang w:eastAsia="zh-CN"/>
        </w:rPr>
      </w:pPr>
      <w:r>
        <w:rPr>
          <w:rFonts w:hint="eastAsia" w:ascii="宋体" w:hAnsi="宋体" w:eastAsia="宋体" w:cs="宋体"/>
          <w:lang w:eastAsia="zh-CN"/>
        </w:rPr>
        <w:t>（8）根据《山东省加强井工开采矿山水害防治工作特别暂行规定》：各矿山企业要设置测定雨量设施，当汛期本区域连续降雨达到50mm以上或气象预报为“暴雨”的天气时，井工开采矿山必须立即停产撤人，企业主要负责人必须在岗在位。当矿井涌水量出现突增、突减以及水质发生变化等情况时，要先停产撤人，然后分析原因。建立紧急情况下人员撤离制度。</w:t>
      </w:r>
    </w:p>
    <w:p>
      <w:pPr>
        <w:ind w:firstLine="560"/>
        <w:rPr>
          <w:rFonts w:hint="eastAsia" w:ascii="宋体" w:hAnsi="宋体" w:eastAsia="宋体" w:cs="宋体"/>
          <w:lang w:eastAsia="zh-CN"/>
        </w:rPr>
      </w:pPr>
      <w:r>
        <w:rPr>
          <w:rFonts w:hint="eastAsia" w:ascii="宋体" w:hAnsi="宋体" w:eastAsia="宋体" w:cs="宋体"/>
          <w:lang w:eastAsia="zh-CN"/>
        </w:rPr>
        <w:t>（9）建立完善的排水系统，配备足够的排水设备；</w:t>
      </w:r>
    </w:p>
    <w:p>
      <w:pPr>
        <w:ind w:firstLine="560"/>
        <w:rPr>
          <w:rFonts w:hint="eastAsia" w:ascii="宋体" w:hAnsi="宋体" w:eastAsia="宋体" w:cs="宋体"/>
          <w:lang w:eastAsia="zh-CN"/>
        </w:rPr>
      </w:pPr>
      <w:r>
        <w:rPr>
          <w:rFonts w:hint="eastAsia" w:ascii="宋体" w:hAnsi="宋体" w:eastAsia="宋体" w:cs="宋体"/>
          <w:lang w:eastAsia="zh-CN"/>
        </w:rPr>
        <w:t>（10）建立足够容积的水仓和水泵房；及时处理采空区；地表水附近应按设计要求留足防隔水岩矿。</w:t>
      </w:r>
    </w:p>
    <w:p>
      <w:pPr>
        <w:pStyle w:val="8"/>
        <w:rPr>
          <w:rFonts w:hint="eastAsia" w:ascii="宋体" w:hAnsi="宋体" w:eastAsia="宋体" w:cs="宋体"/>
          <w:lang w:eastAsia="zh-CN"/>
        </w:rPr>
      </w:pPr>
      <w:r>
        <w:rPr>
          <w:rFonts w:hint="eastAsia" w:ascii="宋体" w:hAnsi="宋体" w:eastAsia="宋体" w:cs="宋体"/>
          <w:lang w:eastAsia="zh-CN"/>
        </w:rPr>
        <w:t>6.9.4.3 地面塌陷</w:t>
      </w:r>
    </w:p>
    <w:p>
      <w:pPr>
        <w:ind w:firstLine="562"/>
        <w:rPr>
          <w:rFonts w:hint="eastAsia" w:ascii="宋体" w:hAnsi="宋体" w:eastAsia="宋体" w:cs="宋体"/>
          <w:b/>
          <w:bCs/>
          <w:lang w:eastAsia="zh-CN"/>
        </w:rPr>
      </w:pPr>
      <w:r>
        <w:rPr>
          <w:rFonts w:hint="eastAsia" w:ascii="宋体" w:hAnsi="宋体" w:eastAsia="宋体" w:cs="宋体"/>
          <w:b/>
          <w:bCs/>
          <w:lang w:eastAsia="zh-CN"/>
        </w:rPr>
        <w:t>1、影响分析</w:t>
      </w:r>
    </w:p>
    <w:p>
      <w:pPr>
        <w:ind w:firstLine="560"/>
        <w:rPr>
          <w:rFonts w:hint="eastAsia" w:ascii="宋体" w:hAnsi="宋体" w:eastAsia="宋体" w:cs="宋体"/>
          <w:lang w:eastAsia="zh-CN"/>
        </w:rPr>
      </w:pPr>
      <w:r>
        <w:rPr>
          <w:rFonts w:hint="eastAsia" w:ascii="宋体" w:hAnsi="宋体" w:eastAsia="宋体" w:cs="宋体"/>
          <w:lang w:eastAsia="zh-CN"/>
        </w:rPr>
        <w:t>通常在矿山采掘过程中，形成大量的空间。空间的形成破坏了岩体内部应力场的相对平衡状态。岩体在空间出现临空面，失去了支撑力，引起岩体内部应力场及应力集中区。爆破震动使临空面的岩体产生许多裂隙，裂隙的形成，又促使集中应力区的应力更加集中。当岩体的薄弱部位(岩体松软、节理发育、岩脉穿插等)的岩体的自重力超过内部应力极限时，即发生片帮、冒顶，从而造成危害。</w:t>
      </w:r>
    </w:p>
    <w:p>
      <w:pPr>
        <w:ind w:firstLine="560"/>
        <w:rPr>
          <w:rFonts w:hint="eastAsia" w:ascii="宋体" w:hAnsi="宋体" w:eastAsia="宋体" w:cs="宋体"/>
          <w:lang w:eastAsia="zh-CN"/>
        </w:rPr>
      </w:pPr>
      <w:r>
        <w:rPr>
          <w:rFonts w:hint="eastAsia" w:ascii="宋体" w:hAnsi="宋体" w:eastAsia="宋体" w:cs="宋体"/>
          <w:lang w:eastAsia="zh-CN"/>
        </w:rPr>
        <w:t>扩能工程采用废石和尾砂胶结充填，采空区充填率为90%，经第7章分析，采空区引起的地面塌陷可得到有效控制，对地表无不良影响。</w:t>
      </w:r>
    </w:p>
    <w:p>
      <w:pPr>
        <w:ind w:firstLine="562"/>
        <w:rPr>
          <w:rFonts w:hint="eastAsia" w:ascii="宋体" w:hAnsi="宋体" w:eastAsia="宋体" w:cs="宋体"/>
          <w:b/>
          <w:bCs/>
          <w:lang w:eastAsia="zh-CN"/>
        </w:rPr>
      </w:pPr>
      <w:r>
        <w:rPr>
          <w:rFonts w:hint="eastAsia" w:ascii="宋体" w:hAnsi="宋体" w:eastAsia="宋体" w:cs="宋体"/>
          <w:b/>
          <w:bCs/>
          <w:lang w:eastAsia="zh-CN"/>
        </w:rPr>
        <w:t>2、风险防范措施</w:t>
      </w:r>
    </w:p>
    <w:p>
      <w:pPr>
        <w:ind w:firstLine="560"/>
        <w:rPr>
          <w:rFonts w:hint="eastAsia" w:ascii="宋体" w:hAnsi="宋体" w:eastAsia="宋体" w:cs="宋体"/>
          <w:lang w:eastAsia="zh-CN"/>
        </w:rPr>
      </w:pPr>
      <w:r>
        <w:rPr>
          <w:rFonts w:hint="eastAsia" w:ascii="宋体" w:hAnsi="宋体" w:eastAsia="宋体" w:cs="宋体"/>
          <w:lang w:eastAsia="zh-CN"/>
        </w:rPr>
        <w:t>（1）建立矿井设计审查制度，必须按设计要求，加强对矿井开采顺序、开采方式的监督管理。</w:t>
      </w:r>
    </w:p>
    <w:p>
      <w:pPr>
        <w:ind w:firstLine="560"/>
        <w:rPr>
          <w:rFonts w:hint="eastAsia" w:ascii="宋体" w:hAnsi="宋体" w:eastAsia="宋体" w:cs="宋体"/>
          <w:lang w:eastAsia="zh-CN"/>
        </w:rPr>
      </w:pPr>
      <w:r>
        <w:rPr>
          <w:rFonts w:hint="eastAsia" w:ascii="宋体" w:hAnsi="宋体" w:eastAsia="宋体" w:cs="宋体"/>
          <w:lang w:eastAsia="zh-CN"/>
        </w:rPr>
        <w:t>（2）建立生态环境监测体系和地质灾害预警预报和防治系统，加强对采矿活动诱发的地面沉降、塌陷等灾害的监测及预报。</w:t>
      </w:r>
    </w:p>
    <w:p>
      <w:pPr>
        <w:ind w:firstLine="560"/>
        <w:rPr>
          <w:rFonts w:hint="eastAsia" w:ascii="宋体" w:hAnsi="宋体" w:eastAsia="宋体" w:cs="宋体"/>
          <w:lang w:eastAsia="zh-CN"/>
        </w:rPr>
      </w:pPr>
      <w:r>
        <w:rPr>
          <w:rFonts w:hint="eastAsia" w:ascii="宋体" w:hAnsi="宋体" w:eastAsia="宋体" w:cs="宋体"/>
          <w:lang w:eastAsia="zh-CN"/>
        </w:rPr>
        <w:t>（3）实行防灾预案制度，建立抗灾救灾机构，制定应急措施。对存在重大灾害隐患的，要停止诱发行为，并采取防治措施，对矿井产生的各类次生地质灾害，采用生物、农业、林业、工程等措施进行综合治理。</w:t>
      </w:r>
    </w:p>
    <w:p>
      <w:pPr>
        <w:ind w:firstLine="560"/>
        <w:rPr>
          <w:rFonts w:hint="eastAsia" w:ascii="宋体" w:hAnsi="宋体" w:eastAsia="宋体" w:cs="宋体"/>
          <w:lang w:eastAsia="zh-CN"/>
        </w:rPr>
      </w:pPr>
      <w:r>
        <w:rPr>
          <w:rFonts w:hint="eastAsia" w:ascii="宋体" w:hAnsi="宋体" w:eastAsia="宋体" w:cs="宋体"/>
          <w:lang w:eastAsia="zh-CN"/>
        </w:rPr>
        <w:t>（4）设置保安矿柱，并及时进行采空区充填。</w:t>
      </w:r>
    </w:p>
    <w:p>
      <w:pPr>
        <w:ind w:firstLine="560"/>
        <w:rPr>
          <w:rFonts w:hint="eastAsia" w:ascii="宋体" w:hAnsi="宋体" w:eastAsia="宋体" w:cs="宋体"/>
          <w:lang w:eastAsia="zh-CN"/>
        </w:rPr>
      </w:pPr>
      <w:r>
        <w:rPr>
          <w:rFonts w:hint="eastAsia" w:ascii="宋体" w:hAnsi="宋体" w:eastAsia="宋体" w:cs="宋体"/>
          <w:lang w:eastAsia="zh-CN"/>
        </w:rPr>
        <w:t>（5）井巷工程严格按要求编制采、掘作业规程和安全技术措施；保证支护材料的质量和强度；对放炮崩倒、崩坏的支架及时处理。</w:t>
      </w:r>
    </w:p>
    <w:p>
      <w:pPr>
        <w:ind w:firstLine="560"/>
        <w:rPr>
          <w:rFonts w:hint="eastAsia" w:ascii="宋体" w:hAnsi="宋体" w:eastAsia="宋体" w:cs="宋体"/>
          <w:lang w:eastAsia="zh-CN"/>
        </w:rPr>
      </w:pPr>
      <w:r>
        <w:rPr>
          <w:rFonts w:hint="eastAsia" w:ascii="宋体" w:hAnsi="宋体" w:eastAsia="宋体" w:cs="宋体"/>
          <w:lang w:eastAsia="zh-CN"/>
        </w:rPr>
        <w:t>（6）做好预警工作，采取班班敲帮问顶、加强险浮石检撬；检撬不下的险石做好标记观察裂隙变化；观察支柱变化情况；听顶帮岩石有无撕裂声；看有无掉小石、淋水有无增大等措施及时发现问题。</w:t>
      </w:r>
    </w:p>
    <w:p>
      <w:pPr>
        <w:pStyle w:val="8"/>
        <w:rPr>
          <w:rFonts w:hint="eastAsia" w:ascii="宋体" w:hAnsi="宋体" w:eastAsia="宋体" w:cs="宋体"/>
          <w:lang w:eastAsia="zh-CN"/>
        </w:rPr>
      </w:pPr>
      <w:r>
        <w:rPr>
          <w:rFonts w:hint="eastAsia" w:ascii="宋体" w:hAnsi="宋体" w:eastAsia="宋体" w:cs="宋体"/>
          <w:lang w:eastAsia="zh-CN"/>
        </w:rPr>
        <w:t>6.9.4.4 管线泄露</w:t>
      </w:r>
    </w:p>
    <w:p>
      <w:pPr>
        <w:ind w:firstLine="562"/>
        <w:rPr>
          <w:rFonts w:hint="eastAsia" w:ascii="宋体" w:hAnsi="宋体" w:eastAsia="宋体" w:cs="宋体"/>
          <w:b/>
          <w:bCs/>
          <w:lang w:eastAsia="zh-CN"/>
        </w:rPr>
      </w:pPr>
      <w:r>
        <w:rPr>
          <w:rFonts w:hint="eastAsia" w:ascii="宋体" w:hAnsi="宋体" w:eastAsia="宋体" w:cs="宋体"/>
          <w:b/>
          <w:bCs/>
          <w:lang w:eastAsia="zh-CN"/>
        </w:rPr>
        <w:t>1、影响分析</w:t>
      </w:r>
    </w:p>
    <w:p>
      <w:pPr>
        <w:ind w:firstLine="560"/>
        <w:rPr>
          <w:rFonts w:hint="eastAsia" w:ascii="宋体" w:hAnsi="宋体" w:eastAsia="宋体" w:cs="宋体"/>
          <w:lang w:eastAsia="zh-CN"/>
        </w:rPr>
      </w:pPr>
      <w:r>
        <w:rPr>
          <w:rFonts w:hint="eastAsia" w:ascii="宋体" w:hAnsi="宋体" w:eastAsia="宋体" w:cs="宋体"/>
          <w:lang w:eastAsia="zh-CN"/>
        </w:rPr>
        <w:t>管线风险主要为涌水管线出现跑、冒、漏现象时，致使涌水泄漏，对泄漏点周边环境产生一定影响。造成管线泄漏事故的主要原因是外力破坏、误操作、设计施工缺陷或者腐蚀。其环境危害主要为涌水中污染物对地下水、土壤、生态环境的影响。</w:t>
      </w:r>
    </w:p>
    <w:p>
      <w:pPr>
        <w:ind w:firstLine="560"/>
        <w:rPr>
          <w:rFonts w:hint="eastAsia" w:ascii="宋体" w:hAnsi="宋体" w:eastAsia="宋体" w:cs="宋体"/>
          <w:lang w:eastAsia="zh-CN"/>
        </w:rPr>
      </w:pPr>
      <w:r>
        <w:rPr>
          <w:rFonts w:hint="eastAsia" w:ascii="宋体" w:hAnsi="宋体" w:eastAsia="宋体" w:cs="宋体"/>
          <w:lang w:eastAsia="zh-CN"/>
        </w:rPr>
        <w:t>根据本报告涌水水质情况，可知涌水水质较好，对地下水水质影响很小。管线泄漏涌水不会对地下水、土壤、生态环境造成明显影响。</w:t>
      </w:r>
    </w:p>
    <w:p>
      <w:pPr>
        <w:ind w:firstLine="560"/>
        <w:rPr>
          <w:rFonts w:hint="eastAsia" w:ascii="宋体" w:hAnsi="宋体" w:eastAsia="宋体" w:cs="宋体"/>
          <w:lang w:eastAsia="zh-CN"/>
        </w:rPr>
      </w:pPr>
      <w:r>
        <w:rPr>
          <w:rFonts w:hint="eastAsia" w:ascii="宋体" w:hAnsi="宋体" w:eastAsia="宋体" w:cs="宋体"/>
          <w:lang w:eastAsia="zh-CN"/>
        </w:rPr>
        <w:t>2、防范措施</w:t>
      </w:r>
    </w:p>
    <w:p>
      <w:pPr>
        <w:ind w:firstLine="560"/>
        <w:rPr>
          <w:rFonts w:hint="eastAsia" w:ascii="宋体" w:hAnsi="宋体" w:eastAsia="宋体" w:cs="宋体"/>
          <w:lang w:eastAsia="zh-CN"/>
        </w:rPr>
      </w:pPr>
      <w:r>
        <w:rPr>
          <w:rFonts w:hint="eastAsia" w:ascii="宋体" w:hAnsi="宋体" w:eastAsia="宋体" w:cs="宋体"/>
          <w:lang w:eastAsia="zh-CN"/>
        </w:rPr>
        <w:t>管线泄漏事故的防止是生产和储运过程中最重要的环节，发生泄漏可能引起污染物扩散等一系列重大事故。经验表明：设备失灵和人为的操作失误是引发泄漏的主要原因。因此，选用较好的设备、精心设计、严格管理和操作人员的责任心是减少泄漏事故的关键，因此应加强以下几点工作：</w:t>
      </w:r>
    </w:p>
    <w:p>
      <w:pPr>
        <w:ind w:firstLine="560"/>
        <w:rPr>
          <w:rFonts w:hint="eastAsia" w:ascii="宋体" w:hAnsi="宋体" w:eastAsia="宋体" w:cs="宋体"/>
          <w:lang w:eastAsia="zh-CN"/>
        </w:rPr>
      </w:pPr>
      <w:r>
        <w:rPr>
          <w:rFonts w:hint="eastAsia" w:ascii="宋体" w:hAnsi="宋体" w:eastAsia="宋体" w:cs="宋体"/>
          <w:lang w:eastAsia="zh-CN"/>
        </w:rPr>
        <w:t>①对操作人员进行系统教育，严格按操作规程进行操作，严禁违章作业。</w:t>
      </w:r>
    </w:p>
    <w:p>
      <w:pPr>
        <w:ind w:firstLine="560"/>
        <w:rPr>
          <w:rFonts w:hint="eastAsia" w:ascii="宋体" w:hAnsi="宋体" w:eastAsia="宋体" w:cs="宋体"/>
          <w:lang w:eastAsia="zh-CN"/>
        </w:rPr>
      </w:pPr>
      <w:r>
        <w:rPr>
          <w:rFonts w:hint="eastAsia" w:ascii="宋体" w:hAnsi="宋体" w:eastAsia="宋体" w:cs="宋体"/>
          <w:lang w:eastAsia="zh-CN"/>
        </w:rPr>
        <w:t>②所有排液均集中收集，并进行妥善处理，防止随意流散。</w:t>
      </w:r>
    </w:p>
    <w:p>
      <w:pPr>
        <w:ind w:firstLine="560"/>
        <w:rPr>
          <w:rFonts w:hint="eastAsia" w:ascii="宋体" w:hAnsi="宋体" w:eastAsia="宋体" w:cs="宋体"/>
          <w:lang w:eastAsia="zh-CN"/>
        </w:rPr>
      </w:pPr>
      <w:r>
        <w:rPr>
          <w:rFonts w:hint="eastAsia" w:ascii="宋体" w:hAnsi="宋体" w:eastAsia="宋体" w:cs="宋体"/>
          <w:lang w:eastAsia="zh-CN"/>
        </w:rPr>
        <w:t>③经常对各类阀门、水泵、水管进行检查和维修，以保证其严密性和灵活性。</w:t>
      </w:r>
    </w:p>
    <w:p>
      <w:pPr>
        <w:ind w:firstLine="560"/>
        <w:rPr>
          <w:rFonts w:hint="eastAsia" w:ascii="宋体" w:hAnsi="宋体" w:eastAsia="宋体" w:cs="宋体"/>
          <w:lang w:eastAsia="zh-CN"/>
        </w:rPr>
      </w:pPr>
      <w:r>
        <w:rPr>
          <w:rFonts w:hint="eastAsia" w:ascii="宋体" w:hAnsi="宋体" w:eastAsia="宋体" w:cs="宋体"/>
          <w:lang w:eastAsia="zh-CN"/>
        </w:rPr>
        <w:t>④经常检查管道，定期系统试压、定期检漏。管道施工应按规范要求进行。</w:t>
      </w:r>
    </w:p>
    <w:p>
      <w:pPr>
        <w:ind w:firstLine="560"/>
        <w:rPr>
          <w:rFonts w:hint="eastAsia" w:ascii="宋体" w:hAnsi="宋体" w:eastAsia="宋体" w:cs="宋体"/>
          <w:lang w:eastAsia="zh-CN"/>
        </w:rPr>
      </w:pPr>
      <w:r>
        <w:rPr>
          <w:rFonts w:hint="eastAsia" w:ascii="宋体" w:hAnsi="宋体" w:eastAsia="宋体" w:cs="宋体"/>
          <w:lang w:eastAsia="zh-CN"/>
        </w:rPr>
        <w:t>⑤加强巡逻，一旦发现尾矿泄漏及时修补。并立刻停止相应系统的运行，待风险处理处置完成后再恢复运行。</w:t>
      </w:r>
    </w:p>
    <w:p>
      <w:pPr>
        <w:ind w:firstLine="560"/>
        <w:rPr>
          <w:rFonts w:hint="eastAsia" w:ascii="宋体" w:hAnsi="宋体" w:eastAsia="宋体" w:cs="宋体"/>
          <w:lang w:eastAsia="zh-CN"/>
        </w:rPr>
      </w:pPr>
      <w:r>
        <w:rPr>
          <w:rFonts w:hint="eastAsia" w:ascii="宋体" w:hAnsi="宋体" w:eastAsia="宋体" w:cs="宋体"/>
          <w:lang w:eastAsia="zh-CN"/>
        </w:rPr>
        <w:t>采取上述措施后，管线泄漏对周边环境不会造成明显不利影响。</w:t>
      </w:r>
    </w:p>
    <w:p>
      <w:pPr>
        <w:pStyle w:val="7"/>
        <w:rPr>
          <w:rFonts w:hint="eastAsia" w:ascii="宋体" w:hAnsi="宋体" w:eastAsia="宋体" w:cs="宋体"/>
          <w:lang w:eastAsia="zh-CN"/>
        </w:rPr>
      </w:pPr>
      <w:r>
        <w:rPr>
          <w:rFonts w:hint="eastAsia" w:ascii="宋体" w:hAnsi="宋体" w:eastAsia="宋体" w:cs="宋体"/>
          <w:lang w:eastAsia="zh-CN"/>
        </w:rPr>
        <w:t xml:space="preserve">6.9.5 应急预案 </w:t>
      </w:r>
    </w:p>
    <w:p>
      <w:pPr>
        <w:ind w:firstLine="560"/>
        <w:rPr>
          <w:rFonts w:hint="eastAsia" w:ascii="宋体" w:hAnsi="宋体" w:eastAsia="宋体" w:cs="宋体"/>
          <w:lang w:eastAsia="zh-CN"/>
        </w:rPr>
      </w:pPr>
      <w:r>
        <w:rPr>
          <w:rFonts w:hint="eastAsia" w:ascii="宋体" w:hAnsi="宋体" w:eastAsia="宋体" w:cs="宋体"/>
          <w:lang w:eastAsia="zh-CN"/>
        </w:rPr>
        <w:t>为应对</w:t>
      </w:r>
      <w:r>
        <w:rPr>
          <w:rFonts w:hint="eastAsia" w:cs="宋体"/>
          <w:lang w:eastAsia="zh-CN"/>
        </w:rPr>
        <w:t>本项目</w:t>
      </w:r>
      <w:r>
        <w:rPr>
          <w:rFonts w:hint="eastAsia" w:ascii="宋体" w:hAnsi="宋体" w:eastAsia="宋体" w:cs="宋体"/>
          <w:lang w:eastAsia="zh-CN"/>
        </w:rPr>
        <w:t>可能产生的各类突发性环境污染事件以及生态破坏事故，建设单位应制订全面、具体而细致的风险应急预案。</w:t>
      </w:r>
    </w:p>
    <w:p>
      <w:pPr>
        <w:ind w:firstLine="560"/>
        <w:rPr>
          <w:rFonts w:hint="eastAsia" w:ascii="宋体" w:hAnsi="宋体" w:eastAsia="宋体" w:cs="宋体"/>
          <w:lang w:eastAsia="zh-CN"/>
        </w:rPr>
      </w:pPr>
      <w:r>
        <w:rPr>
          <w:rFonts w:hint="eastAsia" w:ascii="宋体" w:hAnsi="宋体" w:eastAsia="宋体" w:cs="宋体"/>
          <w:lang w:eastAsia="zh-CN"/>
        </w:rPr>
        <w:t>应急预案需包括预案适用范围、环境事件分类与分级、组织机构与职责、监控和预警、应急响应、应急保障、善后处置、预案管理与演练等内容；应明确企业、区域、地方政府环境风险应急体系；应体现分级响应、区域联动的原则，与地方政府突发环境事件应急预案相衔接，明确分级响应程序。具体要求如下：</w:t>
      </w:r>
    </w:p>
    <w:p>
      <w:pPr>
        <w:pStyle w:val="8"/>
        <w:rPr>
          <w:rFonts w:hint="eastAsia" w:ascii="宋体" w:hAnsi="宋体" w:eastAsia="宋体" w:cs="宋体"/>
          <w:lang w:eastAsia="zh-CN"/>
        </w:rPr>
      </w:pPr>
      <w:r>
        <w:rPr>
          <w:rFonts w:hint="eastAsia" w:ascii="宋体" w:hAnsi="宋体" w:eastAsia="宋体" w:cs="宋体"/>
          <w:lang w:eastAsia="zh-CN"/>
        </w:rPr>
        <w:t>6.9.5.1 适用范围</w:t>
      </w:r>
    </w:p>
    <w:p>
      <w:pPr>
        <w:ind w:firstLine="560"/>
        <w:rPr>
          <w:rFonts w:hint="eastAsia" w:ascii="宋体" w:hAnsi="宋体" w:eastAsia="宋体" w:cs="宋体"/>
          <w:lang w:eastAsia="zh-CN"/>
        </w:rPr>
      </w:pPr>
      <w:r>
        <w:rPr>
          <w:rFonts w:hint="eastAsia" w:ascii="宋体" w:hAnsi="宋体" w:eastAsia="宋体" w:cs="宋体"/>
          <w:lang w:eastAsia="zh-CN"/>
        </w:rPr>
        <w:t>明确应急预案适用的对象、范围。应细化到各生产班组、生产岗位和员工个人应急处置卡。</w:t>
      </w:r>
    </w:p>
    <w:p>
      <w:pPr>
        <w:pStyle w:val="8"/>
        <w:rPr>
          <w:rFonts w:hint="eastAsia" w:ascii="宋体" w:hAnsi="宋体" w:eastAsia="宋体" w:cs="宋体"/>
          <w:lang w:eastAsia="zh-CN"/>
        </w:rPr>
      </w:pPr>
      <w:r>
        <w:rPr>
          <w:rFonts w:hint="eastAsia" w:ascii="宋体" w:hAnsi="宋体" w:eastAsia="宋体" w:cs="宋体"/>
          <w:lang w:eastAsia="zh-CN"/>
        </w:rPr>
        <w:t>6.9.5.2 环境事件分类与分级</w:t>
      </w:r>
    </w:p>
    <w:p>
      <w:pPr>
        <w:ind w:firstLine="560"/>
        <w:rPr>
          <w:rFonts w:hint="eastAsia" w:ascii="宋体" w:hAnsi="宋体" w:eastAsia="宋体" w:cs="宋体"/>
          <w:lang w:eastAsia="zh-CN"/>
        </w:rPr>
      </w:pPr>
      <w:r>
        <w:rPr>
          <w:rFonts w:hint="eastAsia" w:ascii="宋体" w:hAnsi="宋体" w:eastAsia="宋体" w:cs="宋体"/>
          <w:lang w:eastAsia="zh-CN"/>
        </w:rPr>
        <w:t>根据《国家突发环境事件应急预案》中突发环境事件分级标准，并结合实际情况，预案突发环境事件主要分为特别重大(Ⅰ级)突发环境事件、重大(Ⅱ级)突发环境事件、较大(Ⅲ级)突发环境事件、一般(Ⅳ级)突发环境事件。</w:t>
      </w:r>
    </w:p>
    <w:p>
      <w:pPr>
        <w:pStyle w:val="8"/>
        <w:rPr>
          <w:rFonts w:hint="eastAsia" w:ascii="宋体" w:hAnsi="宋体" w:eastAsia="宋体" w:cs="宋体"/>
          <w:lang w:eastAsia="zh-CN"/>
        </w:rPr>
      </w:pPr>
      <w:r>
        <w:rPr>
          <w:rFonts w:hint="eastAsia" w:ascii="宋体" w:hAnsi="宋体" w:eastAsia="宋体" w:cs="宋体"/>
          <w:lang w:eastAsia="zh-CN"/>
        </w:rPr>
        <w:t>6.9.5.3 组织机构与职责</w:t>
      </w:r>
    </w:p>
    <w:p>
      <w:pPr>
        <w:ind w:firstLine="560"/>
        <w:rPr>
          <w:rFonts w:hint="eastAsia" w:ascii="宋体" w:hAnsi="宋体" w:eastAsia="宋体" w:cs="宋体"/>
          <w:lang w:eastAsia="zh-CN"/>
        </w:rPr>
      </w:pPr>
      <w:r>
        <w:rPr>
          <w:rFonts w:hint="eastAsia" w:ascii="宋体" w:hAnsi="宋体" w:eastAsia="宋体" w:cs="宋体"/>
          <w:lang w:eastAsia="zh-CN"/>
        </w:rPr>
        <w:t>（1）明确企业的应急组织体系，包括企业内部应急组织机构和外部应急救援机构。</w:t>
      </w:r>
    </w:p>
    <w:p>
      <w:pPr>
        <w:ind w:firstLine="560"/>
        <w:rPr>
          <w:rFonts w:hint="eastAsia" w:ascii="宋体" w:hAnsi="宋体" w:eastAsia="宋体" w:cs="宋体"/>
          <w:lang w:eastAsia="zh-CN"/>
        </w:rPr>
      </w:pPr>
      <w:r>
        <w:rPr>
          <w:rFonts w:hint="eastAsia" w:ascii="宋体" w:hAnsi="宋体" w:eastAsia="宋体" w:cs="宋体"/>
          <w:lang w:eastAsia="zh-CN"/>
        </w:rPr>
        <w:t>（2）明确企业内部应急组织机构的构成、责任人和联系方式、日常职位、应急状态的工作职责和日常的应急管理工作职责，发生变化时及时进行更新。</w:t>
      </w:r>
    </w:p>
    <w:p>
      <w:pPr>
        <w:ind w:firstLine="560"/>
        <w:rPr>
          <w:rFonts w:hint="eastAsia" w:ascii="宋体" w:hAnsi="宋体" w:eastAsia="宋体" w:cs="宋体"/>
          <w:lang w:eastAsia="zh-CN"/>
        </w:rPr>
      </w:pPr>
      <w:r>
        <w:rPr>
          <w:rFonts w:hint="eastAsia" w:ascii="宋体" w:hAnsi="宋体" w:eastAsia="宋体" w:cs="宋体"/>
          <w:lang w:eastAsia="zh-CN"/>
        </w:rPr>
        <w:t>应急组织机构一般由总指挥、副总指挥、应急领导小组（抢险救援组、警戒疏散组、医疗救护组、物资供应组、技术专家组、事件调查组、后勤保障组等）。</w:t>
      </w:r>
    </w:p>
    <w:p>
      <w:pPr>
        <w:ind w:firstLine="560"/>
        <w:rPr>
          <w:rFonts w:hint="eastAsia" w:ascii="宋体" w:hAnsi="宋体" w:eastAsia="宋体" w:cs="宋体"/>
          <w:lang w:eastAsia="zh-CN"/>
        </w:rPr>
      </w:pPr>
      <w:r>
        <w:rPr>
          <w:rFonts w:hint="eastAsia" w:ascii="宋体" w:hAnsi="宋体" w:eastAsia="宋体" w:cs="宋体"/>
          <w:lang w:eastAsia="zh-CN"/>
        </w:rPr>
        <w:t>应急领导小组的主要职责一般包括：</w:t>
      </w:r>
    </w:p>
    <w:p>
      <w:pPr>
        <w:ind w:firstLine="560"/>
        <w:rPr>
          <w:rFonts w:hint="eastAsia" w:ascii="宋体" w:hAnsi="宋体" w:eastAsia="宋体" w:cs="宋体"/>
          <w:lang w:eastAsia="zh-CN"/>
        </w:rPr>
      </w:pPr>
      <w:r>
        <w:rPr>
          <w:rFonts w:hint="eastAsia" w:ascii="宋体" w:hAnsi="宋体" w:eastAsia="宋体" w:cs="宋体"/>
          <w:lang w:eastAsia="zh-CN"/>
        </w:rPr>
        <w:t>贯彻执行国家、当地政府、上级有关部门关于环境安全的方针、政策及规定；</w:t>
      </w:r>
    </w:p>
    <w:p>
      <w:pPr>
        <w:ind w:firstLine="560"/>
        <w:rPr>
          <w:rFonts w:hint="eastAsia" w:ascii="宋体" w:hAnsi="宋体" w:eastAsia="宋体" w:cs="宋体"/>
          <w:lang w:eastAsia="zh-CN"/>
        </w:rPr>
      </w:pPr>
      <w:r>
        <w:rPr>
          <w:rFonts w:hint="eastAsia" w:ascii="宋体" w:hAnsi="宋体" w:eastAsia="宋体" w:cs="宋体"/>
          <w:lang w:eastAsia="zh-CN"/>
        </w:rPr>
        <w:t>组织制定突发环境事件应急预案；</w:t>
      </w:r>
    </w:p>
    <w:p>
      <w:pPr>
        <w:ind w:firstLine="560"/>
        <w:rPr>
          <w:rFonts w:hint="eastAsia" w:ascii="宋体" w:hAnsi="宋体" w:eastAsia="宋体" w:cs="宋体"/>
          <w:lang w:eastAsia="zh-CN"/>
        </w:rPr>
      </w:pPr>
      <w:r>
        <w:rPr>
          <w:rFonts w:hint="eastAsia" w:ascii="宋体" w:hAnsi="宋体" w:eastAsia="宋体" w:cs="宋体"/>
          <w:lang w:eastAsia="zh-CN"/>
        </w:rPr>
        <w:t>组建突发环境事件应急救援队伍；</w:t>
      </w:r>
    </w:p>
    <w:p>
      <w:pPr>
        <w:ind w:firstLine="560"/>
        <w:rPr>
          <w:rFonts w:hint="eastAsia" w:ascii="宋体" w:hAnsi="宋体" w:eastAsia="宋体" w:cs="宋体"/>
          <w:lang w:eastAsia="zh-CN"/>
        </w:rPr>
      </w:pPr>
      <w:r>
        <w:rPr>
          <w:rFonts w:hint="eastAsia" w:ascii="宋体" w:hAnsi="宋体" w:eastAsia="宋体" w:cs="宋体"/>
          <w:lang w:eastAsia="zh-CN"/>
        </w:rPr>
        <w:t>负责应急防范设施（备）（如堵漏器材、环境应急池、应急监测仪器、防护器材、救援器材和应急交通工具等）的建设；以及应急救援物资，特别是处理泄漏物、消解和吸收污染物的化学品物资（如活性炭、木屑和石灰等）的储备；</w:t>
      </w:r>
    </w:p>
    <w:p>
      <w:pPr>
        <w:ind w:firstLine="560"/>
        <w:rPr>
          <w:rFonts w:hint="eastAsia" w:ascii="宋体" w:hAnsi="宋体" w:eastAsia="宋体" w:cs="宋体"/>
          <w:lang w:eastAsia="zh-CN"/>
        </w:rPr>
      </w:pPr>
      <w:r>
        <w:rPr>
          <w:rFonts w:hint="eastAsia" w:ascii="宋体" w:hAnsi="宋体" w:eastAsia="宋体" w:cs="宋体"/>
          <w:lang w:eastAsia="zh-CN"/>
        </w:rPr>
        <w:t>检查、督促做好突发环境事件的预防措施和应急救援的各项准备工作，督促、协助有关部门及时消除有毒有害物质的跑、冒、滴、漏；</w:t>
      </w:r>
    </w:p>
    <w:p>
      <w:pPr>
        <w:ind w:firstLine="560"/>
        <w:rPr>
          <w:rFonts w:hint="eastAsia" w:ascii="宋体" w:hAnsi="宋体" w:eastAsia="宋体" w:cs="宋体"/>
          <w:lang w:eastAsia="zh-CN"/>
        </w:rPr>
      </w:pPr>
      <w:r>
        <w:rPr>
          <w:rFonts w:hint="eastAsia" w:ascii="宋体" w:hAnsi="宋体" w:eastAsia="宋体" w:cs="宋体"/>
          <w:lang w:eastAsia="zh-CN"/>
        </w:rPr>
        <w:t>负责组织预案的审批与更新（企业应急指挥部负责审定企业内部各级应急预案）；</w:t>
      </w:r>
    </w:p>
    <w:p>
      <w:pPr>
        <w:ind w:firstLine="560"/>
        <w:rPr>
          <w:rFonts w:hint="eastAsia" w:ascii="宋体" w:hAnsi="宋体" w:eastAsia="宋体" w:cs="宋体"/>
          <w:lang w:eastAsia="zh-CN"/>
        </w:rPr>
      </w:pPr>
      <w:r>
        <w:rPr>
          <w:rFonts w:hint="eastAsia" w:ascii="宋体" w:hAnsi="宋体" w:eastAsia="宋体" w:cs="宋体"/>
          <w:lang w:eastAsia="zh-CN"/>
        </w:rPr>
        <w:t>负责组织外部评审；</w:t>
      </w:r>
    </w:p>
    <w:p>
      <w:pPr>
        <w:ind w:firstLine="560"/>
        <w:rPr>
          <w:rFonts w:hint="eastAsia" w:ascii="宋体" w:hAnsi="宋体" w:eastAsia="宋体" w:cs="宋体"/>
          <w:lang w:eastAsia="zh-CN"/>
        </w:rPr>
      </w:pPr>
      <w:r>
        <w:rPr>
          <w:rFonts w:hint="eastAsia" w:ascii="宋体" w:hAnsi="宋体" w:eastAsia="宋体" w:cs="宋体"/>
          <w:lang w:eastAsia="zh-CN"/>
        </w:rPr>
        <w:t>批准本预案的启动与终止；</w:t>
      </w:r>
    </w:p>
    <w:p>
      <w:pPr>
        <w:ind w:firstLine="560"/>
        <w:rPr>
          <w:rFonts w:hint="eastAsia" w:ascii="宋体" w:hAnsi="宋体" w:eastAsia="宋体" w:cs="宋体"/>
          <w:lang w:eastAsia="zh-CN"/>
        </w:rPr>
      </w:pPr>
      <w:r>
        <w:rPr>
          <w:rFonts w:hint="eastAsia" w:ascii="宋体" w:hAnsi="宋体" w:eastAsia="宋体" w:cs="宋体"/>
          <w:lang w:eastAsia="zh-CN"/>
        </w:rPr>
        <w:t>确定现场指挥人员；</w:t>
      </w:r>
    </w:p>
    <w:p>
      <w:pPr>
        <w:ind w:firstLine="560"/>
        <w:rPr>
          <w:rFonts w:hint="eastAsia" w:ascii="宋体" w:hAnsi="宋体" w:eastAsia="宋体" w:cs="宋体"/>
          <w:lang w:eastAsia="zh-CN"/>
        </w:rPr>
      </w:pPr>
      <w:r>
        <w:rPr>
          <w:rFonts w:hint="eastAsia" w:ascii="宋体" w:hAnsi="宋体" w:eastAsia="宋体" w:cs="宋体"/>
          <w:lang w:eastAsia="zh-CN"/>
        </w:rPr>
        <w:t>协调事件现场有关工作；</w:t>
      </w:r>
    </w:p>
    <w:p>
      <w:pPr>
        <w:ind w:firstLine="560"/>
        <w:rPr>
          <w:rFonts w:hint="eastAsia" w:ascii="宋体" w:hAnsi="宋体" w:eastAsia="宋体" w:cs="宋体"/>
          <w:lang w:eastAsia="zh-CN"/>
        </w:rPr>
      </w:pPr>
      <w:r>
        <w:rPr>
          <w:rFonts w:hint="eastAsia" w:ascii="宋体" w:hAnsi="宋体" w:eastAsia="宋体" w:cs="宋体"/>
          <w:lang w:eastAsia="zh-CN"/>
        </w:rPr>
        <w:t>负责应急队伍的调动和资源配置；</w:t>
      </w:r>
    </w:p>
    <w:p>
      <w:pPr>
        <w:ind w:firstLine="560"/>
        <w:rPr>
          <w:rFonts w:hint="eastAsia" w:ascii="宋体" w:hAnsi="宋体" w:eastAsia="宋体" w:cs="宋体"/>
          <w:lang w:eastAsia="zh-CN"/>
        </w:rPr>
      </w:pPr>
      <w:r>
        <w:rPr>
          <w:rFonts w:hint="eastAsia" w:ascii="宋体" w:hAnsi="宋体" w:eastAsia="宋体" w:cs="宋体"/>
          <w:lang w:eastAsia="zh-CN"/>
        </w:rPr>
        <w:t>突发环境事件信息的上报及可能受影响区域的通报工作；</w:t>
      </w:r>
    </w:p>
    <w:p>
      <w:pPr>
        <w:ind w:firstLine="560"/>
        <w:rPr>
          <w:rFonts w:hint="eastAsia" w:ascii="宋体" w:hAnsi="宋体" w:eastAsia="宋体" w:cs="宋体"/>
          <w:lang w:eastAsia="zh-CN"/>
        </w:rPr>
      </w:pPr>
      <w:r>
        <w:rPr>
          <w:rFonts w:hint="eastAsia" w:ascii="宋体" w:hAnsi="宋体" w:eastAsia="宋体" w:cs="宋体"/>
          <w:lang w:eastAsia="zh-CN"/>
        </w:rPr>
        <w:t>负责应急状态下请求外部救援力量的决策；</w:t>
      </w:r>
    </w:p>
    <w:p>
      <w:pPr>
        <w:ind w:firstLine="560"/>
        <w:rPr>
          <w:rFonts w:hint="eastAsia" w:ascii="宋体" w:hAnsi="宋体" w:eastAsia="宋体" w:cs="宋体"/>
          <w:lang w:eastAsia="zh-CN"/>
        </w:rPr>
      </w:pPr>
      <w:r>
        <w:rPr>
          <w:rFonts w:hint="eastAsia" w:ascii="宋体" w:hAnsi="宋体" w:eastAsia="宋体" w:cs="宋体"/>
          <w:lang w:eastAsia="zh-CN"/>
        </w:rPr>
        <w:t>接受上级应急救援指挥机构的指令和调动，协助事件的处理；配合有关部门对环境进行修复、事件调查、经验教训总结；</w:t>
      </w:r>
    </w:p>
    <w:p>
      <w:pPr>
        <w:ind w:firstLine="560"/>
        <w:rPr>
          <w:rFonts w:hint="eastAsia" w:ascii="宋体" w:hAnsi="宋体" w:eastAsia="宋体" w:cs="宋体"/>
          <w:lang w:eastAsia="zh-CN"/>
        </w:rPr>
      </w:pPr>
      <w:r>
        <w:rPr>
          <w:rFonts w:hint="eastAsia" w:ascii="宋体" w:hAnsi="宋体" w:eastAsia="宋体" w:cs="宋体"/>
          <w:lang w:eastAsia="zh-CN"/>
        </w:rPr>
        <w:t>负责保护事件现场及相关数据；</w:t>
      </w:r>
    </w:p>
    <w:p>
      <w:pPr>
        <w:ind w:firstLine="560"/>
        <w:rPr>
          <w:rFonts w:hint="eastAsia" w:ascii="宋体" w:hAnsi="宋体" w:eastAsia="宋体" w:cs="宋体"/>
          <w:lang w:eastAsia="zh-CN"/>
        </w:rPr>
      </w:pPr>
      <w:r>
        <w:rPr>
          <w:rFonts w:hint="eastAsia" w:ascii="宋体" w:hAnsi="宋体" w:eastAsia="宋体" w:cs="宋体"/>
          <w:lang w:eastAsia="zh-CN"/>
        </w:rPr>
        <w:t>有计划地组织实施突发环境事件应急救援的培训，根据应急预案进行演练，向周边企业、村落提供本单位有关危险物质特性、救援知识等宣传材料。</w:t>
      </w:r>
    </w:p>
    <w:p>
      <w:pPr>
        <w:ind w:firstLine="560"/>
        <w:rPr>
          <w:rFonts w:hint="eastAsia" w:ascii="宋体" w:hAnsi="宋体" w:eastAsia="宋体" w:cs="宋体"/>
          <w:lang w:eastAsia="zh-CN"/>
        </w:rPr>
      </w:pPr>
      <w:r>
        <w:rPr>
          <w:rFonts w:hint="eastAsia" w:ascii="宋体" w:hAnsi="宋体" w:eastAsia="宋体" w:cs="宋体"/>
          <w:lang w:eastAsia="zh-CN"/>
        </w:rPr>
        <w:t>在明确企业应急救援指挥机构职责的基础上，应进一步明确总指挥、副总指挥及各成员单位的具体职责。</w:t>
      </w:r>
    </w:p>
    <w:p>
      <w:pPr>
        <w:ind w:firstLine="560"/>
        <w:rPr>
          <w:rFonts w:hint="eastAsia" w:ascii="宋体" w:hAnsi="宋体" w:eastAsia="宋体" w:cs="宋体"/>
          <w:lang w:eastAsia="zh-CN"/>
        </w:rPr>
      </w:pPr>
      <w:r>
        <w:rPr>
          <w:rFonts w:hint="eastAsia" w:ascii="宋体" w:hAnsi="宋体" w:eastAsia="宋体" w:cs="宋体"/>
          <w:lang w:eastAsia="zh-CN"/>
        </w:rPr>
        <w:t>（3）明确突发环境事件时可请求支援的外部应急救援机构及其可保障的支持方式和支持能力，并定期更新相关信息。外部应急救援机构一般包括上级主管部门、地方政府、安监、公安、消防、环保、医疗卫生等主管部门，专业应急组织及其他应急咨询或支持机构等。</w:t>
      </w:r>
    </w:p>
    <w:p>
      <w:pPr>
        <w:ind w:firstLine="560"/>
        <w:rPr>
          <w:rFonts w:hint="eastAsia" w:ascii="宋体" w:hAnsi="宋体" w:eastAsia="宋体" w:cs="宋体"/>
          <w:lang w:eastAsia="zh-CN"/>
        </w:rPr>
      </w:pPr>
      <w:r>
        <w:rPr>
          <w:rFonts w:hint="eastAsia" w:ascii="宋体" w:hAnsi="宋体" w:eastAsia="宋体" w:cs="宋体"/>
          <w:lang w:eastAsia="zh-CN"/>
        </w:rPr>
        <w:t>职责主要包括：</w:t>
      </w:r>
    </w:p>
    <w:p>
      <w:pPr>
        <w:ind w:firstLine="560"/>
        <w:rPr>
          <w:rFonts w:hint="eastAsia" w:ascii="宋体" w:hAnsi="宋体" w:eastAsia="宋体" w:cs="宋体"/>
          <w:lang w:eastAsia="zh-CN"/>
        </w:rPr>
      </w:pPr>
      <w:r>
        <w:rPr>
          <w:rFonts w:hint="eastAsia" w:ascii="宋体" w:hAnsi="宋体" w:eastAsia="宋体" w:cs="宋体"/>
          <w:lang w:eastAsia="zh-CN"/>
        </w:rPr>
        <w:t>负责现场医疗救护指挥及受伤人员分类抢救和护送转院工作。</w:t>
      </w:r>
    </w:p>
    <w:p>
      <w:pPr>
        <w:ind w:firstLine="560"/>
        <w:rPr>
          <w:rFonts w:hint="eastAsia" w:ascii="宋体" w:hAnsi="宋体" w:eastAsia="宋体" w:cs="宋体"/>
          <w:lang w:eastAsia="zh-CN"/>
        </w:rPr>
      </w:pPr>
      <w:r>
        <w:rPr>
          <w:rFonts w:hint="eastAsia" w:ascii="宋体" w:hAnsi="宋体" w:eastAsia="宋体" w:cs="宋体"/>
          <w:lang w:eastAsia="zh-CN"/>
        </w:rPr>
        <w:t>负责火害的救护指挥与扑灭、事故现场受伤人员的救离。</w:t>
      </w:r>
    </w:p>
    <w:p>
      <w:pPr>
        <w:ind w:firstLine="560"/>
        <w:rPr>
          <w:rFonts w:hint="eastAsia" w:ascii="宋体" w:hAnsi="宋体" w:eastAsia="宋体" w:cs="宋体"/>
          <w:lang w:eastAsia="zh-CN"/>
        </w:rPr>
      </w:pPr>
      <w:r>
        <w:rPr>
          <w:rFonts w:hint="eastAsia" w:ascii="宋体" w:hAnsi="宋体" w:eastAsia="宋体" w:cs="宋体"/>
          <w:lang w:eastAsia="zh-CN"/>
        </w:rPr>
        <w:t>负责突发事件应急救援的指导协调、监督检查、组织实施等工作。</w:t>
      </w:r>
    </w:p>
    <w:p>
      <w:pPr>
        <w:ind w:firstLine="560"/>
        <w:rPr>
          <w:rFonts w:hint="eastAsia" w:ascii="宋体" w:hAnsi="宋体" w:eastAsia="宋体" w:cs="宋体"/>
          <w:lang w:eastAsia="zh-CN"/>
        </w:rPr>
      </w:pPr>
      <w:r>
        <w:rPr>
          <w:rFonts w:hint="eastAsia" w:ascii="宋体" w:hAnsi="宋体" w:eastAsia="宋体" w:cs="宋体"/>
          <w:lang w:eastAsia="zh-CN"/>
        </w:rPr>
        <w:t>组织、协调安全生产事故应急救援工作；负责组织调查生产安全事故，监督事故查处的落实情况。</w:t>
      </w:r>
    </w:p>
    <w:p>
      <w:pPr>
        <w:ind w:firstLine="560"/>
        <w:rPr>
          <w:rFonts w:hint="eastAsia" w:ascii="宋体" w:hAnsi="宋体" w:eastAsia="宋体" w:cs="宋体"/>
          <w:lang w:eastAsia="zh-CN"/>
        </w:rPr>
      </w:pPr>
      <w:r>
        <w:rPr>
          <w:rFonts w:hint="eastAsia" w:ascii="宋体" w:hAnsi="宋体" w:eastAsia="宋体" w:cs="宋体"/>
          <w:lang w:eastAsia="zh-CN"/>
        </w:rPr>
        <w:t>负责事故现场及周边环境的监测，确保救援、被救援人员以及周边群众的健康。</w:t>
      </w:r>
    </w:p>
    <w:p>
      <w:pPr>
        <w:ind w:firstLine="560"/>
        <w:rPr>
          <w:rFonts w:hint="eastAsia" w:ascii="宋体" w:hAnsi="宋体" w:eastAsia="宋体" w:cs="宋体"/>
          <w:lang w:eastAsia="zh-CN"/>
        </w:rPr>
      </w:pPr>
      <w:r>
        <w:rPr>
          <w:rFonts w:hint="eastAsia" w:ascii="宋体" w:hAnsi="宋体" w:eastAsia="宋体" w:cs="宋体"/>
          <w:lang w:eastAsia="zh-CN"/>
        </w:rPr>
        <w:t>负责矿区内外指挥及事故可能波及范围人员的疏散和撤离。</w:t>
      </w:r>
    </w:p>
    <w:p>
      <w:pPr>
        <w:ind w:firstLine="560"/>
        <w:rPr>
          <w:rFonts w:hint="eastAsia" w:ascii="宋体" w:hAnsi="宋体" w:eastAsia="宋体" w:cs="宋体"/>
          <w:lang w:eastAsia="zh-CN"/>
        </w:rPr>
      </w:pPr>
      <w:r>
        <w:rPr>
          <w:rFonts w:hint="eastAsia" w:ascii="宋体" w:hAnsi="宋体" w:eastAsia="宋体" w:cs="宋体"/>
          <w:lang w:eastAsia="zh-CN"/>
        </w:rPr>
        <w:t>负责矿区外道路交通管制、协调。</w:t>
      </w:r>
    </w:p>
    <w:p>
      <w:pPr>
        <w:ind w:firstLine="560"/>
        <w:rPr>
          <w:rFonts w:hint="eastAsia" w:ascii="宋体" w:hAnsi="宋体" w:eastAsia="宋体" w:cs="宋体"/>
          <w:lang w:eastAsia="zh-CN"/>
        </w:rPr>
      </w:pPr>
      <w:r>
        <w:rPr>
          <w:rFonts w:hint="eastAsia" w:ascii="宋体" w:hAnsi="宋体" w:eastAsia="宋体" w:cs="宋体"/>
          <w:lang w:eastAsia="zh-CN"/>
        </w:rPr>
        <w:t>负责对周边村民告知等。</w:t>
      </w:r>
    </w:p>
    <w:p>
      <w:pPr>
        <w:pStyle w:val="8"/>
        <w:rPr>
          <w:rFonts w:hint="eastAsia" w:ascii="宋体" w:hAnsi="宋体" w:eastAsia="宋体" w:cs="宋体"/>
          <w:lang w:eastAsia="zh-CN"/>
        </w:rPr>
      </w:pPr>
      <w:r>
        <w:rPr>
          <w:rFonts w:hint="eastAsia" w:ascii="宋体" w:hAnsi="宋体" w:eastAsia="宋体" w:cs="宋体"/>
          <w:lang w:eastAsia="zh-CN"/>
        </w:rPr>
        <w:t>6.9.5.4 监控和预警</w:t>
      </w:r>
    </w:p>
    <w:p>
      <w:pPr>
        <w:ind w:firstLine="560"/>
        <w:rPr>
          <w:rFonts w:hint="eastAsia" w:ascii="宋体" w:hAnsi="宋体" w:eastAsia="宋体" w:cs="宋体"/>
          <w:lang w:eastAsia="zh-CN"/>
        </w:rPr>
      </w:pPr>
      <w:r>
        <w:rPr>
          <w:rFonts w:hint="eastAsia" w:ascii="宋体" w:hAnsi="宋体" w:eastAsia="宋体" w:cs="宋体"/>
          <w:lang w:eastAsia="zh-CN"/>
        </w:rPr>
        <w:t>按照早发现、早报告、早处置的原则，根据可能引发突发环境事件的因素和企业自身实际，建立企业突发环境事件预警机制，明确接警、预警分级、预警研判、发布预警和预警行动、预警解除与升级的责任人、程序和主要内容。</w:t>
      </w:r>
    </w:p>
    <w:p>
      <w:pPr>
        <w:pStyle w:val="8"/>
        <w:rPr>
          <w:rFonts w:hint="eastAsia" w:ascii="宋体" w:hAnsi="宋体" w:eastAsia="宋体" w:cs="宋体"/>
          <w:lang w:eastAsia="zh-CN"/>
        </w:rPr>
      </w:pPr>
      <w:r>
        <w:rPr>
          <w:rFonts w:hint="eastAsia" w:ascii="宋体" w:hAnsi="宋体" w:eastAsia="宋体" w:cs="宋体"/>
          <w:lang w:eastAsia="zh-CN"/>
        </w:rPr>
        <w:t>6.9.5.5 应急响应</w:t>
      </w:r>
    </w:p>
    <w:p>
      <w:pPr>
        <w:ind w:firstLine="560"/>
        <w:rPr>
          <w:rFonts w:hint="eastAsia" w:ascii="宋体" w:hAnsi="宋体" w:eastAsia="宋体" w:cs="宋体"/>
          <w:lang w:eastAsia="zh-CN"/>
        </w:rPr>
      </w:pPr>
      <w:r>
        <w:rPr>
          <w:rFonts w:hint="eastAsia" w:ascii="宋体" w:hAnsi="宋体" w:eastAsia="宋体" w:cs="宋体"/>
          <w:lang w:eastAsia="zh-CN"/>
        </w:rPr>
        <w:t>根据突发环境事件的发展态势、紧急程度和可能造成的危害程度，结合企业自身应急响应能力等，建立应急响应机制，并配以应急响应流程图。一般情况下，企业突发环境事件应急响应可分为两种情况，一是接到报警时事故未发生，可以通过发布预警采取预警行动予以应对，根据事态发展调整或解除预警；二是接到报警时事故已发生，需要立即采取应急处置措施。</w:t>
      </w:r>
    </w:p>
    <w:p>
      <w:pPr>
        <w:ind w:firstLine="560"/>
        <w:rPr>
          <w:rFonts w:hint="eastAsia" w:ascii="宋体" w:hAnsi="宋体" w:eastAsia="宋体" w:cs="宋体"/>
          <w:lang w:eastAsia="zh-CN"/>
        </w:rPr>
      </w:pPr>
      <w:r>
        <w:rPr>
          <w:rFonts w:hint="eastAsia" w:ascii="宋体" w:hAnsi="宋体" w:eastAsia="宋体" w:cs="宋体"/>
          <w:lang w:eastAsia="zh-CN"/>
        </w:rPr>
        <w:t>（1）事故报告和处理</w:t>
      </w:r>
    </w:p>
    <w:p>
      <w:pPr>
        <w:ind w:firstLine="560"/>
        <w:rPr>
          <w:rFonts w:hint="eastAsia" w:ascii="宋体" w:hAnsi="宋体" w:eastAsia="宋体" w:cs="宋体"/>
          <w:lang w:eastAsia="zh-CN"/>
        </w:rPr>
      </w:pPr>
      <w:r>
        <w:rPr>
          <w:rFonts w:hint="eastAsia" w:ascii="宋体" w:hAnsi="宋体" w:eastAsia="宋体" w:cs="宋体"/>
          <w:lang w:eastAsia="zh-CN"/>
        </w:rPr>
        <w:t>发生事故时，事故现场人员应立即将事故情况报告公司负责人，并按照有关应急预案立即开展现场自救、互救。</w:t>
      </w:r>
    </w:p>
    <w:p>
      <w:pPr>
        <w:ind w:firstLine="560"/>
        <w:rPr>
          <w:rFonts w:hint="eastAsia" w:ascii="宋体" w:hAnsi="宋体" w:eastAsia="宋体" w:cs="宋体"/>
          <w:lang w:eastAsia="zh-CN"/>
        </w:rPr>
      </w:pPr>
      <w:r>
        <w:rPr>
          <w:rFonts w:hint="eastAsia" w:ascii="宋体" w:hAnsi="宋体" w:eastAsia="宋体" w:cs="宋体"/>
          <w:lang w:eastAsia="zh-CN"/>
        </w:rPr>
        <w:t>公司负责人接到事故报告后，应尽快确定事故影响（或波及）范围、人员伤亡和失踪情况以及对环境的影响，迅速组织抢救，并按照国家有关规定立即报告政府和有关部门。</w:t>
      </w:r>
    </w:p>
    <w:p>
      <w:pPr>
        <w:ind w:firstLine="560"/>
        <w:rPr>
          <w:rFonts w:hint="eastAsia" w:ascii="宋体" w:hAnsi="宋体" w:eastAsia="宋体" w:cs="宋体"/>
          <w:lang w:eastAsia="zh-CN"/>
        </w:rPr>
      </w:pPr>
      <w:r>
        <w:rPr>
          <w:rFonts w:hint="eastAsia" w:ascii="宋体" w:hAnsi="宋体" w:eastAsia="宋体" w:cs="宋体"/>
          <w:lang w:eastAsia="zh-CN"/>
        </w:rPr>
        <w:t>（2）分级响应</w:t>
      </w:r>
    </w:p>
    <w:p>
      <w:pPr>
        <w:ind w:firstLine="560"/>
        <w:rPr>
          <w:rFonts w:hint="eastAsia" w:ascii="宋体" w:hAnsi="宋体" w:eastAsia="宋体" w:cs="宋体"/>
          <w:lang w:eastAsia="zh-CN"/>
        </w:rPr>
      </w:pPr>
      <w:r>
        <w:rPr>
          <w:rFonts w:hint="eastAsia" w:ascii="宋体" w:hAnsi="宋体" w:eastAsia="宋体" w:cs="宋体"/>
          <w:lang w:eastAsia="zh-CN"/>
        </w:rPr>
        <w:t>事故发生后，公司立即启动应急预案，并根据事故等级及时上报。超出本级应急救援处置能力时，及时报请上一级应急指挥机构。</w:t>
      </w:r>
    </w:p>
    <w:p>
      <w:pPr>
        <w:ind w:firstLine="560"/>
        <w:rPr>
          <w:rFonts w:hint="eastAsia" w:ascii="宋体" w:hAnsi="宋体" w:eastAsia="宋体" w:cs="宋体"/>
          <w:lang w:eastAsia="zh-CN"/>
        </w:rPr>
      </w:pPr>
      <w:r>
        <w:rPr>
          <w:rFonts w:hint="eastAsia" w:ascii="宋体" w:hAnsi="宋体" w:eastAsia="宋体" w:cs="宋体"/>
          <w:lang w:eastAsia="zh-CN"/>
        </w:rPr>
        <w:t>公司根据事故的影响范围和可控性，响应级别一般分为三级。事故的影响范围和可控性取决于所有风险源的类型、发生火灾、爆炸或泄漏等事故的可能性、事故对人体健康和安全的即时影响、事故对外界环境的潜在危害以及公司自身应急响应的资源和能力等一系列因素。</w:t>
      </w:r>
    </w:p>
    <w:p>
      <w:pPr>
        <w:ind w:firstLine="560"/>
        <w:rPr>
          <w:rFonts w:hint="eastAsia" w:ascii="宋体" w:hAnsi="宋体" w:eastAsia="宋体" w:cs="宋体"/>
          <w:lang w:eastAsia="zh-CN"/>
        </w:rPr>
      </w:pPr>
      <w:r>
        <w:rPr>
          <w:rFonts w:hint="eastAsia" w:ascii="宋体" w:hAnsi="宋体" w:eastAsia="宋体" w:cs="宋体"/>
          <w:lang w:eastAsia="zh-CN"/>
        </w:rPr>
        <w:t>（3）应急响应程序</w:t>
      </w:r>
    </w:p>
    <w:p>
      <w:pPr>
        <w:ind w:firstLine="560"/>
        <w:rPr>
          <w:rFonts w:hint="eastAsia" w:ascii="宋体" w:hAnsi="宋体" w:eastAsia="宋体" w:cs="宋体"/>
          <w:lang w:eastAsia="zh-CN"/>
        </w:rPr>
      </w:pPr>
      <w:r>
        <w:rPr>
          <w:rFonts w:hint="eastAsia" w:ascii="宋体" w:hAnsi="宋体" w:eastAsia="宋体" w:cs="宋体"/>
          <w:lang w:eastAsia="zh-CN"/>
        </w:rPr>
        <w:t>矿山应急响应程序一般如下：当事故发生时，矿调度室接到报警后，立即查明事故原因，确认事故性质，根据泄漏数量、影响范围、处理难度等几个方面做出判断，同时报告公司矿突发环境事故应急指挥部所有成员。应急救援指挥部接到报告，根据事故的大小和发展态势立即按突发环境事故应急预案组织本单位各救援队伍奔赴事故现场进行救援工作，紧急情况下，调度室有权按预案要求可以先处置后汇报。并根据公司实际和确定的重点危险目标制定应急化学处理方案，方案对应急指挥、应急行动等均做了详细阐述。倘若事故升级，应立即告知当地环保、安监、公安、消防等部门及医院急救中心。</w:t>
      </w:r>
    </w:p>
    <w:p>
      <w:pPr>
        <w:ind w:firstLine="560"/>
        <w:rPr>
          <w:rFonts w:hint="eastAsia" w:ascii="宋体" w:hAnsi="宋体" w:eastAsia="宋体" w:cs="宋体"/>
          <w:lang w:eastAsia="zh-CN"/>
        </w:rPr>
      </w:pPr>
      <w:r>
        <w:rPr>
          <w:rFonts w:hint="eastAsia" w:ascii="宋体" w:hAnsi="宋体" w:eastAsia="宋体" w:cs="宋体"/>
          <w:lang w:eastAsia="zh-CN"/>
        </w:rPr>
        <w:t>（4）警戒与治安</w:t>
      </w:r>
    </w:p>
    <w:p>
      <w:pPr>
        <w:ind w:firstLine="560"/>
        <w:rPr>
          <w:rFonts w:hint="eastAsia" w:ascii="宋体" w:hAnsi="宋体" w:eastAsia="宋体" w:cs="宋体"/>
          <w:lang w:eastAsia="zh-CN"/>
        </w:rPr>
      </w:pPr>
      <w:r>
        <w:rPr>
          <w:rFonts w:hint="eastAsia" w:ascii="宋体" w:hAnsi="宋体" w:eastAsia="宋体" w:cs="宋体"/>
          <w:lang w:eastAsia="zh-CN"/>
        </w:rPr>
        <w:t>事故应急状态下，必要时在事故现场周围建立警戒区域，维护现场治安秩序，防止与无关人员进入应急指挥中心或应急现场，保障救援队伍、物资运输和人群疏散等的交通畅通，避免发生不必要的伤亡。</w:t>
      </w:r>
    </w:p>
    <w:p>
      <w:pPr>
        <w:ind w:firstLine="560"/>
        <w:rPr>
          <w:rFonts w:hint="eastAsia" w:ascii="宋体" w:hAnsi="宋体" w:eastAsia="宋体" w:cs="宋体"/>
          <w:lang w:eastAsia="zh-CN"/>
        </w:rPr>
      </w:pPr>
      <w:r>
        <w:rPr>
          <w:rFonts w:hint="eastAsia" w:ascii="宋体" w:hAnsi="宋体" w:eastAsia="宋体" w:cs="宋体"/>
          <w:lang w:eastAsia="zh-CN"/>
        </w:rPr>
        <w:t>（5）现场紧急处置</w:t>
      </w:r>
    </w:p>
    <w:p>
      <w:pPr>
        <w:ind w:firstLine="560"/>
        <w:rPr>
          <w:rFonts w:hint="eastAsia" w:ascii="宋体" w:hAnsi="宋体" w:eastAsia="宋体" w:cs="宋体"/>
          <w:lang w:eastAsia="zh-CN"/>
        </w:rPr>
      </w:pPr>
      <w:r>
        <w:rPr>
          <w:rFonts w:hint="eastAsia" w:ascii="宋体" w:hAnsi="宋体" w:eastAsia="宋体" w:cs="宋体"/>
          <w:lang w:eastAsia="zh-CN"/>
        </w:rPr>
        <w:t>发生突发事故后，现场人员第一时间报告给应急领导小组，在确保自身和他人安全情况下，采取措施控制事态发展。应急小组马上启动应急预案，作以下现场紧急处置：</w:t>
      </w:r>
    </w:p>
    <w:p>
      <w:pPr>
        <w:ind w:firstLine="560"/>
        <w:rPr>
          <w:rFonts w:hint="eastAsia" w:ascii="宋体" w:hAnsi="宋体" w:eastAsia="宋体" w:cs="宋体"/>
          <w:lang w:eastAsia="zh-CN"/>
        </w:rPr>
      </w:pPr>
      <w:r>
        <w:rPr>
          <w:rFonts w:hint="eastAsia" w:ascii="宋体" w:hAnsi="宋体" w:eastAsia="宋体" w:cs="宋体"/>
          <w:lang w:eastAsia="zh-CN"/>
        </w:rPr>
        <w:t>①组织相关人员赶赴现场，了解事故情况（事故原因、伤亡情况等），确定事故等级。</w:t>
      </w:r>
    </w:p>
    <w:p>
      <w:pPr>
        <w:ind w:firstLine="560"/>
        <w:rPr>
          <w:rFonts w:hint="eastAsia" w:ascii="宋体" w:hAnsi="宋体" w:eastAsia="宋体" w:cs="宋体"/>
          <w:lang w:eastAsia="zh-CN"/>
        </w:rPr>
      </w:pPr>
      <w:r>
        <w:rPr>
          <w:rFonts w:hint="eastAsia" w:ascii="宋体" w:hAnsi="宋体" w:eastAsia="宋体" w:cs="宋体"/>
          <w:lang w:eastAsia="zh-CN"/>
        </w:rPr>
        <w:t>②根据事故等级确定是否需要外部救援力量的支援。</w:t>
      </w:r>
    </w:p>
    <w:p>
      <w:pPr>
        <w:ind w:firstLine="560"/>
        <w:rPr>
          <w:rFonts w:hint="eastAsia" w:ascii="宋体" w:hAnsi="宋体" w:eastAsia="宋体" w:cs="宋体"/>
          <w:lang w:eastAsia="zh-CN"/>
        </w:rPr>
      </w:pPr>
      <w:r>
        <w:rPr>
          <w:rFonts w:hint="eastAsia" w:ascii="宋体" w:hAnsi="宋体" w:eastAsia="宋体" w:cs="宋体"/>
          <w:lang w:eastAsia="zh-CN"/>
        </w:rPr>
        <w:t>③保卫组要立即赶赴事故现场，封锁事故现场和危险区域，严禁一些无关人员进入。</w:t>
      </w:r>
    </w:p>
    <w:p>
      <w:pPr>
        <w:ind w:firstLine="560"/>
        <w:rPr>
          <w:rFonts w:hint="eastAsia" w:ascii="宋体" w:hAnsi="宋体" w:eastAsia="宋体" w:cs="宋体"/>
          <w:lang w:eastAsia="zh-CN"/>
        </w:rPr>
      </w:pPr>
      <w:r>
        <w:rPr>
          <w:rFonts w:hint="eastAsia" w:ascii="宋体" w:hAnsi="宋体" w:eastAsia="宋体" w:cs="宋体"/>
          <w:lang w:eastAsia="zh-CN"/>
        </w:rPr>
        <w:t>④迅速组织事故发生地或险情威胁区域的群众撤离危险区域，维护社会治安，做好撤离群众的生活安置工作。</w:t>
      </w:r>
    </w:p>
    <w:p>
      <w:pPr>
        <w:ind w:firstLine="560"/>
        <w:rPr>
          <w:rFonts w:hint="eastAsia" w:ascii="宋体" w:hAnsi="宋体" w:eastAsia="宋体" w:cs="宋体"/>
          <w:lang w:eastAsia="zh-CN"/>
        </w:rPr>
      </w:pPr>
      <w:r>
        <w:rPr>
          <w:rFonts w:hint="eastAsia" w:ascii="宋体" w:hAnsi="宋体" w:eastAsia="宋体" w:cs="宋体"/>
          <w:lang w:eastAsia="zh-CN"/>
        </w:rPr>
        <w:t>⑤设置警示标志，同时设法保护周边重要生产、生活设施，防止引发次生的安全或环境事故。</w:t>
      </w:r>
    </w:p>
    <w:p>
      <w:pPr>
        <w:ind w:firstLine="560"/>
        <w:rPr>
          <w:rFonts w:hint="eastAsia" w:ascii="宋体" w:hAnsi="宋体" w:eastAsia="宋体" w:cs="宋体"/>
          <w:lang w:eastAsia="zh-CN"/>
        </w:rPr>
      </w:pPr>
      <w:r>
        <w:rPr>
          <w:rFonts w:hint="eastAsia" w:ascii="宋体" w:hAnsi="宋体" w:eastAsia="宋体" w:cs="宋体"/>
          <w:lang w:eastAsia="zh-CN"/>
        </w:rPr>
        <w:t>⑥事故现场如有人员伤亡，立即动员调集当地医疗卫生力量开展医疗卫生救援。</w:t>
      </w:r>
    </w:p>
    <w:p>
      <w:pPr>
        <w:ind w:firstLine="560"/>
        <w:rPr>
          <w:rFonts w:hint="eastAsia" w:ascii="宋体" w:hAnsi="宋体" w:eastAsia="宋体" w:cs="宋体"/>
          <w:lang w:eastAsia="zh-CN"/>
        </w:rPr>
      </w:pPr>
      <w:r>
        <w:rPr>
          <w:rFonts w:hint="eastAsia" w:ascii="宋体" w:hAnsi="宋体" w:eastAsia="宋体" w:cs="宋体"/>
          <w:lang w:eastAsia="zh-CN"/>
        </w:rPr>
        <w:t>⑦紧急调集相关应急救援设备。</w:t>
      </w:r>
    </w:p>
    <w:p>
      <w:pPr>
        <w:ind w:firstLine="560"/>
        <w:rPr>
          <w:rFonts w:hint="eastAsia" w:ascii="宋体" w:hAnsi="宋体" w:eastAsia="宋体" w:cs="宋体"/>
          <w:lang w:eastAsia="zh-CN"/>
        </w:rPr>
      </w:pPr>
      <w:r>
        <w:rPr>
          <w:rFonts w:hint="eastAsia" w:ascii="宋体" w:hAnsi="宋体" w:eastAsia="宋体" w:cs="宋体"/>
          <w:lang w:eastAsia="zh-CN"/>
        </w:rPr>
        <w:t>⑧掌握事故发生地气象信息，及时制定科学的事故抢救方案并组织实施。</w:t>
      </w:r>
    </w:p>
    <w:p>
      <w:pPr>
        <w:ind w:firstLine="560"/>
        <w:rPr>
          <w:rFonts w:hint="eastAsia" w:ascii="宋体" w:hAnsi="宋体" w:eastAsia="宋体" w:cs="宋体"/>
          <w:lang w:eastAsia="zh-CN"/>
        </w:rPr>
      </w:pPr>
      <w:r>
        <w:rPr>
          <w:rFonts w:hint="eastAsia" w:ascii="宋体" w:hAnsi="宋体" w:eastAsia="宋体" w:cs="宋体"/>
          <w:lang w:eastAsia="zh-CN"/>
        </w:rPr>
        <w:t>⑨做好现场救援人员的安全防护工作，防止救援过程中发生二次伤亡。</w:t>
      </w:r>
    </w:p>
    <w:p>
      <w:pPr>
        <w:ind w:firstLine="560"/>
        <w:rPr>
          <w:rFonts w:hint="eastAsia" w:ascii="宋体" w:hAnsi="宋体" w:eastAsia="宋体" w:cs="宋体"/>
          <w:lang w:eastAsia="zh-CN"/>
        </w:rPr>
      </w:pPr>
      <w:r>
        <w:rPr>
          <w:rFonts w:hint="eastAsia" w:ascii="宋体" w:hAnsi="宋体" w:eastAsia="宋体" w:cs="宋体"/>
          <w:lang w:eastAsia="zh-CN"/>
        </w:rPr>
        <w:t>⑩保护重要设施和目标，了解风险源的情况，启动相应的设施，防止（消防水等）对江河造成二次污染。</w:t>
      </w:r>
    </w:p>
    <w:p>
      <w:pPr>
        <w:ind w:firstLine="560"/>
        <w:rPr>
          <w:rFonts w:hint="eastAsia" w:ascii="宋体" w:hAnsi="宋体" w:eastAsia="宋体" w:cs="宋体"/>
          <w:lang w:eastAsia="zh-CN"/>
        </w:rPr>
      </w:pPr>
      <w:r>
        <w:rPr>
          <w:rFonts w:hint="eastAsia" w:ascii="宋体" w:hAnsi="宋体" w:eastAsia="宋体" w:cs="宋体"/>
          <w:lang w:eastAsia="zh-CN"/>
        </w:rPr>
        <w:t>事故失控的情况下，撤到安全区域等待专业救援队伍。</w:t>
      </w:r>
    </w:p>
    <w:p>
      <w:pPr>
        <w:ind w:firstLine="560"/>
        <w:rPr>
          <w:rFonts w:hint="eastAsia" w:ascii="宋体" w:hAnsi="宋体" w:eastAsia="宋体" w:cs="宋体"/>
          <w:lang w:eastAsia="zh-CN"/>
        </w:rPr>
      </w:pPr>
      <w:r>
        <w:rPr>
          <w:rFonts w:hint="eastAsia" w:ascii="宋体" w:hAnsi="宋体" w:eastAsia="宋体" w:cs="宋体"/>
          <w:lang w:eastAsia="zh-CN"/>
        </w:rPr>
        <w:t>（6）应急结束</w:t>
      </w:r>
    </w:p>
    <w:p>
      <w:pPr>
        <w:ind w:firstLine="560"/>
        <w:rPr>
          <w:rFonts w:hint="eastAsia" w:ascii="宋体" w:hAnsi="宋体" w:eastAsia="宋体" w:cs="宋体"/>
          <w:lang w:eastAsia="zh-CN"/>
        </w:rPr>
      </w:pPr>
      <w:r>
        <w:rPr>
          <w:rFonts w:hint="eastAsia" w:ascii="宋体" w:hAnsi="宋体" w:eastAsia="宋体" w:cs="宋体"/>
          <w:lang w:eastAsia="zh-CN"/>
        </w:rPr>
        <w:t>符合下列条件之一的，即满足应急终止条件：</w:t>
      </w:r>
    </w:p>
    <w:p>
      <w:pPr>
        <w:ind w:firstLine="560"/>
        <w:rPr>
          <w:rFonts w:hint="eastAsia" w:ascii="宋体" w:hAnsi="宋体" w:eastAsia="宋体" w:cs="宋体"/>
          <w:lang w:eastAsia="zh-CN"/>
        </w:rPr>
      </w:pPr>
      <w:r>
        <w:rPr>
          <w:rFonts w:hint="eastAsia" w:ascii="宋体" w:hAnsi="宋体" w:eastAsia="宋体" w:cs="宋体"/>
          <w:lang w:eastAsia="zh-CN"/>
        </w:rPr>
        <w:t>①事件现场得到控制，事件条件已经消除；</w:t>
      </w:r>
    </w:p>
    <w:p>
      <w:pPr>
        <w:ind w:firstLine="560"/>
        <w:rPr>
          <w:rFonts w:hint="eastAsia" w:ascii="宋体" w:hAnsi="宋体" w:eastAsia="宋体" w:cs="宋体"/>
          <w:lang w:eastAsia="zh-CN"/>
        </w:rPr>
      </w:pPr>
      <w:r>
        <w:rPr>
          <w:rFonts w:hint="eastAsia" w:ascii="宋体" w:hAnsi="宋体" w:eastAsia="宋体" w:cs="宋体"/>
          <w:lang w:eastAsia="zh-CN"/>
        </w:rPr>
        <w:t>②污染源的泄漏或释放已降至规定限值以内；</w:t>
      </w:r>
    </w:p>
    <w:p>
      <w:pPr>
        <w:ind w:firstLine="560"/>
        <w:rPr>
          <w:rFonts w:hint="eastAsia" w:ascii="宋体" w:hAnsi="宋体" w:eastAsia="宋体" w:cs="宋体"/>
          <w:lang w:eastAsia="zh-CN"/>
        </w:rPr>
      </w:pPr>
      <w:r>
        <w:rPr>
          <w:rFonts w:hint="eastAsia" w:ascii="宋体" w:hAnsi="宋体" w:eastAsia="宋体" w:cs="宋体"/>
          <w:lang w:eastAsia="zh-CN"/>
        </w:rPr>
        <w:t>③事件所造成的危害已经被彻底消除，无继发可能；</w:t>
      </w:r>
    </w:p>
    <w:p>
      <w:pPr>
        <w:ind w:firstLine="560"/>
        <w:rPr>
          <w:rFonts w:hint="eastAsia" w:ascii="宋体" w:hAnsi="宋体" w:eastAsia="宋体" w:cs="宋体"/>
          <w:lang w:eastAsia="zh-CN"/>
        </w:rPr>
      </w:pPr>
      <w:r>
        <w:rPr>
          <w:rFonts w:hint="eastAsia" w:ascii="宋体" w:hAnsi="宋体" w:eastAsia="宋体" w:cs="宋体"/>
          <w:lang w:eastAsia="zh-CN"/>
        </w:rPr>
        <w:t>④事件现场的各种专业应急处置行动已无继续的必要；</w:t>
      </w:r>
    </w:p>
    <w:p>
      <w:pPr>
        <w:ind w:firstLine="560"/>
        <w:rPr>
          <w:rFonts w:hint="eastAsia" w:ascii="宋体" w:hAnsi="宋体" w:eastAsia="宋体" w:cs="宋体"/>
          <w:lang w:eastAsia="zh-CN"/>
        </w:rPr>
      </w:pPr>
      <w:r>
        <w:rPr>
          <w:rFonts w:hint="eastAsia" w:ascii="宋体" w:hAnsi="宋体" w:eastAsia="宋体" w:cs="宋体"/>
          <w:lang w:eastAsia="zh-CN"/>
        </w:rPr>
        <w:t>⑤采取了必要的防护措施以保护公众免受再次危害，并使事件可能引起的中长期影响趋于合理且尽量低的水平。</w:t>
      </w:r>
    </w:p>
    <w:p>
      <w:pPr>
        <w:pStyle w:val="8"/>
        <w:rPr>
          <w:rFonts w:hint="eastAsia" w:ascii="宋体" w:hAnsi="宋体" w:eastAsia="宋体" w:cs="宋体"/>
          <w:lang w:eastAsia="zh-CN"/>
        </w:rPr>
      </w:pPr>
      <w:r>
        <w:rPr>
          <w:rFonts w:hint="eastAsia" w:ascii="宋体" w:hAnsi="宋体" w:eastAsia="宋体" w:cs="宋体"/>
          <w:lang w:eastAsia="zh-CN"/>
        </w:rPr>
        <w:t>6.9.5.6 应急保障</w:t>
      </w:r>
    </w:p>
    <w:p>
      <w:pPr>
        <w:ind w:firstLine="560"/>
        <w:rPr>
          <w:rFonts w:hint="eastAsia" w:ascii="宋体" w:hAnsi="宋体" w:eastAsia="宋体" w:cs="宋体"/>
          <w:lang w:eastAsia="zh-CN"/>
        </w:rPr>
      </w:pPr>
      <w:r>
        <w:rPr>
          <w:rFonts w:hint="eastAsia" w:ascii="宋体" w:hAnsi="宋体" w:eastAsia="宋体" w:cs="宋体"/>
          <w:lang w:eastAsia="zh-CN"/>
        </w:rPr>
        <w:t>明确应急预案的应急资源、应急通讯、应急技术、人力资源、财力、物资以及其他重要设施的保障措施。</w:t>
      </w:r>
    </w:p>
    <w:p>
      <w:pPr>
        <w:pStyle w:val="8"/>
        <w:rPr>
          <w:rFonts w:hint="eastAsia" w:ascii="宋体" w:hAnsi="宋体" w:eastAsia="宋体" w:cs="宋体"/>
          <w:lang w:eastAsia="zh-CN"/>
        </w:rPr>
      </w:pPr>
      <w:r>
        <w:rPr>
          <w:rFonts w:hint="eastAsia" w:ascii="宋体" w:hAnsi="宋体" w:eastAsia="宋体" w:cs="宋体"/>
          <w:lang w:eastAsia="zh-CN"/>
        </w:rPr>
        <w:t>6.9.5.7 善后处置</w:t>
      </w:r>
    </w:p>
    <w:p>
      <w:pPr>
        <w:ind w:firstLine="560"/>
        <w:rPr>
          <w:rFonts w:hint="eastAsia" w:ascii="宋体" w:hAnsi="宋体" w:eastAsia="宋体" w:cs="宋体"/>
          <w:lang w:eastAsia="zh-CN"/>
        </w:rPr>
      </w:pPr>
      <w:r>
        <w:rPr>
          <w:rFonts w:hint="eastAsia" w:ascii="宋体" w:hAnsi="宋体" w:eastAsia="宋体" w:cs="宋体"/>
          <w:lang w:eastAsia="zh-CN"/>
        </w:rPr>
        <w:t>企业要明确突发环境事件后期处置各项工作的责任人、具体任务和工作要求等。</w:t>
      </w:r>
    </w:p>
    <w:p>
      <w:pPr>
        <w:ind w:firstLine="560"/>
        <w:rPr>
          <w:rFonts w:hint="eastAsia" w:ascii="宋体" w:hAnsi="宋体" w:eastAsia="宋体" w:cs="宋体"/>
          <w:lang w:eastAsia="zh-CN"/>
        </w:rPr>
      </w:pPr>
      <w:r>
        <w:rPr>
          <w:rFonts w:hint="eastAsia" w:ascii="宋体" w:hAnsi="宋体" w:eastAsia="宋体" w:cs="宋体"/>
          <w:lang w:eastAsia="zh-CN"/>
        </w:rPr>
        <w:t>企业要明确对应急处置结束后现场遗留污染物进行后续处理措施，应急指挥部成立现场清理小组，制定清理方案。对应急仪器设备进行维护、保养，对应急物资进行补充更新，恢复企业设备(施)的正常运转，逐步恢复企业的正常生产秩序的责任人和时限要求；配合地方政府及其环境保护等相关部门开展环境损害评估、赔偿、事件调查处理、环境修复和生态恢复等工作的责任人和主要内容。</w:t>
      </w:r>
    </w:p>
    <w:p>
      <w:pPr>
        <w:pStyle w:val="8"/>
        <w:rPr>
          <w:rFonts w:hint="eastAsia" w:ascii="宋体" w:hAnsi="宋体" w:eastAsia="宋体" w:cs="宋体"/>
          <w:lang w:eastAsia="zh-CN"/>
        </w:rPr>
      </w:pPr>
      <w:r>
        <w:rPr>
          <w:rFonts w:hint="eastAsia" w:ascii="宋体" w:hAnsi="宋体" w:eastAsia="宋体" w:cs="宋体"/>
          <w:lang w:eastAsia="zh-CN"/>
        </w:rPr>
        <w:t>6.9.5.8 预案管理与演练</w:t>
      </w:r>
    </w:p>
    <w:p>
      <w:pPr>
        <w:ind w:firstLine="560"/>
        <w:rPr>
          <w:rFonts w:hint="eastAsia" w:ascii="宋体" w:hAnsi="宋体" w:eastAsia="宋体" w:cs="宋体"/>
          <w:lang w:eastAsia="zh-CN"/>
        </w:rPr>
      </w:pPr>
      <w:r>
        <w:rPr>
          <w:rFonts w:hint="eastAsia" w:ascii="宋体" w:hAnsi="宋体" w:eastAsia="宋体" w:cs="宋体"/>
          <w:lang w:eastAsia="zh-CN"/>
        </w:rPr>
        <w:t>明确企业开展的预案培训计划、方式和要求。</w:t>
      </w:r>
    </w:p>
    <w:p>
      <w:pPr>
        <w:ind w:firstLine="560"/>
        <w:rPr>
          <w:rFonts w:hint="eastAsia" w:ascii="宋体" w:hAnsi="宋体" w:eastAsia="宋体" w:cs="宋体"/>
          <w:lang w:eastAsia="zh-CN"/>
        </w:rPr>
      </w:pPr>
      <w:r>
        <w:rPr>
          <w:rFonts w:hint="eastAsia" w:ascii="宋体" w:hAnsi="宋体" w:eastAsia="宋体" w:cs="宋体"/>
          <w:lang w:eastAsia="zh-CN"/>
        </w:rPr>
        <w:t>明确应急演练的方式、频次等内容，制定企业预案演练的具体计划，并组织策划和实施，适时组织有关企业和专家对应急演练进行观摩和交流，演练结束后做好总结。</w:t>
      </w:r>
    </w:p>
    <w:p>
      <w:pPr>
        <w:ind w:firstLine="560"/>
        <w:rPr>
          <w:rFonts w:hint="eastAsia" w:ascii="宋体" w:hAnsi="宋体" w:eastAsia="宋体" w:cs="宋体"/>
          <w:lang w:eastAsia="zh-CN"/>
        </w:rPr>
      </w:pPr>
      <w:r>
        <w:rPr>
          <w:rFonts w:hint="eastAsia" w:ascii="宋体" w:hAnsi="宋体" w:eastAsia="宋体" w:cs="宋体"/>
          <w:lang w:eastAsia="zh-CN"/>
        </w:rPr>
        <w:t>明确应急预案修订、变更、改进的基本要求及时限，以及采取的方式等内容。</w:t>
      </w:r>
    </w:p>
    <w:p>
      <w:pPr>
        <w:ind w:firstLine="560"/>
        <w:rPr>
          <w:rFonts w:hint="eastAsia" w:ascii="宋体" w:hAnsi="宋体" w:eastAsia="宋体" w:cs="宋体"/>
          <w:lang w:eastAsia="zh-CN"/>
        </w:rPr>
      </w:pPr>
      <w:r>
        <w:rPr>
          <w:rFonts w:hint="eastAsia" w:ascii="宋体" w:hAnsi="宋体" w:eastAsia="宋体" w:cs="宋体"/>
          <w:lang w:eastAsia="zh-CN"/>
        </w:rPr>
        <w:t>明确预案备案的方式、审核要求、报备部门等内容。</w:t>
      </w:r>
    </w:p>
    <w:p>
      <w:pPr>
        <w:pStyle w:val="8"/>
        <w:rPr>
          <w:rFonts w:hint="eastAsia" w:ascii="宋体" w:hAnsi="宋体" w:eastAsia="宋体" w:cs="宋体"/>
          <w:lang w:eastAsia="zh-CN"/>
        </w:rPr>
      </w:pPr>
      <w:r>
        <w:rPr>
          <w:rFonts w:hint="eastAsia" w:ascii="宋体" w:hAnsi="宋体" w:eastAsia="宋体" w:cs="宋体"/>
          <w:lang w:eastAsia="zh-CN"/>
        </w:rPr>
        <w:t>6.9.5.9 区域联动</w:t>
      </w:r>
    </w:p>
    <w:p>
      <w:pPr>
        <w:ind w:firstLine="560"/>
        <w:rPr>
          <w:rFonts w:hint="eastAsia" w:ascii="宋体" w:hAnsi="宋体" w:eastAsia="宋体" w:cs="宋体"/>
          <w:lang w:eastAsia="zh-CN"/>
        </w:rPr>
      </w:pPr>
      <w:r>
        <w:rPr>
          <w:rFonts w:hint="eastAsia" w:ascii="宋体" w:hAnsi="宋体" w:eastAsia="宋体" w:cs="宋体"/>
          <w:lang w:eastAsia="zh-CN"/>
        </w:rPr>
        <w:t>明确企业、区域、地方政府环境风险应急体系。企业突发环境事件应急预案应体现分级响应、区域联动的原则，超出企业自身应对能力时，与地方政府突发环境事件应急预案相衔接，明确分级响应程序。</w:t>
      </w:r>
    </w:p>
    <w:p>
      <w:pPr>
        <w:pStyle w:val="7"/>
        <w:rPr>
          <w:rFonts w:hint="eastAsia" w:ascii="宋体" w:hAnsi="宋体" w:eastAsia="宋体" w:cs="宋体"/>
          <w:lang w:eastAsia="zh-CN"/>
        </w:rPr>
      </w:pPr>
      <w:r>
        <w:rPr>
          <w:rFonts w:hint="eastAsia" w:ascii="宋体" w:hAnsi="宋体" w:eastAsia="宋体" w:cs="宋体"/>
          <w:lang w:eastAsia="zh-CN"/>
        </w:rPr>
        <w:t>6.9.6 三级防范体系</w:t>
      </w:r>
    </w:p>
    <w:p>
      <w:pPr>
        <w:ind w:firstLine="560"/>
        <w:rPr>
          <w:rFonts w:hint="eastAsia" w:ascii="宋体" w:hAnsi="宋体" w:eastAsia="宋体" w:cs="宋体"/>
          <w:lang w:eastAsia="zh-CN"/>
        </w:rPr>
      </w:pPr>
      <w:r>
        <w:rPr>
          <w:rFonts w:hint="eastAsia" w:ascii="宋体" w:hAnsi="宋体" w:eastAsia="宋体" w:cs="宋体"/>
          <w:lang w:eastAsia="zh-CN"/>
        </w:rPr>
        <w:t>“三级防控”主要指“源头、过程、末端”三个环节的环境风险控制措施体系，坚持以防为主、防控结合。因本项目属采矿类项目，主要的风险源是炸药爆炸、地下水透水冒顶、油库火灾等，本次环评有针对性的提出以下风险防控体系。</w:t>
      </w:r>
    </w:p>
    <w:p>
      <w:pPr>
        <w:ind w:firstLine="560"/>
        <w:rPr>
          <w:rFonts w:hint="eastAsia" w:ascii="宋体" w:hAnsi="宋体" w:eastAsia="宋体" w:cs="宋体"/>
          <w:lang w:eastAsia="zh-CN"/>
        </w:rPr>
      </w:pPr>
      <w:r>
        <w:rPr>
          <w:rFonts w:hint="eastAsia" w:ascii="宋体" w:hAnsi="宋体" w:eastAsia="宋体" w:cs="宋体"/>
          <w:lang w:eastAsia="zh-CN"/>
        </w:rPr>
        <w:t>第一级防控措施：加强炸药运输及使用过程风险管理，对操作人员进行培训，严格遵守岗位操作规程；探采结合，提前做好水文地质勘探工作；加强日常对隔油池、化粪池、污水处理设施等重点防渗区域监管，防治防渗层破坏、污水外溢排放。</w:t>
      </w:r>
    </w:p>
    <w:p>
      <w:pPr>
        <w:ind w:firstLine="560"/>
        <w:rPr>
          <w:rFonts w:hint="eastAsia" w:ascii="宋体" w:hAnsi="宋体" w:eastAsia="宋体" w:cs="宋体"/>
          <w:lang w:eastAsia="zh-CN"/>
        </w:rPr>
      </w:pPr>
      <w:r>
        <w:rPr>
          <w:rFonts w:hint="eastAsia" w:ascii="宋体" w:hAnsi="宋体" w:eastAsia="宋体" w:cs="宋体"/>
          <w:lang w:eastAsia="zh-CN"/>
        </w:rPr>
        <w:t>第二级防控措施：井下设置抽排水设施，水泵一用一备，若发生突水事故，可将矿井涌水迅速提升至地表水池；雨季不需绿化，建设单位将生活废水处理尾水储存至清水池和选矿回水池，收集污水用于旱季绿化和选矿用水。</w:t>
      </w:r>
    </w:p>
    <w:p>
      <w:pPr>
        <w:ind w:firstLine="560"/>
        <w:rPr>
          <w:rFonts w:hint="eastAsia" w:ascii="宋体" w:hAnsi="宋体" w:eastAsia="宋体" w:cs="宋体"/>
          <w:lang w:eastAsia="zh-CN"/>
        </w:rPr>
      </w:pPr>
      <w:r>
        <w:rPr>
          <w:rFonts w:hint="eastAsia" w:ascii="宋体" w:hAnsi="宋体" w:eastAsia="宋体" w:cs="宋体"/>
          <w:lang w:eastAsia="zh-CN"/>
        </w:rPr>
        <w:t>第三级防控措施：对厂区雨水总排口设置切断措施，防止事故情况下物料经雨水及污水管线进入地表水水体；与直属生态环境局、直属应急管理局成立区域联合防控系统。一旦发生重大事故，可依托政府部门的救援力量。</w:t>
      </w:r>
    </w:p>
    <w:p>
      <w:pPr>
        <w:pStyle w:val="7"/>
        <w:rPr>
          <w:rFonts w:hint="eastAsia" w:ascii="宋体" w:hAnsi="宋体" w:eastAsia="宋体" w:cs="宋体"/>
          <w:lang w:eastAsia="zh-CN"/>
        </w:rPr>
      </w:pPr>
      <w:r>
        <w:rPr>
          <w:rFonts w:hint="eastAsia" w:ascii="宋体" w:hAnsi="宋体" w:eastAsia="宋体" w:cs="宋体"/>
          <w:lang w:eastAsia="zh-CN"/>
        </w:rPr>
        <w:t>6.9.7 小结</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可能出现的环境风险事故主要是炸药爆炸，地下水透水，地面坍塌，管线泄露等。企业制定了详细的风险事故防范措施、风险应急预案、事故应急处理措施、环境风险监测。在落实环评提出的环境风险防范措施并加强风险管理后，项目环境风险概率较小，处于可接受水平。</w:t>
      </w:r>
    </w:p>
    <w:p>
      <w:pPr>
        <w:pStyle w:val="2"/>
        <w:ind w:firstLine="560"/>
        <w:rPr>
          <w:rFonts w:hint="eastAsia" w:ascii="宋体" w:hAnsi="宋体" w:eastAsia="宋体" w:cs="宋体"/>
          <w:lang w:eastAsia="zh-CN"/>
        </w:rPr>
        <w:sectPr>
          <w:headerReference r:id="rId78" w:type="default"/>
          <w:footerReference r:id="rId79" w:type="default"/>
          <w:footerReference r:id="rId80" w:type="even"/>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pStyle w:val="5"/>
        <w:numPr>
          <w:ilvl w:val="0"/>
          <w:numId w:val="25"/>
        </w:numPr>
        <w:spacing w:before="156" w:after="156"/>
        <w:rPr>
          <w:rFonts w:hint="eastAsia" w:ascii="宋体" w:hAnsi="宋体" w:eastAsia="宋体" w:cs="宋体"/>
          <w:lang w:eastAsia="zh-CN"/>
        </w:rPr>
      </w:pPr>
      <w:r>
        <w:rPr>
          <w:rFonts w:hint="eastAsia" w:ascii="宋体" w:hAnsi="宋体" w:eastAsia="宋体" w:cs="宋体"/>
          <w:lang w:eastAsia="zh-CN"/>
        </w:rPr>
        <w:t xml:space="preserve"> </w:t>
      </w:r>
      <w:bookmarkStart w:id="173" w:name="_Toc31107"/>
      <w:bookmarkStart w:id="174" w:name="_Toc26651"/>
      <w:r>
        <w:rPr>
          <w:rFonts w:hint="eastAsia" w:ascii="宋体" w:hAnsi="宋体" w:eastAsia="宋体" w:cs="宋体"/>
          <w:lang w:eastAsia="zh-CN"/>
        </w:rPr>
        <w:t>地质环境影响评价</w:t>
      </w:r>
      <w:bookmarkEnd w:id="173"/>
      <w:bookmarkEnd w:id="174"/>
    </w:p>
    <w:p>
      <w:pPr>
        <w:pStyle w:val="6"/>
        <w:rPr>
          <w:rFonts w:hint="eastAsia" w:ascii="宋体" w:hAnsi="宋体" w:eastAsia="宋体" w:cs="宋体"/>
          <w:lang w:eastAsia="zh-CN"/>
        </w:rPr>
      </w:pPr>
      <w:bookmarkStart w:id="175" w:name="_Toc23013"/>
      <w:bookmarkStart w:id="176" w:name="_Toc29122"/>
      <w:r>
        <w:rPr>
          <w:rFonts w:hint="eastAsia" w:ascii="宋体" w:hAnsi="宋体" w:eastAsia="宋体" w:cs="宋体"/>
          <w:lang w:eastAsia="zh-CN"/>
        </w:rPr>
        <w:t>7.1 地质环境影响评价</w:t>
      </w:r>
      <w:bookmarkEnd w:id="175"/>
      <w:bookmarkEnd w:id="176"/>
    </w:p>
    <w:p>
      <w:pPr>
        <w:ind w:firstLine="560"/>
        <w:rPr>
          <w:rFonts w:hint="eastAsia" w:ascii="宋体" w:hAnsi="宋体" w:eastAsia="宋体" w:cs="宋体"/>
          <w:lang w:eastAsia="zh-CN"/>
        </w:rPr>
      </w:pPr>
      <w:r>
        <w:rPr>
          <w:rFonts w:hint="eastAsia" w:ascii="宋体" w:hAnsi="宋体" w:eastAsia="宋体" w:cs="宋体"/>
          <w:lang w:eastAsia="zh-CN"/>
        </w:rPr>
        <w:t>依据淄博杲坤地质勘察工程有限公司编制并通过专家评审《莱钢集团鲁南矿业有限公司王峪矿区铁矿矿山地质环境保护与土地复垦方案》的相关内容和结论。</w:t>
      </w:r>
    </w:p>
    <w:p>
      <w:pPr>
        <w:pStyle w:val="7"/>
        <w:rPr>
          <w:rFonts w:hint="eastAsia" w:ascii="宋体" w:hAnsi="宋体" w:eastAsia="宋体" w:cs="宋体"/>
          <w:lang w:eastAsia="zh-CN"/>
        </w:rPr>
      </w:pPr>
      <w:r>
        <w:rPr>
          <w:rFonts w:hint="eastAsia" w:ascii="宋体" w:hAnsi="宋体" w:eastAsia="宋体" w:cs="宋体"/>
          <w:lang w:eastAsia="zh-CN"/>
        </w:rPr>
        <w:t>7.1.1 评价范围</w:t>
      </w:r>
    </w:p>
    <w:p>
      <w:pPr>
        <w:pStyle w:val="2"/>
        <w:ind w:firstLine="560"/>
        <w:rPr>
          <w:rFonts w:hint="eastAsia" w:ascii="宋体" w:hAnsi="宋体" w:eastAsia="宋体" w:cs="宋体"/>
          <w:lang w:eastAsia="zh-CN"/>
        </w:rPr>
      </w:pPr>
      <w:r>
        <w:rPr>
          <w:rFonts w:hint="eastAsia" w:ascii="宋体" w:hAnsi="宋体" w:eastAsia="宋体" w:cs="宋体"/>
          <w:lang w:eastAsia="zh-CN"/>
        </w:rPr>
        <w:t>结合矿区经济社会情况和矿山地质环境调查情况，本次评估范围在矿区范围基础上，结合地下水降落漏斗影响范围，共圈定评估区面积 449.58hm</w:t>
      </w:r>
      <w:r>
        <w:rPr>
          <w:rFonts w:hint="eastAsia" w:ascii="宋体" w:hAnsi="宋体" w:eastAsia="宋体" w:cs="宋体"/>
          <w:vertAlign w:val="superscript"/>
          <w:lang w:eastAsia="zh-CN"/>
        </w:rPr>
        <w:t>2</w:t>
      </w:r>
      <w:r>
        <w:rPr>
          <w:rFonts w:hint="eastAsia" w:ascii="宋体" w:hAnsi="宋体" w:eastAsia="宋体" w:cs="宋体"/>
          <w:lang w:eastAsia="zh-CN"/>
        </w:rPr>
        <w:t xml:space="preserve"> 。</w:t>
      </w:r>
    </w:p>
    <w:p>
      <w:pPr>
        <w:pStyle w:val="7"/>
        <w:rPr>
          <w:rFonts w:hint="eastAsia" w:ascii="宋体" w:hAnsi="宋体" w:eastAsia="宋体" w:cs="宋体"/>
          <w:lang w:eastAsia="zh-CN"/>
        </w:rPr>
      </w:pPr>
      <w:r>
        <w:rPr>
          <w:rFonts w:hint="eastAsia" w:ascii="宋体" w:hAnsi="宋体" w:eastAsia="宋体" w:cs="宋体"/>
          <w:lang w:eastAsia="zh-CN"/>
        </w:rPr>
        <w:t>7.1.2 评价等级</w:t>
      </w:r>
    </w:p>
    <w:p>
      <w:pPr>
        <w:ind w:firstLine="560"/>
        <w:rPr>
          <w:rFonts w:hint="eastAsia" w:ascii="宋体" w:hAnsi="宋体" w:eastAsia="宋体" w:cs="宋体"/>
          <w:lang w:eastAsia="zh-CN"/>
        </w:rPr>
      </w:pPr>
      <w:r>
        <w:rPr>
          <w:rFonts w:hint="eastAsia" w:ascii="宋体" w:hAnsi="宋体" w:eastAsia="宋体" w:cs="宋体"/>
          <w:lang w:eastAsia="zh-CN"/>
        </w:rPr>
        <w:t>根据评估区重要程度、矿山建设规模与矿山地质环境条件复杂程度，评估级别确定为一级。</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表7.1.2-1 矿山地质环境影响评估精度分级表</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1"/>
        <w:gridCol w:w="1855"/>
        <w:gridCol w:w="1855"/>
        <w:gridCol w:w="1855"/>
        <w:gridCol w:w="1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评估区重要程度</w:t>
            </w:r>
          </w:p>
        </w:tc>
        <w:tc>
          <w:tcPr>
            <w:tcW w:w="999" w:type="pct"/>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矿山规模</w:t>
            </w:r>
          </w:p>
        </w:tc>
        <w:tc>
          <w:tcPr>
            <w:tcW w:w="3002" w:type="pct"/>
            <w:gridSpan w:val="3"/>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地质环境条件复杂程度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999" w:type="pct"/>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999"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复杂</w:t>
            </w:r>
          </w:p>
        </w:tc>
        <w:tc>
          <w:tcPr>
            <w:tcW w:w="999"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中等</w:t>
            </w:r>
          </w:p>
        </w:tc>
        <w:tc>
          <w:tcPr>
            <w:tcW w:w="1004"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b/>
                <w:bCs/>
                <w:sz w:val="21"/>
                <w:szCs w:val="21"/>
                <w:lang w:eastAsia="zh-CN"/>
              </w:rPr>
              <w:t>重要区</w:t>
            </w:r>
          </w:p>
        </w:tc>
        <w:tc>
          <w:tcPr>
            <w:tcW w:w="999"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大型</w:t>
            </w:r>
          </w:p>
        </w:tc>
        <w:tc>
          <w:tcPr>
            <w:tcW w:w="999"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b/>
                <w:bCs/>
                <w:sz w:val="21"/>
                <w:szCs w:val="21"/>
                <w:lang w:eastAsia="zh-CN"/>
              </w:rPr>
              <w:t>一级</w:t>
            </w:r>
          </w:p>
        </w:tc>
        <w:tc>
          <w:tcPr>
            <w:tcW w:w="100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999"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中型</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100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999"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小型</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1004"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较重要区</w:t>
            </w:r>
          </w:p>
        </w:tc>
        <w:tc>
          <w:tcPr>
            <w:tcW w:w="1855"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大型</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1004" w:type="pc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1855"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中型</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100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1855"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小型</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100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restart"/>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一般区</w:t>
            </w:r>
          </w:p>
        </w:tc>
        <w:tc>
          <w:tcPr>
            <w:tcW w:w="1855"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大型</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100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1855"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中型</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二级</w:t>
            </w:r>
          </w:p>
        </w:tc>
        <w:tc>
          <w:tcPr>
            <w:tcW w:w="100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97" w:type="pct"/>
            <w:vMerge w:val="continue"/>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p>
        </w:tc>
        <w:tc>
          <w:tcPr>
            <w:tcW w:w="1855" w:type="dxa"/>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小型</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一级</w:t>
            </w:r>
          </w:p>
        </w:tc>
        <w:tc>
          <w:tcPr>
            <w:tcW w:w="99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c>
          <w:tcPr>
            <w:tcW w:w="100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三级</w:t>
            </w:r>
          </w:p>
        </w:tc>
      </w:tr>
    </w:tbl>
    <w:p>
      <w:pPr>
        <w:pStyle w:val="7"/>
        <w:rPr>
          <w:rFonts w:hint="eastAsia" w:ascii="宋体" w:hAnsi="宋体" w:eastAsia="宋体" w:cs="宋体"/>
          <w:lang w:eastAsia="zh-CN"/>
        </w:rPr>
      </w:pPr>
      <w:r>
        <w:rPr>
          <w:rFonts w:hint="eastAsia" w:ascii="宋体" w:hAnsi="宋体" w:eastAsia="宋体" w:cs="宋体"/>
          <w:lang w:eastAsia="zh-CN"/>
        </w:rPr>
        <w:t>7.1.3 地质灾害类型</w:t>
      </w:r>
    </w:p>
    <w:p>
      <w:pPr>
        <w:pStyle w:val="8"/>
        <w:rPr>
          <w:rFonts w:hint="eastAsia" w:ascii="宋体" w:hAnsi="宋体" w:eastAsia="宋体" w:cs="宋体"/>
          <w:lang w:eastAsia="zh-CN"/>
        </w:rPr>
      </w:pPr>
      <w:r>
        <w:rPr>
          <w:rFonts w:hint="eastAsia" w:ascii="宋体" w:hAnsi="宋体" w:eastAsia="宋体" w:cs="宋体"/>
          <w:lang w:eastAsia="zh-CN"/>
        </w:rPr>
        <w:t>7.1.3.1 矿山开采引发的地质环境</w:t>
      </w:r>
    </w:p>
    <w:p>
      <w:pPr>
        <w:ind w:firstLine="560"/>
        <w:rPr>
          <w:rFonts w:hint="eastAsia" w:ascii="宋体" w:hAnsi="宋体" w:eastAsia="宋体" w:cs="宋体"/>
          <w:lang w:eastAsia="zh-CN"/>
        </w:rPr>
      </w:pPr>
      <w:r>
        <w:rPr>
          <w:rFonts w:hint="eastAsia" w:ascii="宋体" w:hAnsi="宋体" w:eastAsia="宋体" w:cs="宋体"/>
          <w:lang w:eastAsia="zh-CN"/>
        </w:rPr>
        <w:t>（1）采空塌陷及伴生地裂缝</w:t>
      </w:r>
    </w:p>
    <w:p>
      <w:pPr>
        <w:ind w:firstLine="560"/>
        <w:rPr>
          <w:rFonts w:hint="eastAsia" w:ascii="宋体" w:hAnsi="宋体" w:eastAsia="宋体" w:cs="宋体"/>
          <w:lang w:eastAsia="zh-CN"/>
        </w:rPr>
      </w:pPr>
      <w:r>
        <w:rPr>
          <w:rFonts w:hint="eastAsia" w:ascii="宋体" w:hAnsi="宋体" w:eastAsia="宋体" w:cs="宋体"/>
          <w:lang w:eastAsia="zh-CN"/>
        </w:rPr>
        <w:t>根据开发利用方案，矿山开采方式为地下开采，当前开采深度由+100m至-50m。矿山地下采矿会形成一定范围的采空区，使上方岩体失去支撑，向下陷落。矿山生产具备已发采空塌陷及伴生地裂缝地质环境问题的地质环境条件。</w:t>
      </w:r>
    </w:p>
    <w:p>
      <w:pPr>
        <w:ind w:firstLine="560"/>
        <w:rPr>
          <w:rFonts w:hint="eastAsia" w:ascii="宋体" w:hAnsi="宋体" w:eastAsia="宋体" w:cs="宋体"/>
          <w:lang w:eastAsia="zh-CN"/>
        </w:rPr>
      </w:pPr>
      <w:r>
        <w:rPr>
          <w:rFonts w:hint="eastAsia" w:ascii="宋体" w:hAnsi="宋体" w:eastAsia="宋体" w:cs="宋体"/>
          <w:lang w:eastAsia="zh-CN"/>
        </w:rPr>
        <w:t>（2）岩溶塌陷</w:t>
      </w:r>
    </w:p>
    <w:p>
      <w:pPr>
        <w:ind w:firstLine="560"/>
        <w:rPr>
          <w:rFonts w:hint="eastAsia" w:ascii="宋体" w:hAnsi="宋体" w:eastAsia="宋体" w:cs="宋体"/>
          <w:lang w:eastAsia="zh-CN"/>
        </w:rPr>
      </w:pPr>
      <w:r>
        <w:rPr>
          <w:rFonts w:hint="eastAsia" w:ascii="宋体" w:hAnsi="宋体" w:eastAsia="宋体" w:cs="宋体"/>
          <w:lang w:eastAsia="zh-CN"/>
        </w:rPr>
        <w:t>矿区内部分区域第四系覆盖，第四系厚度1～5m左右，部分地区岩石裸露。由于第四系覆盖较薄，矿体围岩裂隙不发育，岩溶不发育，渗透性差，与第四系水力联系一般，疏干排水可能引发岩溶塌陷</w:t>
      </w:r>
      <w:bookmarkStart w:id="251" w:name="_GoBack"/>
      <w:bookmarkEnd w:id="251"/>
      <w:r>
        <w:rPr>
          <w:rFonts w:hint="eastAsia" w:cs="宋体"/>
          <w:lang w:eastAsia="zh-CN"/>
        </w:rPr>
        <w:t>的</w:t>
      </w:r>
      <w:r>
        <w:rPr>
          <w:rFonts w:hint="eastAsia" w:ascii="宋体" w:hAnsi="宋体" w:eastAsia="宋体" w:cs="宋体"/>
          <w:lang w:eastAsia="zh-CN"/>
        </w:rPr>
        <w:t>地质环境条件不充分。因此，评估区内矿山生产引发岩溶塌陷的地质环境条件不充分。</w:t>
      </w:r>
    </w:p>
    <w:p>
      <w:pPr>
        <w:ind w:firstLine="560"/>
        <w:rPr>
          <w:rFonts w:hint="eastAsia" w:ascii="宋体" w:hAnsi="宋体" w:eastAsia="宋体" w:cs="宋体"/>
          <w:lang w:eastAsia="zh-CN"/>
        </w:rPr>
      </w:pPr>
      <w:r>
        <w:rPr>
          <w:rFonts w:hint="eastAsia" w:ascii="宋体" w:hAnsi="宋体" w:eastAsia="宋体" w:cs="宋体"/>
          <w:lang w:eastAsia="zh-CN"/>
        </w:rPr>
        <w:t>（3）地面沉降</w:t>
      </w:r>
    </w:p>
    <w:p>
      <w:pPr>
        <w:ind w:firstLine="560"/>
        <w:rPr>
          <w:rFonts w:hint="eastAsia" w:ascii="宋体" w:hAnsi="宋体" w:eastAsia="宋体" w:cs="宋体"/>
          <w:lang w:eastAsia="zh-CN"/>
        </w:rPr>
      </w:pPr>
      <w:r>
        <w:rPr>
          <w:rFonts w:hint="eastAsia" w:ascii="宋体" w:hAnsi="宋体" w:eastAsia="宋体" w:cs="宋体"/>
          <w:lang w:eastAsia="zh-CN"/>
        </w:rPr>
        <w:t>地面沉降是指某一区域内由于开采地下水或其他地下流体导致的地表浅部松散沉积物压实或压密引起的地面标高下降的现象。根据收集到的资料及野外调查，评估区第四系厚度较薄，富水性差，周围居民生活用水现为自来水供应，抽取基岩裂隙水较少，因而产生地面沉降地质灾害的地质环境条件不充分。</w:t>
      </w:r>
    </w:p>
    <w:p>
      <w:pPr>
        <w:ind w:firstLine="560"/>
        <w:rPr>
          <w:rFonts w:hint="eastAsia" w:ascii="宋体" w:hAnsi="宋体" w:eastAsia="宋体" w:cs="宋体"/>
          <w:lang w:eastAsia="zh-CN"/>
        </w:rPr>
      </w:pPr>
      <w:r>
        <w:rPr>
          <w:rFonts w:hint="eastAsia" w:ascii="宋体" w:hAnsi="宋体" w:eastAsia="宋体" w:cs="宋体"/>
          <w:lang w:eastAsia="zh-CN"/>
        </w:rPr>
        <w:t>综上所述，确定评估区内的地质环境问题是崩塌和采空塌陷及伴生地裂缝。</w:t>
      </w:r>
    </w:p>
    <w:p>
      <w:pPr>
        <w:pStyle w:val="8"/>
        <w:rPr>
          <w:rFonts w:hint="eastAsia" w:ascii="宋体" w:hAnsi="宋体" w:eastAsia="宋体" w:cs="宋体"/>
          <w:lang w:eastAsia="zh-CN"/>
        </w:rPr>
      </w:pPr>
      <w:r>
        <w:rPr>
          <w:rFonts w:hint="eastAsia" w:ascii="宋体" w:hAnsi="宋体" w:eastAsia="宋体" w:cs="宋体"/>
          <w:lang w:eastAsia="zh-CN"/>
        </w:rPr>
        <w:t>7.1.3.2 地质现状评价</w:t>
      </w:r>
    </w:p>
    <w:p>
      <w:pPr>
        <w:ind w:firstLine="560"/>
        <w:rPr>
          <w:rFonts w:hint="eastAsia" w:ascii="宋体" w:hAnsi="宋体" w:eastAsia="宋体" w:cs="宋体"/>
          <w:lang w:eastAsia="zh-CN"/>
        </w:rPr>
      </w:pPr>
      <w:r>
        <w:rPr>
          <w:rFonts w:hint="eastAsia" w:ascii="宋体" w:hAnsi="宋体" w:eastAsia="宋体" w:cs="宋体"/>
          <w:lang w:eastAsia="zh-CN"/>
        </w:rPr>
        <w:t>评估区自然因素下引发滑坡、崩塌、泥石流、岩溶塌陷等地质灾害的条件不具备，采矿活动引发采空塌陷、地裂隙等地质环境问题的危害性小；评估区内采矿活动对含水层影响和破坏现状评估为影响较严重；评估区内矿山建设和生产对地形地貌景观影响现状评估为影响较轻；评估区内矿山建设和生产对土地资源影响现状评估为影响较轻，防治难度大。详见表7.1.3-1。</w:t>
      </w:r>
    </w:p>
    <w:p>
      <w:pPr>
        <w:pStyle w:val="2"/>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表7.1.3-1  评估区矿山地质环境影响现状评估表</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1311"/>
        <w:gridCol w:w="910"/>
        <w:gridCol w:w="1368"/>
        <w:gridCol w:w="1120"/>
        <w:gridCol w:w="1557"/>
        <w:gridCol w:w="950"/>
        <w:gridCol w:w="7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restart"/>
            <w:tcBorders>
              <w:top w:val="single" w:color="auto" w:sz="12" w:space="0"/>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评估区位置</w:t>
            </w:r>
          </w:p>
        </w:tc>
        <w:tc>
          <w:tcPr>
            <w:tcW w:w="1311" w:type="dxa"/>
            <w:vMerge w:val="restart"/>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评估分区</w:t>
            </w:r>
          </w:p>
        </w:tc>
        <w:tc>
          <w:tcPr>
            <w:tcW w:w="910" w:type="dxa"/>
            <w:vMerge w:val="restart"/>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面积（km</w:t>
            </w:r>
            <w:r>
              <w:rPr>
                <w:rFonts w:hint="eastAsia" w:ascii="宋体" w:hAnsi="宋体" w:eastAsia="宋体" w:cs="宋体"/>
                <w:sz w:val="21"/>
                <w:szCs w:val="21"/>
                <w:vertAlign w:val="superscript"/>
                <w:lang w:eastAsia="zh-CN"/>
              </w:rPr>
              <w:t>2</w:t>
            </w:r>
            <w:r>
              <w:rPr>
                <w:rFonts w:hint="eastAsia" w:ascii="宋体" w:hAnsi="宋体" w:eastAsia="宋体" w:cs="宋体"/>
                <w:sz w:val="21"/>
                <w:szCs w:val="21"/>
                <w:lang w:eastAsia="zh-CN"/>
              </w:rPr>
              <w:t>）</w:t>
            </w:r>
          </w:p>
        </w:tc>
        <w:tc>
          <w:tcPr>
            <w:tcW w:w="4995" w:type="dxa"/>
            <w:gridSpan w:val="4"/>
            <w:tcBorders>
              <w:top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确定要素</w:t>
            </w:r>
          </w:p>
        </w:tc>
        <w:tc>
          <w:tcPr>
            <w:tcW w:w="796" w:type="dxa"/>
            <w:vMerge w:val="restart"/>
            <w:tcBorders>
              <w:top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防治难度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vMerge w:val="continue"/>
            <w:tcBorders>
              <w:lef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311"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910" w:type="dxa"/>
            <w:vMerge w:val="continue"/>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368"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矿山地质环境问题</w:t>
            </w:r>
          </w:p>
        </w:tc>
        <w:tc>
          <w:tcPr>
            <w:tcW w:w="112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含水层</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破坏</w:t>
            </w:r>
          </w:p>
        </w:tc>
        <w:tc>
          <w:tcPr>
            <w:tcW w:w="1557"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地形地貌景观影响</w:t>
            </w:r>
          </w:p>
        </w:tc>
        <w:tc>
          <w:tcPr>
            <w:tcW w:w="950" w:type="dxa"/>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水土资源影响</w:t>
            </w:r>
          </w:p>
        </w:tc>
        <w:tc>
          <w:tcPr>
            <w:tcW w:w="796" w:type="dxa"/>
            <w:vMerge w:val="continue"/>
            <w:tcBorders>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76" w:type="dxa"/>
            <w:tcBorders>
              <w:left w:val="single" w:color="auto" w:sz="12" w:space="0"/>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评估范围</w:t>
            </w:r>
          </w:p>
        </w:tc>
        <w:tc>
          <w:tcPr>
            <w:tcW w:w="1311"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重要区</w:t>
            </w:r>
          </w:p>
        </w:tc>
        <w:tc>
          <w:tcPr>
            <w:tcW w:w="910"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0.45</w:t>
            </w:r>
          </w:p>
        </w:tc>
        <w:tc>
          <w:tcPr>
            <w:tcW w:w="1368"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危害性小</w:t>
            </w:r>
          </w:p>
        </w:tc>
        <w:tc>
          <w:tcPr>
            <w:tcW w:w="1120"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较严重</w:t>
            </w:r>
          </w:p>
        </w:tc>
        <w:tc>
          <w:tcPr>
            <w:tcW w:w="1557"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较轻</w:t>
            </w:r>
          </w:p>
        </w:tc>
        <w:tc>
          <w:tcPr>
            <w:tcW w:w="950" w:type="dxa"/>
            <w:tcBorders>
              <w:bottom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较轻</w:t>
            </w:r>
          </w:p>
        </w:tc>
        <w:tc>
          <w:tcPr>
            <w:tcW w:w="796" w:type="dxa"/>
            <w:tcBorders>
              <w:bottom w:val="single" w:color="auto" w:sz="12" w:space="0"/>
              <w:right w:val="single" w:color="auto"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大</w:t>
            </w:r>
          </w:p>
        </w:tc>
      </w:tr>
    </w:tbl>
    <w:p>
      <w:pPr>
        <w:pStyle w:val="8"/>
        <w:rPr>
          <w:rFonts w:hint="eastAsia" w:ascii="宋体" w:hAnsi="宋体" w:eastAsia="宋体" w:cs="宋体"/>
          <w:lang w:eastAsia="zh-CN"/>
        </w:rPr>
      </w:pPr>
      <w:r>
        <w:rPr>
          <w:rFonts w:hint="eastAsia" w:ascii="宋体" w:hAnsi="宋体" w:eastAsia="宋体" w:cs="宋体"/>
          <w:lang w:eastAsia="zh-CN"/>
        </w:rPr>
        <w:t>7.1.3.3 矿山地质环境影响评估</w:t>
      </w:r>
    </w:p>
    <w:p>
      <w:pPr>
        <w:ind w:firstLine="562"/>
        <w:rPr>
          <w:rFonts w:hint="eastAsia" w:ascii="宋体" w:hAnsi="宋体" w:eastAsia="宋体" w:cs="宋体"/>
          <w:lang w:eastAsia="zh-CN"/>
        </w:rPr>
      </w:pPr>
      <w:r>
        <w:rPr>
          <w:rFonts w:hint="eastAsia" w:ascii="宋体" w:hAnsi="宋体" w:eastAsia="宋体" w:cs="宋体"/>
          <w:b/>
          <w:bCs/>
          <w:lang w:eastAsia="zh-CN"/>
        </w:rPr>
        <w:t>1、矿山地质灾害预测</w:t>
      </w:r>
    </w:p>
    <w:p>
      <w:pPr>
        <w:ind w:firstLine="560"/>
        <w:rPr>
          <w:rFonts w:hint="eastAsia" w:ascii="宋体" w:hAnsi="宋体" w:eastAsia="宋体" w:cs="宋体"/>
          <w:lang w:eastAsia="zh-CN"/>
        </w:rPr>
      </w:pPr>
      <w:r>
        <w:rPr>
          <w:rFonts w:hint="eastAsia" w:ascii="宋体" w:hAnsi="宋体" w:eastAsia="宋体" w:cs="宋体"/>
          <w:lang w:eastAsia="zh-CN"/>
        </w:rPr>
        <w:t>（1）采空塌陷及伴生地裂缝的预测评估</w:t>
      </w:r>
    </w:p>
    <w:p>
      <w:pPr>
        <w:ind w:firstLine="560"/>
        <w:rPr>
          <w:rFonts w:hint="eastAsia" w:ascii="宋体" w:hAnsi="宋体" w:eastAsia="宋体" w:cs="宋体"/>
          <w:lang w:eastAsia="zh-CN"/>
        </w:rPr>
      </w:pPr>
      <w:r>
        <w:rPr>
          <w:rFonts w:hint="eastAsia" w:ascii="宋体" w:hAnsi="宋体" w:eastAsia="宋体" w:cs="宋体"/>
          <w:lang w:eastAsia="zh-CN"/>
        </w:rPr>
        <w:t>根据开发利用方案，矿山使用全尾砂＋胶固粉胶结充填采空区，充填率在 92%以上， 严格按照开发利用方案开采，评估区发生采空塌陷及其伴生地裂缝地质环境问题的预测评估为危险性小。</w:t>
      </w:r>
    </w:p>
    <w:p>
      <w:pPr>
        <w:ind w:firstLine="560"/>
        <w:rPr>
          <w:rFonts w:hint="eastAsia" w:ascii="宋体" w:hAnsi="宋体" w:eastAsia="宋体" w:cs="宋体"/>
          <w:lang w:eastAsia="zh-CN"/>
        </w:rPr>
      </w:pPr>
      <w:r>
        <w:rPr>
          <w:rFonts w:hint="eastAsia" w:ascii="宋体" w:hAnsi="宋体" w:eastAsia="宋体" w:cs="宋体"/>
          <w:lang w:eastAsia="zh-CN"/>
        </w:rPr>
        <w:t>（2）崩塌危险性预测评估</w:t>
      </w:r>
    </w:p>
    <w:p>
      <w:pPr>
        <w:ind w:firstLine="560"/>
        <w:rPr>
          <w:rFonts w:hint="eastAsia" w:ascii="宋体" w:hAnsi="宋体" w:eastAsia="宋体" w:cs="宋体"/>
          <w:lang w:eastAsia="zh-CN"/>
        </w:rPr>
      </w:pPr>
      <w:r>
        <w:rPr>
          <w:rFonts w:hint="eastAsia" w:ascii="宋体" w:hAnsi="宋体" w:eastAsia="宋体" w:cs="宋体"/>
          <w:lang w:eastAsia="zh-CN"/>
        </w:rPr>
        <w:t>上河和王峪露天采坑边坡治理结束后，矿山每月进行一次对露天采坑边坡定期巡查，对边坡可能会出现不稳定区域，矿山都会投入资金进行边坡修护，评估区发生崩塌地质环境问题的预测评估为危险性小。</w:t>
      </w:r>
    </w:p>
    <w:p>
      <w:pPr>
        <w:ind w:firstLine="562"/>
        <w:rPr>
          <w:rFonts w:hint="eastAsia" w:ascii="宋体" w:hAnsi="宋体" w:eastAsia="宋体" w:cs="宋体"/>
          <w:b/>
          <w:bCs/>
          <w:lang w:eastAsia="zh-CN"/>
        </w:rPr>
      </w:pPr>
      <w:r>
        <w:rPr>
          <w:rFonts w:hint="eastAsia" w:ascii="宋体" w:hAnsi="宋体" w:eastAsia="宋体" w:cs="宋体"/>
          <w:b/>
          <w:bCs/>
          <w:lang w:eastAsia="zh-CN"/>
        </w:rPr>
        <w:t>2、 含水层破坏预测</w:t>
      </w:r>
    </w:p>
    <w:p>
      <w:pPr>
        <w:ind w:firstLine="560"/>
        <w:rPr>
          <w:rFonts w:hint="eastAsia" w:ascii="宋体" w:hAnsi="宋体" w:eastAsia="宋体" w:cs="宋体"/>
          <w:lang w:eastAsia="zh-CN"/>
        </w:rPr>
      </w:pPr>
      <w:r>
        <w:rPr>
          <w:rFonts w:hint="eastAsia" w:ascii="宋体" w:hAnsi="宋体" w:eastAsia="宋体" w:cs="宋体"/>
          <w:lang w:eastAsia="zh-CN"/>
        </w:rPr>
        <w:t>矿区及周围具有供水意义的主要含水层为碳酸盐岩岩溶裂隙水和基岩风化裂隙水。</w:t>
      </w:r>
    </w:p>
    <w:p>
      <w:pPr>
        <w:ind w:firstLine="560"/>
        <w:rPr>
          <w:rFonts w:hint="eastAsia" w:ascii="宋体" w:hAnsi="宋体" w:eastAsia="宋体" w:cs="宋体"/>
          <w:lang w:eastAsia="zh-CN"/>
        </w:rPr>
      </w:pPr>
      <w:r>
        <w:rPr>
          <w:rFonts w:hint="eastAsia" w:ascii="宋体" w:hAnsi="宋体" w:eastAsia="宋体" w:cs="宋体"/>
          <w:lang w:eastAsia="zh-CN"/>
        </w:rPr>
        <w:t>（1）水位及水量预测评估</w:t>
      </w:r>
    </w:p>
    <w:p>
      <w:pPr>
        <w:ind w:firstLine="560"/>
        <w:rPr>
          <w:rFonts w:hint="eastAsia" w:ascii="宋体" w:hAnsi="宋体" w:eastAsia="宋体" w:cs="宋体"/>
          <w:lang w:eastAsia="zh-CN"/>
        </w:rPr>
      </w:pPr>
      <w:r>
        <w:rPr>
          <w:rFonts w:hint="eastAsia" w:ascii="宋体" w:hAnsi="宋体" w:eastAsia="宋体" w:cs="宋体"/>
          <w:lang w:eastAsia="zh-CN"/>
        </w:rPr>
        <w:t>矿山地下开采破坏了原有的力学平衡，使得上覆岩层产生移动变形和断裂破坏。当导水裂隙带波及到上覆含水层时，含水层中的水就会沿裂隙流向采空区，造成岩土体中水位下降。矿区长期疏干排水产生地下水水位降落漏斗，随着开采深度的加大，漏斗中心地下水水位将逐渐下降，影响范围也将扩大。预测矿山开采对地下水位、水量影响严重。</w:t>
      </w:r>
    </w:p>
    <w:p>
      <w:pPr>
        <w:ind w:firstLine="560"/>
        <w:rPr>
          <w:rFonts w:hint="eastAsia" w:ascii="宋体" w:hAnsi="宋体" w:eastAsia="宋体" w:cs="宋体"/>
          <w:lang w:eastAsia="zh-CN"/>
        </w:rPr>
      </w:pPr>
      <w:r>
        <w:rPr>
          <w:rFonts w:hint="eastAsia" w:ascii="宋体" w:hAnsi="宋体" w:eastAsia="宋体" w:cs="宋体"/>
          <w:lang w:eastAsia="zh-CN"/>
        </w:rPr>
        <w:t>（2）地下水水质预测评估</w:t>
      </w:r>
    </w:p>
    <w:p>
      <w:pPr>
        <w:ind w:firstLine="560"/>
        <w:rPr>
          <w:rFonts w:hint="eastAsia" w:ascii="宋体" w:hAnsi="宋体" w:eastAsia="宋体" w:cs="宋体"/>
          <w:lang w:eastAsia="zh-CN"/>
        </w:rPr>
      </w:pPr>
      <w:r>
        <w:rPr>
          <w:rFonts w:hint="eastAsia" w:ascii="宋体" w:hAnsi="宋体" w:eastAsia="宋体" w:cs="宋体"/>
          <w:lang w:eastAsia="zh-CN"/>
        </w:rPr>
        <w:t>矿山为生产矿山，地下水水质已基本稳定，不会发生大的变化，因此预测未来五年地下水水质情况与现状相比变化不大。</w:t>
      </w:r>
    </w:p>
    <w:p>
      <w:pPr>
        <w:ind w:firstLine="560"/>
        <w:rPr>
          <w:rFonts w:hint="eastAsia" w:ascii="宋体" w:hAnsi="宋体" w:eastAsia="宋体" w:cs="宋体"/>
          <w:lang w:eastAsia="zh-CN"/>
        </w:rPr>
      </w:pPr>
      <w:r>
        <w:rPr>
          <w:rFonts w:hint="eastAsia" w:ascii="宋体" w:hAnsi="宋体" w:eastAsia="宋体" w:cs="宋体"/>
          <w:lang w:eastAsia="zh-CN"/>
        </w:rPr>
        <w:t>综上所述，评估区内采矿活动对含水层影响和破坏预测评估为影响严重。</w:t>
      </w:r>
    </w:p>
    <w:p>
      <w:pPr>
        <w:ind w:firstLine="562"/>
        <w:rPr>
          <w:rFonts w:hint="eastAsia" w:ascii="宋体" w:hAnsi="宋体" w:eastAsia="宋体" w:cs="宋体"/>
          <w:b/>
          <w:bCs/>
          <w:lang w:eastAsia="zh-CN"/>
        </w:rPr>
      </w:pPr>
      <w:r>
        <w:rPr>
          <w:rFonts w:hint="eastAsia" w:ascii="宋体" w:hAnsi="宋体" w:eastAsia="宋体" w:cs="宋体"/>
          <w:b/>
          <w:bCs/>
          <w:lang w:eastAsia="zh-CN"/>
        </w:rPr>
        <w:t>3、地形地貌景观影响预测评估</w:t>
      </w:r>
    </w:p>
    <w:p>
      <w:pPr>
        <w:ind w:firstLine="560"/>
        <w:rPr>
          <w:rFonts w:hint="eastAsia" w:ascii="宋体" w:hAnsi="宋体" w:eastAsia="宋体" w:cs="宋体"/>
          <w:lang w:eastAsia="zh-CN"/>
        </w:rPr>
      </w:pPr>
      <w:r>
        <w:rPr>
          <w:rFonts w:hint="eastAsia" w:ascii="宋体" w:hAnsi="宋体" w:eastAsia="宋体" w:cs="宋体"/>
          <w:lang w:eastAsia="zh-CN"/>
        </w:rPr>
        <w:t>根据矿山开发利用方案，矿山现有各场地满足生产需要，不再新建场地。露天采场对地形地貌景观影响现状评估为严重，上河主副井工业场地、上河职工宿舍区、办公生活区、选矿工业场地（含选矿厂、球团厂、机修厂）对地形地貌景观影响现状评估为严重；其他评估区范围对地形地貌景观影响预测评估为较轻。</w:t>
      </w:r>
    </w:p>
    <w:p>
      <w:pPr>
        <w:ind w:firstLine="562"/>
        <w:rPr>
          <w:rFonts w:hint="eastAsia" w:ascii="宋体" w:hAnsi="宋体" w:eastAsia="宋体" w:cs="宋体"/>
          <w:b/>
          <w:bCs/>
          <w:lang w:eastAsia="zh-CN"/>
        </w:rPr>
      </w:pPr>
      <w:r>
        <w:rPr>
          <w:rFonts w:hint="eastAsia" w:ascii="宋体" w:hAnsi="宋体" w:eastAsia="宋体" w:cs="宋体"/>
          <w:b/>
          <w:bCs/>
          <w:lang w:eastAsia="zh-CN"/>
        </w:rPr>
        <w:t>4、水土污染预测</w:t>
      </w:r>
    </w:p>
    <w:p>
      <w:pPr>
        <w:ind w:firstLine="560"/>
        <w:rPr>
          <w:rFonts w:hint="eastAsia" w:ascii="宋体" w:hAnsi="宋体" w:eastAsia="宋体" w:cs="宋体"/>
          <w:lang w:eastAsia="zh-CN"/>
        </w:rPr>
      </w:pPr>
      <w:r>
        <w:rPr>
          <w:rFonts w:hint="eastAsia" w:ascii="宋体" w:hAnsi="宋体" w:eastAsia="宋体" w:cs="宋体"/>
          <w:lang w:eastAsia="zh-CN"/>
        </w:rPr>
        <w:t>王峪铁矿已开采多年，矿山生产对水土污染现状较轻，矿山下一步开采与当前开采方式相同，未引入新的污染源。预测评估矿山生产对水土污染影响较轻。</w:t>
      </w:r>
    </w:p>
    <w:p>
      <w:pPr>
        <w:pStyle w:val="6"/>
        <w:rPr>
          <w:rFonts w:hint="eastAsia" w:ascii="宋体" w:hAnsi="宋体" w:eastAsia="宋体" w:cs="宋体"/>
          <w:lang w:eastAsia="zh-CN"/>
        </w:rPr>
      </w:pPr>
      <w:bookmarkStart w:id="177" w:name="_Toc18738"/>
      <w:bookmarkStart w:id="178" w:name="_Toc31660"/>
      <w:r>
        <w:rPr>
          <w:rFonts w:hint="eastAsia" w:ascii="宋体" w:hAnsi="宋体" w:eastAsia="宋体" w:cs="宋体"/>
          <w:lang w:eastAsia="zh-CN"/>
        </w:rPr>
        <w:t>7.2 矿山地质环境保护与治理措施</w:t>
      </w:r>
      <w:bookmarkEnd w:id="177"/>
      <w:bookmarkEnd w:id="178"/>
    </w:p>
    <w:p>
      <w:pPr>
        <w:ind w:firstLine="560"/>
        <w:rPr>
          <w:rFonts w:hint="eastAsia" w:ascii="宋体" w:hAnsi="宋体" w:eastAsia="宋体" w:cs="宋体"/>
          <w:lang w:eastAsia="zh-CN"/>
        </w:rPr>
      </w:pPr>
      <w:r>
        <w:rPr>
          <w:rFonts w:hint="eastAsia" w:ascii="宋体" w:hAnsi="宋体" w:eastAsia="宋体" w:cs="宋体"/>
          <w:lang w:eastAsia="zh-CN"/>
        </w:rPr>
        <w:t>具体针对矿山地质环境问题的保护与恢复治理工程如下：</w:t>
      </w:r>
    </w:p>
    <w:p>
      <w:pPr>
        <w:pStyle w:val="7"/>
        <w:rPr>
          <w:rFonts w:hint="eastAsia" w:ascii="宋体" w:hAnsi="宋体" w:eastAsia="宋体" w:cs="宋体"/>
          <w:lang w:eastAsia="zh-CN"/>
        </w:rPr>
      </w:pPr>
      <w:r>
        <w:rPr>
          <w:rFonts w:hint="eastAsia" w:ascii="宋体" w:hAnsi="宋体" w:eastAsia="宋体" w:cs="宋体"/>
          <w:lang w:eastAsia="zh-CN"/>
        </w:rPr>
        <w:t>7.2.1 地质灾害预防</w:t>
      </w:r>
    </w:p>
    <w:p>
      <w:pPr>
        <w:ind w:firstLine="560"/>
        <w:rPr>
          <w:rFonts w:hint="eastAsia" w:ascii="宋体" w:hAnsi="宋体" w:eastAsia="宋体" w:cs="宋体"/>
          <w:lang w:eastAsia="zh-CN"/>
        </w:rPr>
      </w:pPr>
      <w:r>
        <w:rPr>
          <w:rFonts w:hint="eastAsia" w:ascii="宋体" w:hAnsi="宋体" w:eastAsia="宋体" w:cs="宋体"/>
          <w:lang w:eastAsia="zh-CN"/>
        </w:rPr>
        <w:t>（1）采空区充填措施</w:t>
      </w:r>
    </w:p>
    <w:p>
      <w:pPr>
        <w:ind w:firstLine="560"/>
        <w:rPr>
          <w:rFonts w:hint="eastAsia" w:ascii="宋体" w:hAnsi="宋体" w:eastAsia="宋体" w:cs="宋体"/>
          <w:lang w:eastAsia="zh-CN"/>
        </w:rPr>
      </w:pPr>
      <w:r>
        <w:rPr>
          <w:rFonts w:hint="eastAsia" w:ascii="宋体" w:hAnsi="宋体" w:eastAsia="宋体" w:cs="宋体"/>
          <w:lang w:eastAsia="zh-CN"/>
        </w:rPr>
        <w:t>矿山正在1#尾矿库附近建有一座年充填能力为30万m3的充填站，负责整个矿区的井下充填工作，充填能够满足生产整个矿区的生产要求。</w:t>
      </w:r>
    </w:p>
    <w:p>
      <w:pPr>
        <w:ind w:firstLine="560"/>
        <w:rPr>
          <w:rFonts w:hint="eastAsia" w:ascii="宋体" w:hAnsi="宋体" w:eastAsia="宋体" w:cs="宋体"/>
          <w:lang w:eastAsia="zh-CN"/>
        </w:rPr>
      </w:pPr>
      <w:r>
        <w:rPr>
          <w:rFonts w:hint="eastAsia" w:ascii="宋体" w:hAnsi="宋体" w:eastAsia="宋体" w:cs="宋体"/>
          <w:lang w:eastAsia="zh-CN"/>
        </w:rPr>
        <w:t>（2）露天采场的预防措施</w:t>
      </w:r>
    </w:p>
    <w:p>
      <w:pPr>
        <w:ind w:firstLine="560"/>
        <w:rPr>
          <w:rFonts w:hint="eastAsia" w:ascii="宋体" w:hAnsi="宋体" w:eastAsia="宋体" w:cs="宋体"/>
          <w:lang w:eastAsia="zh-CN"/>
        </w:rPr>
      </w:pPr>
      <w:r>
        <w:rPr>
          <w:rFonts w:hint="eastAsia" w:ascii="宋体" w:hAnsi="宋体" w:eastAsia="宋体" w:cs="宋体"/>
          <w:lang w:eastAsia="zh-CN"/>
        </w:rPr>
        <w:t>结合本矿实际，在生产过程中产生的有隐患的边坡要及时采取加固措施；并严格按照开发利用方案进行开采，留设安全平台和边坡角度。</w:t>
      </w:r>
    </w:p>
    <w:p>
      <w:pPr>
        <w:ind w:firstLine="560"/>
        <w:rPr>
          <w:rFonts w:hint="eastAsia" w:ascii="宋体" w:hAnsi="宋体" w:eastAsia="宋体" w:cs="宋体"/>
          <w:lang w:eastAsia="zh-CN"/>
        </w:rPr>
      </w:pPr>
      <w:r>
        <w:rPr>
          <w:rFonts w:hint="eastAsia" w:ascii="宋体" w:hAnsi="宋体" w:eastAsia="宋体" w:cs="宋体"/>
          <w:lang w:eastAsia="zh-CN"/>
        </w:rPr>
        <w:t>沿各采区边界设立警示牌和防护网，防止非工作人员进入采区，发生意外事故。在采场外围埋设警示牌20处，警示牌采用铝合金材料，尺寸1000×80×50mm，底部用标杆支撑，标杆尺寸50×50mm、高度 1000mm。防护网采用PVC涂塑荷兰网（直径φ=3mm，网孔50×50mm），网片尺寸2m×30m，网柱间距：3m，修建防护网长度4871m。</w:t>
      </w:r>
    </w:p>
    <w:p>
      <w:pPr>
        <w:pStyle w:val="7"/>
        <w:rPr>
          <w:rFonts w:hint="eastAsia" w:ascii="宋体" w:hAnsi="宋体" w:eastAsia="宋体" w:cs="宋体"/>
          <w:lang w:eastAsia="zh-CN"/>
        </w:rPr>
      </w:pPr>
      <w:r>
        <w:rPr>
          <w:rFonts w:hint="eastAsia" w:ascii="宋体" w:hAnsi="宋体" w:eastAsia="宋体" w:cs="宋体"/>
          <w:lang w:eastAsia="zh-CN"/>
        </w:rPr>
        <w:t>7.2.2 含水层破坏预防</w:t>
      </w:r>
    </w:p>
    <w:p>
      <w:pPr>
        <w:ind w:firstLine="560"/>
        <w:rPr>
          <w:rFonts w:hint="eastAsia" w:ascii="宋体" w:hAnsi="宋体" w:eastAsia="宋体" w:cs="宋体"/>
          <w:lang w:eastAsia="zh-CN"/>
        </w:rPr>
      </w:pPr>
      <w:r>
        <w:rPr>
          <w:rFonts w:hint="eastAsia" w:ascii="宋体" w:hAnsi="宋体" w:eastAsia="宋体" w:cs="宋体"/>
          <w:lang w:eastAsia="zh-CN"/>
        </w:rPr>
        <w:t>（1）井下防治水</w:t>
      </w:r>
    </w:p>
    <w:p>
      <w:pPr>
        <w:ind w:firstLine="560"/>
        <w:rPr>
          <w:rFonts w:hint="eastAsia" w:ascii="宋体" w:hAnsi="宋体" w:eastAsia="宋体" w:cs="宋体"/>
          <w:lang w:eastAsia="zh-CN"/>
        </w:rPr>
      </w:pPr>
      <w:r>
        <w:rPr>
          <w:rFonts w:hint="eastAsia" w:ascii="宋体" w:hAnsi="宋体" w:eastAsia="宋体" w:cs="宋体"/>
          <w:lang w:eastAsia="zh-CN"/>
        </w:rPr>
        <w:t>对于次生断裂导水性问题，重点在上盘，可在下盘阶段平巷形成后与采准工程和探矿工作相结合垂直走向向上盘方向打水平或斜上向钻孔，穿透矿体顶板界线 30m 后停钻，控制顶板岩性，探寻构造带和钻孔水量变化，为上盘采矿工程的布置提供依据；对于未封钻孔应力求通过原勘探资料进行井下定位，对定位困难的应圈定其可能出现的范围。对于导水构造和透水钻孔必须采取封堵措施，采用井下高压预注浆的手段阻断进水通道。</w:t>
      </w:r>
    </w:p>
    <w:p>
      <w:pPr>
        <w:ind w:firstLine="560"/>
        <w:rPr>
          <w:rFonts w:hint="eastAsia" w:ascii="宋体" w:hAnsi="宋体" w:eastAsia="宋体" w:cs="宋体"/>
          <w:lang w:eastAsia="zh-CN"/>
        </w:rPr>
      </w:pPr>
      <w:r>
        <w:rPr>
          <w:rFonts w:hint="eastAsia" w:ascii="宋体" w:hAnsi="宋体" w:eastAsia="宋体" w:cs="宋体"/>
          <w:lang w:eastAsia="zh-CN"/>
        </w:rPr>
        <w:t>除井下机械排水外，本设计根据现有水文地质资料和开采技术条件要求加强防治水工作并采取切实有效的防治水措施：</w:t>
      </w:r>
    </w:p>
    <w:p>
      <w:pPr>
        <w:ind w:firstLine="560"/>
        <w:rPr>
          <w:rFonts w:hint="eastAsia" w:ascii="宋体" w:hAnsi="宋体" w:eastAsia="宋体" w:cs="宋体"/>
          <w:lang w:eastAsia="zh-CN"/>
        </w:rPr>
      </w:pPr>
      <w:r>
        <w:rPr>
          <w:rFonts w:hint="eastAsia" w:ascii="宋体" w:hAnsi="宋体" w:eastAsia="宋体" w:cs="宋体"/>
          <w:lang w:eastAsia="zh-CN"/>
        </w:rPr>
        <w:t>①为防止第四系水通过向下渗漏水，设计要求严格按照采矿方法要求保留矿柱，并及时充填采矿区，以防地表塌陷。地面各井口高于当地历史最高洪水位标高 1m 以上，以防止雨季汇水进入矿井，危害井下安全。</w:t>
      </w:r>
    </w:p>
    <w:p>
      <w:pPr>
        <w:ind w:firstLine="560"/>
        <w:rPr>
          <w:rFonts w:hint="eastAsia" w:ascii="宋体" w:hAnsi="宋体" w:eastAsia="宋体" w:cs="宋体"/>
          <w:lang w:eastAsia="zh-CN"/>
        </w:rPr>
      </w:pPr>
      <w:r>
        <w:rPr>
          <w:rFonts w:hint="eastAsia" w:ascii="宋体" w:hAnsi="宋体" w:eastAsia="宋体" w:cs="宋体"/>
          <w:lang w:eastAsia="zh-CN"/>
        </w:rPr>
        <w:t>②严格按设计的回采顺序回采，生产上部+100～+122m 中段时，应采用浅孔微差爆破，减少爆破震动对露天坑保护层的影响。</w:t>
      </w:r>
    </w:p>
    <w:p>
      <w:pPr>
        <w:ind w:firstLine="560"/>
        <w:rPr>
          <w:rFonts w:hint="eastAsia" w:ascii="宋体" w:hAnsi="宋体" w:eastAsia="宋体" w:cs="宋体"/>
          <w:lang w:eastAsia="zh-CN"/>
        </w:rPr>
      </w:pPr>
      <w:r>
        <w:rPr>
          <w:rFonts w:hint="eastAsia" w:ascii="宋体" w:hAnsi="宋体" w:eastAsia="宋体" w:cs="宋体"/>
          <w:lang w:eastAsia="zh-CN"/>
        </w:rPr>
        <w:t>③严格按要求设置防水门，设计在上河矿段－50m、±0m 分别设置防水门，王峪矿段－50m、±0m 设置防水门。－50m 防水门的防水压力不得小于 2.5MPa，±0m 防水门的防水压力不得小于 2.0MPa。</w:t>
      </w:r>
    </w:p>
    <w:p>
      <w:pPr>
        <w:ind w:firstLine="560"/>
        <w:rPr>
          <w:rFonts w:hint="eastAsia" w:ascii="宋体" w:hAnsi="宋体" w:eastAsia="宋体" w:cs="宋体"/>
          <w:lang w:eastAsia="zh-CN"/>
        </w:rPr>
      </w:pPr>
      <w:r>
        <w:rPr>
          <w:rFonts w:hint="eastAsia" w:ascii="宋体" w:hAnsi="宋体" w:eastAsia="宋体" w:cs="宋体"/>
          <w:lang w:eastAsia="zh-CN"/>
        </w:rPr>
        <w:t>④雨季与连续暴雨或大雨天气井下暂时停产，人员撤离井下。</w:t>
      </w:r>
    </w:p>
    <w:p>
      <w:pPr>
        <w:ind w:firstLine="560"/>
        <w:rPr>
          <w:rFonts w:hint="eastAsia" w:ascii="宋体" w:hAnsi="宋体" w:eastAsia="宋体" w:cs="宋体"/>
          <w:lang w:eastAsia="zh-CN"/>
        </w:rPr>
      </w:pPr>
      <w:r>
        <w:rPr>
          <w:rFonts w:hint="eastAsia" w:ascii="宋体" w:hAnsi="宋体" w:eastAsia="宋体" w:cs="宋体"/>
          <w:lang w:eastAsia="zh-CN"/>
        </w:rPr>
        <w:t>⑤提前打超前探水、探构造钻孔，发现导水构造、破碎带和岩溶构造及时采取堵水措施，增强构造和破碎带的整体性和稳固性，对导水断层要留隔水矿柱。</w:t>
      </w:r>
    </w:p>
    <w:p>
      <w:pPr>
        <w:ind w:firstLine="560"/>
        <w:rPr>
          <w:rFonts w:hint="eastAsia" w:ascii="宋体" w:hAnsi="宋体" w:eastAsia="宋体" w:cs="宋体"/>
          <w:lang w:eastAsia="zh-CN"/>
        </w:rPr>
      </w:pPr>
      <w:r>
        <w:rPr>
          <w:rFonts w:hint="eastAsia" w:ascii="宋体" w:hAnsi="宋体" w:eastAsia="宋体" w:cs="宋体"/>
          <w:lang w:eastAsia="zh-CN"/>
        </w:rPr>
        <w:t>⑥矿山在今后掘进和采矿生产过程中，应注意水文地质情况的观测，发现出水疑点及时封堵。建立观测预警措施，设专门水文地质人员对坑内水文地质变化情况进行监控，防止地下水害的发生，保证井下安全生产。</w:t>
      </w:r>
    </w:p>
    <w:p>
      <w:pPr>
        <w:ind w:firstLine="560"/>
        <w:rPr>
          <w:rFonts w:hint="eastAsia" w:ascii="宋体" w:hAnsi="宋体" w:eastAsia="宋体" w:cs="宋体"/>
          <w:lang w:eastAsia="zh-CN"/>
        </w:rPr>
      </w:pPr>
      <w:r>
        <w:rPr>
          <w:rFonts w:hint="eastAsia" w:ascii="宋体" w:hAnsi="宋体" w:eastAsia="宋体" w:cs="宋体"/>
          <w:lang w:eastAsia="zh-CN"/>
        </w:rPr>
        <w:t>⑦对井下职工做好防治水教育，发现疑点及时通报。遇有突水危险预兆及时撤出井下人员，确保职工人身安全。</w:t>
      </w:r>
    </w:p>
    <w:p>
      <w:pPr>
        <w:ind w:firstLine="560"/>
        <w:rPr>
          <w:rFonts w:hint="eastAsia" w:ascii="宋体" w:hAnsi="宋体" w:eastAsia="宋体" w:cs="宋体"/>
          <w:lang w:eastAsia="zh-CN"/>
        </w:rPr>
      </w:pPr>
      <w:r>
        <w:rPr>
          <w:rFonts w:hint="eastAsia" w:ascii="宋体" w:hAnsi="宋体" w:eastAsia="宋体" w:cs="宋体"/>
          <w:lang w:eastAsia="zh-CN"/>
        </w:rPr>
        <w:t>⑧摸清地下水活动规律，及时治理矿坑充水通道。对生产期产生的采空区要及时进行充填处理，杜绝因采空区垮落或冒顶引起矿层顶板斑裂漏水，造成矿井水灾。掘进中加强顶底板涌水观测，发现导水裂隙、断层、松散地段立即停止掘进，进行注浆堵水和矿岩加固。形成局部小帷幕防止顶底板有个别导水渠道，把水导入采场。</w:t>
      </w:r>
    </w:p>
    <w:p>
      <w:pPr>
        <w:ind w:firstLine="560"/>
        <w:rPr>
          <w:rFonts w:hint="eastAsia" w:ascii="宋体" w:hAnsi="宋体" w:eastAsia="宋体" w:cs="宋体"/>
          <w:lang w:eastAsia="zh-CN"/>
        </w:rPr>
      </w:pPr>
      <w:r>
        <w:rPr>
          <w:rFonts w:hint="eastAsia" w:ascii="宋体" w:hAnsi="宋体" w:eastAsia="宋体" w:cs="宋体"/>
          <w:lang w:eastAsia="zh-CN"/>
        </w:rPr>
        <w:t>⑨建立矿山突水预报系统，对矿山薄弱环节采用专人和仪器检测两套措施监控，防止突水事故的发生。</w:t>
      </w:r>
    </w:p>
    <w:p>
      <w:pPr>
        <w:ind w:firstLine="560"/>
        <w:rPr>
          <w:rFonts w:hint="eastAsia" w:ascii="宋体" w:hAnsi="宋体" w:eastAsia="宋体" w:cs="宋体"/>
          <w:lang w:eastAsia="zh-CN"/>
        </w:rPr>
      </w:pPr>
      <w:r>
        <w:rPr>
          <w:rFonts w:hint="eastAsia" w:ascii="宋体" w:hAnsi="宋体" w:eastAsia="宋体" w:cs="宋体"/>
          <w:lang w:eastAsia="zh-CN"/>
        </w:rPr>
        <w:t>⑩做好矿山防治水预案，经常进行演练。一旦出现水患立即启动预案，人员按规定好的避灾路线迅速撤离，并通知相邻采场一并撤离。将事故降低到最低程度。</w:t>
      </w:r>
    </w:p>
    <w:p>
      <w:pPr>
        <w:ind w:firstLine="560"/>
        <w:rPr>
          <w:rFonts w:hint="eastAsia" w:ascii="宋体" w:hAnsi="宋体" w:eastAsia="宋体" w:cs="宋体"/>
          <w:lang w:eastAsia="zh-CN"/>
        </w:rPr>
      </w:pPr>
      <w:r>
        <w:rPr>
          <w:rFonts w:hint="eastAsia" w:ascii="宋体" w:hAnsi="宋体" w:eastAsia="宋体" w:cs="宋体"/>
          <w:lang w:eastAsia="zh-CN"/>
        </w:rPr>
        <w:t>⑪加大矿井排水设施的能力，并经常检修，做到每台设备都具有良好的排水性能，一旦水量加大，能迅速启动备用排水设备，延长救援时间，提高矿井抗灾能力。</w:t>
      </w:r>
    </w:p>
    <w:p>
      <w:pPr>
        <w:ind w:firstLine="560"/>
        <w:rPr>
          <w:rFonts w:hint="eastAsia" w:ascii="宋体" w:hAnsi="宋体" w:eastAsia="宋体" w:cs="宋体"/>
          <w:lang w:eastAsia="zh-CN"/>
        </w:rPr>
      </w:pPr>
      <w:r>
        <w:rPr>
          <w:rFonts w:hint="eastAsia" w:ascii="宋体" w:hAnsi="宋体" w:eastAsia="宋体" w:cs="宋体"/>
          <w:lang w:eastAsia="zh-CN"/>
        </w:rPr>
        <w:t>⑫加强雨季三防工作，成立雨季三防领导小组，编制雨季三防计划。及时了解天气预报，做到大雨暴雨停产撤人。待雨后恢复生产，加强对井下工人的防治水教育。</w:t>
      </w:r>
    </w:p>
    <w:p>
      <w:pPr>
        <w:ind w:firstLine="560"/>
        <w:rPr>
          <w:rFonts w:hint="eastAsia" w:ascii="宋体" w:hAnsi="宋体" w:eastAsia="宋体" w:cs="宋体"/>
          <w:lang w:eastAsia="zh-CN"/>
        </w:rPr>
      </w:pPr>
      <w:r>
        <w:rPr>
          <w:rFonts w:hint="eastAsia" w:ascii="宋体" w:hAnsi="宋体" w:eastAsia="宋体" w:cs="宋体"/>
          <w:lang w:eastAsia="zh-CN"/>
        </w:rPr>
        <w:t>⑬做好地面防治水工作，及时巡查地表有无沉降、斑裂现象，一旦发现立即进行夯实或碾压处理，防止地表雨水溃入井下。</w:t>
      </w:r>
    </w:p>
    <w:p>
      <w:pPr>
        <w:ind w:firstLine="560"/>
        <w:rPr>
          <w:rFonts w:hint="eastAsia" w:ascii="宋体" w:hAnsi="宋体" w:eastAsia="宋体" w:cs="宋体"/>
          <w:lang w:eastAsia="zh-CN"/>
        </w:rPr>
      </w:pPr>
      <w:r>
        <w:rPr>
          <w:rFonts w:hint="eastAsia" w:ascii="宋体" w:hAnsi="宋体" w:eastAsia="宋体" w:cs="宋体"/>
          <w:lang w:eastAsia="zh-CN"/>
        </w:rPr>
        <w:t>⑭钻孔探水未作质量检查，采掘中必须引起高度重视，采矿设计中要留有防水保安矿柱，如有涌水迹象则需注浆封堵。</w:t>
      </w:r>
    </w:p>
    <w:p>
      <w:pPr>
        <w:pStyle w:val="7"/>
        <w:rPr>
          <w:rFonts w:hint="eastAsia" w:ascii="宋体" w:hAnsi="宋体" w:eastAsia="宋体" w:cs="宋体"/>
          <w:lang w:eastAsia="zh-CN"/>
        </w:rPr>
      </w:pPr>
      <w:r>
        <w:rPr>
          <w:rFonts w:hint="eastAsia" w:ascii="宋体" w:hAnsi="宋体" w:eastAsia="宋体" w:cs="宋体"/>
          <w:lang w:eastAsia="zh-CN"/>
        </w:rPr>
        <w:t>7.2.3 地形地貌景观破坏预防</w:t>
      </w:r>
    </w:p>
    <w:p>
      <w:pPr>
        <w:ind w:firstLine="560"/>
        <w:rPr>
          <w:rFonts w:hint="eastAsia" w:ascii="宋体" w:hAnsi="宋体" w:eastAsia="宋体" w:cs="宋体"/>
          <w:lang w:eastAsia="zh-CN"/>
        </w:rPr>
      </w:pPr>
      <w:r>
        <w:rPr>
          <w:rFonts w:hint="eastAsia" w:ascii="宋体" w:hAnsi="宋体" w:eastAsia="宋体" w:cs="宋体"/>
          <w:lang w:eastAsia="zh-CN"/>
        </w:rPr>
        <w:t>矿井生产结束后，要对提升井、东风井、西风井井筒进行充填和封闭，拆除不再具有使用价值的建筑设施，并覆土整平，与周围地形地貌景观相协调。</w:t>
      </w:r>
    </w:p>
    <w:p>
      <w:pPr>
        <w:ind w:firstLine="560"/>
        <w:rPr>
          <w:rFonts w:hint="eastAsia" w:ascii="宋体" w:hAnsi="宋体" w:eastAsia="宋体" w:cs="宋体"/>
          <w:lang w:eastAsia="zh-CN"/>
        </w:rPr>
      </w:pPr>
      <w:r>
        <w:rPr>
          <w:rFonts w:hint="eastAsia" w:ascii="宋体" w:hAnsi="宋体" w:eastAsia="宋体" w:cs="宋体"/>
          <w:lang w:eastAsia="zh-CN"/>
        </w:rPr>
        <w:t>（1）井筒封闭方案</w:t>
      </w:r>
    </w:p>
    <w:p>
      <w:pPr>
        <w:ind w:firstLine="560"/>
        <w:rPr>
          <w:rFonts w:hint="eastAsia" w:ascii="宋体" w:hAnsi="宋体" w:eastAsia="宋体" w:cs="宋体"/>
          <w:lang w:eastAsia="zh-CN"/>
        </w:rPr>
      </w:pPr>
      <w:r>
        <w:rPr>
          <w:rFonts w:hint="eastAsia" w:ascii="宋体" w:hAnsi="宋体" w:eastAsia="宋体" w:cs="宋体"/>
          <w:lang w:eastAsia="zh-CN"/>
        </w:rPr>
        <w:t>根据开发利用方案，王峪矿区铁矿主要井筒有提升井、东风井、西风井，闭坑后均需进行井筒充填和封闭工作。井筒的主要技术参数见表7.2.3-1。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表7.2.3-1 矿山井筒的主要技术参数表</w:t>
      </w:r>
    </w:p>
    <w:tbl>
      <w:tblPr>
        <w:tblStyle w:val="2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0"/>
        <w:gridCol w:w="2791"/>
        <w:gridCol w:w="1181"/>
        <w:gridCol w:w="1429"/>
        <w:gridCol w:w="1181"/>
        <w:gridCol w:w="1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154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矿井</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直径（m）</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净断面（m</w:t>
            </w:r>
            <w:r>
              <w:rPr>
                <w:rFonts w:hint="eastAsia" w:ascii="宋体" w:hAnsi="宋体" w:eastAsia="宋体" w:cs="宋体"/>
                <w:b/>
                <w:bCs/>
                <w:sz w:val="21"/>
                <w:szCs w:val="21"/>
                <w:vertAlign w:val="superscript"/>
                <w:lang w:eastAsia="zh-CN"/>
              </w:rPr>
              <w:t>2</w:t>
            </w:r>
            <w:r>
              <w:rPr>
                <w:rFonts w:hint="eastAsia" w:ascii="宋体" w:hAnsi="宋体" w:eastAsia="宋体" w:cs="宋体"/>
                <w:b/>
                <w:bCs/>
                <w:sz w:val="21"/>
                <w:szCs w:val="21"/>
                <w:lang w:eastAsia="zh-CN"/>
              </w:rPr>
              <w:t>）</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长度（m）</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井筒封堵（m</w:t>
            </w:r>
            <w:r>
              <w:rPr>
                <w:rFonts w:hint="eastAsia" w:ascii="宋体" w:hAnsi="宋体" w:eastAsia="宋体" w:cs="宋体"/>
                <w:b/>
                <w:bCs/>
                <w:sz w:val="21"/>
                <w:szCs w:val="21"/>
                <w:vertAlign w:val="superscript"/>
                <w:lang w:eastAsia="zh-CN"/>
              </w:rPr>
              <w:t>3</w:t>
            </w:r>
            <w:r>
              <w:rPr>
                <w:rFonts w:hint="eastAsia" w:ascii="宋体" w:hAnsi="宋体" w:eastAsia="宋体" w:cs="宋体"/>
                <w:b/>
                <w:bCs/>
                <w:sz w:val="21"/>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w:t>
            </w:r>
          </w:p>
        </w:tc>
        <w:tc>
          <w:tcPr>
            <w:tcW w:w="154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上河北风井</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12.6</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240</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w:t>
            </w:r>
          </w:p>
        </w:tc>
        <w:tc>
          <w:tcPr>
            <w:tcW w:w="154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上河中央回风井</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12.6</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195</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2457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w:t>
            </w:r>
          </w:p>
        </w:tc>
        <w:tc>
          <w:tcPr>
            <w:tcW w:w="154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上河主井</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4.5</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1.6</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287</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154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上河副井</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19.6</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261</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5116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154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王峪北风井</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12.6</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268</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3377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154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王峪中央回风井</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4</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12.6</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220</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2772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08"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6</w:t>
            </w:r>
          </w:p>
        </w:tc>
        <w:tc>
          <w:tcPr>
            <w:tcW w:w="1540"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王峪南风井</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19.6</w:t>
            </w:r>
          </w:p>
        </w:tc>
        <w:tc>
          <w:tcPr>
            <w:tcW w:w="673"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259</w:t>
            </w:r>
          </w:p>
        </w:tc>
        <w:tc>
          <w:tcPr>
            <w:tcW w:w="752" w:type="pct"/>
            <w:tcBorders>
              <w:tl2br w:val="nil"/>
              <w:tr2bl w:val="nil"/>
            </w:tcBorders>
            <w:shd w:val="clear" w:color="auto" w:fill="auto"/>
            <w:noWrap/>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5076</w:t>
            </w:r>
          </w:p>
        </w:tc>
      </w:tr>
    </w:tbl>
    <w:p>
      <w:pPr>
        <w:ind w:firstLine="560"/>
        <w:rPr>
          <w:rFonts w:hint="eastAsia" w:ascii="宋体" w:hAnsi="宋体" w:eastAsia="宋体" w:cs="宋体"/>
          <w:lang w:eastAsia="zh-CN"/>
        </w:rPr>
      </w:pPr>
      <w:r>
        <w:rPr>
          <w:rFonts w:hint="eastAsia" w:ascii="宋体" w:hAnsi="宋体" w:eastAsia="宋体" w:cs="宋体"/>
          <w:lang w:eastAsia="zh-CN"/>
        </w:rPr>
        <w:t>①充填材料主要为尾矿和水泥。</w:t>
      </w:r>
    </w:p>
    <w:p>
      <w:pPr>
        <w:ind w:firstLine="560"/>
        <w:rPr>
          <w:rFonts w:hint="eastAsia" w:ascii="宋体" w:hAnsi="宋体" w:eastAsia="宋体" w:cs="宋体"/>
          <w:lang w:eastAsia="zh-CN"/>
        </w:rPr>
      </w:pPr>
      <w:r>
        <w:rPr>
          <w:rFonts w:hint="eastAsia" w:ascii="宋体" w:hAnsi="宋体" w:eastAsia="宋体" w:cs="宋体"/>
          <w:lang w:eastAsia="zh-CN"/>
        </w:rPr>
        <w:t>②井筒内罐道等支护井壁的所有设施不得拆除，与井筒联络的巷道预先施工挡渣墙。</w:t>
      </w:r>
    </w:p>
    <w:p>
      <w:pPr>
        <w:ind w:firstLine="560"/>
        <w:rPr>
          <w:rFonts w:hint="eastAsia" w:ascii="宋体" w:hAnsi="宋体" w:eastAsia="宋体" w:cs="宋体"/>
          <w:lang w:eastAsia="zh-CN"/>
        </w:rPr>
      </w:pPr>
      <w:r>
        <w:rPr>
          <w:rFonts w:hint="eastAsia" w:ascii="宋体" w:hAnsi="宋体" w:eastAsia="宋体" w:cs="宋体"/>
          <w:lang w:eastAsia="zh-CN"/>
        </w:rPr>
        <w:t>③向井筒内回填尾矿，直到尾矿填至距井口约35m后，每回填10m尾矿，然后注入水泥浆5m，如此交替回填至井口3.8m。</w:t>
      </w:r>
    </w:p>
    <w:p>
      <w:pPr>
        <w:ind w:firstLine="560"/>
        <w:rPr>
          <w:rFonts w:hint="eastAsia" w:ascii="宋体" w:hAnsi="宋体" w:eastAsia="宋体" w:cs="宋体"/>
          <w:lang w:eastAsia="zh-CN"/>
        </w:rPr>
      </w:pPr>
      <w:r>
        <w:rPr>
          <w:rFonts w:hint="eastAsia" w:ascii="宋体" w:hAnsi="宋体" w:eastAsia="宋体" w:cs="宋体"/>
          <w:lang w:eastAsia="zh-CN"/>
        </w:rPr>
        <w:t>④需进行二次充填，使充填率大于90%。</w:t>
      </w:r>
    </w:p>
    <w:p>
      <w:pPr>
        <w:ind w:firstLine="560"/>
        <w:rPr>
          <w:rFonts w:hint="eastAsia" w:ascii="宋体" w:hAnsi="宋体" w:eastAsia="宋体" w:cs="宋体"/>
          <w:lang w:eastAsia="zh-CN"/>
        </w:rPr>
      </w:pPr>
      <w:r>
        <w:rPr>
          <w:rFonts w:hint="eastAsia" w:ascii="宋体" w:hAnsi="宋体" w:eastAsia="宋体" w:cs="宋体"/>
          <w:lang w:eastAsia="zh-CN"/>
        </w:rPr>
        <w:t>⑤井筒经尾砂充填，井口采用钢筋混凝土浇铸顶盖进行密闭。（示意图见7.2.3-1）</w:t>
      </w:r>
    </w:p>
    <w:p>
      <w:pPr>
        <w:ind w:firstLine="560"/>
        <w:rPr>
          <w:rFonts w:hint="eastAsia" w:ascii="宋体" w:hAnsi="宋体" w:eastAsia="宋体" w:cs="宋体"/>
          <w:lang w:eastAsia="zh-CN"/>
        </w:rPr>
      </w:pPr>
      <w:r>
        <w:rPr>
          <w:rFonts w:hint="eastAsia" w:ascii="宋体" w:hAnsi="宋体" w:eastAsia="宋体" w:cs="宋体"/>
          <w:lang w:eastAsia="zh-CN"/>
        </w:rPr>
        <w:t>⑥充填工作量：井筒总体积为22281m</w:t>
      </w:r>
      <w:r>
        <w:rPr>
          <w:rFonts w:hint="eastAsia" w:ascii="宋体" w:hAnsi="宋体" w:eastAsia="宋体" w:cs="宋体"/>
          <w:vertAlign w:val="superscript"/>
          <w:lang w:eastAsia="zh-CN"/>
        </w:rPr>
        <w:t>3</w:t>
      </w:r>
      <w:r>
        <w:rPr>
          <w:rFonts w:hint="eastAsia" w:ascii="宋体" w:hAnsi="宋体" w:eastAsia="宋体" w:cs="宋体"/>
          <w:lang w:eastAsia="zh-CN"/>
        </w:rPr>
        <w:t>，需要充填尾矿20136m</w:t>
      </w:r>
      <w:r>
        <w:rPr>
          <w:rFonts w:hint="eastAsia" w:ascii="宋体" w:hAnsi="宋体" w:eastAsia="宋体" w:cs="宋体"/>
          <w:vertAlign w:val="superscript"/>
          <w:lang w:eastAsia="zh-CN"/>
        </w:rPr>
        <w:t>3</w:t>
      </w:r>
      <w:r>
        <w:rPr>
          <w:rFonts w:hint="eastAsia" w:ascii="宋体" w:hAnsi="宋体" w:eastAsia="宋体" w:cs="宋体"/>
          <w:lang w:eastAsia="zh-CN"/>
        </w:rPr>
        <w:t>，水泥浆2871t。</w:t>
      </w:r>
    </w:p>
    <w:p>
      <w:pPr>
        <w:ind w:firstLine="560"/>
        <w:rPr>
          <w:rFonts w:hint="eastAsia" w:ascii="宋体" w:hAnsi="宋体" w:eastAsia="宋体" w:cs="宋体"/>
          <w:lang w:eastAsia="zh-CN"/>
        </w:rPr>
      </w:pPr>
      <w:r>
        <w:rPr>
          <w:rFonts w:hint="eastAsia" w:ascii="宋体" w:hAnsi="宋体" w:eastAsia="宋体" w:cs="宋体"/>
          <w:lang w:eastAsia="zh-CN"/>
        </w:rPr>
        <w:t>（2）井口封闭</w:t>
      </w:r>
    </w:p>
    <w:p>
      <w:pPr>
        <w:ind w:firstLine="560"/>
        <w:rPr>
          <w:rFonts w:hint="eastAsia" w:ascii="宋体" w:hAnsi="宋体" w:eastAsia="宋体" w:cs="宋体"/>
          <w:lang w:eastAsia="zh-CN"/>
        </w:rPr>
      </w:pPr>
      <w:r>
        <w:rPr>
          <w:rFonts w:hint="eastAsia" w:ascii="宋体" w:hAnsi="宋体" w:eastAsia="宋体" w:cs="宋体"/>
          <w:lang w:eastAsia="zh-CN"/>
        </w:rPr>
        <w:t>①封闭方法：井筒经尾砂充填，井口采用钢筋混凝土浇铸顶盖进行密闭。</w:t>
      </w:r>
    </w:p>
    <w:p>
      <w:pPr>
        <w:ind w:firstLine="560"/>
        <w:rPr>
          <w:rFonts w:hint="eastAsia" w:ascii="宋体" w:hAnsi="宋体" w:eastAsia="宋体" w:cs="宋体"/>
          <w:lang w:eastAsia="zh-CN"/>
        </w:rPr>
      </w:pPr>
      <w:r>
        <w:rPr>
          <w:rFonts w:hint="eastAsia" w:ascii="宋体" w:hAnsi="宋体" w:eastAsia="宋体" w:cs="宋体"/>
          <w:lang w:eastAsia="zh-CN"/>
        </w:rPr>
        <w:t>②技术要求</w:t>
      </w:r>
    </w:p>
    <w:p>
      <w:pPr>
        <w:ind w:firstLine="560"/>
        <w:rPr>
          <w:rFonts w:hint="eastAsia" w:ascii="宋体" w:hAnsi="宋体" w:eastAsia="宋体" w:cs="宋体"/>
          <w:lang w:eastAsia="zh-CN"/>
        </w:rPr>
      </w:pPr>
      <w:r>
        <w:rPr>
          <w:rFonts w:hint="eastAsia" w:ascii="宋体" w:hAnsi="宋体" w:eastAsia="宋体" w:cs="宋体"/>
          <w:lang w:eastAsia="zh-CN"/>
        </w:rPr>
        <w:t>钢筋混凝土顶盖的厚度不得小于50cm，直径需大于井口直径3m，混凝土标号C25；按0.8m的间排距铺设一层网状钢筋，钢筋φ12，每条钢筋长度须大于井口直径3m以上；井口的顶盖混凝土要一次性浇灌成功，养护期要大于1个月。养护期后，顶盖上方覆盖1.0m的土层进行绿化。</w:t>
      </w:r>
    </w:p>
    <w:p>
      <w:pPr>
        <w:ind w:firstLine="560"/>
        <w:rPr>
          <w:rFonts w:hint="eastAsia" w:ascii="宋体" w:hAnsi="宋体" w:eastAsia="宋体" w:cs="宋体"/>
          <w:lang w:eastAsia="zh-CN"/>
        </w:rPr>
      </w:pPr>
      <w:r>
        <w:rPr>
          <w:rFonts w:hint="eastAsia" w:ascii="宋体" w:hAnsi="宋体" w:eastAsia="宋体" w:cs="宋体"/>
          <w:lang w:eastAsia="zh-CN"/>
        </w:rPr>
        <w:t>③封闭工作量</w:t>
      </w:r>
    </w:p>
    <w:p>
      <w:pPr>
        <w:ind w:firstLine="560"/>
        <w:rPr>
          <w:rFonts w:hint="eastAsia" w:ascii="宋体" w:hAnsi="宋体" w:eastAsia="宋体" w:cs="宋体"/>
          <w:lang w:eastAsia="zh-CN"/>
        </w:rPr>
      </w:pPr>
      <w:r>
        <w:rPr>
          <w:rFonts w:hint="eastAsia" w:ascii="宋体" w:hAnsi="宋体" w:eastAsia="宋体" w:cs="宋体"/>
          <w:lang w:eastAsia="zh-CN"/>
        </w:rPr>
        <w:t>按钢筋混凝土顶盖厚度0.5m、直径大于井径3m计算，需浇铸混凝土约149m</w:t>
      </w:r>
      <w:r>
        <w:rPr>
          <w:rFonts w:hint="eastAsia" w:ascii="宋体" w:hAnsi="宋体" w:eastAsia="宋体" w:cs="宋体"/>
          <w:vertAlign w:val="superscript"/>
          <w:lang w:eastAsia="zh-CN"/>
        </w:rPr>
        <w:t>3</w:t>
      </w:r>
      <w:r>
        <w:rPr>
          <w:rFonts w:hint="eastAsia" w:ascii="宋体" w:hAnsi="宋体" w:eastAsia="宋体" w:cs="宋体"/>
          <w:lang w:eastAsia="zh-CN"/>
        </w:rPr>
        <w:t>，其中钢筋钢筋约0.26t。</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tcBorders>
              <w:tl2br w:val="nil"/>
              <w:tr2bl w:val="nil"/>
            </w:tcBorders>
          </w:tcPr>
          <w:p>
            <w:pPr>
              <w:pStyle w:val="2"/>
              <w:keepNext w:val="0"/>
              <w:keepLines w:val="0"/>
              <w:suppressLineNumbers w:val="0"/>
              <w:spacing w:before="0" w:beforeAutospacing="0" w:afterAutospacing="0" w:line="240" w:lineRule="auto"/>
              <w:ind w:right="0"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drawing>
                <wp:anchor distT="0" distB="0" distL="114300" distR="114300" simplePos="0" relativeHeight="251707392" behindDoc="0" locked="0" layoutInCell="1" allowOverlap="1">
                  <wp:simplePos x="0" y="0"/>
                  <wp:positionH relativeFrom="column">
                    <wp:posOffset>1049020</wp:posOffset>
                  </wp:positionH>
                  <wp:positionV relativeFrom="paragraph">
                    <wp:posOffset>12065</wp:posOffset>
                  </wp:positionV>
                  <wp:extent cx="3406775" cy="5452110"/>
                  <wp:effectExtent l="0" t="0" r="3175" b="15240"/>
                  <wp:wrapTopAndBottom/>
                  <wp:docPr id="6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5"/>
                          <pic:cNvPicPr>
                            <a:picLocks noChangeAspect="1"/>
                          </pic:cNvPicPr>
                        </pic:nvPicPr>
                        <pic:blipFill>
                          <a:blip r:embed="rId138"/>
                          <a:stretch>
                            <a:fillRect/>
                          </a:stretch>
                        </pic:blipFill>
                        <pic:spPr>
                          <a:xfrm>
                            <a:off x="0" y="0"/>
                            <a:ext cx="3406775" cy="5452110"/>
                          </a:xfrm>
                          <a:prstGeom prst="rect">
                            <a:avLst/>
                          </a:prstGeom>
                          <a:noFill/>
                          <a:ln>
                            <a:noFill/>
                          </a:ln>
                        </pic:spPr>
                      </pic:pic>
                    </a:graphicData>
                  </a:graphic>
                </wp:anchor>
              </w:drawing>
            </w:r>
            <w:r>
              <w:rPr>
                <w:rFonts w:hint="eastAsia" w:ascii="宋体" w:hAnsi="宋体" w:eastAsia="宋体" w:cs="宋体"/>
                <w:b/>
                <w:bCs/>
                <w:sz w:val="24"/>
                <w:lang w:eastAsia="zh-CN"/>
              </w:rPr>
              <w:t>图7.2.3-1 封闭井筒工程设计示意图</w:t>
            </w:r>
          </w:p>
        </w:tc>
      </w:tr>
    </w:tbl>
    <w:p>
      <w:pPr>
        <w:pStyle w:val="7"/>
        <w:rPr>
          <w:rFonts w:hint="eastAsia" w:ascii="宋体" w:hAnsi="宋体" w:eastAsia="宋体" w:cs="宋体"/>
          <w:lang w:eastAsia="zh-CN"/>
        </w:rPr>
      </w:pPr>
      <w:r>
        <w:rPr>
          <w:rFonts w:hint="eastAsia" w:ascii="宋体" w:hAnsi="宋体" w:eastAsia="宋体" w:cs="宋体"/>
          <w:lang w:eastAsia="zh-CN"/>
        </w:rPr>
        <w:t>7.2.4 土环境污染预防</w:t>
      </w:r>
    </w:p>
    <w:p>
      <w:pPr>
        <w:ind w:firstLine="560"/>
        <w:rPr>
          <w:rFonts w:hint="eastAsia" w:ascii="宋体" w:hAnsi="宋体" w:eastAsia="宋体" w:cs="宋体"/>
          <w:lang w:eastAsia="zh-CN"/>
        </w:rPr>
      </w:pPr>
      <w:r>
        <w:rPr>
          <w:rFonts w:hint="eastAsia" w:ascii="宋体" w:hAnsi="宋体" w:eastAsia="宋体" w:cs="宋体"/>
          <w:lang w:eastAsia="zh-CN"/>
        </w:rPr>
        <w:t>（1）生活污水采用污水处理厂处理后再利用；矿坑水经处理后可进行选矿用水，也可进行灌溉。尽可能实现矿区水资源综合利用最大化，减少对地下水的开采。</w:t>
      </w:r>
    </w:p>
    <w:p>
      <w:pPr>
        <w:ind w:firstLine="560"/>
        <w:rPr>
          <w:rFonts w:hint="eastAsia" w:ascii="宋体" w:hAnsi="宋体" w:eastAsia="宋体" w:cs="宋体"/>
          <w:lang w:eastAsia="zh-CN"/>
        </w:rPr>
      </w:pPr>
      <w:r>
        <w:rPr>
          <w:rFonts w:hint="eastAsia" w:ascii="宋体" w:hAnsi="宋体" w:eastAsia="宋体" w:cs="宋体"/>
          <w:lang w:eastAsia="zh-CN"/>
        </w:rPr>
        <w:t>（2）矿区外排水水质必须符合国家《污水综合排放标准》(GB 8978)所规定的限值，以免对周围地表水和地下水环境造成污染。</w:t>
      </w:r>
    </w:p>
    <w:p>
      <w:pPr>
        <w:ind w:firstLine="560"/>
        <w:rPr>
          <w:rFonts w:hint="eastAsia" w:ascii="宋体" w:hAnsi="宋体" w:eastAsia="宋体" w:cs="宋体"/>
          <w:lang w:eastAsia="zh-CN"/>
        </w:rPr>
      </w:pPr>
      <w:r>
        <w:rPr>
          <w:rFonts w:hint="eastAsia" w:ascii="宋体" w:hAnsi="宋体" w:eastAsia="宋体" w:cs="宋体"/>
          <w:lang w:eastAsia="zh-CN"/>
        </w:rPr>
        <w:t>（3）为防止因矿山开采可能造成对周围地下水环境的不利影响，在矿山开采过程中，应建立完善的环境监测制度，掌握各类废水的排放情况，定期监测各类污染物是否达标；加强地下水动态监测工作，在矿区内设立地下水监测点，定期取样进行分析测试，一旦影响到可能引起居民生产生活用水问题，矿山生产单位应积极采取工程措施和其他补救措施、临时辅助措施，解决居民用水问题。</w:t>
      </w:r>
    </w:p>
    <w:p>
      <w:pPr>
        <w:ind w:firstLine="560"/>
        <w:rPr>
          <w:rFonts w:hint="eastAsia" w:ascii="宋体" w:hAnsi="宋体" w:eastAsia="宋体" w:cs="宋体"/>
          <w:lang w:eastAsia="zh-CN"/>
        </w:rPr>
      </w:pPr>
      <w:r>
        <w:rPr>
          <w:rFonts w:hint="eastAsia" w:ascii="宋体" w:hAnsi="宋体" w:eastAsia="宋体" w:cs="宋体"/>
          <w:lang w:eastAsia="zh-CN"/>
        </w:rPr>
        <w:t>（4）严格按照开发利用方案实施，矿山在运输矿石的过程中对矿石进行有效覆盖，防止散落和雨水对矿石的淋滤造成土壤污染，定期对矿区洒水，防止扬尘造成土壤污染。</w:t>
      </w:r>
    </w:p>
    <w:p>
      <w:pPr>
        <w:pStyle w:val="7"/>
        <w:rPr>
          <w:rFonts w:hint="eastAsia" w:ascii="宋体" w:hAnsi="宋体" w:eastAsia="宋体" w:cs="宋体"/>
          <w:lang w:eastAsia="zh-CN"/>
        </w:rPr>
      </w:pPr>
      <w:r>
        <w:rPr>
          <w:rFonts w:hint="eastAsia" w:ascii="宋体" w:hAnsi="宋体" w:eastAsia="宋体" w:cs="宋体"/>
          <w:lang w:eastAsia="zh-CN"/>
        </w:rPr>
        <w:t>7.2.5 土地资源破坏预防</w:t>
      </w:r>
    </w:p>
    <w:p>
      <w:pPr>
        <w:ind w:firstLine="560"/>
        <w:rPr>
          <w:rFonts w:hint="eastAsia" w:ascii="宋体" w:hAnsi="宋体" w:eastAsia="宋体" w:cs="宋体"/>
          <w:lang w:eastAsia="zh-CN"/>
        </w:rPr>
      </w:pPr>
      <w:r>
        <w:rPr>
          <w:rFonts w:hint="eastAsia" w:ascii="宋体" w:hAnsi="宋体" w:eastAsia="宋体" w:cs="宋体"/>
          <w:lang w:eastAsia="zh-CN"/>
        </w:rPr>
        <w:t>按照“统一规划、源头控制、防复结合”的原则，在开采规划建设与过程中可以采取一些合理措施，以减小和控制损毁土地面积和程度，为土地复垦创造良好条件。根据行业特点，结合本工程实际，建设与生产中可采取如下措施控制和预防土地损毁。</w:t>
      </w:r>
    </w:p>
    <w:p>
      <w:pPr>
        <w:ind w:firstLine="560"/>
        <w:rPr>
          <w:rFonts w:hint="eastAsia" w:ascii="宋体" w:hAnsi="宋体" w:eastAsia="宋体" w:cs="宋体"/>
          <w:lang w:eastAsia="zh-CN"/>
        </w:rPr>
      </w:pPr>
      <w:r>
        <w:rPr>
          <w:rFonts w:hint="eastAsia" w:ascii="宋体" w:hAnsi="宋体" w:eastAsia="宋体" w:cs="宋体"/>
          <w:lang w:eastAsia="zh-CN"/>
        </w:rPr>
        <w:t>（1）合理规划生产布局，减少损毁范围。建设和生产过程中应加强规划和施工管理，尽量缩小对土地的影响范围，各种生产建设活动应严格控制在规划区域内，将临时占地面积控制在最低限度，尽可能地避免造成土壤与植被大面积损毁，而使本来就脆弱的生态系统受到威胁。采矿废石的运输及利用，应尽量减少原地表植被的损毁，各种运输车辆规定固定路线，道路规划布置应因地制宜、尽量减少压占土地。生产过程中产生的生产、生活垃圾严禁乱堆、乱扔，应规划设置指定的处理地点，以免占用土地，污染环境。</w:t>
      </w:r>
    </w:p>
    <w:p>
      <w:pPr>
        <w:ind w:firstLine="560"/>
        <w:rPr>
          <w:rFonts w:hint="eastAsia" w:ascii="宋体" w:hAnsi="宋体" w:eastAsia="宋体" w:cs="宋体"/>
          <w:lang w:eastAsia="zh-CN"/>
        </w:rPr>
      </w:pPr>
      <w:r>
        <w:rPr>
          <w:rFonts w:hint="eastAsia" w:ascii="宋体" w:hAnsi="宋体" w:eastAsia="宋体" w:cs="宋体"/>
          <w:lang w:eastAsia="zh-CN"/>
        </w:rPr>
        <w:t>（2）各施工场所尽量减小施工占地，减小地表植被损毁面积。各施工区域、临时占地区域挖方首先用于回填，对于挖方不能立即回填的，其堆放场所要做好临时防护措施。</w:t>
      </w:r>
    </w:p>
    <w:p>
      <w:pPr>
        <w:ind w:firstLine="560"/>
        <w:rPr>
          <w:rFonts w:hint="eastAsia" w:ascii="宋体" w:hAnsi="宋体" w:eastAsia="宋体" w:cs="宋体"/>
          <w:lang w:eastAsia="zh-CN"/>
        </w:rPr>
      </w:pPr>
      <w:r>
        <w:rPr>
          <w:rFonts w:hint="eastAsia" w:ascii="宋体" w:hAnsi="宋体" w:eastAsia="宋体" w:cs="宋体"/>
          <w:lang w:eastAsia="zh-CN"/>
        </w:rPr>
        <w:t>（3）固体废弃物污染预防措施。采矿废石在井下开采中不出坑，做为充填料就地充填在附近的采坑内。由工业场地的联合建筑、食堂、职工宿舍等部门排放生活垃圾成分复杂，有机物含量较高，要有组织地排放。矿井配备垃圾筒和垃圾车，定期排放至矿区或当地政府规划的垃圾处理场进行统一处理。</w:t>
      </w:r>
    </w:p>
    <w:p>
      <w:pPr>
        <w:ind w:firstLine="560"/>
        <w:rPr>
          <w:rFonts w:hint="eastAsia" w:ascii="宋体" w:hAnsi="宋体" w:eastAsia="宋体" w:cs="宋体"/>
          <w:lang w:eastAsia="zh-CN"/>
        </w:rPr>
      </w:pPr>
      <w:r>
        <w:rPr>
          <w:rFonts w:hint="eastAsia" w:ascii="宋体" w:hAnsi="宋体" w:eastAsia="宋体" w:cs="宋体"/>
          <w:lang w:eastAsia="zh-CN"/>
        </w:rPr>
        <w:t>（4）建筑垃圾的处理措施。矿区地面建筑主要以砖砌结构为主，且交通便利，可回收的材料较多。对于砖瓦等可以再利用的建筑材料，可选择就地销售给当地村民用于房屋建设。对于无再次利用价值的建筑垃圾可运往指定垃圾填埋场堆放或填埋，该部分建筑垃圾数量小，不会占用土地资源，对土壤、水源、植被等自然环境影响很小，也不会影响周边村庄的生态环境。</w:t>
      </w:r>
    </w:p>
    <w:p>
      <w:pPr>
        <w:pStyle w:val="6"/>
        <w:rPr>
          <w:rFonts w:hint="eastAsia" w:ascii="宋体" w:hAnsi="宋体" w:eastAsia="宋体" w:cs="宋体"/>
          <w:lang w:eastAsia="zh-CN"/>
        </w:rPr>
      </w:pPr>
      <w:bookmarkStart w:id="179" w:name="_Toc4866"/>
      <w:bookmarkStart w:id="180" w:name="_Toc1953"/>
      <w:r>
        <w:rPr>
          <w:rFonts w:hint="eastAsia" w:ascii="宋体" w:hAnsi="宋体" w:eastAsia="宋体" w:cs="宋体"/>
          <w:lang w:eastAsia="zh-CN"/>
        </w:rPr>
        <w:t>7.3 矿山地质环境监测</w:t>
      </w:r>
      <w:bookmarkEnd w:id="179"/>
      <w:bookmarkEnd w:id="180"/>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根据矿山地质环境现状及预测，未来矿区的生产将对地下含水层产生影响，因而，矿山环境监测包括地面变形监测、含水层监测、土壤污染监测。监测工作由山东省莱钢集团鲁南矿业有限公司负责并组织实施，并成立专职机构，加强对本方案实施的组织管理和行政管理。矿产资源管理部门负责监督管理。</w:t>
      </w:r>
    </w:p>
    <w:p>
      <w:pPr>
        <w:pStyle w:val="7"/>
        <w:rPr>
          <w:rFonts w:hint="eastAsia" w:ascii="宋体" w:hAnsi="宋体" w:eastAsia="宋体" w:cs="宋体"/>
          <w:lang w:eastAsia="zh-CN"/>
        </w:rPr>
      </w:pPr>
      <w:r>
        <w:rPr>
          <w:rFonts w:hint="eastAsia" w:ascii="宋体" w:hAnsi="宋体" w:eastAsia="宋体" w:cs="宋体"/>
          <w:lang w:eastAsia="zh-CN"/>
        </w:rPr>
        <w:t>7.3.1 地面变形监测</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根据各建（构）筑物的重要性和矿山地下开采情况及可能发生采空塌陷的影响范围，确定重点监测矿山采空区及其影响范围。矿山已设有地面变形监测点18个，满足日常监测需要。</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地面变形监测每个月观测1次，按地下开采30年计算，需进行监测6480次。</w:t>
      </w:r>
    </w:p>
    <w:p>
      <w:pPr>
        <w:pStyle w:val="7"/>
        <w:rPr>
          <w:rFonts w:hint="eastAsia" w:ascii="宋体" w:hAnsi="宋体" w:eastAsia="宋体" w:cs="宋体"/>
          <w:lang w:eastAsia="zh-CN"/>
        </w:rPr>
      </w:pPr>
      <w:r>
        <w:rPr>
          <w:rFonts w:hint="eastAsia" w:ascii="宋体" w:hAnsi="宋体" w:eastAsia="宋体" w:cs="宋体"/>
          <w:lang w:eastAsia="zh-CN"/>
        </w:rPr>
        <w:t>7.3.2 地下水动态监测</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（1）地下水动态监测点的布设位置及数量</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根据矿山生产可能对地质环境的影响程度，结合防治目标、措施、监测点布设原则，本次工作设置3个监测点包括尾矿水、矿坑水、韩旺四村民井。</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（2）监测内容和频率</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定期测量水量、水位，采集水样送实验室分析。分析项目为简分析和全分析。生产期内水质全分析观测频率为每年枯水期、丰水期各一次，水质简分析观测频率为每月一次。矿坑水水量监测频率为每天一次。</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矿坑涌水量每天1次、地下水位动态观测频率每月3次，每年在丰水期和枯水期分别取1组水样进行全分析，水质简分析每月1次。</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按30年计算，共需取全分析样品180件，简分析样品1080件，矿坑涌水量测量10950次、地下水位测量1080次。</w:t>
      </w:r>
    </w:p>
    <w:p>
      <w:pPr>
        <w:pStyle w:val="7"/>
        <w:rPr>
          <w:rFonts w:hint="eastAsia" w:ascii="宋体" w:hAnsi="宋体" w:eastAsia="宋体" w:cs="宋体"/>
          <w:lang w:eastAsia="zh-CN"/>
        </w:rPr>
      </w:pPr>
      <w:r>
        <w:rPr>
          <w:rFonts w:hint="eastAsia" w:ascii="宋体" w:hAnsi="宋体" w:eastAsia="宋体" w:cs="宋体"/>
          <w:lang w:eastAsia="zh-CN"/>
        </w:rPr>
        <w:t>7.3.3 土壤污染监测</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在区内布设水土污染监测点4个。每年取土壤测试样1件，共1件。土样测试项目为PH、镉、汞、砷、铅、铬、铜、镍、锌。监测频率1次/年。</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按30年生产期计算，需取共计120件土壤样品</w:t>
      </w:r>
    </w:p>
    <w:p>
      <w:pPr>
        <w:pStyle w:val="6"/>
        <w:rPr>
          <w:rFonts w:hint="eastAsia" w:ascii="宋体" w:hAnsi="宋体" w:eastAsia="宋体" w:cs="宋体"/>
          <w:lang w:eastAsia="zh-CN"/>
        </w:rPr>
      </w:pPr>
      <w:bookmarkStart w:id="181" w:name="_Toc11845"/>
      <w:bookmarkStart w:id="182" w:name="_Toc28851"/>
      <w:r>
        <w:rPr>
          <w:rFonts w:hint="eastAsia" w:ascii="宋体" w:hAnsi="宋体" w:eastAsia="宋体" w:cs="宋体"/>
          <w:lang w:eastAsia="zh-CN"/>
        </w:rPr>
        <w:t>7.4 小结</w:t>
      </w:r>
      <w:bookmarkEnd w:id="181"/>
      <w:bookmarkEnd w:id="182"/>
    </w:p>
    <w:p>
      <w:pPr>
        <w:ind w:firstLine="560"/>
        <w:rPr>
          <w:rFonts w:hint="eastAsia" w:ascii="宋体" w:hAnsi="宋体" w:eastAsia="宋体" w:cs="宋体"/>
          <w:lang w:eastAsia="zh-CN"/>
        </w:rPr>
      </w:pPr>
      <w:r>
        <w:rPr>
          <w:rFonts w:hint="eastAsia" w:ascii="宋体" w:hAnsi="宋体" w:eastAsia="宋体" w:cs="宋体"/>
          <w:lang w:eastAsia="zh-CN"/>
        </w:rPr>
        <w:t>1、本次评估面积共449.58hm</w:t>
      </w:r>
      <w:r>
        <w:rPr>
          <w:rFonts w:hint="eastAsia" w:ascii="宋体" w:hAnsi="宋体" w:eastAsia="宋体" w:cs="宋体"/>
          <w:vertAlign w:val="superscript"/>
          <w:lang w:eastAsia="zh-CN"/>
        </w:rPr>
        <w:t>2</w:t>
      </w:r>
      <w:r>
        <w:rPr>
          <w:rFonts w:hint="eastAsia" w:ascii="宋体" w:hAnsi="宋体" w:eastAsia="宋体" w:cs="宋体"/>
          <w:lang w:eastAsia="zh-CN"/>
        </w:rPr>
        <w:t>。评估区属重要区，矿山地质环境复杂程度中等，矿山生产规模为中型，由此确定矿山地质环境影响评估级别为一级。</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2、评估区内的地质环境问题是崩塌和采空塌陷及伴生地裂缝。</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3、评估区现状评估：依据矿山地质环境现状将评估区确定为影响严重区，自然因素下引发地质灾害的条件不具备，采矿活动引发地质环境问题的危害性小，含水层影响较严重、地形地貌景观和土地资源影响较轻，防治难度大。</w:t>
      </w:r>
    </w:p>
    <w:p>
      <w:pPr>
        <w:ind w:firstLine="560"/>
        <w:rPr>
          <w:rFonts w:hint="eastAsia" w:ascii="宋体" w:hAnsi="宋体" w:eastAsia="宋体" w:cs="宋体"/>
          <w:lang w:eastAsia="zh-CN"/>
        </w:rPr>
      </w:pPr>
      <w:r>
        <w:rPr>
          <w:rFonts w:hint="eastAsia" w:ascii="宋体" w:hAnsi="宋体" w:eastAsia="宋体" w:cs="宋体"/>
          <w:lang w:eastAsia="zh-CN"/>
        </w:rPr>
        <w:t>4、评估区预测评估：在现状评估基础上根据矿产资源开采规划、采矿地质环境特征将评估区确定为影响严重区，预测采矿活动引发地质环境问题危害性小，含水层影响严重，地形地貌景观和土地资源影响较轻。</w:t>
      </w:r>
    </w:p>
    <w:p>
      <w:pPr>
        <w:pStyle w:val="2"/>
        <w:spacing w:after="0"/>
        <w:ind w:firstLine="560"/>
        <w:rPr>
          <w:rFonts w:hint="eastAsia" w:ascii="宋体" w:hAnsi="宋体" w:eastAsia="宋体" w:cs="宋体"/>
          <w:lang w:eastAsia="zh-CN"/>
        </w:rPr>
      </w:pPr>
      <w:r>
        <w:rPr>
          <w:rFonts w:hint="eastAsia" w:ascii="宋体" w:hAnsi="宋体" w:eastAsia="宋体" w:cs="宋体"/>
          <w:lang w:eastAsia="zh-CN"/>
        </w:rPr>
        <w:t>5、矿山主要地质环境防治工程有井口封闭工程、物探测空、填充钻孔验证和地环境监测工程等。建立完善的地面变形监测系统和地下水水资源、水质监测系统；对地下水水资源、水质和地面变形进行实时监测。</w:t>
      </w:r>
    </w:p>
    <w:p>
      <w:pPr>
        <w:ind w:firstLine="560"/>
        <w:rPr>
          <w:rFonts w:hint="eastAsia" w:ascii="宋体" w:hAnsi="宋体" w:eastAsia="宋体" w:cs="宋体"/>
          <w:lang w:eastAsia="zh-CN"/>
        </w:rPr>
        <w:sectPr>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pStyle w:val="5"/>
        <w:spacing w:before="156" w:after="156"/>
        <w:rPr>
          <w:rFonts w:hint="eastAsia" w:ascii="宋体" w:hAnsi="宋体" w:eastAsia="宋体" w:cs="宋体"/>
          <w:lang w:eastAsia="zh-CN"/>
        </w:rPr>
      </w:pPr>
      <w:bookmarkStart w:id="183" w:name="_Toc16308"/>
      <w:bookmarkStart w:id="184" w:name="_Toc25524"/>
      <w:r>
        <w:rPr>
          <w:rFonts w:hint="eastAsia" w:ascii="宋体" w:hAnsi="宋体" w:eastAsia="宋体" w:cs="宋体"/>
          <w:lang w:eastAsia="zh-CN"/>
        </w:rPr>
        <w:t>第八章 环境保护措施及其可行性论证</w:t>
      </w:r>
      <w:bookmarkEnd w:id="183"/>
      <w:bookmarkEnd w:id="184"/>
    </w:p>
    <w:p>
      <w:pPr>
        <w:pStyle w:val="6"/>
        <w:rPr>
          <w:rFonts w:hint="eastAsia" w:ascii="宋体" w:hAnsi="宋体" w:eastAsia="宋体" w:cs="宋体"/>
          <w:lang w:eastAsia="zh-CN"/>
        </w:rPr>
      </w:pPr>
      <w:bookmarkStart w:id="185" w:name="_Toc14784"/>
      <w:bookmarkStart w:id="186" w:name="_Toc16613"/>
      <w:r>
        <w:rPr>
          <w:rFonts w:hint="eastAsia" w:ascii="宋体" w:hAnsi="宋体" w:eastAsia="宋体" w:cs="宋体"/>
          <w:lang w:eastAsia="zh-CN"/>
        </w:rPr>
        <w:t>8.1 大气污染防治措施及其可行性论证</w:t>
      </w:r>
      <w:bookmarkEnd w:id="185"/>
      <w:bookmarkEnd w:id="186"/>
    </w:p>
    <w:p>
      <w:pPr>
        <w:pStyle w:val="7"/>
        <w:rPr>
          <w:rFonts w:hint="eastAsia" w:ascii="宋体" w:hAnsi="宋体" w:eastAsia="宋体" w:cs="宋体"/>
          <w:lang w:eastAsia="zh-CN"/>
        </w:rPr>
      </w:pPr>
      <w:r>
        <w:rPr>
          <w:rFonts w:hint="eastAsia" w:ascii="宋体" w:hAnsi="宋体" w:eastAsia="宋体" w:cs="宋体"/>
          <w:lang w:eastAsia="zh-CN"/>
        </w:rPr>
        <w:t>8.1.1 施工期污染防治措施及技术论证</w:t>
      </w:r>
    </w:p>
    <w:p>
      <w:pPr>
        <w:pStyle w:val="16"/>
        <w:ind w:firstLine="560"/>
        <w:rPr>
          <w:rFonts w:hint="eastAsia" w:ascii="宋体" w:hAnsi="宋体" w:eastAsia="宋体" w:cs="宋体"/>
        </w:rPr>
      </w:pPr>
      <w:r>
        <w:rPr>
          <w:rFonts w:hint="eastAsia" w:ascii="宋体" w:hAnsi="宋体" w:eastAsia="宋体" w:cs="宋体"/>
        </w:rPr>
        <w:t>根据《山东省扬尘污染综合整治方案》（鲁政发〔2019〕112号）、《山东省大气污染防治条例》、《关于印发《淄博市2021年工业企业扬尘整治方案》的通知》（淄环发〔2021〕19号）等要求，为减轻施工期扬尘对大气环境的影响，拟提出以下具体措施：</w:t>
      </w:r>
    </w:p>
    <w:p>
      <w:pPr>
        <w:pStyle w:val="16"/>
        <w:ind w:firstLine="560"/>
        <w:rPr>
          <w:rFonts w:hint="eastAsia" w:ascii="宋体" w:hAnsi="宋体" w:eastAsia="宋体" w:cs="宋体"/>
        </w:rPr>
      </w:pPr>
      <w:r>
        <w:rPr>
          <w:rFonts w:hint="eastAsia" w:ascii="宋体" w:hAnsi="宋体" w:eastAsia="宋体" w:cs="宋体"/>
        </w:rPr>
        <w:t>（1）施工单位在施工工地周围应设置连续、密闭的硬质围挡，设置的施工标志牌中应包括环境保护牌、管理人员名单及监督电话牌等，并在醒目位置予以公示。</w:t>
      </w:r>
    </w:p>
    <w:p>
      <w:pPr>
        <w:pStyle w:val="16"/>
        <w:ind w:firstLine="560"/>
        <w:rPr>
          <w:rFonts w:hint="eastAsia" w:ascii="宋体" w:hAnsi="宋体" w:eastAsia="宋体" w:cs="宋体"/>
        </w:rPr>
      </w:pPr>
      <w:r>
        <w:rPr>
          <w:rFonts w:hint="eastAsia" w:ascii="宋体" w:hAnsi="宋体" w:eastAsia="宋体" w:cs="宋体"/>
        </w:rPr>
        <w:t>（2）施工工地出入口及内部车行道路应进行硬化处理，工地出口内侧必须设置洗车平台及配套的排水、泥浆沉淀等设施；运输车辆应当在除泥、冲洗干净后方可驶出作业场所，不得带泥上路。</w:t>
      </w:r>
    </w:p>
    <w:p>
      <w:pPr>
        <w:pStyle w:val="16"/>
        <w:ind w:firstLine="560"/>
        <w:rPr>
          <w:rFonts w:hint="eastAsia" w:ascii="宋体" w:hAnsi="宋体" w:eastAsia="宋体" w:cs="宋体"/>
        </w:rPr>
      </w:pPr>
      <w:r>
        <w:rPr>
          <w:rFonts w:hint="eastAsia" w:ascii="宋体" w:hAnsi="宋体" w:eastAsia="宋体" w:cs="宋体"/>
        </w:rPr>
        <w:t>（3）对于废石装卸，由于废石、矿石粒度较大，比重较大，颗粒沉降速度也较快，一般情况下在装卸时产尘量较小，但</w:t>
      </w:r>
      <w:r>
        <w:rPr>
          <w:rFonts w:hint="eastAsia" w:ascii="宋体" w:hAnsi="宋体" w:cs="宋体"/>
          <w:lang w:eastAsia="zh-CN"/>
        </w:rPr>
        <w:t>本项目</w:t>
      </w:r>
      <w:r>
        <w:rPr>
          <w:rFonts w:hint="eastAsia" w:ascii="宋体" w:hAnsi="宋体" w:eastAsia="宋体" w:cs="宋体"/>
        </w:rPr>
        <w:t>基建期较长，装卸时需洒水降尘。</w:t>
      </w:r>
    </w:p>
    <w:p>
      <w:pPr>
        <w:pStyle w:val="7"/>
        <w:rPr>
          <w:rFonts w:hint="eastAsia" w:ascii="宋体" w:hAnsi="宋体" w:eastAsia="宋体" w:cs="宋体"/>
          <w:lang w:eastAsia="zh-CN"/>
        </w:rPr>
      </w:pPr>
      <w:r>
        <w:rPr>
          <w:rFonts w:hint="eastAsia" w:ascii="宋体" w:hAnsi="宋体" w:eastAsia="宋体" w:cs="宋体"/>
          <w:lang w:eastAsia="zh-CN"/>
        </w:rPr>
        <w:t>8.1.2 营运期污染防治措施及技术论证</w:t>
      </w:r>
    </w:p>
    <w:p>
      <w:pPr>
        <w:pStyle w:val="8"/>
        <w:rPr>
          <w:rFonts w:hint="eastAsia" w:ascii="宋体" w:hAnsi="宋体" w:eastAsia="宋体" w:cs="宋体"/>
          <w:lang w:eastAsia="zh-CN"/>
        </w:rPr>
      </w:pPr>
      <w:r>
        <w:rPr>
          <w:rFonts w:hint="eastAsia" w:ascii="宋体" w:hAnsi="宋体" w:eastAsia="宋体" w:cs="宋体"/>
          <w:lang w:eastAsia="zh-CN"/>
        </w:rPr>
        <w:t>8.1.2.1 防治措施</w:t>
      </w:r>
    </w:p>
    <w:p>
      <w:pPr>
        <w:pStyle w:val="16"/>
        <w:ind w:firstLine="562"/>
        <w:rPr>
          <w:rFonts w:hint="eastAsia" w:ascii="宋体" w:hAnsi="宋体" w:eastAsia="宋体" w:cs="宋体"/>
          <w:b/>
          <w:bCs/>
        </w:rPr>
      </w:pPr>
      <w:r>
        <w:rPr>
          <w:rFonts w:hint="eastAsia" w:ascii="宋体" w:hAnsi="宋体" w:eastAsia="宋体" w:cs="宋体"/>
          <w:b/>
          <w:bCs/>
        </w:rPr>
        <w:t>1、井下废气</w:t>
      </w:r>
    </w:p>
    <w:p>
      <w:pPr>
        <w:pStyle w:val="16"/>
        <w:ind w:firstLine="560"/>
        <w:rPr>
          <w:rFonts w:hint="eastAsia" w:ascii="宋体" w:hAnsi="宋体" w:eastAsia="宋体" w:cs="宋体"/>
        </w:rPr>
      </w:pPr>
      <w:r>
        <w:rPr>
          <w:rFonts w:hint="eastAsia" w:ascii="宋体" w:hAnsi="宋体" w:eastAsia="宋体" w:cs="宋体"/>
        </w:rPr>
        <w:t>井下废气污染源主要是：井下凿岩产生的粉尘，爆破产生的炮烟，铲运机出矿产生的粉尘、井下破碎粉尘等，粉尘防治对策主要是采用湿式作业、洒水、除尘局部通风和系统通风等。采取的具体防治对策如下：</w:t>
      </w:r>
    </w:p>
    <w:p>
      <w:pPr>
        <w:pStyle w:val="16"/>
        <w:numPr>
          <w:ilvl w:val="0"/>
          <w:numId w:val="26"/>
        </w:numPr>
        <w:ind w:firstLine="560"/>
        <w:rPr>
          <w:rFonts w:hint="eastAsia" w:ascii="宋体" w:hAnsi="宋体" w:eastAsia="宋体" w:cs="宋体"/>
        </w:rPr>
      </w:pPr>
      <w:r>
        <w:rPr>
          <w:rFonts w:hint="eastAsia" w:ascii="宋体" w:hAnsi="宋体" w:eastAsia="宋体" w:cs="宋体"/>
        </w:rPr>
        <w:t>对开采、运输及粗碎过程中产生的粉尘，采用湿式作业及爆堆洒水抑尘；</w:t>
      </w:r>
    </w:p>
    <w:p>
      <w:pPr>
        <w:pStyle w:val="16"/>
        <w:ind w:firstLine="560"/>
        <w:rPr>
          <w:rFonts w:hint="eastAsia" w:ascii="宋体" w:hAnsi="宋体" w:eastAsia="宋体" w:cs="宋体"/>
        </w:rPr>
      </w:pPr>
      <w:r>
        <w:rPr>
          <w:rFonts w:hint="eastAsia" w:ascii="宋体" w:hAnsi="宋体" w:eastAsia="宋体" w:cs="宋体"/>
        </w:rPr>
        <w:t>2）爆破采用分段微差爆破，优化爆破设计参数，减少大块产生，减少二次爆破量，减少粉尘产量；爆破后采用局扇对爆破场地进行强制通风，并采用抽风机抽风；</w:t>
      </w:r>
    </w:p>
    <w:p>
      <w:pPr>
        <w:pStyle w:val="16"/>
        <w:ind w:firstLine="560"/>
        <w:rPr>
          <w:rFonts w:hint="eastAsia" w:ascii="宋体" w:hAnsi="宋体" w:eastAsia="宋体" w:cs="宋体"/>
        </w:rPr>
      </w:pPr>
      <w:r>
        <w:rPr>
          <w:rFonts w:hint="eastAsia" w:ascii="宋体" w:hAnsi="宋体" w:eastAsia="宋体" w:cs="宋体"/>
        </w:rPr>
        <w:t>3）铲装作业防尘措施主要是洒水或注水，铲装前向爆破堆表面洒水或高压注水，使爆破堆矿岩保持一定的湿度；</w:t>
      </w:r>
    </w:p>
    <w:p>
      <w:pPr>
        <w:pStyle w:val="16"/>
        <w:ind w:firstLine="560"/>
        <w:rPr>
          <w:rFonts w:hint="eastAsia" w:ascii="宋体" w:hAnsi="宋体" w:eastAsia="宋体" w:cs="宋体"/>
        </w:rPr>
      </w:pPr>
      <w:r>
        <w:rPr>
          <w:rFonts w:hint="eastAsia" w:ascii="宋体" w:hAnsi="宋体" w:eastAsia="宋体" w:cs="宋体"/>
        </w:rPr>
        <w:t>4）定期清洗巷道及岩壁，对矿岩装卸、运输等产尘点进行喷雾抑尘；</w:t>
      </w:r>
    </w:p>
    <w:p>
      <w:pPr>
        <w:pStyle w:val="16"/>
        <w:ind w:firstLine="560"/>
        <w:rPr>
          <w:rFonts w:hint="eastAsia" w:ascii="宋体" w:hAnsi="宋体" w:eastAsia="宋体" w:cs="宋体"/>
        </w:rPr>
      </w:pPr>
      <w:r>
        <w:rPr>
          <w:rFonts w:hint="eastAsia" w:ascii="宋体" w:hAnsi="宋体" w:eastAsia="宋体" w:cs="宋体"/>
        </w:rPr>
        <w:t>5）加强局部通风和系统通风。</w:t>
      </w:r>
    </w:p>
    <w:p>
      <w:pPr>
        <w:pStyle w:val="16"/>
        <w:ind w:left="280" w:firstLine="0" w:firstLineChars="0"/>
        <w:rPr>
          <w:rFonts w:hint="eastAsia" w:ascii="宋体" w:hAnsi="宋体" w:eastAsia="宋体" w:cs="宋体"/>
          <w:b/>
          <w:bCs/>
        </w:rPr>
      </w:pPr>
      <w:r>
        <w:rPr>
          <w:rFonts w:hint="eastAsia" w:ascii="宋体" w:hAnsi="宋体" w:eastAsia="宋体" w:cs="宋体"/>
          <w:b/>
          <w:bCs/>
        </w:rPr>
        <w:t>2、其他无组织排放污染防治措施分析</w:t>
      </w:r>
    </w:p>
    <w:p>
      <w:pPr>
        <w:pStyle w:val="16"/>
        <w:ind w:firstLine="560"/>
        <w:rPr>
          <w:rFonts w:hint="eastAsia" w:ascii="宋体" w:hAnsi="宋体" w:eastAsia="宋体" w:cs="宋体"/>
        </w:rPr>
      </w:pPr>
      <w:r>
        <w:rPr>
          <w:rFonts w:hint="eastAsia" w:ascii="宋体" w:hAnsi="宋体" w:eastAsia="宋体" w:cs="宋体"/>
        </w:rPr>
        <w:t>无组织粉尘排放源有：废石临时堆场装卸过程、皮带运输斜井运输过程等。扬尘控制措施主要如下：</w:t>
      </w:r>
    </w:p>
    <w:p>
      <w:pPr>
        <w:pStyle w:val="16"/>
        <w:numPr>
          <w:ilvl w:val="0"/>
          <w:numId w:val="27"/>
        </w:numPr>
        <w:ind w:left="280" w:firstLine="560"/>
        <w:rPr>
          <w:rFonts w:hint="eastAsia" w:ascii="宋体" w:hAnsi="宋体" w:eastAsia="宋体" w:cs="宋体"/>
        </w:rPr>
      </w:pPr>
      <w:r>
        <w:rPr>
          <w:rFonts w:hint="eastAsia" w:ascii="宋体" w:hAnsi="宋体" w:eastAsia="宋体" w:cs="宋体"/>
        </w:rPr>
        <w:t>皮带运输斜井全部密封，并设置洒水喷淋装置；</w:t>
      </w:r>
    </w:p>
    <w:p>
      <w:pPr>
        <w:pStyle w:val="16"/>
        <w:numPr>
          <w:ilvl w:val="0"/>
          <w:numId w:val="27"/>
        </w:numPr>
        <w:ind w:left="280" w:firstLine="560"/>
        <w:rPr>
          <w:rFonts w:hint="eastAsia" w:ascii="宋体" w:hAnsi="宋体" w:eastAsia="宋体" w:cs="宋体"/>
        </w:rPr>
      </w:pPr>
      <w:r>
        <w:rPr>
          <w:rFonts w:hint="eastAsia" w:ascii="宋体" w:hAnsi="宋体" w:eastAsia="宋体" w:cs="宋体"/>
        </w:rPr>
        <w:t>废石临时堆场四周设有防风抑尘网；</w:t>
      </w:r>
    </w:p>
    <w:p>
      <w:pPr>
        <w:pStyle w:val="16"/>
        <w:numPr>
          <w:ilvl w:val="0"/>
          <w:numId w:val="27"/>
        </w:numPr>
        <w:ind w:left="280" w:firstLine="560"/>
        <w:rPr>
          <w:rFonts w:hint="eastAsia" w:ascii="宋体" w:hAnsi="宋体" w:eastAsia="宋体" w:cs="宋体"/>
        </w:rPr>
      </w:pPr>
      <w:r>
        <w:rPr>
          <w:rFonts w:hint="eastAsia" w:ascii="宋体" w:hAnsi="宋体" w:eastAsia="宋体" w:cs="宋体"/>
        </w:rPr>
        <w:t>废石卸载点、装载点设降尘的洒水喷淋装置；</w:t>
      </w:r>
    </w:p>
    <w:p>
      <w:pPr>
        <w:pStyle w:val="16"/>
        <w:numPr>
          <w:ilvl w:val="0"/>
          <w:numId w:val="27"/>
        </w:numPr>
        <w:ind w:left="280" w:firstLine="560"/>
        <w:rPr>
          <w:rFonts w:hint="eastAsia" w:ascii="宋体" w:hAnsi="宋体" w:eastAsia="宋体" w:cs="宋体"/>
        </w:rPr>
      </w:pPr>
      <w:r>
        <w:rPr>
          <w:rFonts w:hint="eastAsia" w:ascii="宋体" w:hAnsi="宋体" w:eastAsia="宋体" w:cs="宋体"/>
        </w:rPr>
        <w:t>临时堆场周边设洒水喷淋装置，保证临时废石堆场表面保持一定湿度，避免扬尘。</w:t>
      </w:r>
    </w:p>
    <w:p>
      <w:pPr>
        <w:pStyle w:val="8"/>
        <w:rPr>
          <w:rFonts w:hint="eastAsia" w:ascii="宋体" w:hAnsi="宋体" w:eastAsia="宋体" w:cs="宋体"/>
          <w:lang w:eastAsia="zh-CN"/>
        </w:rPr>
      </w:pPr>
      <w:r>
        <w:rPr>
          <w:rFonts w:hint="eastAsia" w:ascii="宋体" w:hAnsi="宋体" w:eastAsia="宋体" w:cs="宋体"/>
          <w:lang w:eastAsia="zh-CN"/>
        </w:rPr>
        <w:t>8.1.2.2 技术可行性分析</w:t>
      </w:r>
    </w:p>
    <w:p>
      <w:pPr>
        <w:pStyle w:val="16"/>
        <w:ind w:firstLine="560"/>
        <w:rPr>
          <w:rFonts w:hint="eastAsia" w:ascii="宋体" w:hAnsi="宋体" w:eastAsia="宋体" w:cs="宋体"/>
        </w:rPr>
      </w:pPr>
      <w:r>
        <w:rPr>
          <w:rFonts w:hint="eastAsia" w:ascii="宋体" w:hAnsi="宋体" w:eastAsia="宋体" w:cs="宋体"/>
        </w:rPr>
        <w:t>井下开采废气采用的湿式作业、洒水、局部通风和系统通风等措施为目前国内矿山常用的防治措施，采取这些措施后，井下作业环境粉尘浓度可以达到国家规定的卫生标准要求，污风排至地表后，经空气稀释，对周围环境影响较小。</w:t>
      </w:r>
    </w:p>
    <w:p>
      <w:pPr>
        <w:pStyle w:val="16"/>
        <w:ind w:firstLine="560"/>
        <w:rPr>
          <w:rFonts w:hint="eastAsia" w:ascii="宋体" w:hAnsi="宋体" w:eastAsia="宋体" w:cs="宋体"/>
        </w:rPr>
      </w:pPr>
      <w:r>
        <w:rPr>
          <w:rFonts w:hint="eastAsia" w:ascii="宋体" w:hAnsi="宋体" w:eastAsia="宋体" w:cs="宋体"/>
        </w:rPr>
        <w:t>废石临时堆场装卸过程、皮带运输斜井运输过程等采取的抑尘措施同样均为目前同类企业常用的抑尘措施，防治措施可行，采取措施后，对有效降低对周围环境的影响。</w:t>
      </w:r>
    </w:p>
    <w:p>
      <w:pPr>
        <w:pStyle w:val="8"/>
        <w:rPr>
          <w:rFonts w:hint="eastAsia" w:ascii="宋体" w:hAnsi="宋体" w:eastAsia="宋体" w:cs="宋体"/>
          <w:lang w:eastAsia="zh-CN"/>
        </w:rPr>
      </w:pPr>
      <w:r>
        <w:rPr>
          <w:rFonts w:hint="eastAsia" w:ascii="宋体" w:hAnsi="宋体" w:eastAsia="宋体" w:cs="宋体"/>
          <w:lang w:eastAsia="zh-CN"/>
        </w:rPr>
        <w:t>8.1.2.3 经济可行性分析</w:t>
      </w:r>
    </w:p>
    <w:p>
      <w:pPr>
        <w:pStyle w:val="16"/>
        <w:ind w:firstLine="560"/>
        <w:rPr>
          <w:rFonts w:hint="eastAsia" w:ascii="宋体" w:hAnsi="宋体" w:eastAsia="宋体" w:cs="宋体"/>
        </w:rPr>
      </w:pPr>
      <w:r>
        <w:rPr>
          <w:rFonts w:hint="eastAsia" w:ascii="宋体" w:hAnsi="宋体" w:eastAsia="宋体" w:cs="宋体"/>
        </w:rPr>
        <w:t>从经济上看，</w:t>
      </w:r>
      <w:r>
        <w:rPr>
          <w:rFonts w:hint="eastAsia" w:ascii="宋体" w:hAnsi="宋体" w:cs="宋体"/>
          <w:lang w:eastAsia="zh-CN"/>
        </w:rPr>
        <w:t>本项目</w:t>
      </w:r>
      <w:r>
        <w:rPr>
          <w:rFonts w:hint="eastAsia" w:ascii="宋体" w:hAnsi="宋体" w:eastAsia="宋体" w:cs="宋体"/>
        </w:rPr>
        <w:t>采取的废气处理方式投资少，经济实用，运行成本低，已被众多企业所采用，在技术上是可靠的，经济上是可行的。</w:t>
      </w:r>
    </w:p>
    <w:p>
      <w:pPr>
        <w:pStyle w:val="16"/>
        <w:ind w:firstLine="560"/>
        <w:rPr>
          <w:rFonts w:hint="eastAsia" w:ascii="宋体" w:hAnsi="宋体" w:eastAsia="宋体" w:cs="宋体"/>
        </w:rPr>
      </w:pPr>
      <w:r>
        <w:rPr>
          <w:rFonts w:hint="eastAsia" w:ascii="宋体" w:hAnsi="宋体" w:eastAsia="宋体" w:cs="宋体"/>
        </w:rPr>
        <w:t>故而总体分析，项目废气治理措施经济上可行，技术上可靠。</w:t>
      </w:r>
    </w:p>
    <w:p>
      <w:pPr>
        <w:pStyle w:val="6"/>
        <w:rPr>
          <w:rFonts w:hint="eastAsia" w:ascii="宋体" w:hAnsi="宋体" w:eastAsia="宋体" w:cs="宋体"/>
          <w:lang w:eastAsia="zh-CN"/>
        </w:rPr>
      </w:pPr>
      <w:bookmarkStart w:id="187" w:name="_Toc17727"/>
      <w:bookmarkStart w:id="188" w:name="_Toc14182"/>
      <w:r>
        <w:rPr>
          <w:rFonts w:hint="eastAsia" w:ascii="宋体" w:hAnsi="宋体" w:eastAsia="宋体" w:cs="宋体"/>
          <w:lang w:eastAsia="zh-CN"/>
        </w:rPr>
        <w:t>8.2 地表水污染防治措施及其可行性论证</w:t>
      </w:r>
      <w:bookmarkEnd w:id="187"/>
      <w:bookmarkEnd w:id="188"/>
    </w:p>
    <w:p>
      <w:pPr>
        <w:pStyle w:val="7"/>
        <w:rPr>
          <w:rFonts w:hint="eastAsia" w:ascii="宋体" w:hAnsi="宋体" w:eastAsia="宋体" w:cs="宋体"/>
          <w:lang w:eastAsia="zh-CN"/>
        </w:rPr>
      </w:pPr>
      <w:r>
        <w:rPr>
          <w:rFonts w:hint="eastAsia" w:ascii="宋体" w:hAnsi="宋体" w:eastAsia="宋体" w:cs="宋体"/>
          <w:lang w:eastAsia="zh-CN"/>
        </w:rPr>
        <w:t>8.2.1 施工期污染防治措施及技术论证</w:t>
      </w:r>
    </w:p>
    <w:p>
      <w:pPr>
        <w:pStyle w:val="16"/>
        <w:ind w:firstLine="560"/>
        <w:rPr>
          <w:rFonts w:hint="eastAsia" w:ascii="宋体" w:hAnsi="宋体" w:eastAsia="宋体" w:cs="宋体"/>
        </w:rPr>
      </w:pPr>
      <w:r>
        <w:rPr>
          <w:rFonts w:hint="eastAsia" w:ascii="宋体" w:hAnsi="宋体" w:eastAsia="宋体" w:cs="宋体"/>
        </w:rPr>
        <w:t>施工期废水主要为井下涌水、生活污水。施工期矿井排水中的主要污染物为SS。SS浓度一般在200mg/L左右，经沉淀处理后全部回用于选矿生产用水；施工人员生活污水中含有COD、BOD</w:t>
      </w:r>
      <w:r>
        <w:rPr>
          <w:rFonts w:hint="eastAsia" w:ascii="宋体" w:hAnsi="宋体" w:eastAsia="宋体" w:cs="宋体"/>
          <w:vertAlign w:val="subscript"/>
        </w:rPr>
        <w:t>5</w:t>
      </w:r>
      <w:r>
        <w:rPr>
          <w:rFonts w:hint="eastAsia" w:ascii="宋体" w:hAnsi="宋体" w:eastAsia="宋体" w:cs="宋体"/>
        </w:rPr>
        <w:t>以及NH</w:t>
      </w:r>
      <w:r>
        <w:rPr>
          <w:rFonts w:hint="eastAsia" w:ascii="宋体" w:hAnsi="宋体" w:eastAsia="宋体" w:cs="宋体"/>
          <w:vertAlign w:val="subscript"/>
        </w:rPr>
        <w:t>3</w:t>
      </w:r>
      <w:r>
        <w:rPr>
          <w:rFonts w:hint="eastAsia" w:ascii="宋体" w:hAnsi="宋体" w:eastAsia="宋体" w:cs="宋体"/>
        </w:rPr>
        <w:t>-N和动植物油类，依托现有生活污水处理管网及处理系统。</w:t>
      </w:r>
    </w:p>
    <w:p>
      <w:pPr>
        <w:pStyle w:val="7"/>
        <w:rPr>
          <w:rFonts w:hint="eastAsia" w:ascii="宋体" w:hAnsi="宋体" w:eastAsia="宋体" w:cs="宋体"/>
          <w:lang w:eastAsia="zh-CN"/>
        </w:rPr>
      </w:pPr>
      <w:r>
        <w:rPr>
          <w:rFonts w:hint="eastAsia" w:ascii="宋体" w:hAnsi="宋体" w:eastAsia="宋体" w:cs="宋体"/>
          <w:lang w:eastAsia="zh-CN"/>
        </w:rPr>
        <w:t>8.2.2 营运期污染防治措施及技术论证</w:t>
      </w:r>
    </w:p>
    <w:p>
      <w:pPr>
        <w:pStyle w:val="2"/>
        <w:numPr>
          <w:ilvl w:val="0"/>
          <w:numId w:val="28"/>
        </w:numPr>
        <w:ind w:firstLine="560"/>
        <w:rPr>
          <w:rFonts w:hint="eastAsia" w:ascii="宋体" w:hAnsi="宋体" w:eastAsia="宋体" w:cs="宋体"/>
          <w:lang w:eastAsia="zh-CN"/>
        </w:rPr>
      </w:pPr>
      <w:r>
        <w:rPr>
          <w:rFonts w:hint="eastAsia" w:ascii="宋体" w:hAnsi="宋体" w:eastAsia="宋体" w:cs="宋体"/>
          <w:lang w:eastAsia="zh-CN"/>
        </w:rPr>
        <w:t>生活污水</w:t>
      </w:r>
    </w:p>
    <w:p>
      <w:pPr>
        <w:ind w:left="480" w:leftChars="200" w:firstLine="0" w:firstLineChars="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不新增生活污水。原有生活污水，通过管道运输至企业生活污水处理站，经处理后，达标回用。</w:t>
      </w:r>
    </w:p>
    <w:p>
      <w:pPr>
        <w:pStyle w:val="2"/>
        <w:ind w:firstLine="560"/>
        <w:rPr>
          <w:rFonts w:hint="eastAsia" w:ascii="宋体" w:hAnsi="宋体" w:eastAsia="宋体" w:cs="宋体"/>
          <w:lang w:eastAsia="zh-CN"/>
        </w:rPr>
      </w:pPr>
      <w:r>
        <w:rPr>
          <w:rFonts w:hint="eastAsia" w:ascii="宋体" w:hAnsi="宋体" w:eastAsia="宋体" w:cs="宋体"/>
          <w:lang w:eastAsia="zh-CN"/>
        </w:rPr>
        <w:t>2、矿井涌水</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矿井涌水4088.6m</w:t>
      </w:r>
      <w:r>
        <w:rPr>
          <w:rFonts w:hint="eastAsia" w:ascii="宋体" w:hAnsi="宋体" w:eastAsia="宋体" w:cs="宋体"/>
          <w:vertAlign w:val="superscript"/>
        </w:rPr>
        <w:t>3</w:t>
      </w:r>
      <w:r>
        <w:rPr>
          <w:rFonts w:hint="eastAsia" w:ascii="宋体" w:hAnsi="宋体" w:eastAsia="宋体" w:cs="宋体"/>
        </w:rPr>
        <w:t>/d，上河矿段矿井涌水3040.25m</w:t>
      </w:r>
      <w:r>
        <w:rPr>
          <w:rFonts w:hint="eastAsia" w:ascii="宋体" w:hAnsi="宋体" w:eastAsia="宋体" w:cs="宋体"/>
          <w:vertAlign w:val="superscript"/>
        </w:rPr>
        <w:t>3</w:t>
      </w:r>
      <w:r>
        <w:rPr>
          <w:rFonts w:hint="eastAsia" w:ascii="宋体" w:hAnsi="宋体" w:eastAsia="宋体" w:cs="宋体"/>
        </w:rPr>
        <w:t>/d，合计7128.85m</w:t>
      </w:r>
      <w:r>
        <w:rPr>
          <w:rFonts w:hint="eastAsia" w:ascii="宋体" w:hAnsi="宋体" w:eastAsia="宋体" w:cs="宋体"/>
          <w:vertAlign w:val="superscript"/>
        </w:rPr>
        <w:t>3</w:t>
      </w:r>
      <w:r>
        <w:rPr>
          <w:rFonts w:hint="eastAsia" w:ascii="宋体" w:hAnsi="宋体" w:eastAsia="宋体" w:cs="宋体"/>
        </w:rPr>
        <w:t>/d。矿井涌水流入上河和王峪井下水仓中，并由泵运输至王峪矿段南风井涌水池中，全部回用，不外排。</w:t>
      </w:r>
    </w:p>
    <w:p>
      <w:pPr>
        <w:pStyle w:val="16"/>
        <w:ind w:firstLine="560"/>
        <w:rPr>
          <w:rFonts w:hint="eastAsia" w:ascii="宋体" w:hAnsi="宋体" w:eastAsia="宋体" w:cs="宋体"/>
        </w:rPr>
      </w:pPr>
      <w:r>
        <w:rPr>
          <w:rFonts w:hint="eastAsia" w:ascii="宋体" w:hAnsi="宋体" w:eastAsia="宋体" w:cs="宋体"/>
        </w:rPr>
        <w:t>综上所述，</w:t>
      </w:r>
      <w:r>
        <w:rPr>
          <w:rFonts w:hint="eastAsia" w:ascii="宋体" w:hAnsi="宋体" w:cs="宋体"/>
          <w:lang w:eastAsia="zh-CN"/>
        </w:rPr>
        <w:t>本项目</w:t>
      </w:r>
      <w:r>
        <w:rPr>
          <w:rFonts w:hint="eastAsia" w:ascii="宋体" w:hAnsi="宋体" w:eastAsia="宋体" w:cs="宋体"/>
        </w:rPr>
        <w:t>废水均能得到有效治理，符合资源回收利用的相关要求。处理措施经济合理，工艺成熟可靠，技术可行。</w:t>
      </w:r>
    </w:p>
    <w:p>
      <w:pPr>
        <w:pStyle w:val="6"/>
        <w:rPr>
          <w:rFonts w:hint="eastAsia" w:ascii="宋体" w:hAnsi="宋体" w:eastAsia="宋体" w:cs="宋体"/>
          <w:lang w:eastAsia="zh-CN"/>
        </w:rPr>
      </w:pPr>
      <w:bookmarkStart w:id="189" w:name="_Toc26567"/>
      <w:bookmarkStart w:id="190" w:name="_Toc22426"/>
      <w:r>
        <w:rPr>
          <w:rFonts w:hint="eastAsia" w:ascii="宋体" w:hAnsi="宋体" w:eastAsia="宋体" w:cs="宋体"/>
          <w:lang w:eastAsia="zh-CN"/>
        </w:rPr>
        <w:t>8.3 地下水污染防治措施及其可行性论证</w:t>
      </w:r>
      <w:bookmarkEnd w:id="189"/>
      <w:bookmarkEnd w:id="190"/>
    </w:p>
    <w:p>
      <w:pPr>
        <w:ind w:firstLine="560"/>
        <w:rPr>
          <w:rFonts w:hint="eastAsia" w:ascii="宋体" w:hAnsi="宋体" w:eastAsia="宋体" w:cs="宋体"/>
          <w:lang w:eastAsia="zh-CN"/>
        </w:rPr>
      </w:pPr>
      <w:r>
        <w:rPr>
          <w:rFonts w:hint="eastAsia" w:ascii="宋体" w:hAnsi="宋体" w:eastAsia="宋体" w:cs="宋体"/>
          <w:lang w:eastAsia="zh-CN"/>
        </w:rPr>
        <w:t>1、本项目对产生的废水进行合理的治理和综合利用，以先进工艺、管道、设备、污水储存，尽可能从源头上减少可能污染物产生。</w:t>
      </w:r>
    </w:p>
    <w:p>
      <w:pPr>
        <w:ind w:firstLine="560"/>
        <w:rPr>
          <w:rFonts w:hint="eastAsia" w:ascii="宋体" w:hAnsi="宋体" w:eastAsia="宋体" w:cs="宋体"/>
          <w:lang w:eastAsia="zh-CN"/>
        </w:rPr>
      </w:pPr>
      <w:r>
        <w:rPr>
          <w:rFonts w:hint="eastAsia" w:ascii="宋体" w:hAnsi="宋体" w:eastAsia="宋体" w:cs="宋体"/>
          <w:lang w:eastAsia="zh-CN"/>
        </w:rPr>
        <w:t>2、将厂区分为重点防渗区、简单防渗区，分区采取合适的防渗措施。</w:t>
      </w:r>
    </w:p>
    <w:p>
      <w:pPr>
        <w:ind w:firstLine="560"/>
        <w:rPr>
          <w:rFonts w:hint="eastAsia" w:ascii="宋体" w:hAnsi="宋体" w:eastAsia="宋体" w:cs="宋体"/>
          <w:lang w:eastAsia="zh-CN"/>
        </w:rPr>
      </w:pPr>
      <w:r>
        <w:rPr>
          <w:rFonts w:hint="eastAsia" w:ascii="宋体" w:hAnsi="宋体" w:eastAsia="宋体" w:cs="宋体"/>
          <w:lang w:eastAsia="zh-CN"/>
        </w:rPr>
        <w:t>3、合理布设监控井，加强对上部基岩裂隙风化含水层水质的监测，发现地下水水质污染，及时进行治理；</w:t>
      </w:r>
    </w:p>
    <w:p>
      <w:pPr>
        <w:ind w:firstLine="560"/>
        <w:rPr>
          <w:rFonts w:hint="eastAsia" w:ascii="宋体" w:hAnsi="宋体" w:eastAsia="宋体" w:cs="宋体"/>
          <w:lang w:eastAsia="zh-CN"/>
        </w:rPr>
      </w:pPr>
      <w:r>
        <w:rPr>
          <w:rFonts w:hint="eastAsia" w:ascii="宋体" w:hAnsi="宋体" w:eastAsia="宋体" w:cs="宋体"/>
          <w:lang w:eastAsia="zh-CN"/>
        </w:rPr>
        <w:t>4、建立相应的风险事故应急机制，制定地下水风险事故应急响应预案，对渗漏点采取的封闭、截流等措施。</w:t>
      </w:r>
    </w:p>
    <w:p>
      <w:pPr>
        <w:ind w:firstLine="560"/>
        <w:rPr>
          <w:rFonts w:hint="eastAsia" w:ascii="宋体" w:hAnsi="宋体" w:eastAsia="宋体" w:cs="宋体"/>
          <w:lang w:eastAsia="zh-CN"/>
        </w:rPr>
      </w:pPr>
      <w:r>
        <w:rPr>
          <w:rFonts w:hint="eastAsia" w:ascii="宋体" w:hAnsi="宋体" w:eastAsia="宋体" w:cs="宋体"/>
          <w:lang w:eastAsia="zh-CN"/>
        </w:rPr>
        <w:t>综上所述，地下水污染防控措施符合《环境影响评价技术导则-地下水环境》（HJ 610-2016）要求，地下水污染防控措施合理可行，可有效降低对地下水环境影响。</w:t>
      </w:r>
    </w:p>
    <w:p>
      <w:pPr>
        <w:pStyle w:val="6"/>
        <w:rPr>
          <w:rFonts w:hint="eastAsia" w:ascii="宋体" w:hAnsi="宋体" w:eastAsia="宋体" w:cs="宋体"/>
          <w:lang w:eastAsia="zh-CN"/>
        </w:rPr>
      </w:pPr>
      <w:bookmarkStart w:id="191" w:name="_Toc23377"/>
      <w:bookmarkStart w:id="192" w:name="_Toc8709"/>
      <w:r>
        <w:rPr>
          <w:rFonts w:hint="eastAsia" w:ascii="宋体" w:hAnsi="宋体" w:eastAsia="宋体" w:cs="宋体"/>
          <w:lang w:eastAsia="zh-CN"/>
        </w:rPr>
        <w:t>8.4 噪声污染防治措施及其可行性论证</w:t>
      </w:r>
      <w:bookmarkEnd w:id="191"/>
      <w:bookmarkEnd w:id="192"/>
    </w:p>
    <w:p>
      <w:pPr>
        <w:pStyle w:val="7"/>
        <w:rPr>
          <w:rFonts w:hint="eastAsia" w:ascii="宋体" w:hAnsi="宋体" w:eastAsia="宋体" w:cs="宋体"/>
          <w:lang w:eastAsia="zh-CN"/>
        </w:rPr>
      </w:pPr>
      <w:r>
        <w:rPr>
          <w:rFonts w:hint="eastAsia" w:ascii="宋体" w:hAnsi="宋体" w:eastAsia="宋体" w:cs="宋体"/>
          <w:lang w:eastAsia="zh-CN"/>
        </w:rPr>
        <w:t>8.4.1 施工期污染防治措施及技术论证</w:t>
      </w:r>
    </w:p>
    <w:p>
      <w:pPr>
        <w:pStyle w:val="16"/>
        <w:ind w:firstLine="560"/>
        <w:rPr>
          <w:rFonts w:hint="eastAsia" w:ascii="宋体" w:hAnsi="宋体" w:eastAsia="宋体" w:cs="宋体"/>
        </w:rPr>
      </w:pPr>
      <w:r>
        <w:rPr>
          <w:rFonts w:hint="eastAsia" w:ascii="宋体" w:hAnsi="宋体" w:eastAsia="宋体" w:cs="宋体"/>
        </w:rPr>
        <w:t>施工期噪声主要是施工机械和运输车辆的影响，主要机械有空压机、提升机、运输车辆等，其噪声声级值在75~95dB(A)，对空压机采取隔音、消声、减振；对提升机采取隔音、减振；车辆进场安排在白天进行，避免夜间进场影响周边村民休息。</w:t>
      </w:r>
    </w:p>
    <w:p>
      <w:pPr>
        <w:pStyle w:val="7"/>
        <w:rPr>
          <w:rFonts w:hint="eastAsia" w:ascii="宋体" w:hAnsi="宋体" w:eastAsia="宋体" w:cs="宋体"/>
          <w:lang w:eastAsia="zh-CN"/>
        </w:rPr>
      </w:pPr>
      <w:r>
        <w:rPr>
          <w:rFonts w:hint="eastAsia" w:ascii="宋体" w:hAnsi="宋体" w:eastAsia="宋体" w:cs="宋体"/>
          <w:lang w:eastAsia="zh-CN"/>
        </w:rPr>
        <w:t>8.4.2 营运期污染防治措施及技术论证</w:t>
      </w:r>
    </w:p>
    <w:p>
      <w:pPr>
        <w:pStyle w:val="16"/>
        <w:ind w:firstLine="560"/>
        <w:rPr>
          <w:rFonts w:hint="eastAsia" w:ascii="宋体" w:hAnsi="宋体" w:eastAsia="宋体" w:cs="宋体"/>
        </w:rPr>
      </w:pPr>
      <w:r>
        <w:rPr>
          <w:rFonts w:hint="eastAsia" w:ascii="宋体" w:hAnsi="宋体" w:eastAsia="宋体" w:cs="宋体"/>
        </w:rPr>
        <w:t>项目采矿过程主要可能产生影响的噪声源包括井下爆破以及地面上的机械设备噪声，其中安置在地面以上的各机械设备是项目主要声源。本工程拟采取的噪声污染防治措施包括：</w:t>
      </w:r>
    </w:p>
    <w:p>
      <w:pPr>
        <w:pStyle w:val="16"/>
        <w:ind w:firstLine="560"/>
        <w:rPr>
          <w:rFonts w:hint="eastAsia" w:ascii="宋体" w:hAnsi="宋体" w:eastAsia="宋体" w:cs="宋体"/>
        </w:rPr>
      </w:pPr>
      <w:r>
        <w:rPr>
          <w:rFonts w:hint="eastAsia" w:ascii="宋体" w:hAnsi="宋体" w:eastAsia="宋体" w:cs="宋体"/>
        </w:rPr>
        <w:t>（1）选择低噪声的凿岩机并装设消音器；</w:t>
      </w:r>
    </w:p>
    <w:p>
      <w:pPr>
        <w:pStyle w:val="16"/>
        <w:ind w:firstLine="560"/>
        <w:rPr>
          <w:rFonts w:hint="eastAsia" w:ascii="宋体" w:hAnsi="宋体" w:eastAsia="宋体" w:cs="宋体"/>
        </w:rPr>
      </w:pPr>
      <w:r>
        <w:rPr>
          <w:rFonts w:hint="eastAsia" w:ascii="宋体" w:hAnsi="宋体" w:eastAsia="宋体" w:cs="宋体"/>
        </w:rPr>
        <w:t>（2）采矿及掘进爆破采用微差爆破；</w:t>
      </w:r>
    </w:p>
    <w:p>
      <w:pPr>
        <w:pStyle w:val="16"/>
        <w:ind w:firstLine="560"/>
        <w:rPr>
          <w:rFonts w:hint="eastAsia" w:ascii="宋体" w:hAnsi="宋体" w:eastAsia="宋体" w:cs="宋体"/>
        </w:rPr>
      </w:pPr>
      <w:r>
        <w:rPr>
          <w:rFonts w:hint="eastAsia" w:ascii="宋体" w:hAnsi="宋体" w:eastAsia="宋体" w:cs="宋体"/>
        </w:rPr>
        <w:t>（3）设计选用的低噪声设备，同时要求建设单位加强设备的维护保养，及时折旧更新，避免不正常噪声产生；</w:t>
      </w:r>
    </w:p>
    <w:p>
      <w:pPr>
        <w:pStyle w:val="16"/>
        <w:ind w:firstLine="560"/>
        <w:rPr>
          <w:rFonts w:hint="eastAsia" w:ascii="宋体" w:hAnsi="宋体" w:eastAsia="宋体" w:cs="宋体"/>
        </w:rPr>
      </w:pPr>
      <w:r>
        <w:rPr>
          <w:rFonts w:hint="eastAsia" w:ascii="宋体" w:hAnsi="宋体" w:eastAsia="宋体" w:cs="宋体"/>
        </w:rPr>
        <w:t>（4）对于新增风机等空气动力性噪声源采取安装消声器等措施。通过采取上述措施，可减轻项目生产噪声对周边环境的影响；</w:t>
      </w:r>
    </w:p>
    <w:p>
      <w:pPr>
        <w:pStyle w:val="16"/>
        <w:ind w:firstLine="560"/>
        <w:rPr>
          <w:rFonts w:hint="eastAsia" w:ascii="宋体" w:hAnsi="宋体" w:eastAsia="宋体" w:cs="宋体"/>
        </w:rPr>
      </w:pPr>
      <w:r>
        <w:rPr>
          <w:rFonts w:hint="eastAsia" w:ascii="宋体" w:hAnsi="宋体" w:eastAsia="宋体" w:cs="宋体"/>
        </w:rPr>
        <w:t>（5）加强工业场地周边绿化隔离带的建设。</w:t>
      </w:r>
    </w:p>
    <w:p>
      <w:pPr>
        <w:pStyle w:val="16"/>
        <w:ind w:firstLine="560"/>
        <w:rPr>
          <w:rFonts w:hint="eastAsia" w:ascii="宋体" w:hAnsi="宋体" w:eastAsia="宋体" w:cs="宋体"/>
        </w:rPr>
      </w:pPr>
      <w:r>
        <w:rPr>
          <w:rFonts w:hint="eastAsia" w:ascii="宋体" w:hAnsi="宋体" w:eastAsia="宋体" w:cs="宋体"/>
        </w:rPr>
        <w:t>（6）对于运输车辆，采取车辆进行定期维修保养，运输路线按规定行驶，在通过村镇期间禁鸣喇叭，不得在午休和晚间进行运输等措施。</w:t>
      </w:r>
    </w:p>
    <w:p>
      <w:pPr>
        <w:pStyle w:val="16"/>
        <w:ind w:firstLine="560"/>
        <w:rPr>
          <w:rFonts w:hint="eastAsia" w:ascii="宋体" w:hAnsi="宋体" w:eastAsia="宋体" w:cs="宋体"/>
        </w:rPr>
      </w:pPr>
      <w:r>
        <w:rPr>
          <w:rFonts w:hint="eastAsia" w:ascii="宋体" w:hAnsi="宋体" w:eastAsia="宋体" w:cs="宋体"/>
        </w:rPr>
        <w:t>在采取相应措施后，再经过传播距离衰减，可以实现噪声在厂界达标排放。本工程运输噪声是暂时的，因此，本工程噪声污染治理措施技术可行，可确保周围敏感点不受影响。</w:t>
      </w:r>
    </w:p>
    <w:p>
      <w:pPr>
        <w:pStyle w:val="6"/>
        <w:rPr>
          <w:rFonts w:hint="eastAsia" w:ascii="宋体" w:hAnsi="宋体" w:eastAsia="宋体" w:cs="宋体"/>
          <w:lang w:eastAsia="zh-CN"/>
        </w:rPr>
      </w:pPr>
      <w:bookmarkStart w:id="193" w:name="_Toc24347"/>
      <w:bookmarkStart w:id="194" w:name="_Toc12478"/>
      <w:r>
        <w:rPr>
          <w:rFonts w:hint="eastAsia" w:ascii="宋体" w:hAnsi="宋体" w:eastAsia="宋体" w:cs="宋体"/>
          <w:lang w:eastAsia="zh-CN"/>
        </w:rPr>
        <w:t>8.5 固废污染防治措施及其可行性论证</w:t>
      </w:r>
      <w:bookmarkEnd w:id="193"/>
      <w:bookmarkEnd w:id="194"/>
    </w:p>
    <w:p>
      <w:pPr>
        <w:pStyle w:val="7"/>
        <w:rPr>
          <w:rFonts w:hint="eastAsia" w:ascii="宋体" w:hAnsi="宋体" w:eastAsia="宋体" w:cs="宋体"/>
          <w:lang w:eastAsia="zh-CN"/>
        </w:rPr>
      </w:pPr>
      <w:r>
        <w:rPr>
          <w:rFonts w:hint="eastAsia" w:ascii="宋体" w:hAnsi="宋体" w:eastAsia="宋体" w:cs="宋体"/>
          <w:lang w:eastAsia="zh-CN"/>
        </w:rPr>
        <w:t>8.5.1 施工期污染防治措施及技术论证</w:t>
      </w:r>
    </w:p>
    <w:p>
      <w:pPr>
        <w:pStyle w:val="16"/>
        <w:ind w:firstLine="560"/>
        <w:rPr>
          <w:rFonts w:hint="eastAsia" w:ascii="宋体" w:hAnsi="宋体" w:eastAsia="宋体" w:cs="宋体"/>
        </w:rPr>
      </w:pPr>
      <w:r>
        <w:rPr>
          <w:rFonts w:hint="eastAsia" w:ascii="宋体" w:hAnsi="宋体" w:eastAsia="宋体" w:cs="宋体"/>
        </w:rPr>
        <w:t>施工期固体废物主要是井下掘进废石，施工人员的生活垃圾。</w:t>
      </w:r>
    </w:p>
    <w:p>
      <w:pPr>
        <w:pStyle w:val="16"/>
        <w:ind w:firstLine="560"/>
        <w:rPr>
          <w:rFonts w:hint="eastAsia" w:ascii="宋体" w:hAnsi="宋体" w:eastAsia="宋体" w:cs="宋体"/>
        </w:rPr>
      </w:pPr>
      <w:r>
        <w:rPr>
          <w:rFonts w:hint="eastAsia" w:ascii="宋体" w:hAnsi="宋体" w:eastAsia="宋体" w:cs="宋体"/>
        </w:rPr>
        <w:t>（1）井下掘进废石</w:t>
      </w:r>
    </w:p>
    <w:p>
      <w:pPr>
        <w:pStyle w:val="16"/>
        <w:ind w:firstLine="560"/>
        <w:rPr>
          <w:rFonts w:hint="eastAsia" w:ascii="宋体" w:hAnsi="宋体" w:eastAsia="宋体" w:cs="宋体"/>
        </w:rPr>
      </w:pPr>
      <w:r>
        <w:rPr>
          <w:rFonts w:hint="eastAsia" w:ascii="宋体" w:hAnsi="宋体" w:eastAsia="宋体" w:cs="宋体"/>
        </w:rPr>
        <w:t>施工期废石主要为竖井、风井、巷道掘进开拓而产生的废石，施工期间共产生废石84万t，运至尾矿库，作为筑坝材料。</w:t>
      </w:r>
    </w:p>
    <w:p>
      <w:pPr>
        <w:pStyle w:val="16"/>
        <w:ind w:firstLine="560"/>
        <w:rPr>
          <w:rFonts w:hint="eastAsia" w:ascii="宋体" w:hAnsi="宋体" w:eastAsia="宋体" w:cs="宋体"/>
        </w:rPr>
      </w:pPr>
      <w:r>
        <w:rPr>
          <w:rFonts w:hint="eastAsia" w:ascii="宋体" w:hAnsi="宋体" w:eastAsia="宋体" w:cs="宋体"/>
        </w:rPr>
        <w:t>（2）生活垃圾</w:t>
      </w:r>
    </w:p>
    <w:p>
      <w:pPr>
        <w:ind w:firstLine="560"/>
        <w:rPr>
          <w:rFonts w:hint="eastAsia" w:ascii="宋体" w:hAnsi="宋体" w:eastAsia="宋体" w:cs="宋体"/>
          <w:lang w:eastAsia="zh-CN"/>
        </w:rPr>
      </w:pPr>
      <w:r>
        <w:rPr>
          <w:rFonts w:hint="eastAsia" w:ascii="宋体" w:hAnsi="宋体" w:eastAsia="宋体" w:cs="宋体"/>
          <w:lang w:eastAsia="zh-CN"/>
        </w:rPr>
        <w:t>施工期产生的生活垃圾按0.5kg/人•d，施工人员按100人计，则施工期共产生生活垃圾16.5t/a，经垃圾桶收集，由当地环卫部门负责定期清运。</w:t>
      </w:r>
    </w:p>
    <w:p>
      <w:pPr>
        <w:pStyle w:val="7"/>
        <w:rPr>
          <w:rFonts w:hint="eastAsia" w:ascii="宋体" w:hAnsi="宋体" w:eastAsia="宋体" w:cs="宋体"/>
          <w:lang w:eastAsia="zh-CN"/>
        </w:rPr>
      </w:pPr>
      <w:r>
        <w:rPr>
          <w:rFonts w:hint="eastAsia" w:ascii="宋体" w:hAnsi="宋体" w:eastAsia="宋体" w:cs="宋体"/>
          <w:lang w:eastAsia="zh-CN"/>
        </w:rPr>
        <w:t>8.5.2 营运期污染防治措施及技术论证</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固体废物主要是采矿废石、污泥及设备维修产生的危废。</w:t>
      </w:r>
    </w:p>
    <w:p>
      <w:pPr>
        <w:ind w:firstLine="560"/>
        <w:rPr>
          <w:rFonts w:hint="eastAsia" w:ascii="宋体" w:hAnsi="宋体" w:eastAsia="宋体" w:cs="宋体"/>
          <w:lang w:eastAsia="zh-CN"/>
        </w:rPr>
      </w:pPr>
      <w:r>
        <w:rPr>
          <w:rFonts w:hint="eastAsia" w:ascii="宋体" w:hAnsi="宋体" w:eastAsia="宋体" w:cs="宋体"/>
          <w:lang w:eastAsia="zh-CN"/>
        </w:rPr>
        <w:t>（1）采矿废石</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生产期间井下掘进废石（取矿石体积的20%，按年产50万吨矿石计算）约</w:t>
      </w:r>
      <w:r>
        <w:rPr>
          <w:rFonts w:hint="eastAsia" w:cs="宋体"/>
          <w:lang w:val="en-US" w:eastAsia="zh-CN"/>
        </w:rPr>
        <w:t>2.8</w:t>
      </w:r>
      <w:r>
        <w:rPr>
          <w:rFonts w:hint="eastAsia" w:ascii="宋体" w:hAnsi="宋体" w:eastAsia="宋体" w:cs="宋体"/>
          <w:lang w:eastAsia="zh-CN"/>
        </w:rPr>
        <w:t>万m</w:t>
      </w:r>
      <w:r>
        <w:rPr>
          <w:rFonts w:hint="eastAsia" w:ascii="宋体" w:hAnsi="宋体" w:eastAsia="宋体" w:cs="宋体"/>
          <w:vertAlign w:val="superscript"/>
          <w:lang w:eastAsia="zh-CN"/>
        </w:rPr>
        <w:t>3</w:t>
      </w:r>
      <w:r>
        <w:rPr>
          <w:rFonts w:hint="eastAsia" w:ascii="宋体" w:hAnsi="宋体" w:eastAsia="宋体" w:cs="宋体"/>
          <w:lang w:eastAsia="zh-CN"/>
        </w:rPr>
        <w:t>/a，折合约</w:t>
      </w:r>
      <w:r>
        <w:rPr>
          <w:rFonts w:hint="eastAsia" w:cs="宋体"/>
          <w:lang w:val="en-US" w:eastAsia="zh-CN"/>
        </w:rPr>
        <w:t>7.6</w:t>
      </w:r>
      <w:r>
        <w:rPr>
          <w:rFonts w:hint="eastAsia" w:ascii="宋体" w:hAnsi="宋体" w:eastAsia="宋体" w:cs="宋体"/>
          <w:lang w:eastAsia="zh-CN"/>
        </w:rPr>
        <w:t>万t/a（矿石体重3.51t/m</w:t>
      </w:r>
      <w:r>
        <w:rPr>
          <w:rFonts w:hint="eastAsia" w:ascii="宋体" w:hAnsi="宋体" w:eastAsia="宋体" w:cs="宋体"/>
          <w:vertAlign w:val="superscript"/>
          <w:lang w:eastAsia="zh-CN"/>
        </w:rPr>
        <w:t>3</w:t>
      </w:r>
      <w:r>
        <w:rPr>
          <w:rFonts w:hint="eastAsia" w:ascii="宋体" w:hAnsi="宋体" w:eastAsia="宋体" w:cs="宋体"/>
          <w:lang w:eastAsia="zh-CN"/>
        </w:rPr>
        <w:t>，废石体重2.68t/m</w:t>
      </w:r>
      <w:r>
        <w:rPr>
          <w:rFonts w:hint="eastAsia" w:ascii="宋体" w:hAnsi="宋体" w:eastAsia="宋体" w:cs="宋体"/>
          <w:vertAlign w:val="superscript"/>
          <w:lang w:eastAsia="zh-CN"/>
        </w:rPr>
        <w:t>3</w:t>
      </w:r>
      <w:r>
        <w:rPr>
          <w:rFonts w:hint="eastAsia" w:ascii="宋体" w:hAnsi="宋体" w:eastAsia="宋体" w:cs="宋体"/>
          <w:lang w:eastAsia="zh-CN"/>
        </w:rPr>
        <w:t>），全部用于回填采空区，废石不出坑。</w:t>
      </w:r>
    </w:p>
    <w:p>
      <w:pPr>
        <w:ind w:firstLine="560"/>
        <w:rPr>
          <w:rFonts w:hint="eastAsia" w:ascii="宋体" w:hAnsi="宋体" w:eastAsia="宋体" w:cs="宋体"/>
          <w:lang w:eastAsia="zh-CN"/>
        </w:rPr>
      </w:pPr>
      <w:r>
        <w:rPr>
          <w:rFonts w:hint="eastAsia" w:ascii="宋体" w:hAnsi="宋体" w:eastAsia="宋体" w:cs="宋体"/>
          <w:lang w:eastAsia="zh-CN"/>
        </w:rPr>
        <w:t>（2）污泥</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污泥主要包括井下水仓污泥和南风井处涌水池污泥。其中井下水仓污泥产生量分别约为85t/a，污泥不出井，直接回填采空区；涌水池污泥产生量约为115t/a，定期清理，清理出污泥直接运输至选矿厂进行磁选。</w:t>
      </w:r>
    </w:p>
    <w:p>
      <w:pPr>
        <w:ind w:firstLine="560"/>
        <w:rPr>
          <w:rFonts w:hint="eastAsia" w:ascii="宋体" w:hAnsi="宋体" w:eastAsia="宋体" w:cs="宋体"/>
          <w:lang w:eastAsia="zh-CN"/>
        </w:rPr>
      </w:pPr>
      <w:r>
        <w:rPr>
          <w:rFonts w:hint="eastAsia" w:ascii="宋体" w:hAnsi="宋体" w:eastAsia="宋体" w:cs="宋体"/>
          <w:lang w:eastAsia="zh-CN"/>
        </w:rPr>
        <w:t>（3）设备维修</w:t>
      </w:r>
    </w:p>
    <w:p>
      <w:pPr>
        <w:ind w:firstLine="560"/>
        <w:rPr>
          <w:rFonts w:hint="eastAsia" w:ascii="宋体" w:hAnsi="宋体" w:eastAsia="宋体" w:cs="宋体"/>
          <w:lang w:eastAsia="zh-CN"/>
        </w:rPr>
      </w:pPr>
      <w:r>
        <w:rPr>
          <w:rFonts w:hint="eastAsia" w:ascii="宋体" w:hAnsi="宋体" w:eastAsia="宋体" w:cs="宋体"/>
          <w:lang w:eastAsia="zh-CN"/>
        </w:rPr>
        <w:t>设备维护所产生的危废主要是废矿物油和废油桶，其中废矿物油（HW08废矿物油与含矿物油废物900-249-08）产生量约0.5t/年；废油桶（HW49其他废物900-041-49）产生量约0.4t/a。废矿物油及废油桶收集后暂存公司危废暂存间，委托有资质单位统一处理。</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固体废物均得到合理有效的处置，不会产生二次污染。</w:t>
      </w:r>
    </w:p>
    <w:p>
      <w:pPr>
        <w:pStyle w:val="6"/>
        <w:rPr>
          <w:rFonts w:hint="eastAsia" w:ascii="宋体" w:hAnsi="宋体" w:eastAsia="宋体" w:cs="宋体"/>
          <w:lang w:eastAsia="zh-CN"/>
        </w:rPr>
      </w:pPr>
      <w:bookmarkStart w:id="195" w:name="_Toc7176"/>
      <w:bookmarkStart w:id="196" w:name="_Toc14984"/>
      <w:r>
        <w:rPr>
          <w:rFonts w:hint="eastAsia" w:ascii="宋体" w:hAnsi="宋体" w:eastAsia="宋体" w:cs="宋体"/>
          <w:lang w:eastAsia="zh-CN"/>
        </w:rPr>
        <w:t>8.6 生态保护与恢复措施及其可行性论证</w:t>
      </w:r>
      <w:bookmarkEnd w:id="195"/>
      <w:bookmarkEnd w:id="196"/>
    </w:p>
    <w:p>
      <w:pPr>
        <w:pStyle w:val="7"/>
        <w:rPr>
          <w:rFonts w:hint="eastAsia" w:ascii="宋体" w:hAnsi="宋体" w:eastAsia="宋体" w:cs="宋体"/>
          <w:lang w:eastAsia="zh-CN"/>
        </w:rPr>
      </w:pPr>
      <w:r>
        <w:rPr>
          <w:rFonts w:hint="eastAsia" w:ascii="宋体" w:hAnsi="宋体" w:eastAsia="宋体" w:cs="宋体"/>
          <w:lang w:eastAsia="zh-CN"/>
        </w:rPr>
        <w:t>8.6.1 施工期</w:t>
      </w:r>
    </w:p>
    <w:p>
      <w:pPr>
        <w:pStyle w:val="16"/>
        <w:ind w:firstLine="560"/>
        <w:rPr>
          <w:rFonts w:hint="eastAsia" w:ascii="宋体" w:hAnsi="宋体" w:eastAsia="宋体" w:cs="宋体"/>
        </w:rPr>
      </w:pPr>
      <w:r>
        <w:rPr>
          <w:rFonts w:hint="eastAsia" w:ascii="宋体" w:hAnsi="宋体" w:eastAsia="宋体" w:cs="宋体"/>
        </w:rPr>
        <w:t>本工程不新增占地，对周围生态环境影响较少。</w:t>
      </w:r>
    </w:p>
    <w:p>
      <w:pPr>
        <w:pStyle w:val="7"/>
        <w:rPr>
          <w:rFonts w:hint="eastAsia" w:ascii="宋体" w:hAnsi="宋体" w:eastAsia="宋体" w:cs="宋体"/>
          <w:lang w:eastAsia="zh-CN"/>
        </w:rPr>
      </w:pPr>
      <w:r>
        <w:rPr>
          <w:rFonts w:hint="eastAsia" w:ascii="宋体" w:hAnsi="宋体" w:eastAsia="宋体" w:cs="宋体"/>
          <w:lang w:eastAsia="zh-CN"/>
        </w:rPr>
        <w:t>8.6.2 营运期</w:t>
      </w:r>
    </w:p>
    <w:p>
      <w:pPr>
        <w:pStyle w:val="16"/>
        <w:ind w:firstLine="560"/>
        <w:rPr>
          <w:rFonts w:hint="eastAsia" w:ascii="宋体" w:hAnsi="宋体" w:eastAsia="宋体" w:cs="宋体"/>
        </w:rPr>
      </w:pPr>
      <w:r>
        <w:rPr>
          <w:rFonts w:hint="eastAsia" w:ascii="宋体" w:hAnsi="宋体" w:eastAsia="宋体" w:cs="宋体"/>
        </w:rPr>
        <w:t>1、围墙区绿化：加强工业场地围墙区域植被绿化，以减低粉尘对周围环境的影响，同时起到消声降噪作用。</w:t>
      </w:r>
    </w:p>
    <w:p>
      <w:pPr>
        <w:pStyle w:val="16"/>
        <w:ind w:firstLine="560"/>
        <w:rPr>
          <w:rFonts w:hint="eastAsia" w:ascii="宋体" w:hAnsi="宋体" w:eastAsia="宋体" w:cs="宋体"/>
        </w:rPr>
      </w:pPr>
      <w:r>
        <w:rPr>
          <w:rFonts w:hint="eastAsia" w:ascii="宋体" w:hAnsi="宋体" w:eastAsia="宋体" w:cs="宋体"/>
        </w:rPr>
        <w:t>2、场地绿化：现有厂区已进行绿化。</w:t>
      </w:r>
    </w:p>
    <w:p>
      <w:pPr>
        <w:pStyle w:val="16"/>
        <w:ind w:firstLine="560"/>
        <w:rPr>
          <w:rFonts w:hint="eastAsia" w:ascii="宋体" w:hAnsi="宋体" w:eastAsia="宋体" w:cs="宋体"/>
        </w:rPr>
      </w:pPr>
      <w:r>
        <w:rPr>
          <w:rFonts w:hint="eastAsia" w:ascii="宋体" w:hAnsi="宋体" w:eastAsia="宋体" w:cs="宋体"/>
        </w:rPr>
        <w:t>3、矿区道路绿化：在场内道路两侧种植行道树，选择防风和吸尘能力强的树种。</w:t>
      </w:r>
    </w:p>
    <w:p>
      <w:pPr>
        <w:pStyle w:val="7"/>
        <w:rPr>
          <w:rFonts w:hint="eastAsia" w:ascii="宋体" w:hAnsi="宋体" w:eastAsia="宋体" w:cs="宋体"/>
          <w:lang w:eastAsia="zh-CN"/>
        </w:rPr>
      </w:pPr>
      <w:r>
        <w:rPr>
          <w:rFonts w:hint="eastAsia" w:ascii="宋体" w:hAnsi="宋体" w:eastAsia="宋体" w:cs="宋体"/>
          <w:lang w:eastAsia="zh-CN"/>
        </w:rPr>
        <w:t>8.6.3 服务期满</w:t>
      </w:r>
    </w:p>
    <w:p>
      <w:pPr>
        <w:pStyle w:val="16"/>
        <w:ind w:firstLine="560"/>
        <w:rPr>
          <w:rFonts w:hint="eastAsia" w:ascii="宋体" w:hAnsi="宋体" w:eastAsia="宋体" w:cs="宋体"/>
        </w:rPr>
      </w:pPr>
      <w:r>
        <w:rPr>
          <w:rFonts w:hint="eastAsia" w:ascii="宋体" w:hAnsi="宋体" w:eastAsia="宋体" w:cs="宋体"/>
        </w:rPr>
        <w:t>服务期满后由于对采矿区工业场地地面建筑等予以部分拆除，并进行植被恢复或者土地复垦，矿区的生态环境虽然暂时不能完全恢复到原来的状态，但经过一段时间后，随着植被量的增加，生态结构和功能得到优化，生态系统连通性和完整性有所增加。矿山服务期满后，矿区对周围生态环境的影响在原有程度范围内将不会再产生新的不利影响产生。由于建设单位已委托单位编制出完善的土地复垦规划，对受扰动区域将进行全面的整治、绿化措施，矿区整体的环境状况将会逐渐得到改善。</w:t>
      </w:r>
    </w:p>
    <w:p>
      <w:pPr>
        <w:pStyle w:val="6"/>
        <w:rPr>
          <w:rFonts w:hint="eastAsia" w:ascii="宋体" w:hAnsi="宋体" w:eastAsia="宋体" w:cs="宋体"/>
          <w:lang w:eastAsia="zh-CN"/>
        </w:rPr>
      </w:pPr>
      <w:bookmarkStart w:id="197" w:name="_Toc25711"/>
      <w:bookmarkStart w:id="198" w:name="_Toc31016"/>
      <w:r>
        <w:rPr>
          <w:rFonts w:hint="eastAsia" w:ascii="宋体" w:hAnsi="宋体" w:eastAsia="宋体" w:cs="宋体"/>
          <w:lang w:eastAsia="zh-CN"/>
        </w:rPr>
        <w:t>8.7 小结</w:t>
      </w:r>
      <w:bookmarkEnd w:id="197"/>
      <w:bookmarkEnd w:id="198"/>
    </w:p>
    <w:p>
      <w:pPr>
        <w:pStyle w:val="16"/>
        <w:ind w:firstLine="560"/>
        <w:rPr>
          <w:rFonts w:hint="eastAsia" w:ascii="宋体" w:hAnsi="宋体" w:eastAsia="宋体" w:cs="宋体"/>
        </w:rPr>
      </w:pPr>
      <w:r>
        <w:rPr>
          <w:rFonts w:hint="eastAsia" w:ascii="宋体" w:hAnsi="宋体" w:eastAsia="宋体" w:cs="宋体"/>
        </w:rPr>
        <w:t>本工程所采取的各类环境保护措施在技术上是可行的，经济上是合理的，处理效果稳定可靠，能够确保本工程污染物达标排放。</w:t>
      </w:r>
    </w:p>
    <w:p>
      <w:pPr>
        <w:pStyle w:val="16"/>
        <w:ind w:firstLine="560"/>
        <w:rPr>
          <w:rFonts w:hint="eastAsia" w:ascii="宋体" w:hAnsi="宋体" w:eastAsia="宋体" w:cs="宋体"/>
        </w:rPr>
        <w:sectPr>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pStyle w:val="5"/>
        <w:spacing w:before="156" w:after="156"/>
        <w:rPr>
          <w:rFonts w:hint="eastAsia" w:ascii="宋体" w:hAnsi="宋体" w:eastAsia="宋体" w:cs="宋体"/>
          <w:lang w:eastAsia="zh-CN"/>
        </w:rPr>
      </w:pPr>
      <w:bookmarkStart w:id="199" w:name="_Toc17820"/>
      <w:bookmarkStart w:id="200" w:name="_Toc28609"/>
      <w:r>
        <w:rPr>
          <w:rFonts w:hint="eastAsia" w:ascii="宋体" w:hAnsi="宋体" w:eastAsia="宋体" w:cs="宋体"/>
          <w:lang w:eastAsia="zh-CN"/>
        </w:rPr>
        <w:t>第九章 总量控制</w:t>
      </w:r>
      <w:bookmarkEnd w:id="199"/>
      <w:bookmarkEnd w:id="200"/>
    </w:p>
    <w:p>
      <w:pPr>
        <w:pStyle w:val="6"/>
        <w:rPr>
          <w:rFonts w:hint="eastAsia" w:ascii="宋体" w:hAnsi="宋体" w:eastAsia="宋体" w:cs="宋体"/>
          <w:lang w:eastAsia="zh-CN"/>
        </w:rPr>
      </w:pPr>
      <w:bookmarkStart w:id="201" w:name="_Toc17659"/>
      <w:bookmarkStart w:id="202" w:name="_Toc10078"/>
      <w:r>
        <w:rPr>
          <w:rFonts w:hint="eastAsia" w:ascii="宋体" w:hAnsi="宋体" w:eastAsia="宋体" w:cs="宋体"/>
          <w:lang w:eastAsia="zh-CN"/>
        </w:rPr>
        <w:t>9.1 总量控制制度</w:t>
      </w:r>
      <w:bookmarkEnd w:id="201"/>
      <w:bookmarkEnd w:id="202"/>
    </w:p>
    <w:p>
      <w:pPr>
        <w:ind w:firstLine="560"/>
        <w:rPr>
          <w:rFonts w:hint="eastAsia" w:ascii="宋体" w:hAnsi="宋体" w:eastAsia="宋体" w:cs="宋体"/>
          <w:lang w:eastAsia="zh-CN"/>
        </w:rPr>
      </w:pPr>
      <w:r>
        <w:rPr>
          <w:rFonts w:hint="eastAsia" w:ascii="宋体" w:hAnsi="宋体" w:eastAsia="宋体" w:cs="宋体"/>
          <w:lang w:eastAsia="zh-CN"/>
        </w:rPr>
        <w:t>排污总量控制制度，是指国家对污染物的排放实施总量控制的法律制度。在此概念中，“总量”一词指的是在一定区域和时间范围内的排污量总和或一定时间范围内某个企业的排污量总和。</w:t>
      </w:r>
    </w:p>
    <w:p>
      <w:pPr>
        <w:pStyle w:val="6"/>
        <w:rPr>
          <w:rFonts w:hint="eastAsia" w:ascii="宋体" w:hAnsi="宋体" w:eastAsia="宋体" w:cs="宋体"/>
          <w:lang w:eastAsia="zh-CN"/>
        </w:rPr>
      </w:pPr>
      <w:bookmarkStart w:id="203" w:name="_Toc5357"/>
      <w:bookmarkStart w:id="204" w:name="_Toc26865"/>
      <w:r>
        <w:rPr>
          <w:rFonts w:hint="eastAsia" w:ascii="宋体" w:hAnsi="宋体" w:eastAsia="宋体" w:cs="宋体"/>
          <w:lang w:eastAsia="zh-CN"/>
        </w:rPr>
        <w:t>9.2 总量控制原则与对象</w:t>
      </w:r>
      <w:bookmarkEnd w:id="203"/>
      <w:bookmarkEnd w:id="204"/>
    </w:p>
    <w:p>
      <w:pPr>
        <w:ind w:firstLine="560"/>
        <w:rPr>
          <w:rFonts w:hint="eastAsia" w:ascii="宋体" w:hAnsi="宋体" w:eastAsia="宋体" w:cs="宋体"/>
          <w:lang w:eastAsia="zh-CN"/>
        </w:rPr>
      </w:pPr>
      <w:r>
        <w:rPr>
          <w:rFonts w:hint="eastAsia" w:ascii="宋体" w:hAnsi="宋体" w:eastAsia="宋体" w:cs="宋体"/>
          <w:lang w:eastAsia="zh-CN"/>
        </w:rPr>
        <w:t>国家提出的“排污总量控制”实际上是区域性的，也就是说，当局部不可避免地增加污染物排放时，应对同行业或区域内进行污染物排放量削减，使区域内污染源的污染物排放负荷控制在一定数量内，使污染物的受纳水体、空气等的环境质量可达到规定的环境目标。</w:t>
      </w:r>
    </w:p>
    <w:p>
      <w:pPr>
        <w:ind w:firstLine="560"/>
        <w:rPr>
          <w:rFonts w:hint="eastAsia" w:ascii="宋体" w:hAnsi="宋体" w:eastAsia="宋体" w:cs="宋体"/>
          <w:lang w:eastAsia="zh-CN"/>
        </w:rPr>
      </w:pPr>
      <w:r>
        <w:rPr>
          <w:rFonts w:hint="eastAsia" w:ascii="宋体" w:hAnsi="宋体" w:eastAsia="宋体" w:cs="宋体"/>
          <w:lang w:eastAsia="zh-CN"/>
        </w:rPr>
        <w:t>实施污染物“排污总量控制”是考核各级政府和企业环境保护目标责任制的重要指标，也是改善环境质量的具体措施之一。本次评价排污总量控制结合项目所在地的实际情况，并根据地方政府的要求，全面对废水污染物和废气污染物排放总量进行控制。</w:t>
      </w:r>
    </w:p>
    <w:p>
      <w:pPr>
        <w:ind w:firstLine="560"/>
        <w:rPr>
          <w:rFonts w:hint="eastAsia" w:ascii="宋体" w:hAnsi="宋体" w:eastAsia="宋体" w:cs="宋体"/>
          <w:lang w:eastAsia="zh-CN"/>
        </w:rPr>
      </w:pPr>
      <w:r>
        <w:rPr>
          <w:rFonts w:hint="eastAsia" w:ascii="宋体" w:hAnsi="宋体" w:eastAsia="宋体" w:cs="宋体"/>
          <w:lang w:eastAsia="zh-CN"/>
        </w:rPr>
        <w:t>根据《山东省生态环境保护“十三五”规划》，实行总量控制的项目为COD、氨氮、SO</w:t>
      </w:r>
      <w:r>
        <w:rPr>
          <w:rFonts w:hint="eastAsia" w:ascii="宋体" w:hAnsi="宋体" w:eastAsia="宋体" w:cs="宋体"/>
          <w:vertAlign w:val="subscript"/>
          <w:lang w:eastAsia="zh-CN"/>
        </w:rPr>
        <w:t>2</w:t>
      </w:r>
      <w:r>
        <w:rPr>
          <w:rFonts w:hint="eastAsia" w:ascii="宋体" w:hAnsi="宋体" w:eastAsia="宋体" w:cs="宋体"/>
          <w:lang w:eastAsia="zh-CN"/>
        </w:rPr>
        <w:t>和NO</w:t>
      </w:r>
      <w:r>
        <w:rPr>
          <w:rFonts w:hint="eastAsia" w:ascii="宋体" w:hAnsi="宋体" w:eastAsia="宋体" w:cs="宋体"/>
          <w:vertAlign w:val="subscript"/>
          <w:lang w:eastAsia="zh-CN"/>
        </w:rPr>
        <w:t>X</w:t>
      </w:r>
      <w:r>
        <w:rPr>
          <w:rFonts w:hint="eastAsia" w:ascii="宋体" w:hAnsi="宋体" w:eastAsia="宋体" w:cs="宋体"/>
          <w:lang w:eastAsia="zh-CN"/>
        </w:rPr>
        <w:t>。</w:t>
      </w:r>
    </w:p>
    <w:p>
      <w:pPr>
        <w:pStyle w:val="2"/>
        <w:ind w:firstLine="560"/>
        <w:rPr>
          <w:rFonts w:hint="eastAsia" w:ascii="宋体" w:hAnsi="宋体" w:eastAsia="宋体" w:cs="宋体"/>
          <w:lang w:eastAsia="zh-CN"/>
        </w:rPr>
      </w:pPr>
      <w:r>
        <w:rPr>
          <w:rFonts w:hint="eastAsia" w:ascii="宋体" w:hAnsi="宋体" w:eastAsia="宋体" w:cs="宋体"/>
          <w:lang w:eastAsia="zh-CN"/>
        </w:rPr>
        <w:t>根据《山东省生态环境厅关于印发山东省建设项目主要大气污染物排放总量替代指标核算及管理办法的通知》（鲁环发〔2019〕132号），二氧化硫、氮氧化物、烟粉尘和挥发性有机物四项大气污染物排放总量替代指标的核算。</w:t>
      </w:r>
    </w:p>
    <w:p>
      <w:pPr>
        <w:ind w:firstLine="560"/>
        <w:rPr>
          <w:rFonts w:hint="eastAsia" w:ascii="宋体" w:hAnsi="宋体" w:eastAsia="宋体" w:cs="宋体"/>
          <w:lang w:eastAsia="zh-CN"/>
        </w:rPr>
      </w:pPr>
      <w:r>
        <w:rPr>
          <w:rFonts w:hint="eastAsia" w:ascii="宋体" w:hAnsi="宋体" w:eastAsia="宋体" w:cs="宋体"/>
          <w:lang w:eastAsia="zh-CN"/>
        </w:rPr>
        <w:t>根据《临沂市生态环境局关于进一步做好建设项目主要污染物排放总量控制工作的通知》，主要污染物：化学需氧量、氨氮、二氧化硫、氮氧化物、颗粒物、挥发性有机物6项。</w:t>
      </w:r>
    </w:p>
    <w:p>
      <w:pPr>
        <w:pStyle w:val="2"/>
        <w:ind w:firstLine="560"/>
        <w:rPr>
          <w:rFonts w:hint="eastAsia" w:ascii="宋体" w:hAnsi="宋体" w:eastAsia="宋体" w:cs="宋体"/>
          <w:lang w:eastAsia="zh-CN"/>
        </w:rPr>
      </w:pPr>
      <w:r>
        <w:rPr>
          <w:rFonts w:hint="eastAsia" w:ascii="宋体" w:hAnsi="宋体" w:eastAsia="宋体" w:cs="宋体"/>
          <w:lang w:eastAsia="zh-CN"/>
        </w:rPr>
        <w:t>综合考虑</w:t>
      </w:r>
      <w:r>
        <w:rPr>
          <w:rFonts w:hint="eastAsia" w:cs="宋体"/>
          <w:lang w:eastAsia="zh-CN"/>
        </w:rPr>
        <w:t>本项目</w:t>
      </w:r>
      <w:r>
        <w:rPr>
          <w:rFonts w:hint="eastAsia" w:ascii="宋体" w:hAnsi="宋体" w:eastAsia="宋体" w:cs="宋体"/>
          <w:lang w:eastAsia="zh-CN"/>
        </w:rPr>
        <w:t>的排污特点，所在区域环境质量现状以及当地环境管理部门的要求，本次评价总量控制对象为化学需氧量、氨氮、二氧化硫、氮氧化物、颗粒物、挥发性有机物。</w:t>
      </w:r>
    </w:p>
    <w:p>
      <w:pPr>
        <w:pStyle w:val="6"/>
        <w:rPr>
          <w:rFonts w:hint="eastAsia" w:ascii="宋体" w:hAnsi="宋体" w:eastAsia="宋体" w:cs="宋体"/>
          <w:lang w:eastAsia="zh-CN"/>
        </w:rPr>
      </w:pPr>
      <w:bookmarkStart w:id="205" w:name="_Toc26128"/>
      <w:bookmarkStart w:id="206" w:name="_Toc27567"/>
      <w:r>
        <w:rPr>
          <w:rFonts w:hint="eastAsia" w:ascii="宋体" w:hAnsi="宋体" w:eastAsia="宋体" w:cs="宋体"/>
          <w:lang w:eastAsia="zh-CN"/>
        </w:rPr>
        <w:t>9.3 本项目总量控制分析</w:t>
      </w:r>
      <w:bookmarkEnd w:id="205"/>
      <w:bookmarkEnd w:id="206"/>
    </w:p>
    <w:p>
      <w:pPr>
        <w:pStyle w:val="7"/>
        <w:rPr>
          <w:rFonts w:hint="eastAsia" w:ascii="宋体" w:hAnsi="宋体" w:eastAsia="宋体" w:cs="宋体"/>
          <w:lang w:eastAsia="zh-CN"/>
        </w:rPr>
      </w:pPr>
      <w:r>
        <w:rPr>
          <w:rFonts w:hint="eastAsia" w:ascii="宋体" w:hAnsi="宋体" w:eastAsia="宋体" w:cs="宋体"/>
          <w:lang w:eastAsia="zh-CN"/>
        </w:rPr>
        <w:t>9.3.1 废水污染物总量控制分析</w:t>
      </w:r>
    </w:p>
    <w:p>
      <w:pPr>
        <w:ind w:firstLine="560"/>
        <w:rPr>
          <w:rFonts w:hint="eastAsia" w:ascii="宋体" w:hAnsi="宋体" w:eastAsia="宋体" w:cs="宋体"/>
          <w:lang w:eastAsia="zh-CN"/>
        </w:rPr>
      </w:pPr>
      <w:r>
        <w:rPr>
          <w:rFonts w:hint="eastAsia" w:ascii="宋体" w:hAnsi="宋体" w:eastAsia="宋体" w:cs="宋体"/>
          <w:lang w:eastAsia="zh-CN"/>
        </w:rPr>
        <w:t>（1）</w:t>
      </w:r>
      <w:r>
        <w:rPr>
          <w:rFonts w:hint="eastAsia" w:cs="宋体"/>
          <w:lang w:eastAsia="zh-CN"/>
        </w:rPr>
        <w:t>本项目</w:t>
      </w:r>
      <w:r>
        <w:rPr>
          <w:rFonts w:hint="eastAsia" w:ascii="宋体" w:hAnsi="宋体" w:eastAsia="宋体" w:cs="宋体"/>
          <w:lang w:eastAsia="zh-CN"/>
        </w:rPr>
        <w:t>投产后，井下涌水全部回用，不外排。</w:t>
      </w:r>
    </w:p>
    <w:p>
      <w:pPr>
        <w:ind w:firstLine="560"/>
        <w:rPr>
          <w:rFonts w:hint="eastAsia" w:ascii="宋体" w:hAnsi="宋体" w:eastAsia="宋体" w:cs="宋体"/>
          <w:lang w:eastAsia="zh-CN"/>
        </w:rPr>
      </w:pPr>
      <w:r>
        <w:rPr>
          <w:rFonts w:hint="eastAsia" w:ascii="宋体" w:hAnsi="宋体" w:eastAsia="宋体" w:cs="宋体"/>
          <w:lang w:eastAsia="zh-CN"/>
        </w:rPr>
        <w:t>（2）</w:t>
      </w:r>
      <w:r>
        <w:rPr>
          <w:rFonts w:hint="eastAsia" w:cs="宋体"/>
          <w:lang w:eastAsia="zh-CN"/>
        </w:rPr>
        <w:t>本项目</w:t>
      </w:r>
      <w:r>
        <w:rPr>
          <w:rFonts w:hint="eastAsia" w:ascii="宋体" w:hAnsi="宋体" w:eastAsia="宋体" w:cs="宋体"/>
          <w:lang w:eastAsia="zh-CN"/>
        </w:rPr>
        <w:t>生活污水产生量较小，经一体化污水处理设备处理后用于矿区绿化和道路喷洒等，不外排。</w:t>
      </w:r>
    </w:p>
    <w:p>
      <w:pPr>
        <w:ind w:firstLine="560"/>
        <w:rPr>
          <w:rFonts w:hint="eastAsia" w:ascii="宋体" w:hAnsi="宋体" w:eastAsia="宋体" w:cs="宋体"/>
          <w:lang w:eastAsia="zh-CN"/>
        </w:rPr>
      </w:pPr>
      <w:r>
        <w:rPr>
          <w:rFonts w:hint="eastAsia" w:ascii="宋体" w:hAnsi="宋体" w:eastAsia="宋体" w:cs="宋体"/>
          <w:lang w:eastAsia="zh-CN"/>
        </w:rPr>
        <w:t>因此，</w:t>
      </w:r>
      <w:r>
        <w:rPr>
          <w:rFonts w:hint="eastAsia" w:cs="宋体"/>
          <w:lang w:eastAsia="zh-CN"/>
        </w:rPr>
        <w:t>本项目</w:t>
      </w:r>
      <w:r>
        <w:rPr>
          <w:rFonts w:hint="eastAsia" w:ascii="宋体" w:hAnsi="宋体" w:eastAsia="宋体" w:cs="宋体"/>
          <w:lang w:eastAsia="zh-CN"/>
        </w:rPr>
        <w:t>建成后，废水排放为零，无需申请COD、氨氮总量指标。</w:t>
      </w:r>
    </w:p>
    <w:p>
      <w:pPr>
        <w:pStyle w:val="7"/>
        <w:rPr>
          <w:rFonts w:hint="eastAsia" w:ascii="宋体" w:hAnsi="宋体" w:eastAsia="宋体" w:cs="宋体"/>
          <w:lang w:eastAsia="zh-CN"/>
        </w:rPr>
      </w:pPr>
      <w:r>
        <w:rPr>
          <w:rFonts w:hint="eastAsia" w:ascii="宋体" w:hAnsi="宋体" w:eastAsia="宋体" w:cs="宋体"/>
          <w:lang w:eastAsia="zh-CN"/>
        </w:rPr>
        <w:t>9.3.1 废气污染物总量控制分析</w:t>
      </w:r>
    </w:p>
    <w:p>
      <w:pPr>
        <w:pStyle w:val="2"/>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排放颗粒物污染物排放量为0.</w:t>
      </w:r>
      <w:r>
        <w:rPr>
          <w:rFonts w:hint="eastAsia" w:cs="宋体"/>
          <w:lang w:val="en-US" w:eastAsia="zh-CN"/>
        </w:rPr>
        <w:t>1</w:t>
      </w:r>
      <w:r>
        <w:rPr>
          <w:rFonts w:hint="eastAsia" w:ascii="宋体" w:hAnsi="宋体" w:eastAsia="宋体" w:cs="宋体"/>
          <w:lang w:eastAsia="zh-CN"/>
        </w:rPr>
        <w:t>0t/a，无二氧化硫、氮氧化物、挥发性有机物排放。</w:t>
      </w:r>
    </w:p>
    <w:p>
      <w:pPr>
        <w:ind w:firstLine="560"/>
        <w:rPr>
          <w:rFonts w:hint="eastAsia" w:ascii="宋体" w:hAnsi="宋体" w:eastAsia="宋体" w:cs="宋体"/>
          <w:lang w:eastAsia="zh-CN"/>
        </w:rPr>
      </w:pPr>
      <w:r>
        <w:rPr>
          <w:rFonts w:hint="eastAsia" w:ascii="宋体" w:hAnsi="宋体" w:eastAsia="宋体" w:cs="宋体"/>
          <w:lang w:eastAsia="zh-CN"/>
        </w:rPr>
        <w:t>根据《关于印发山东省建设项目主要大气污染物排放总量替代指标核算》（鲁环发[2019]132号），本项目颗粒物总量进行2倍量替代，因此需申请颗粒物</w:t>
      </w:r>
      <w:r>
        <w:rPr>
          <w:rFonts w:hint="eastAsia" w:cs="宋体"/>
          <w:lang w:val="en-US" w:eastAsia="zh-CN"/>
        </w:rPr>
        <w:t>0.20</w:t>
      </w:r>
      <w:r>
        <w:rPr>
          <w:rFonts w:hint="eastAsia" w:ascii="宋体" w:hAnsi="宋体" w:eastAsia="宋体" w:cs="宋体"/>
          <w:lang w:eastAsia="zh-CN"/>
        </w:rPr>
        <w:t>t/a。</w:t>
      </w:r>
    </w:p>
    <w:p>
      <w:pPr>
        <w:ind w:firstLine="560"/>
        <w:rPr>
          <w:rFonts w:hint="eastAsia" w:ascii="宋体" w:hAnsi="宋体" w:eastAsia="宋体" w:cs="宋体"/>
          <w:lang w:eastAsia="zh-CN"/>
        </w:rPr>
      </w:pPr>
    </w:p>
    <w:p>
      <w:pPr>
        <w:pStyle w:val="2"/>
        <w:ind w:firstLine="560"/>
        <w:rPr>
          <w:rFonts w:hint="eastAsia" w:ascii="宋体" w:hAnsi="宋体" w:eastAsia="宋体" w:cs="宋体"/>
          <w:lang w:eastAsia="zh-CN"/>
        </w:rPr>
      </w:pPr>
    </w:p>
    <w:p>
      <w:pPr>
        <w:ind w:firstLine="560"/>
        <w:rPr>
          <w:rFonts w:hint="eastAsia" w:ascii="宋体" w:hAnsi="宋体" w:eastAsia="宋体" w:cs="宋体"/>
          <w:lang w:eastAsia="zh-CN"/>
        </w:rPr>
        <w:sectPr>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pStyle w:val="5"/>
        <w:spacing w:before="156" w:after="156"/>
        <w:rPr>
          <w:rFonts w:hint="eastAsia" w:ascii="宋体" w:hAnsi="宋体" w:eastAsia="宋体" w:cs="宋体"/>
          <w:lang w:eastAsia="zh-CN"/>
        </w:rPr>
      </w:pPr>
      <w:bookmarkStart w:id="207" w:name="_Toc16714"/>
      <w:bookmarkStart w:id="208" w:name="_Toc30683"/>
      <w:r>
        <w:rPr>
          <w:rFonts w:hint="eastAsia" w:ascii="宋体" w:hAnsi="宋体" w:eastAsia="宋体" w:cs="宋体"/>
          <w:lang w:eastAsia="zh-CN"/>
        </w:rPr>
        <w:t>第十章 环境经济损益分析</w:t>
      </w:r>
      <w:bookmarkEnd w:id="207"/>
      <w:bookmarkEnd w:id="208"/>
    </w:p>
    <w:p>
      <w:pPr>
        <w:pStyle w:val="16"/>
        <w:ind w:firstLine="560"/>
        <w:rPr>
          <w:rFonts w:hint="eastAsia" w:ascii="宋体" w:hAnsi="宋体" w:eastAsia="宋体" w:cs="宋体"/>
        </w:rPr>
      </w:pPr>
      <w:r>
        <w:rPr>
          <w:rFonts w:hint="eastAsia" w:ascii="宋体" w:hAnsi="宋体" w:eastAsia="宋体" w:cs="宋体"/>
        </w:rPr>
        <w:t>根据工程设计及本评价所建议的环保措施，对环保措施的投资进行估算，并分析其占总投资的比例；对环保投资的投入和产出（直接、间接经济效益）进行分析，说明环保投资的环境效益、经济效益和社会效益。</w:t>
      </w:r>
    </w:p>
    <w:p>
      <w:pPr>
        <w:pStyle w:val="6"/>
        <w:rPr>
          <w:rFonts w:hint="eastAsia" w:ascii="宋体" w:hAnsi="宋体" w:eastAsia="宋体" w:cs="宋体"/>
          <w:lang w:eastAsia="zh-CN"/>
        </w:rPr>
      </w:pPr>
      <w:bookmarkStart w:id="209" w:name="_Toc6776"/>
      <w:bookmarkStart w:id="210" w:name="_Toc19019"/>
      <w:r>
        <w:rPr>
          <w:rFonts w:hint="eastAsia" w:ascii="宋体" w:hAnsi="宋体" w:eastAsia="宋体" w:cs="宋体"/>
          <w:lang w:eastAsia="zh-CN"/>
        </w:rPr>
        <w:t>10.1 环境保护投资估算</w:t>
      </w:r>
      <w:bookmarkEnd w:id="209"/>
      <w:bookmarkEnd w:id="210"/>
    </w:p>
    <w:p>
      <w:pPr>
        <w:pStyle w:val="16"/>
        <w:ind w:firstLine="560"/>
        <w:rPr>
          <w:rFonts w:hint="eastAsia" w:ascii="宋体" w:hAnsi="宋体" w:eastAsia="宋体" w:cs="宋体"/>
        </w:rPr>
      </w:pPr>
      <w:r>
        <w:rPr>
          <w:rFonts w:hint="eastAsia" w:ascii="宋体" w:hAnsi="宋体" w:eastAsia="宋体" w:cs="宋体"/>
        </w:rPr>
        <w:t>本工程总投资为19397.48万元，汇总项目环保投资为300万元，占总投资的1.55%，具体见表10.1.1-1。</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表10.1.1-1 项目环保投资一览表</w:t>
      </w:r>
    </w:p>
    <w:tbl>
      <w:tblPr>
        <w:tblStyle w:val="2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1112"/>
        <w:gridCol w:w="3812"/>
        <w:gridCol w:w="1858"/>
        <w:gridCol w:w="18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序号</w:t>
            </w:r>
          </w:p>
        </w:tc>
        <w:tc>
          <w:tcPr>
            <w:tcW w:w="11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类别</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工艺内容</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新增投资（万元）</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1</w:t>
            </w:r>
          </w:p>
        </w:tc>
        <w:tc>
          <w:tcPr>
            <w:tcW w:w="1112" w:type="dxa"/>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废气</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井下喷雾洒水系统</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27</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112"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井下通风、除尘系统、装卸洒水降尘等</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18</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112"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密闭皮带运输廊</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23</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2</w:t>
            </w:r>
          </w:p>
        </w:tc>
        <w:tc>
          <w:tcPr>
            <w:tcW w:w="11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废水</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井下涌水储存、回用等</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34</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3</w:t>
            </w:r>
          </w:p>
        </w:tc>
        <w:tc>
          <w:tcPr>
            <w:tcW w:w="11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地下水</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地下水保护措施</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100</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4</w:t>
            </w:r>
          </w:p>
        </w:tc>
        <w:tc>
          <w:tcPr>
            <w:tcW w:w="11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噪声</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消音、隔声、减振措施 </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20</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5</w:t>
            </w:r>
          </w:p>
        </w:tc>
        <w:tc>
          <w:tcPr>
            <w:tcW w:w="1112" w:type="dxa"/>
            <w:vMerge w:val="restart"/>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生态</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场地绿化</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23</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1112" w:type="dxa"/>
            <w:vMerge w:val="continue"/>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地表变形观测</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20</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6</w:t>
            </w:r>
          </w:p>
        </w:tc>
        <w:tc>
          <w:tcPr>
            <w:tcW w:w="11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固废</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 xml:space="preserve">固废的储存、处理与处置 </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7</w:t>
            </w:r>
          </w:p>
        </w:tc>
        <w:tc>
          <w:tcPr>
            <w:tcW w:w="11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环境管理与监测</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环境管理与监测费用</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依托厂区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4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8</w:t>
            </w:r>
          </w:p>
        </w:tc>
        <w:tc>
          <w:tcPr>
            <w:tcW w:w="11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服务期满</w:t>
            </w:r>
          </w:p>
        </w:tc>
        <w:tc>
          <w:tcPr>
            <w:tcW w:w="3812"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土地复垦及水土保持</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35</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572" w:type="dxa"/>
            <w:gridSpan w:val="3"/>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r>
              <w:rPr>
                <w:rFonts w:hint="eastAsia" w:ascii="宋体" w:hAnsi="宋体" w:eastAsia="宋体" w:cs="宋体"/>
                <w:sz w:val="21"/>
                <w:szCs w:val="21"/>
              </w:rPr>
              <w:t>合计</w:t>
            </w:r>
          </w:p>
        </w:tc>
        <w:tc>
          <w:tcPr>
            <w:tcW w:w="1858" w:type="dxa"/>
            <w:tcBorders>
              <w:tl2br w:val="nil"/>
              <w:tr2bl w:val="nil"/>
            </w:tcBorders>
            <w:vAlign w:val="center"/>
          </w:tcPr>
          <w:p>
            <w:pPr>
              <w:keepNext w:val="0"/>
              <w:keepLines w:val="0"/>
              <w:widowControl/>
              <w:suppressLineNumbers w:val="0"/>
              <w:spacing w:before="0" w:beforeAutospacing="0" w:after="0" w:afterAutospacing="0" w:line="240" w:lineRule="auto"/>
              <w:ind w:left="0" w:right="0" w:firstLine="0" w:firstLineChars="0"/>
              <w:jc w:val="center"/>
              <w:textAlignment w:val="center"/>
              <w:rPr>
                <w:rFonts w:hint="eastAsia" w:ascii="宋体" w:hAnsi="宋体" w:eastAsia="宋体" w:cs="宋体"/>
                <w:sz w:val="21"/>
                <w:szCs w:val="21"/>
                <w:lang w:eastAsia="zh-CN"/>
              </w:rPr>
            </w:pPr>
            <w:r>
              <w:rPr>
                <w:rFonts w:hint="eastAsia" w:ascii="宋体" w:hAnsi="宋体" w:eastAsia="宋体" w:cs="宋体"/>
                <w:color w:val="000000"/>
                <w:sz w:val="21"/>
                <w:szCs w:val="21"/>
                <w:lang w:eastAsia="zh-CN" w:bidi="ar"/>
              </w:rPr>
              <w:t>300</w:t>
            </w:r>
          </w:p>
        </w:tc>
        <w:tc>
          <w:tcPr>
            <w:tcW w:w="1858" w:type="dxa"/>
            <w:tcBorders>
              <w:tl2br w:val="nil"/>
              <w:tr2bl w:val="nil"/>
            </w:tcBorders>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rPr>
            </w:pPr>
          </w:p>
        </w:tc>
      </w:tr>
    </w:tbl>
    <w:p>
      <w:pPr>
        <w:pStyle w:val="6"/>
        <w:rPr>
          <w:rFonts w:hint="eastAsia" w:ascii="宋体" w:hAnsi="宋体" w:eastAsia="宋体" w:cs="宋体"/>
          <w:lang w:eastAsia="zh-CN"/>
        </w:rPr>
      </w:pPr>
      <w:bookmarkStart w:id="211" w:name="_Toc2943"/>
      <w:bookmarkStart w:id="212" w:name="_Toc4182"/>
      <w:r>
        <w:rPr>
          <w:rFonts w:hint="eastAsia" w:ascii="宋体" w:hAnsi="宋体" w:eastAsia="宋体" w:cs="宋体"/>
          <w:lang w:eastAsia="zh-CN"/>
        </w:rPr>
        <w:t>10.2 环境经济损益分析</w:t>
      </w:r>
      <w:bookmarkEnd w:id="211"/>
      <w:bookmarkEnd w:id="212"/>
    </w:p>
    <w:p>
      <w:pPr>
        <w:pStyle w:val="7"/>
        <w:rPr>
          <w:rFonts w:hint="eastAsia" w:ascii="宋体" w:hAnsi="宋体" w:eastAsia="宋体" w:cs="宋体"/>
          <w:lang w:eastAsia="zh-CN"/>
        </w:rPr>
      </w:pPr>
      <w:r>
        <w:rPr>
          <w:rFonts w:hint="eastAsia" w:ascii="宋体" w:hAnsi="宋体" w:eastAsia="宋体" w:cs="宋体"/>
          <w:lang w:eastAsia="zh-CN"/>
        </w:rPr>
        <w:t>10.2.1 经济效益分析</w:t>
      </w:r>
    </w:p>
    <w:p>
      <w:pPr>
        <w:pStyle w:val="16"/>
        <w:ind w:firstLine="560"/>
        <w:rPr>
          <w:rFonts w:hint="eastAsia" w:ascii="宋体" w:hAnsi="宋体" w:eastAsia="宋体" w:cs="宋体"/>
        </w:rPr>
      </w:pPr>
      <w:r>
        <w:rPr>
          <w:rFonts w:hint="eastAsia" w:ascii="宋体" w:hAnsi="宋体" w:eastAsia="宋体" w:cs="宋体"/>
        </w:rPr>
        <w:t>本工程主要经济技术指标见表10.2.1-1。</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表10.2.1-1 工程主要经济指标</w:t>
      </w:r>
    </w:p>
    <w:tbl>
      <w:tblPr>
        <w:tblStyle w:val="24"/>
        <w:tblW w:w="4996"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5"/>
        <w:gridCol w:w="4418"/>
        <w:gridCol w:w="1617"/>
        <w:gridCol w:w="2212"/>
        <w:gridCol w:w="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指标名称</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单位</w:t>
            </w:r>
          </w:p>
        </w:tc>
        <w:tc>
          <w:tcPr>
            <w:tcW w:w="1196" w:type="pct"/>
            <w:gridSpan w:val="2"/>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估算总投资</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万元</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19397.48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2</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铁精矿售价</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元/t</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580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3</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年均销售收入</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万元</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15103.2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4</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年均总成本</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万元/a</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11476.86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5</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单位生产成本</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元/t</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103.33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6</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年销售税金及附加</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万元</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600.73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7</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年平均利润总额</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万元</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3626.34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8</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年平均所得税</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万元</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906.59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9</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年净利润</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万元</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2719.75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4" w:type="pct"/>
          <w:trHeight w:val="397" w:hRule="atLeast"/>
        </w:trPr>
        <w:tc>
          <w:tcPr>
            <w:tcW w:w="552"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color w:val="000000"/>
                <w:kern w:val="2"/>
                <w:sz w:val="21"/>
                <w:szCs w:val="21"/>
                <w:lang w:eastAsia="zh-CN"/>
              </w:rPr>
            </w:pPr>
            <w:r>
              <w:rPr>
                <w:rFonts w:hint="eastAsia" w:ascii="宋体" w:hAnsi="宋体" w:eastAsia="宋体" w:cs="宋体"/>
                <w:color w:val="000000"/>
                <w:kern w:val="2"/>
                <w:sz w:val="21"/>
                <w:szCs w:val="21"/>
                <w:lang w:eastAsia="zh-CN"/>
              </w:rPr>
              <w:t>10</w:t>
            </w:r>
          </w:p>
        </w:tc>
        <w:tc>
          <w:tcPr>
            <w:tcW w:w="2379"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税后投资回收期</w:t>
            </w:r>
          </w:p>
        </w:tc>
        <w:tc>
          <w:tcPr>
            <w:tcW w:w="87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a</w:t>
            </w:r>
          </w:p>
        </w:tc>
        <w:tc>
          <w:tcPr>
            <w:tcW w:w="1191"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13.2</w:t>
            </w:r>
          </w:p>
        </w:tc>
      </w:tr>
    </w:tbl>
    <w:p>
      <w:pPr>
        <w:pStyle w:val="16"/>
        <w:ind w:firstLine="560"/>
        <w:rPr>
          <w:rFonts w:hint="eastAsia" w:ascii="宋体" w:hAnsi="宋体" w:eastAsia="宋体" w:cs="宋体"/>
        </w:rPr>
      </w:pPr>
      <w:r>
        <w:rPr>
          <w:rFonts w:hint="eastAsia" w:ascii="宋体" w:hAnsi="宋体" w:eastAsia="宋体" w:cs="宋体"/>
        </w:rPr>
        <w:t>由表10.2.1-1可以看出：达到采矿100万t/a的生产能力，年总成本费用为11474.86万元，年均销售收入为15103.2万元，年实现利润总额3626.34万元，年净利润为2719.75万元。项目的全部投资回收期13.2a，本工程的投资收益好，具有较强的竞争能力。</w:t>
      </w:r>
    </w:p>
    <w:p>
      <w:pPr>
        <w:pStyle w:val="7"/>
        <w:rPr>
          <w:rFonts w:hint="eastAsia" w:ascii="宋体" w:hAnsi="宋体" w:eastAsia="宋体" w:cs="宋体"/>
          <w:lang w:eastAsia="zh-CN"/>
        </w:rPr>
      </w:pPr>
      <w:r>
        <w:rPr>
          <w:rFonts w:hint="eastAsia" w:ascii="宋体" w:hAnsi="宋体" w:eastAsia="宋体" w:cs="宋体"/>
          <w:lang w:eastAsia="zh-CN"/>
        </w:rPr>
        <w:t>10.2.2 环境效益</w:t>
      </w:r>
    </w:p>
    <w:p>
      <w:pPr>
        <w:pStyle w:val="16"/>
        <w:ind w:firstLine="560"/>
        <w:rPr>
          <w:rFonts w:hint="eastAsia" w:ascii="宋体" w:hAnsi="宋体" w:eastAsia="宋体" w:cs="宋体"/>
        </w:rPr>
      </w:pPr>
      <w:r>
        <w:rPr>
          <w:rFonts w:hint="eastAsia" w:ascii="宋体" w:hAnsi="宋体" w:eastAsia="宋体" w:cs="宋体"/>
        </w:rPr>
        <w:t>本工程对产生的“三废”和噪声排放均采取了完善的污染防治措施，使污染物的排放总量控制在较低的水平，使其对环境的影响降低到环境可接受的程度。</w:t>
      </w:r>
    </w:p>
    <w:p>
      <w:pPr>
        <w:pStyle w:val="16"/>
        <w:ind w:firstLine="560"/>
        <w:rPr>
          <w:rFonts w:hint="eastAsia" w:ascii="宋体" w:hAnsi="宋体" w:eastAsia="宋体" w:cs="宋体"/>
        </w:rPr>
      </w:pPr>
      <w:r>
        <w:rPr>
          <w:rFonts w:hint="eastAsia" w:ascii="宋体" w:hAnsi="宋体" w:eastAsia="宋体" w:cs="宋体"/>
        </w:rPr>
        <w:t>环保投资得到落实后，污染物排放量较少，可减轻对周围环境的污染；对废水的回用，减少了废水排放，节省了水资源；废气处理系统的应用，可使井下环境得到极大改善，并减少了生产粉尘的排放量。矿区生态恢复、绿化复垦等减少了项目建设对生态环境的影响等。</w:t>
      </w:r>
    </w:p>
    <w:p>
      <w:pPr>
        <w:pStyle w:val="16"/>
        <w:ind w:firstLine="560"/>
        <w:rPr>
          <w:rFonts w:hint="eastAsia" w:ascii="宋体" w:hAnsi="宋体" w:eastAsia="宋体" w:cs="宋体"/>
        </w:rPr>
      </w:pPr>
      <w:r>
        <w:rPr>
          <w:rFonts w:hint="eastAsia" w:ascii="宋体" w:hAnsi="宋体" w:eastAsia="宋体" w:cs="宋体"/>
        </w:rPr>
        <w:t>环保投资大大减轻了本工程对周围环境的污染，环境效益十分明显。</w:t>
      </w:r>
    </w:p>
    <w:p>
      <w:pPr>
        <w:pStyle w:val="7"/>
        <w:rPr>
          <w:rFonts w:hint="eastAsia" w:ascii="宋体" w:hAnsi="宋体" w:eastAsia="宋体" w:cs="宋体"/>
          <w:lang w:eastAsia="zh-CN"/>
        </w:rPr>
      </w:pPr>
      <w:r>
        <w:rPr>
          <w:rFonts w:hint="eastAsia" w:ascii="宋体" w:hAnsi="宋体" w:eastAsia="宋体" w:cs="宋体"/>
          <w:lang w:eastAsia="zh-CN"/>
        </w:rPr>
        <w:t>10.2.3 社会效益</w:t>
      </w:r>
    </w:p>
    <w:p>
      <w:pPr>
        <w:pStyle w:val="16"/>
        <w:ind w:firstLine="560"/>
        <w:rPr>
          <w:rFonts w:hint="eastAsia" w:ascii="宋体" w:hAnsi="宋体" w:eastAsia="宋体" w:cs="宋体"/>
        </w:rPr>
      </w:pPr>
      <w:r>
        <w:rPr>
          <w:rFonts w:hint="eastAsia" w:ascii="宋体" w:hAnsi="宋体" w:eastAsia="宋体" w:cs="宋体"/>
        </w:rPr>
        <w:t>本工程的社会效益主要体现在以下几个方面：</w:t>
      </w:r>
    </w:p>
    <w:p>
      <w:pPr>
        <w:pStyle w:val="16"/>
        <w:ind w:firstLine="560"/>
        <w:rPr>
          <w:rFonts w:hint="eastAsia" w:ascii="宋体" w:hAnsi="宋体" w:eastAsia="宋体" w:cs="宋体"/>
        </w:rPr>
      </w:pPr>
      <w:r>
        <w:rPr>
          <w:rFonts w:hint="eastAsia" w:ascii="宋体" w:hAnsi="宋体" w:eastAsia="宋体" w:cs="宋体"/>
        </w:rPr>
        <w:t>1、增加当地的税收</w:t>
      </w:r>
    </w:p>
    <w:p>
      <w:pPr>
        <w:pStyle w:val="16"/>
        <w:ind w:firstLine="560"/>
        <w:rPr>
          <w:rFonts w:hint="eastAsia" w:ascii="宋体" w:hAnsi="宋体" w:eastAsia="宋体" w:cs="宋体"/>
        </w:rPr>
      </w:pPr>
      <w:r>
        <w:rPr>
          <w:rFonts w:hint="eastAsia" w:ascii="宋体" w:hAnsi="宋体" w:eastAsia="宋体" w:cs="宋体"/>
        </w:rPr>
        <w:t>本工程建成后每年可向国家上缴营业税、所得税共计约906.59万元。</w:t>
      </w:r>
    </w:p>
    <w:p>
      <w:pPr>
        <w:pStyle w:val="16"/>
        <w:ind w:firstLine="560"/>
        <w:rPr>
          <w:rFonts w:hint="eastAsia" w:ascii="宋体" w:hAnsi="宋体" w:eastAsia="宋体" w:cs="宋体"/>
        </w:rPr>
      </w:pPr>
      <w:r>
        <w:rPr>
          <w:rFonts w:hint="eastAsia" w:ascii="宋体" w:hAnsi="宋体" w:eastAsia="宋体" w:cs="宋体"/>
        </w:rPr>
        <w:t>2、改善产业布局</w:t>
      </w:r>
    </w:p>
    <w:p>
      <w:pPr>
        <w:pStyle w:val="16"/>
        <w:ind w:firstLine="560"/>
        <w:rPr>
          <w:rFonts w:hint="eastAsia" w:ascii="宋体" w:hAnsi="宋体" w:eastAsia="宋体" w:cs="宋体"/>
        </w:rPr>
      </w:pPr>
      <w:r>
        <w:rPr>
          <w:rFonts w:hint="eastAsia" w:ascii="宋体" w:hAnsi="宋体" w:eastAsia="宋体" w:cs="宋体"/>
        </w:rPr>
        <w:t>本工程的实施，保证地区矿石供应较高的自给率，符合以区位、市场、成本等优势参与竞争的产业布局要求，有利于促进地区铁矿行业的产业布局更加合理。</w:t>
      </w:r>
    </w:p>
    <w:p>
      <w:pPr>
        <w:pStyle w:val="16"/>
        <w:ind w:firstLine="560"/>
        <w:rPr>
          <w:rFonts w:hint="eastAsia" w:ascii="宋体" w:hAnsi="宋体" w:eastAsia="宋体" w:cs="宋体"/>
        </w:rPr>
      </w:pPr>
      <w:r>
        <w:rPr>
          <w:rFonts w:hint="eastAsia" w:ascii="宋体" w:hAnsi="宋体" w:eastAsia="宋体" w:cs="宋体"/>
        </w:rPr>
        <w:t>3、本工程也将对区域经济起到积极作用</w:t>
      </w:r>
    </w:p>
    <w:p>
      <w:pPr>
        <w:pStyle w:val="16"/>
        <w:ind w:firstLine="560"/>
        <w:rPr>
          <w:rFonts w:hint="eastAsia" w:ascii="宋体" w:hAnsi="宋体" w:eastAsia="宋体" w:cs="宋体"/>
        </w:rPr>
      </w:pPr>
      <w:r>
        <w:rPr>
          <w:rFonts w:hint="eastAsia" w:ascii="宋体" w:hAnsi="宋体" w:eastAsia="宋体" w:cs="宋体"/>
        </w:rPr>
        <w:t>本工程的建设，不仅是满足莱钢集团有限公司自身发展的需要，也是促进区域经济快速发展的需要。本工程可以带动当地及周边地区的建筑、运输行业的发展，同时增加城市和农村富余劳动力的就业机会，为地方经济和社会的发展贡献力量。</w:t>
      </w:r>
    </w:p>
    <w:p>
      <w:pPr>
        <w:pStyle w:val="16"/>
        <w:ind w:firstLine="560"/>
        <w:rPr>
          <w:rFonts w:hint="eastAsia" w:ascii="宋体" w:hAnsi="宋体" w:eastAsia="宋体" w:cs="宋体"/>
        </w:rPr>
      </w:pPr>
      <w:r>
        <w:rPr>
          <w:rFonts w:hint="eastAsia" w:ascii="宋体" w:hAnsi="宋体" w:eastAsia="宋体" w:cs="宋体"/>
        </w:rPr>
        <w:t>4、提高行业应对风险</w:t>
      </w:r>
    </w:p>
    <w:p>
      <w:pPr>
        <w:pStyle w:val="16"/>
        <w:ind w:firstLine="560"/>
        <w:rPr>
          <w:rFonts w:hint="eastAsia" w:ascii="宋体" w:hAnsi="宋体" w:eastAsia="宋体" w:cs="宋体"/>
        </w:rPr>
      </w:pPr>
      <w:r>
        <w:rPr>
          <w:rFonts w:hint="eastAsia" w:ascii="宋体" w:hAnsi="宋体" w:eastAsia="宋体" w:cs="宋体"/>
        </w:rPr>
        <w:t>随着我国社会经济的发展，对于铁等黑色金属的需求量将增强，</w:t>
      </w:r>
      <w:r>
        <w:rPr>
          <w:rFonts w:hint="eastAsia" w:ascii="宋体" w:hAnsi="宋体" w:cs="宋体"/>
          <w:lang w:eastAsia="zh-CN"/>
        </w:rPr>
        <w:t>本项目</w:t>
      </w:r>
      <w:r>
        <w:rPr>
          <w:rFonts w:hint="eastAsia" w:ascii="宋体" w:hAnsi="宋体" w:eastAsia="宋体" w:cs="宋体"/>
        </w:rPr>
        <w:t>所采用技术工艺可靠，产品特征稳定，而且企业已经形成了一定的生产规模，有利于对金属资源的统一管理，提高行业风险防范能力。</w:t>
      </w:r>
    </w:p>
    <w:p>
      <w:pPr>
        <w:pStyle w:val="16"/>
        <w:ind w:firstLine="560"/>
        <w:rPr>
          <w:rFonts w:hint="eastAsia" w:ascii="宋体" w:hAnsi="宋体" w:eastAsia="宋体" w:cs="宋体"/>
        </w:rPr>
      </w:pPr>
      <w:r>
        <w:rPr>
          <w:rFonts w:hint="eastAsia" w:ascii="宋体" w:hAnsi="宋体" w:eastAsia="宋体" w:cs="宋体"/>
        </w:rPr>
        <w:t>总之，本本工程对当地社会、经济的发展会有一定的促进作用，社会可行性较好。</w:t>
      </w:r>
    </w:p>
    <w:p>
      <w:pPr>
        <w:pStyle w:val="16"/>
        <w:ind w:firstLine="560"/>
        <w:rPr>
          <w:rFonts w:hint="eastAsia" w:ascii="宋体" w:hAnsi="宋体" w:eastAsia="宋体" w:cs="宋体"/>
        </w:rPr>
      </w:pPr>
      <w:r>
        <w:rPr>
          <w:rFonts w:hint="eastAsia" w:ascii="宋体" w:hAnsi="宋体" w:eastAsia="宋体" w:cs="宋体"/>
        </w:rPr>
        <w:t>综上所述，鲁南矿业现有工程已投产运营多年，取得了良好的经济效益，</w:t>
      </w:r>
      <w:r>
        <w:rPr>
          <w:rFonts w:hint="eastAsia" w:ascii="宋体" w:hAnsi="宋体" w:cs="宋体"/>
          <w:lang w:eastAsia="zh-CN"/>
        </w:rPr>
        <w:t>本项目</w:t>
      </w:r>
      <w:r>
        <w:rPr>
          <w:rFonts w:hint="eastAsia" w:ascii="宋体" w:hAnsi="宋体" w:eastAsia="宋体" w:cs="宋体"/>
        </w:rPr>
        <w:t>投产后其环保投资的落实有使项目能够达到国家和山东省预定环境管理目标，保证项目对周围区域的环境影响在可接受范围之内，同时项目运行过程中已经形成了一定的社会效益，实现经济利益、环境利益和社会效益的统一。</w:t>
      </w:r>
    </w:p>
    <w:p>
      <w:pPr>
        <w:pStyle w:val="16"/>
        <w:ind w:firstLine="560"/>
        <w:rPr>
          <w:rFonts w:hint="eastAsia" w:ascii="宋体" w:hAnsi="宋体" w:eastAsia="宋体" w:cs="宋体"/>
        </w:rPr>
      </w:pPr>
    </w:p>
    <w:p>
      <w:pPr>
        <w:pStyle w:val="16"/>
        <w:ind w:firstLine="560"/>
        <w:rPr>
          <w:rFonts w:hint="eastAsia" w:ascii="宋体" w:hAnsi="宋体" w:eastAsia="宋体" w:cs="宋体"/>
        </w:rPr>
        <w:sectPr>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pStyle w:val="5"/>
        <w:spacing w:before="156" w:after="156"/>
        <w:rPr>
          <w:rFonts w:hint="eastAsia" w:ascii="宋体" w:hAnsi="宋体" w:eastAsia="宋体" w:cs="宋体"/>
          <w:lang w:eastAsia="zh-CN"/>
        </w:rPr>
      </w:pPr>
      <w:bookmarkStart w:id="213" w:name="_Toc9351"/>
      <w:bookmarkStart w:id="214" w:name="_Toc1579"/>
      <w:r>
        <w:rPr>
          <w:rFonts w:hint="eastAsia" w:ascii="宋体" w:hAnsi="宋体" w:eastAsia="宋体" w:cs="宋体"/>
          <w:lang w:eastAsia="zh-CN"/>
        </w:rPr>
        <w:t>第十一章 环境管理与监测技术</w:t>
      </w:r>
      <w:bookmarkEnd w:id="213"/>
      <w:bookmarkEnd w:id="214"/>
    </w:p>
    <w:p>
      <w:pPr>
        <w:pStyle w:val="16"/>
        <w:ind w:firstLine="560"/>
        <w:rPr>
          <w:rFonts w:hint="eastAsia" w:ascii="宋体" w:hAnsi="宋体" w:eastAsia="宋体" w:cs="宋体"/>
        </w:rPr>
      </w:pPr>
      <w:r>
        <w:rPr>
          <w:rFonts w:hint="eastAsia" w:ascii="宋体" w:hAnsi="宋体" w:eastAsia="宋体" w:cs="宋体"/>
        </w:rPr>
        <w:t>环境管理与环境监测是企业管理中的重要环节。在企业内部应建立健全行之有效的环保机构，加强环境管理工作，开展厂内环境监测与监督，并把环保工作纳入生产管理中，以确保环保措施的实施和落实，对减少企业污染物排放、促进资源的合理利用与回收、提高经济效益和环境效益有着重要意义。</w:t>
      </w:r>
    </w:p>
    <w:p>
      <w:pPr>
        <w:pStyle w:val="6"/>
        <w:rPr>
          <w:rFonts w:hint="eastAsia" w:ascii="宋体" w:hAnsi="宋体" w:eastAsia="宋体" w:cs="宋体"/>
          <w:lang w:eastAsia="zh-CN"/>
        </w:rPr>
      </w:pPr>
      <w:bookmarkStart w:id="215" w:name="_Toc8831"/>
      <w:bookmarkStart w:id="216" w:name="_Toc6595"/>
      <w:r>
        <w:rPr>
          <w:rFonts w:hint="eastAsia" w:ascii="宋体" w:hAnsi="宋体" w:eastAsia="宋体" w:cs="宋体"/>
          <w:lang w:eastAsia="zh-CN"/>
        </w:rPr>
        <w:t>11.1 环境管理</w:t>
      </w:r>
      <w:bookmarkEnd w:id="215"/>
      <w:bookmarkEnd w:id="216"/>
    </w:p>
    <w:p>
      <w:pPr>
        <w:pStyle w:val="7"/>
        <w:rPr>
          <w:rFonts w:hint="eastAsia" w:ascii="宋体" w:hAnsi="宋体" w:eastAsia="宋体" w:cs="宋体"/>
          <w:lang w:eastAsia="zh-CN"/>
        </w:rPr>
      </w:pPr>
      <w:r>
        <w:rPr>
          <w:rFonts w:hint="eastAsia" w:ascii="宋体" w:hAnsi="宋体" w:eastAsia="宋体" w:cs="宋体"/>
          <w:lang w:eastAsia="zh-CN"/>
        </w:rPr>
        <w:t>11.1.1 环境管理机构</w:t>
      </w:r>
    </w:p>
    <w:p>
      <w:pPr>
        <w:pStyle w:val="16"/>
        <w:ind w:firstLine="560"/>
        <w:rPr>
          <w:rFonts w:hint="eastAsia" w:ascii="宋体" w:hAnsi="宋体" w:eastAsia="宋体" w:cs="宋体"/>
        </w:rPr>
      </w:pPr>
      <w:r>
        <w:rPr>
          <w:rFonts w:hint="eastAsia" w:ascii="宋体" w:hAnsi="宋体" w:eastAsia="宋体" w:cs="宋体"/>
        </w:rPr>
        <w:t>企业已成立安环科，现有工程的环境管理机构人员的配置基本可以满足</w:t>
      </w:r>
      <w:r>
        <w:rPr>
          <w:rFonts w:hint="eastAsia" w:ascii="宋体" w:hAnsi="宋体" w:cs="宋体"/>
          <w:lang w:eastAsia="zh-CN"/>
        </w:rPr>
        <w:t>本项目</w:t>
      </w:r>
      <w:r>
        <w:rPr>
          <w:rFonts w:hint="eastAsia" w:ascii="宋体" w:hAnsi="宋体" w:eastAsia="宋体" w:cs="宋体"/>
        </w:rPr>
        <w:t>投产后的环境管理需要。</w:t>
      </w:r>
    </w:p>
    <w:p>
      <w:pPr>
        <w:pStyle w:val="16"/>
        <w:ind w:firstLine="560"/>
        <w:rPr>
          <w:rFonts w:hint="eastAsia" w:ascii="宋体" w:hAnsi="宋体" w:eastAsia="宋体" w:cs="宋体"/>
        </w:rPr>
      </w:pPr>
      <w:r>
        <w:rPr>
          <w:rFonts w:hint="eastAsia" w:ascii="宋体" w:hAnsi="宋体" w:eastAsia="宋体" w:cs="宋体"/>
        </w:rPr>
        <w:t>莱钢集团鲁南矿业目前环境管理与安全生产等管理职能由公司设立的安全环保科负责。安全环保科科长负责领导及管理全厂环保工作，安全环保科对公司主管经理负责，公司主管经理对公司总经理负责。环境管理机构设置见图9.1.1-1。</w:t>
      </w:r>
    </w:p>
    <w:tbl>
      <w:tblPr>
        <w:tblStyle w:val="25"/>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928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tcBorders>
              <w:tl2br w:val="nil"/>
              <w:tr2bl w:val="nil"/>
            </w:tcBorders>
          </w:tcPr>
          <w:p>
            <w:pPr>
              <w:pStyle w:val="16"/>
              <w:keepNext w:val="0"/>
              <w:keepLines w:val="0"/>
              <w:suppressLineNumbers w:val="0"/>
              <w:spacing w:before="0" w:beforeAutospacing="0" w:after="0" w:afterAutospacing="0"/>
              <w:ind w:left="0" w:right="0" w:firstLine="560"/>
              <w:jc w:val="both"/>
              <w:rPr>
                <w:rFonts w:hint="eastAsia" w:ascii="宋体" w:hAnsi="宋体" w:eastAsia="宋体" w:cs="宋体"/>
              </w:rPr>
            </w:pPr>
            <w:r>
              <w:rPr>
                <w:rFonts w:hint="eastAsia" w:ascii="宋体" w:hAnsi="宋体" w:eastAsia="宋体" w:cs="宋体"/>
              </w:rPr>
              <w:drawing>
                <wp:anchor distT="0" distB="0" distL="114300" distR="114300" simplePos="0" relativeHeight="251681792" behindDoc="1" locked="0" layoutInCell="1" allowOverlap="1">
                  <wp:simplePos x="0" y="0"/>
                  <wp:positionH relativeFrom="column">
                    <wp:posOffset>355600</wp:posOffset>
                  </wp:positionH>
                  <wp:positionV relativeFrom="paragraph">
                    <wp:posOffset>-3507740</wp:posOffset>
                  </wp:positionV>
                  <wp:extent cx="5134610" cy="3428365"/>
                  <wp:effectExtent l="0" t="0" r="8890" b="57785"/>
                  <wp:wrapThrough wrapText="bothSides">
                    <wp:wrapPolygon>
                      <wp:start x="0" y="0"/>
                      <wp:lineTo x="0" y="21484"/>
                      <wp:lineTo x="21557" y="21484"/>
                      <wp:lineTo x="21557" y="0"/>
                      <wp:lineTo x="0" y="0"/>
                    </wp:wrapPolygon>
                  </wp:wrapThrough>
                  <wp:docPr id="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图片 1"/>
                          <pic:cNvPicPr>
                            <a:picLocks noChangeAspect="1"/>
                          </pic:cNvPicPr>
                        </pic:nvPicPr>
                        <pic:blipFill>
                          <a:blip r:embed="rId139"/>
                          <a:srcRect l="36532" t="31183" r="36532" b="33755"/>
                          <a:stretch>
                            <a:fillRect/>
                          </a:stretch>
                        </pic:blipFill>
                        <pic:spPr>
                          <a:xfrm>
                            <a:off x="0" y="0"/>
                            <a:ext cx="5134610" cy="342836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9288" w:type="dxa"/>
            <w:tcBorders>
              <w:tl2br w:val="nil"/>
              <w:tr2bl w:val="nil"/>
            </w:tcBorders>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rPr>
            </w:pPr>
            <w:r>
              <w:rPr>
                <w:rFonts w:hint="eastAsia" w:ascii="宋体" w:hAnsi="宋体" w:eastAsia="宋体" w:cs="宋体"/>
                <w:b/>
                <w:bCs/>
                <w:sz w:val="24"/>
              </w:rPr>
              <w:t>图11.1.1-1 环保机构设置示意图</w:t>
            </w:r>
          </w:p>
        </w:tc>
      </w:tr>
    </w:tbl>
    <w:p>
      <w:pPr>
        <w:pStyle w:val="7"/>
        <w:rPr>
          <w:rFonts w:hint="eastAsia" w:ascii="宋体" w:hAnsi="宋体" w:eastAsia="宋体" w:cs="宋体"/>
          <w:lang w:eastAsia="zh-CN"/>
        </w:rPr>
      </w:pPr>
      <w:r>
        <w:rPr>
          <w:rFonts w:hint="eastAsia" w:ascii="宋体" w:hAnsi="宋体" w:eastAsia="宋体" w:cs="宋体"/>
          <w:lang w:eastAsia="zh-CN"/>
        </w:rPr>
        <w:t>11.1.2 环境管理机构的职责</w:t>
      </w:r>
    </w:p>
    <w:p>
      <w:pPr>
        <w:pStyle w:val="16"/>
        <w:ind w:firstLine="560"/>
        <w:rPr>
          <w:rFonts w:hint="eastAsia" w:ascii="宋体" w:hAnsi="宋体" w:eastAsia="宋体" w:cs="宋体"/>
        </w:rPr>
      </w:pPr>
      <w:r>
        <w:rPr>
          <w:rFonts w:hint="eastAsia" w:ascii="宋体" w:hAnsi="宋体" w:eastAsia="宋体" w:cs="宋体"/>
        </w:rPr>
        <w:t>环境管理机构的主要职责如下：</w:t>
      </w:r>
    </w:p>
    <w:p>
      <w:pPr>
        <w:pStyle w:val="16"/>
        <w:ind w:firstLine="560"/>
        <w:rPr>
          <w:rFonts w:hint="eastAsia" w:ascii="宋体" w:hAnsi="宋体" w:eastAsia="宋体" w:cs="宋体"/>
        </w:rPr>
      </w:pPr>
      <w:r>
        <w:rPr>
          <w:rFonts w:hint="eastAsia" w:ascii="宋体" w:hAnsi="宋体" w:eastAsia="宋体" w:cs="宋体"/>
        </w:rPr>
        <w:t>1、负责贯彻和监督执行国家和地方的环境保护法规，并结合项目实际情况，制定全厂的环保规章制度及监测计划。</w:t>
      </w:r>
    </w:p>
    <w:p>
      <w:pPr>
        <w:pStyle w:val="16"/>
        <w:ind w:firstLine="560"/>
        <w:rPr>
          <w:rFonts w:hint="eastAsia" w:ascii="宋体" w:hAnsi="宋体" w:eastAsia="宋体" w:cs="宋体"/>
        </w:rPr>
      </w:pPr>
      <w:r>
        <w:rPr>
          <w:rFonts w:hint="eastAsia" w:ascii="宋体" w:hAnsi="宋体" w:eastAsia="宋体" w:cs="宋体"/>
        </w:rPr>
        <w:t>2、负责监督管理“三废”治理设施的运转和维护工作。发现环保设施运行不正常的情况，应及时向厂里反馈，通知各相应的生产工序停产，并迅速组织维修，杜绝超标排放。</w:t>
      </w:r>
    </w:p>
    <w:p>
      <w:pPr>
        <w:pStyle w:val="16"/>
        <w:ind w:firstLine="560"/>
        <w:rPr>
          <w:rFonts w:hint="eastAsia" w:ascii="宋体" w:hAnsi="宋体" w:eastAsia="宋体" w:cs="宋体"/>
        </w:rPr>
      </w:pPr>
      <w:r>
        <w:rPr>
          <w:rFonts w:hint="eastAsia" w:ascii="宋体" w:hAnsi="宋体" w:eastAsia="宋体" w:cs="宋体"/>
        </w:rPr>
        <w:t>3、建立健全各项环境监测制度，承担厂内水、气、噪声等的有关相应检测任务。监督管理</w:t>
      </w:r>
      <w:r>
        <w:rPr>
          <w:rFonts w:hint="eastAsia" w:ascii="宋体" w:hAnsi="宋体" w:cs="宋体"/>
          <w:lang w:eastAsia="zh-CN"/>
        </w:rPr>
        <w:t>本项目</w:t>
      </w:r>
      <w:r>
        <w:rPr>
          <w:rFonts w:hint="eastAsia" w:ascii="宋体" w:hAnsi="宋体" w:eastAsia="宋体" w:cs="宋体"/>
        </w:rPr>
        <w:t>废水、废气、固体废物、噪声等污染物的防治工作。建立监测、分析数据同级档案和填写报告。</w:t>
      </w:r>
    </w:p>
    <w:p>
      <w:pPr>
        <w:pStyle w:val="16"/>
        <w:ind w:firstLine="560"/>
        <w:rPr>
          <w:rFonts w:hint="eastAsia" w:ascii="宋体" w:hAnsi="宋体" w:eastAsia="宋体" w:cs="宋体"/>
        </w:rPr>
      </w:pPr>
      <w:r>
        <w:rPr>
          <w:rFonts w:hint="eastAsia" w:ascii="宋体" w:hAnsi="宋体" w:eastAsia="宋体" w:cs="宋体"/>
        </w:rPr>
        <w:t>4、严格工程项目的环保“三同时”管理。配合有关部门编写环境影响评价文件，负责办理报批手续。参加新建、改扩建、技改工程的规划、设计、审查和竣工验收工作，对不符合环保“三同时”的工程项目提出建议。</w:t>
      </w:r>
    </w:p>
    <w:p>
      <w:pPr>
        <w:pStyle w:val="16"/>
        <w:ind w:firstLine="560"/>
        <w:rPr>
          <w:rFonts w:hint="eastAsia" w:ascii="宋体" w:hAnsi="宋体" w:eastAsia="宋体" w:cs="宋体"/>
        </w:rPr>
      </w:pPr>
      <w:r>
        <w:rPr>
          <w:rFonts w:hint="eastAsia" w:ascii="宋体" w:hAnsi="宋体" w:eastAsia="宋体" w:cs="宋体"/>
        </w:rPr>
        <w:t>5、负责污染事故的监测调查、及时将检测结果上报有关主管部门。</w:t>
      </w:r>
    </w:p>
    <w:p>
      <w:pPr>
        <w:pStyle w:val="16"/>
        <w:ind w:firstLine="560"/>
        <w:rPr>
          <w:rFonts w:hint="eastAsia" w:ascii="宋体" w:hAnsi="宋体" w:eastAsia="宋体" w:cs="宋体"/>
        </w:rPr>
      </w:pPr>
      <w:r>
        <w:rPr>
          <w:rFonts w:hint="eastAsia" w:ascii="宋体" w:hAnsi="宋体" w:eastAsia="宋体" w:cs="宋体"/>
        </w:rPr>
        <w:t>6、负责开展环保宣传教育和环保技术培训，提高职工的环保意识、风险安全意识。</w:t>
      </w:r>
    </w:p>
    <w:p>
      <w:pPr>
        <w:pStyle w:val="6"/>
        <w:rPr>
          <w:rFonts w:hint="eastAsia" w:ascii="宋体" w:hAnsi="宋体" w:eastAsia="宋体" w:cs="宋体"/>
          <w:lang w:eastAsia="zh-CN"/>
        </w:rPr>
      </w:pPr>
      <w:bookmarkStart w:id="217" w:name="_Toc11027"/>
      <w:bookmarkStart w:id="218" w:name="_Toc4844"/>
      <w:r>
        <w:rPr>
          <w:rFonts w:hint="eastAsia" w:ascii="宋体" w:hAnsi="宋体" w:eastAsia="宋体" w:cs="宋体"/>
          <w:lang w:eastAsia="zh-CN"/>
        </w:rPr>
        <w:t>11.2 环境监测计划</w:t>
      </w:r>
      <w:bookmarkEnd w:id="217"/>
      <w:bookmarkEnd w:id="218"/>
    </w:p>
    <w:p>
      <w:pPr>
        <w:pStyle w:val="7"/>
        <w:rPr>
          <w:rFonts w:hint="eastAsia" w:ascii="宋体" w:hAnsi="宋体" w:eastAsia="宋体" w:cs="宋体"/>
          <w:lang w:eastAsia="zh-CN"/>
        </w:rPr>
      </w:pPr>
      <w:r>
        <w:rPr>
          <w:rFonts w:hint="eastAsia" w:ascii="宋体" w:hAnsi="宋体" w:eastAsia="宋体" w:cs="宋体"/>
          <w:lang w:eastAsia="zh-CN"/>
        </w:rPr>
        <w:t>11.2.1 现有工程环境监测计划</w:t>
      </w:r>
    </w:p>
    <w:p>
      <w:pPr>
        <w:pStyle w:val="16"/>
        <w:ind w:firstLine="560"/>
        <w:rPr>
          <w:rFonts w:hint="eastAsia" w:ascii="宋体" w:hAnsi="宋体" w:eastAsia="宋体" w:cs="宋体"/>
        </w:rPr>
      </w:pPr>
      <w:r>
        <w:rPr>
          <w:rFonts w:hint="eastAsia" w:ascii="宋体" w:hAnsi="宋体" w:eastAsia="宋体" w:cs="宋体"/>
        </w:rPr>
        <w:t>鲁南矿业不具备监测能力，监测项目拟委托具备监测资质的单位进行监测。现有监测计划见表11.2.1-1。</w:t>
      </w:r>
    </w:p>
    <w:p>
      <w:pPr>
        <w:pStyle w:val="16"/>
        <w:ind w:firstLine="0" w:firstLineChars="0"/>
        <w:jc w:val="center"/>
        <w:rPr>
          <w:rFonts w:hint="eastAsia" w:ascii="宋体" w:hAnsi="宋体" w:eastAsia="宋体" w:cs="宋体"/>
          <w:b/>
          <w:bCs/>
          <w:sz w:val="24"/>
        </w:rPr>
      </w:pPr>
      <w:r>
        <w:rPr>
          <w:rFonts w:hint="eastAsia" w:ascii="宋体" w:hAnsi="宋体" w:eastAsia="宋体" w:cs="宋体"/>
          <w:b/>
          <w:bCs/>
          <w:sz w:val="24"/>
        </w:rPr>
        <w:t>表11.2.1-1 鲁南矿业现有监测计划</w:t>
      </w:r>
    </w:p>
    <w:tbl>
      <w:tblPr>
        <w:tblStyle w:val="24"/>
        <w:tblW w:w="4996"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74"/>
        <w:gridCol w:w="703"/>
        <w:gridCol w:w="2040"/>
        <w:gridCol w:w="3885"/>
        <w:gridCol w:w="21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blHeader/>
        </w:trPr>
        <w:tc>
          <w:tcPr>
            <w:tcW w:w="255" w:type="pc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类型</w:t>
            </w:r>
          </w:p>
        </w:tc>
        <w:tc>
          <w:tcPr>
            <w:tcW w:w="378"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项目</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监测位置</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监测项目</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rPr>
            </w:pPr>
            <w:r>
              <w:rPr>
                <w:rFonts w:hint="eastAsia" w:ascii="宋体" w:hAnsi="宋体" w:eastAsia="宋体" w:cs="宋体"/>
                <w:b/>
                <w:bCs/>
                <w:sz w:val="21"/>
                <w:szCs w:val="21"/>
              </w:rPr>
              <w:t>监测频率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污染源</w:t>
            </w:r>
          </w:p>
        </w:tc>
        <w:tc>
          <w:tcPr>
            <w:tcW w:w="378"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废水</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生活废水回用池</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pH、CODCr、BOD</w:t>
            </w:r>
            <w:r>
              <w:rPr>
                <w:rFonts w:hint="eastAsia" w:ascii="宋体" w:hAnsi="宋体" w:eastAsia="宋体" w:cs="宋体"/>
                <w:sz w:val="21"/>
                <w:szCs w:val="21"/>
                <w:vertAlign w:val="subscript"/>
              </w:rPr>
              <w:t>5</w:t>
            </w:r>
            <w:r>
              <w:rPr>
                <w:rFonts w:hint="eastAsia" w:ascii="宋体" w:hAnsi="宋体" w:eastAsia="宋体" w:cs="宋体"/>
                <w:sz w:val="21"/>
                <w:szCs w:val="21"/>
              </w:rPr>
              <w:t>、氨氮、总氮、氟化物、氰化物、硫酸盐、氯化物、石油类、阴离子表面活性剂、硫化物、全盐量、铜、锌、砷、汞、镉、铬（六价）、铅、铁、锰、钴</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每半年一次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废气</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尾矿库无组织</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颗粒物</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每半年一次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099"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球团厂排气筒</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氮氧化物、二氧化硫、颗粒物</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在线监测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099"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氟化物</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固废</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选厂固废</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种类、产生量、处理方式、去向</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1 次/月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噪声</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主要噪声源</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生产设备噪声 Leq</w:t>
            </w:r>
          </w:p>
        </w:tc>
        <w:tc>
          <w:tcPr>
            <w:tcW w:w="1174"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每季一次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选厂厂界外 1m</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厂界噪声 Leq</w:t>
            </w:r>
          </w:p>
        </w:tc>
        <w:tc>
          <w:tcPr>
            <w:tcW w:w="1174"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环境风险</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新建尾矿库</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坝体变形，浸润线观测、边坡稳定性等</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实时监测</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restart"/>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环境质量</w:t>
            </w:r>
          </w:p>
        </w:tc>
        <w:tc>
          <w:tcPr>
            <w:tcW w:w="378"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大气</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崔家王峪、新民官庄村</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TSP、PM</w:t>
            </w:r>
            <w:r>
              <w:rPr>
                <w:rFonts w:hint="eastAsia" w:ascii="宋体" w:hAnsi="宋体" w:eastAsia="宋体" w:cs="宋体"/>
                <w:sz w:val="21"/>
                <w:szCs w:val="21"/>
                <w:vertAlign w:val="subscript"/>
              </w:rPr>
              <w:t>10</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1 次/半年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地下水</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崔家王峪、龙王峪新村、新民官庄村</w:t>
            </w:r>
          </w:p>
        </w:tc>
        <w:tc>
          <w:tcPr>
            <w:tcW w:w="2092" w:type="pct"/>
            <w:vMerge w:val="restar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pH、总硬度、高锰酸盐指数、硫 酸盐、氯化物、挥发酚、氨氮、  硝酸盐氮、亚硝酸盐氮、氟化物、溶解性总固体、总大肠菌群、铁、铜、锰、铅、镉、汞、六价铬、  砷、钴</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水质3次/年，每年丰水期、平水期、枯水期各监测一次，水位 1次/月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2#尾矿库按地下水流向上游1口、下游2口，共计3口监测井；选矿厂下游1口监测井</w:t>
            </w:r>
          </w:p>
        </w:tc>
        <w:tc>
          <w:tcPr>
            <w:tcW w:w="2092" w:type="pct"/>
            <w:vMerge w:val="continue"/>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上游点位半年一次，下游跟踪监测点，每月监测一次</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5" w:type="pct"/>
            <w:vMerge w:val="continue"/>
            <w:tcBorders>
              <w:tl2br w:val="nil"/>
              <w:tr2bl w:val="nil"/>
            </w:tcBorders>
            <w:shd w:val="clear" w:color="auto" w:fill="auto"/>
            <w:noWrap/>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p>
        </w:tc>
        <w:tc>
          <w:tcPr>
            <w:tcW w:w="378"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地表水</w:t>
            </w:r>
          </w:p>
        </w:tc>
        <w:tc>
          <w:tcPr>
            <w:tcW w:w="1099"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集团沂河取水井</w:t>
            </w:r>
          </w:p>
        </w:tc>
        <w:tc>
          <w:tcPr>
            <w:tcW w:w="2092"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pH、SS、COD、氨氮、全盐量、 总磷、硫化物、铁、锰、铜、铅、汞、钴</w:t>
            </w:r>
          </w:p>
        </w:tc>
        <w:tc>
          <w:tcPr>
            <w:tcW w:w="1174" w:type="pct"/>
            <w:tcBorders>
              <w:tl2br w:val="nil"/>
              <w:tr2bl w:val="nil"/>
            </w:tcBorders>
            <w:shd w:val="clear" w:color="auto" w:fill="auto"/>
            <w:vAlign w:val="center"/>
          </w:tcPr>
          <w:p>
            <w:pPr>
              <w:pStyle w:val="16"/>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rPr>
            </w:pPr>
            <w:r>
              <w:rPr>
                <w:rFonts w:hint="eastAsia" w:ascii="宋体" w:hAnsi="宋体" w:eastAsia="宋体" w:cs="宋体"/>
                <w:sz w:val="21"/>
                <w:szCs w:val="21"/>
              </w:rPr>
              <w:t>每半年一次</w:t>
            </w:r>
          </w:p>
        </w:tc>
      </w:tr>
    </w:tbl>
    <w:p>
      <w:pPr>
        <w:pStyle w:val="7"/>
        <w:rPr>
          <w:rFonts w:hint="eastAsia" w:ascii="宋体" w:hAnsi="宋体" w:eastAsia="宋体" w:cs="宋体"/>
          <w:lang w:eastAsia="zh-CN"/>
        </w:rPr>
      </w:pPr>
      <w:r>
        <w:rPr>
          <w:rFonts w:hint="eastAsia" w:ascii="宋体" w:hAnsi="宋体" w:eastAsia="宋体" w:cs="宋体"/>
          <w:lang w:eastAsia="zh-CN"/>
        </w:rPr>
        <w:t>11.2.2 本项目环境监测计划</w:t>
      </w:r>
    </w:p>
    <w:p>
      <w:pPr>
        <w:ind w:firstLine="560"/>
        <w:rPr>
          <w:rFonts w:hint="eastAsia" w:ascii="宋体" w:hAnsi="宋体" w:eastAsia="宋体" w:cs="宋体"/>
          <w:lang w:eastAsia="zh-CN"/>
        </w:rPr>
      </w:pPr>
      <w:r>
        <w:rPr>
          <w:rFonts w:hint="eastAsia" w:ascii="宋体" w:hAnsi="宋体" w:eastAsia="宋体" w:cs="宋体"/>
          <w:lang w:eastAsia="zh-CN"/>
        </w:rPr>
        <w:t>根据本项目的环境影响预测和分析及评估意见，本项目环境监测的主要内容包括废水、废气、噪声、固体废物等污染源监测，生态监测和环境质量监测。</w:t>
      </w:r>
    </w:p>
    <w:p>
      <w:pPr>
        <w:ind w:firstLine="562"/>
        <w:rPr>
          <w:rFonts w:hint="eastAsia" w:ascii="宋体" w:hAnsi="宋体" w:eastAsia="宋体" w:cs="宋体"/>
          <w:b/>
          <w:bCs/>
          <w:lang w:eastAsia="zh-CN"/>
        </w:rPr>
      </w:pPr>
      <w:r>
        <w:rPr>
          <w:rFonts w:hint="eastAsia" w:ascii="宋体" w:hAnsi="宋体" w:eastAsia="宋体" w:cs="宋体"/>
          <w:b/>
          <w:bCs/>
          <w:lang w:eastAsia="zh-CN"/>
        </w:rPr>
        <w:t>1、污染源监测</w:t>
      </w:r>
    </w:p>
    <w:p>
      <w:pPr>
        <w:ind w:firstLine="560"/>
        <w:rPr>
          <w:rFonts w:hint="eastAsia" w:ascii="宋体" w:hAnsi="宋体" w:eastAsia="宋体" w:cs="宋体"/>
          <w:lang w:eastAsia="zh-CN"/>
        </w:rPr>
      </w:pPr>
      <w:r>
        <w:rPr>
          <w:rFonts w:hint="eastAsia" w:ascii="宋体" w:hAnsi="宋体" w:eastAsia="宋体" w:cs="宋体"/>
          <w:lang w:eastAsia="zh-CN"/>
        </w:rPr>
        <w:t>根据项目特点拟定的监测内容见表12.2.2-1，监测方法采用国家标准测试方法。</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表12.2.2-1 污染源监测计划表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752"/>
        <w:gridCol w:w="5222"/>
        <w:gridCol w:w="15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418"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项目</w:t>
            </w:r>
          </w:p>
        </w:tc>
        <w:tc>
          <w:tcPr>
            <w:tcW w:w="943"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监测点位</w:t>
            </w:r>
          </w:p>
        </w:tc>
        <w:tc>
          <w:tcPr>
            <w:tcW w:w="2810"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监测项目</w:t>
            </w:r>
          </w:p>
        </w:tc>
        <w:tc>
          <w:tcPr>
            <w:tcW w:w="827"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废气</w:t>
            </w:r>
          </w:p>
        </w:tc>
        <w:tc>
          <w:tcPr>
            <w:tcW w:w="943"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工业场地边界</w:t>
            </w:r>
          </w:p>
        </w:tc>
        <w:tc>
          <w:tcPr>
            <w:tcW w:w="2810"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颗粒物</w:t>
            </w:r>
          </w:p>
        </w:tc>
        <w:tc>
          <w:tcPr>
            <w:tcW w:w="827"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一次/半年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废水</w:t>
            </w:r>
          </w:p>
        </w:tc>
        <w:tc>
          <w:tcPr>
            <w:tcW w:w="943"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矿井涌水</w:t>
            </w:r>
          </w:p>
        </w:tc>
        <w:tc>
          <w:tcPr>
            <w:tcW w:w="2810"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调查统计矿井涌水量，监测 pH、总硬度、溶解性总固</w:t>
            </w:r>
          </w:p>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体、全盐量、氨氮、高锰酸盐指数、硝酸盐、亚硝酸盐、</w:t>
            </w:r>
          </w:p>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硫酸盐、氯化物、氟化物、氰化物、总大肠菌群、铁、</w:t>
            </w:r>
          </w:p>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铜、锰、锌、铅、镉、砷、六价铬、镍、汞</w:t>
            </w:r>
          </w:p>
        </w:tc>
        <w:tc>
          <w:tcPr>
            <w:tcW w:w="827"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一次/半年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噪声</w:t>
            </w:r>
          </w:p>
        </w:tc>
        <w:tc>
          <w:tcPr>
            <w:tcW w:w="943"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工业厂界1米处、高噪声设备附近</w:t>
            </w:r>
          </w:p>
        </w:tc>
        <w:tc>
          <w:tcPr>
            <w:tcW w:w="2810"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等效连续 A 声级</w:t>
            </w:r>
          </w:p>
        </w:tc>
        <w:tc>
          <w:tcPr>
            <w:tcW w:w="827"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一次/半年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18"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固废</w:t>
            </w:r>
          </w:p>
        </w:tc>
        <w:tc>
          <w:tcPr>
            <w:tcW w:w="943"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固废产生点</w:t>
            </w:r>
          </w:p>
        </w:tc>
        <w:tc>
          <w:tcPr>
            <w:tcW w:w="2810"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调查统计废石、生活垃圾、机修废物、尾砂、井下水仓及地面澄清水池沉淀污泥的产生量、利用量、去向等</w:t>
            </w:r>
          </w:p>
        </w:tc>
        <w:tc>
          <w:tcPr>
            <w:tcW w:w="827"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一次/月</w:t>
            </w:r>
          </w:p>
        </w:tc>
      </w:tr>
    </w:tbl>
    <w:p>
      <w:pPr>
        <w:pStyle w:val="2"/>
        <w:ind w:firstLine="562"/>
        <w:rPr>
          <w:rFonts w:hint="eastAsia" w:ascii="宋体" w:hAnsi="宋体" w:eastAsia="宋体" w:cs="宋体"/>
          <w:b/>
          <w:bCs/>
          <w:lang w:eastAsia="zh-CN"/>
        </w:rPr>
      </w:pPr>
      <w:r>
        <w:rPr>
          <w:rFonts w:hint="eastAsia" w:ascii="宋体" w:hAnsi="宋体" w:eastAsia="宋体" w:cs="宋体"/>
          <w:b/>
          <w:bCs/>
          <w:lang w:eastAsia="zh-CN"/>
        </w:rPr>
        <w:t>2、生态监测</w:t>
      </w:r>
    </w:p>
    <w:p>
      <w:pPr>
        <w:ind w:firstLine="560"/>
        <w:rPr>
          <w:rFonts w:hint="eastAsia" w:ascii="宋体" w:hAnsi="宋体" w:eastAsia="宋体" w:cs="宋体"/>
          <w:lang w:eastAsia="zh-CN"/>
        </w:rPr>
      </w:pPr>
      <w:r>
        <w:rPr>
          <w:rFonts w:hint="eastAsia" w:ascii="宋体" w:hAnsi="宋体" w:eastAsia="宋体" w:cs="宋体"/>
          <w:lang w:eastAsia="zh-CN"/>
        </w:rPr>
        <w:t>生态监测主要在以下几个方面：</w:t>
      </w:r>
    </w:p>
    <w:p>
      <w:pPr>
        <w:ind w:firstLine="560"/>
        <w:rPr>
          <w:rFonts w:hint="eastAsia" w:ascii="宋体" w:hAnsi="宋体" w:eastAsia="宋体" w:cs="宋体"/>
          <w:lang w:eastAsia="zh-CN"/>
        </w:rPr>
      </w:pPr>
      <w:r>
        <w:rPr>
          <w:rFonts w:hint="eastAsia" w:ascii="宋体" w:hAnsi="宋体" w:eastAsia="宋体" w:cs="宋体"/>
          <w:lang w:eastAsia="zh-CN"/>
        </w:rPr>
        <w:t>（1）对于矿山在开采过程中可以同时进行复垦场地的生态恢复措施的监管，对边开采边复垦措施的可行性进行监测；</w:t>
      </w:r>
    </w:p>
    <w:p>
      <w:pPr>
        <w:ind w:firstLine="560"/>
        <w:rPr>
          <w:rFonts w:hint="eastAsia" w:ascii="宋体" w:hAnsi="宋体" w:eastAsia="宋体" w:cs="宋体"/>
          <w:lang w:eastAsia="zh-CN"/>
        </w:rPr>
      </w:pPr>
      <w:r>
        <w:rPr>
          <w:rFonts w:hint="eastAsia" w:ascii="宋体" w:hAnsi="宋体" w:eastAsia="宋体" w:cs="宋体"/>
          <w:lang w:eastAsia="zh-CN"/>
        </w:rPr>
        <w:t>（2）对于工业场地及其它辅助设施在施工期结束后的绿化及植被恢复情况进行监测；</w:t>
      </w:r>
    </w:p>
    <w:p>
      <w:pPr>
        <w:ind w:firstLine="560"/>
        <w:rPr>
          <w:rFonts w:hint="eastAsia" w:ascii="宋体" w:hAnsi="宋体" w:eastAsia="宋体" w:cs="宋体"/>
          <w:lang w:eastAsia="zh-CN"/>
        </w:rPr>
      </w:pPr>
      <w:r>
        <w:rPr>
          <w:rFonts w:hint="eastAsia" w:ascii="宋体" w:hAnsi="宋体" w:eastAsia="宋体" w:cs="宋体"/>
          <w:lang w:eastAsia="zh-CN"/>
        </w:rPr>
        <w:t>（3）通过对以上几方面的土地复垦与植被恢复措施的跟踪性监测，保证矿山土地复垦达到要求。</w:t>
      </w:r>
    </w:p>
    <w:p>
      <w:pPr>
        <w:ind w:firstLine="562"/>
        <w:rPr>
          <w:rFonts w:hint="eastAsia" w:ascii="宋体" w:hAnsi="宋体" w:eastAsia="宋体" w:cs="宋体"/>
          <w:b/>
          <w:bCs/>
          <w:lang w:eastAsia="zh-CN"/>
        </w:rPr>
      </w:pPr>
      <w:r>
        <w:rPr>
          <w:rFonts w:hint="eastAsia" w:ascii="宋体" w:hAnsi="宋体" w:eastAsia="宋体" w:cs="宋体"/>
          <w:b/>
          <w:bCs/>
          <w:lang w:eastAsia="zh-CN"/>
        </w:rPr>
        <w:t>3、环境质量监测</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环境质量监测见表11.2.2-2。</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表11.2.2-2 环境质量监测一览表</w:t>
      </w:r>
    </w:p>
    <w:tbl>
      <w:tblPr>
        <w:tblStyle w:val="2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2326"/>
        <w:gridCol w:w="3811"/>
        <w:gridCol w:w="21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trPr>
        <w:tc>
          <w:tcPr>
            <w:tcW w:w="5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项目</w:t>
            </w:r>
          </w:p>
        </w:tc>
        <w:tc>
          <w:tcPr>
            <w:tcW w:w="1252"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监测点位</w:t>
            </w:r>
          </w:p>
        </w:tc>
        <w:tc>
          <w:tcPr>
            <w:tcW w:w="20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监测项目</w:t>
            </w:r>
          </w:p>
        </w:tc>
        <w:tc>
          <w:tcPr>
            <w:tcW w:w="1145"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大气</w:t>
            </w:r>
          </w:p>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环境</w:t>
            </w:r>
          </w:p>
        </w:tc>
        <w:tc>
          <w:tcPr>
            <w:tcW w:w="1252"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耿家林村</w:t>
            </w:r>
          </w:p>
        </w:tc>
        <w:tc>
          <w:tcPr>
            <w:tcW w:w="20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TSP、PM</w:t>
            </w:r>
            <w:r>
              <w:rPr>
                <w:rFonts w:hint="eastAsia" w:ascii="宋体" w:hAnsi="宋体" w:eastAsia="宋体" w:cs="宋体"/>
                <w:sz w:val="21"/>
                <w:szCs w:val="21"/>
                <w:vertAlign w:val="subscript"/>
                <w:lang w:eastAsia="zh-CN"/>
              </w:rPr>
              <w:t>10</w:t>
            </w:r>
            <w:r>
              <w:rPr>
                <w:rFonts w:hint="eastAsia" w:ascii="宋体" w:hAnsi="宋体" w:eastAsia="宋体" w:cs="宋体"/>
                <w:sz w:val="21"/>
                <w:szCs w:val="21"/>
                <w:lang w:eastAsia="zh-CN"/>
              </w:rPr>
              <w:t xml:space="preserve"> 、PM</w:t>
            </w:r>
            <w:r>
              <w:rPr>
                <w:rFonts w:hint="eastAsia" w:ascii="宋体" w:hAnsi="宋体" w:eastAsia="宋体" w:cs="宋体"/>
                <w:sz w:val="21"/>
                <w:szCs w:val="21"/>
                <w:vertAlign w:val="subscript"/>
                <w:lang w:eastAsia="zh-CN"/>
              </w:rPr>
              <w:t>2.5</w:t>
            </w:r>
          </w:p>
        </w:tc>
        <w:tc>
          <w:tcPr>
            <w:tcW w:w="1145"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一次/每季度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地下水环境</w:t>
            </w:r>
          </w:p>
        </w:tc>
        <w:tc>
          <w:tcPr>
            <w:tcW w:w="1252"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韩旺三村、耿家王峪、后文村</w:t>
            </w:r>
          </w:p>
        </w:tc>
        <w:tc>
          <w:tcPr>
            <w:tcW w:w="20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pH、总硬度、高锰酸盐指数、硫 酸盐、氯化物、挥发酚、氨氮、  硝酸盐氮、亚硝酸盐氮、氟化物、溶解性总固体、总大肠菌群、铁、铜、锰、铅、镉、汞、六价铬、  砷、钴</w:t>
            </w:r>
          </w:p>
        </w:tc>
        <w:tc>
          <w:tcPr>
            <w:tcW w:w="1145"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水质3次/年，每年丰水期、平水期、枯水期各监测一次，水位 1次/月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声环境</w:t>
            </w:r>
          </w:p>
        </w:tc>
        <w:tc>
          <w:tcPr>
            <w:tcW w:w="1252"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耿家林村、崔家王峪</w:t>
            </w:r>
          </w:p>
        </w:tc>
        <w:tc>
          <w:tcPr>
            <w:tcW w:w="20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等效连续 A 声级</w:t>
            </w:r>
          </w:p>
        </w:tc>
        <w:tc>
          <w:tcPr>
            <w:tcW w:w="1145"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一次/每季度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土壤</w:t>
            </w:r>
          </w:p>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环境</w:t>
            </w:r>
          </w:p>
        </w:tc>
        <w:tc>
          <w:tcPr>
            <w:tcW w:w="1252"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占地范围内：5个柱状采样点,2个表层点。</w:t>
            </w:r>
          </w:p>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占地范围外：占地外上风向1个表层采样点、下风向3个表层采样点</w:t>
            </w:r>
          </w:p>
        </w:tc>
        <w:tc>
          <w:tcPr>
            <w:tcW w:w="20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工业场地内：《土壤环境质量 建设用地土壤污染风险管控标准（试行）》（GB 36600-2018）规定的45项基本项目；</w:t>
            </w:r>
          </w:p>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工业场地外农田：pH、铜、锌、汞、镉、铅、砷、镍、铬</w:t>
            </w:r>
          </w:p>
        </w:tc>
        <w:tc>
          <w:tcPr>
            <w:tcW w:w="1145"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每3年开展一次监测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地面</w:t>
            </w:r>
          </w:p>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变形</w:t>
            </w:r>
          </w:p>
        </w:tc>
        <w:tc>
          <w:tcPr>
            <w:tcW w:w="1252"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矿山采区及其影响范围</w:t>
            </w:r>
          </w:p>
        </w:tc>
        <w:tc>
          <w:tcPr>
            <w:tcW w:w="2051"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采空区内设置46个监测点</w:t>
            </w:r>
          </w:p>
        </w:tc>
        <w:tc>
          <w:tcPr>
            <w:tcW w:w="1145" w:type="pct"/>
            <w:tcBorders>
              <w:tl2br w:val="nil"/>
              <w:tr2bl w:val="nil"/>
            </w:tcBorders>
            <w:vAlign w:val="center"/>
          </w:tcPr>
          <w:p>
            <w:pPr>
              <w:pStyle w:val="2"/>
              <w:keepNext w:val="0"/>
              <w:keepLines w:val="0"/>
              <w:suppressLineNumbers w:val="0"/>
              <w:spacing w:before="0" w:beforeAutospacing="0" w:after="0" w:afterAutospacing="0" w:line="240" w:lineRule="auto"/>
              <w:ind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地面变形监测每2个月观测1次；雨季及发现变形异常时须加密观测，观测频率为每月不少于1次</w:t>
            </w:r>
          </w:p>
        </w:tc>
      </w:tr>
    </w:tbl>
    <w:p>
      <w:pPr>
        <w:pStyle w:val="6"/>
        <w:rPr>
          <w:rFonts w:hint="eastAsia" w:ascii="宋体" w:hAnsi="宋体" w:eastAsia="宋体" w:cs="宋体"/>
          <w:lang w:eastAsia="zh-CN"/>
        </w:rPr>
      </w:pPr>
      <w:bookmarkStart w:id="219" w:name="_Toc20680"/>
      <w:bookmarkStart w:id="220" w:name="_Toc29210"/>
      <w:r>
        <w:rPr>
          <w:rFonts w:hint="eastAsia" w:ascii="宋体" w:hAnsi="宋体" w:eastAsia="宋体" w:cs="宋体"/>
          <w:lang w:eastAsia="zh-CN"/>
        </w:rPr>
        <w:t>11.3 排污口规范化设置</w:t>
      </w:r>
      <w:bookmarkEnd w:id="219"/>
      <w:bookmarkEnd w:id="220"/>
    </w:p>
    <w:p>
      <w:pPr>
        <w:ind w:firstLine="560"/>
        <w:rPr>
          <w:rFonts w:hint="eastAsia" w:ascii="宋体" w:hAnsi="宋体" w:eastAsia="宋体" w:cs="宋体"/>
          <w:lang w:eastAsia="zh-CN"/>
        </w:rPr>
      </w:pPr>
      <w:r>
        <w:rPr>
          <w:rFonts w:hint="eastAsia" w:ascii="宋体" w:hAnsi="宋体" w:eastAsia="宋体" w:cs="宋体"/>
          <w:lang w:eastAsia="zh-CN"/>
        </w:rPr>
        <w:t>废水排放口、废气排放口、固定噪声源、固体废物贮存必须按照国家要求进行建设，应符合环保标志明显，排污口（接管口）设置合理，便于采集样品、便于监测计量、便于公众参与和监督管理，同时应按照国家环保总局制定的《环境保护图形标志实施细则（试行）》的规定，设置与排污口相应的图形标志牌。</w:t>
      </w:r>
    </w:p>
    <w:p>
      <w:pPr>
        <w:ind w:firstLine="560"/>
        <w:rPr>
          <w:rFonts w:hint="eastAsia" w:ascii="宋体" w:hAnsi="宋体" w:eastAsia="宋体" w:cs="宋体"/>
          <w:lang w:eastAsia="zh-CN"/>
        </w:rPr>
      </w:pPr>
      <w:r>
        <w:rPr>
          <w:rFonts w:hint="eastAsia" w:ascii="宋体" w:hAnsi="宋体" w:eastAsia="宋体" w:cs="宋体"/>
          <w:lang w:eastAsia="zh-CN"/>
        </w:rPr>
        <w:t>（1）排污口管理</w:t>
      </w:r>
    </w:p>
    <w:p>
      <w:pPr>
        <w:ind w:firstLine="560"/>
        <w:rPr>
          <w:rFonts w:hint="eastAsia" w:ascii="宋体" w:hAnsi="宋体" w:eastAsia="宋体" w:cs="宋体"/>
          <w:lang w:eastAsia="zh-CN"/>
        </w:rPr>
      </w:pPr>
      <w:r>
        <w:rPr>
          <w:rFonts w:hint="eastAsia" w:ascii="宋体" w:hAnsi="宋体" w:eastAsia="宋体" w:cs="宋体"/>
          <w:lang w:eastAsia="zh-CN"/>
        </w:rPr>
        <w:t>建设单位应在各个排污口处树立标志牌，并如实填写《中华人民共和国规范化排污口标记登记证》，由环保部门签发。环保主管部门和建设单位可分别按以下内容建立排污口管理的专门档案：排污口性质和编号；位置；排放主要污染物种类、数量、浓度；排放去向；达标情况；治理设施运行情况及整改意见。</w:t>
      </w:r>
    </w:p>
    <w:p>
      <w:pPr>
        <w:ind w:firstLine="560"/>
        <w:rPr>
          <w:rFonts w:hint="eastAsia" w:ascii="宋体" w:hAnsi="宋体" w:eastAsia="宋体" w:cs="宋体"/>
          <w:lang w:eastAsia="zh-CN"/>
        </w:rPr>
      </w:pPr>
      <w:r>
        <w:rPr>
          <w:rFonts w:hint="eastAsia" w:ascii="宋体" w:hAnsi="宋体" w:eastAsia="宋体" w:cs="宋体"/>
          <w:lang w:eastAsia="zh-CN"/>
        </w:rPr>
        <w:t>（2）环境保护图形标志</w:t>
      </w:r>
    </w:p>
    <w:p>
      <w:pPr>
        <w:ind w:firstLine="560"/>
        <w:rPr>
          <w:rFonts w:hint="eastAsia" w:ascii="宋体" w:hAnsi="宋体" w:eastAsia="宋体" w:cs="宋体"/>
          <w:lang w:eastAsia="zh-CN"/>
        </w:rPr>
        <w:sectPr>
          <w:headerReference r:id="rId81" w:type="default"/>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r>
        <w:rPr>
          <w:rFonts w:hint="eastAsia" w:ascii="宋体" w:hAnsi="宋体" w:eastAsia="宋体" w:cs="宋体"/>
          <w:lang w:eastAsia="zh-CN"/>
        </w:rPr>
        <w:t>在矿区的废水排放口、废气排放源、固体废物贮存处置场、噪声产生点应设置环境保护图形标志，图形符号分为提示图形和警告图形符号两种，分别按 GB15562.1—1995、GB15562.2—1995 执行。</w:t>
      </w:r>
    </w:p>
    <w:p>
      <w:pPr>
        <w:pStyle w:val="5"/>
        <w:spacing w:before="156" w:after="156"/>
        <w:rPr>
          <w:rFonts w:hint="eastAsia" w:ascii="宋体" w:hAnsi="宋体" w:eastAsia="宋体" w:cs="宋体"/>
          <w:lang w:eastAsia="zh-CN"/>
        </w:rPr>
      </w:pPr>
      <w:bookmarkStart w:id="221" w:name="_Toc286"/>
      <w:bookmarkStart w:id="222" w:name="_Toc3241"/>
      <w:r>
        <w:rPr>
          <w:rFonts w:hint="eastAsia" w:ascii="宋体" w:hAnsi="宋体" w:eastAsia="宋体" w:cs="宋体"/>
          <w:lang w:eastAsia="zh-CN"/>
        </w:rPr>
        <w:t>第十二章 规划符合性分析</w:t>
      </w:r>
      <w:bookmarkEnd w:id="221"/>
      <w:bookmarkEnd w:id="222"/>
    </w:p>
    <w:p>
      <w:pPr>
        <w:pStyle w:val="6"/>
        <w:rPr>
          <w:rFonts w:hint="eastAsia" w:ascii="宋体" w:hAnsi="宋体" w:eastAsia="宋体" w:cs="宋体"/>
          <w:lang w:eastAsia="zh-CN"/>
        </w:rPr>
      </w:pPr>
      <w:bookmarkStart w:id="223" w:name="_Toc21662"/>
      <w:bookmarkStart w:id="224" w:name="_Toc25658"/>
      <w:r>
        <w:rPr>
          <w:rFonts w:hint="eastAsia" w:ascii="宋体" w:hAnsi="宋体" w:eastAsia="宋体" w:cs="宋体"/>
          <w:lang w:eastAsia="zh-CN"/>
        </w:rPr>
        <w:t>12.1 场地选址合理性分析</w:t>
      </w:r>
      <w:bookmarkEnd w:id="223"/>
      <w:bookmarkEnd w:id="224"/>
    </w:p>
    <w:p>
      <w:pPr>
        <w:pStyle w:val="7"/>
        <w:rPr>
          <w:rFonts w:hint="eastAsia" w:ascii="宋体" w:hAnsi="宋体" w:eastAsia="宋体" w:cs="宋体"/>
          <w:lang w:eastAsia="zh-CN"/>
        </w:rPr>
      </w:pPr>
      <w:r>
        <w:rPr>
          <w:rFonts w:hint="eastAsia" w:ascii="宋体" w:hAnsi="宋体" w:eastAsia="宋体" w:cs="宋体"/>
          <w:lang w:eastAsia="zh-CN"/>
        </w:rPr>
        <w:t>12.1.1 生态红线规划符合性分析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位于临沂市沂水县与淄博市沂源县交界处。根据《山东省生态保护红线规划（2016-2020 年）》可知，</w:t>
      </w:r>
      <w:r>
        <w:rPr>
          <w:rFonts w:hint="eastAsia" w:cs="宋体"/>
          <w:lang w:eastAsia="zh-CN"/>
        </w:rPr>
        <w:t>本项目</w:t>
      </w:r>
      <w:r>
        <w:rPr>
          <w:rFonts w:hint="eastAsia" w:ascii="宋体" w:hAnsi="宋体" w:eastAsia="宋体" w:cs="宋体"/>
          <w:lang w:eastAsia="zh-CN"/>
        </w:rPr>
        <w:t>与生态保护红线的关系见图12.1.1-1~图12.1.1-2、表12.1.1-1。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表12.1.1-1 </w:t>
      </w:r>
      <w:r>
        <w:rPr>
          <w:rFonts w:hint="eastAsia" w:cs="宋体"/>
          <w:b/>
          <w:bCs/>
          <w:sz w:val="24"/>
          <w:lang w:eastAsia="zh-CN"/>
        </w:rPr>
        <w:t>本项目</w:t>
      </w:r>
      <w:r>
        <w:rPr>
          <w:rFonts w:hint="eastAsia" w:ascii="宋体" w:hAnsi="宋体" w:eastAsia="宋体" w:cs="宋体"/>
          <w:b/>
          <w:bCs/>
          <w:sz w:val="24"/>
          <w:lang w:eastAsia="zh-CN"/>
        </w:rPr>
        <w:t>建设地周边生态保护红线基本情况</w:t>
      </w:r>
    </w:p>
    <w:tbl>
      <w:tblPr>
        <w:tblStyle w:val="25"/>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1"/>
        <w:gridCol w:w="474"/>
        <w:gridCol w:w="1602"/>
        <w:gridCol w:w="1371"/>
        <w:gridCol w:w="1195"/>
        <w:gridCol w:w="888"/>
        <w:gridCol w:w="985"/>
        <w:gridCol w:w="996"/>
        <w:gridCol w:w="12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序号</w:t>
            </w:r>
          </w:p>
        </w:tc>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县</w:t>
            </w:r>
          </w:p>
        </w:tc>
        <w:tc>
          <w:tcPr>
            <w:tcW w:w="86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名称</w:t>
            </w:r>
          </w:p>
        </w:tc>
        <w:tc>
          <w:tcPr>
            <w:tcW w:w="68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代码</w:t>
            </w:r>
          </w:p>
        </w:tc>
        <w:tc>
          <w:tcPr>
            <w:tcW w:w="6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区域面积（km</w:t>
            </w:r>
            <w:r>
              <w:rPr>
                <w:rFonts w:hint="eastAsia" w:ascii="宋体" w:hAnsi="宋体" w:eastAsia="宋体" w:cs="宋体"/>
                <w:b/>
                <w:bCs/>
                <w:kern w:val="2"/>
                <w:sz w:val="21"/>
                <w:szCs w:val="21"/>
                <w:vertAlign w:val="superscript"/>
                <w:lang w:eastAsia="zh-CN"/>
              </w:rPr>
              <w:t>2</w:t>
            </w:r>
            <w:r>
              <w:rPr>
                <w:rFonts w:hint="eastAsia" w:ascii="宋体" w:hAnsi="宋体" w:eastAsia="宋体" w:cs="宋体"/>
                <w:b/>
                <w:bCs/>
                <w:kern w:val="2"/>
                <w:sz w:val="21"/>
                <w:szCs w:val="21"/>
                <w:lang w:eastAsia="zh-CN"/>
              </w:rPr>
              <w:t>）</w:t>
            </w:r>
          </w:p>
        </w:tc>
        <w:tc>
          <w:tcPr>
            <w:tcW w:w="48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生态</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功能</w:t>
            </w:r>
          </w:p>
        </w:tc>
        <w:tc>
          <w:tcPr>
            <w:tcW w:w="53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类型</w:t>
            </w:r>
          </w:p>
        </w:tc>
        <w:tc>
          <w:tcPr>
            <w:tcW w:w="54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级别</w:t>
            </w:r>
          </w:p>
        </w:tc>
        <w:tc>
          <w:tcPr>
            <w:tcW w:w="705"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1</w:t>
            </w:r>
          </w:p>
        </w:tc>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沂水县</w:t>
            </w:r>
          </w:p>
        </w:tc>
        <w:tc>
          <w:tcPr>
            <w:tcW w:w="86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跋山水库水源涵养生态保护红线区</w:t>
            </w:r>
          </w:p>
        </w:tc>
        <w:tc>
          <w:tcPr>
            <w:tcW w:w="68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SD-13-B1-02</w:t>
            </w:r>
          </w:p>
        </w:tc>
        <w:tc>
          <w:tcPr>
            <w:tcW w:w="6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222.39</w:t>
            </w:r>
          </w:p>
        </w:tc>
        <w:tc>
          <w:tcPr>
            <w:tcW w:w="48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水源涵养、土壤保持</w:t>
            </w:r>
          </w:p>
        </w:tc>
        <w:tc>
          <w:tcPr>
            <w:tcW w:w="53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湿地、森林、河流、水库</w:t>
            </w:r>
          </w:p>
        </w:tc>
        <w:tc>
          <w:tcPr>
            <w:tcW w:w="54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省级</w:t>
            </w:r>
          </w:p>
        </w:tc>
        <w:tc>
          <w:tcPr>
            <w:tcW w:w="705"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见 图10.1.1-1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0"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42</w:t>
            </w:r>
          </w:p>
        </w:tc>
        <w:tc>
          <w:tcPr>
            <w:tcW w:w="261"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沂源县</w:t>
            </w:r>
          </w:p>
        </w:tc>
        <w:tc>
          <w:tcPr>
            <w:tcW w:w="868"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毫山以南生物多样性维护生态保护红线区</w:t>
            </w:r>
          </w:p>
        </w:tc>
        <w:tc>
          <w:tcPr>
            <w:tcW w:w="68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SD-03-B4-13</w:t>
            </w:r>
          </w:p>
        </w:tc>
        <w:tc>
          <w:tcPr>
            <w:tcW w:w="649"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80.09</w:t>
            </w:r>
          </w:p>
        </w:tc>
        <w:tc>
          <w:tcPr>
            <w:tcW w:w="484"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生物多样性维护、水源涵养</w:t>
            </w:r>
          </w:p>
        </w:tc>
        <w:tc>
          <w:tcPr>
            <w:tcW w:w="536"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森林</w:t>
            </w:r>
          </w:p>
        </w:tc>
        <w:tc>
          <w:tcPr>
            <w:tcW w:w="542"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省级</w:t>
            </w:r>
          </w:p>
        </w:tc>
        <w:tc>
          <w:tcPr>
            <w:tcW w:w="705" w:type="pct"/>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见 图10.1.1-2</w:t>
            </w:r>
          </w:p>
        </w:tc>
      </w:tr>
    </w:tbl>
    <w:p>
      <w:pPr>
        <w:ind w:firstLine="560"/>
        <w:rPr>
          <w:rFonts w:hint="eastAsia" w:ascii="宋体" w:hAnsi="宋体" w:eastAsia="宋体" w:cs="宋体"/>
          <w:kern w:val="2"/>
          <w:lang w:eastAsia="zh-CN"/>
        </w:rPr>
      </w:pPr>
      <w:r>
        <w:rPr>
          <w:rFonts w:hint="eastAsia" w:ascii="宋体" w:hAnsi="宋体" w:eastAsia="宋体" w:cs="宋体"/>
          <w:kern w:val="2"/>
          <w:lang w:eastAsia="zh-CN"/>
        </w:rPr>
        <w:t>由图12.1.1-1、图12.1.1-2及表12.1.1-1可知，</w:t>
      </w:r>
      <w:r>
        <w:rPr>
          <w:rFonts w:hint="eastAsia" w:cs="宋体"/>
          <w:kern w:val="2"/>
          <w:lang w:eastAsia="zh-CN"/>
        </w:rPr>
        <w:t>本项目</w:t>
      </w:r>
      <w:r>
        <w:rPr>
          <w:rFonts w:hint="eastAsia" w:ascii="宋体" w:hAnsi="宋体" w:eastAsia="宋体" w:cs="宋体"/>
          <w:kern w:val="2"/>
          <w:lang w:eastAsia="zh-CN"/>
        </w:rPr>
        <w:t>建设地不在省级生态保护红线内。</w:t>
      </w:r>
    </w:p>
    <w:p>
      <w:pPr>
        <w:ind w:firstLine="560"/>
        <w:rPr>
          <w:rFonts w:hint="eastAsia" w:ascii="宋体" w:hAnsi="宋体" w:eastAsia="宋体" w:cs="宋体"/>
          <w:kern w:val="2"/>
          <w:lang w:eastAsia="zh-CN"/>
        </w:rPr>
      </w:pPr>
      <w:r>
        <w:rPr>
          <w:rFonts w:hint="eastAsia" w:cs="宋体"/>
          <w:kern w:val="2"/>
          <w:lang w:eastAsia="zh-CN"/>
        </w:rPr>
        <w:t>本项目</w:t>
      </w:r>
      <w:r>
        <w:rPr>
          <w:rFonts w:hint="eastAsia" w:ascii="宋体" w:hAnsi="宋体" w:eastAsia="宋体" w:cs="宋体"/>
          <w:kern w:val="2"/>
          <w:lang w:eastAsia="zh-CN"/>
        </w:rPr>
        <w:t>与山东沂水国家湿地公园、沂水县沂河自然保护区的位置关系见图12.1.1-3、图12.1.1-4，从图中可知，</w:t>
      </w:r>
      <w:r>
        <w:rPr>
          <w:rFonts w:hint="eastAsia" w:cs="宋体"/>
          <w:kern w:val="2"/>
          <w:lang w:eastAsia="zh-CN"/>
        </w:rPr>
        <w:t>本项目</w:t>
      </w:r>
      <w:r>
        <w:rPr>
          <w:rFonts w:hint="eastAsia" w:ascii="宋体" w:hAnsi="宋体" w:eastAsia="宋体" w:cs="宋体"/>
          <w:kern w:val="2"/>
          <w:lang w:eastAsia="zh-CN"/>
        </w:rPr>
        <w:t>建设地不在山东沂水国家湿地公园和沂水县沂河自然保护区保护边界内。</w:t>
      </w:r>
    </w:p>
    <w:p>
      <w:pPr>
        <w:pStyle w:val="7"/>
        <w:rPr>
          <w:rFonts w:hint="eastAsia" w:ascii="宋体" w:hAnsi="宋体" w:eastAsia="宋体" w:cs="宋体"/>
          <w:lang w:eastAsia="zh-CN"/>
        </w:rPr>
      </w:pPr>
      <w:r>
        <w:rPr>
          <w:rFonts w:hint="eastAsia" w:ascii="宋体" w:hAnsi="宋体" w:eastAsia="宋体" w:cs="宋体"/>
          <w:lang w:eastAsia="zh-CN"/>
        </w:rPr>
        <w:t>12.1.2 与城镇总体规划及土地利用规划符合性分析</w:t>
      </w:r>
    </w:p>
    <w:p>
      <w:pPr>
        <w:ind w:firstLine="0" w:firstLineChars="0"/>
        <w:outlineLvl w:val="3"/>
        <w:rPr>
          <w:rFonts w:hint="eastAsia" w:ascii="宋体" w:hAnsi="宋体" w:eastAsia="宋体" w:cs="宋体"/>
          <w:b/>
          <w:bCs/>
          <w:lang w:eastAsia="zh-CN"/>
        </w:rPr>
      </w:pPr>
      <w:r>
        <w:rPr>
          <w:rFonts w:hint="eastAsia" w:ascii="宋体" w:hAnsi="宋体" w:eastAsia="宋体" w:cs="宋体"/>
          <w:b/>
          <w:bCs/>
          <w:lang w:eastAsia="zh-CN"/>
        </w:rPr>
        <w:t>12.1.2.1 与城镇总体规划符合性</w:t>
      </w:r>
    </w:p>
    <w:p>
      <w:pPr>
        <w:ind w:firstLine="562"/>
        <w:rPr>
          <w:rFonts w:hint="eastAsia" w:ascii="宋体" w:hAnsi="宋体" w:eastAsia="宋体" w:cs="宋体"/>
          <w:b/>
          <w:bCs/>
          <w:lang w:eastAsia="zh-CN"/>
        </w:rPr>
      </w:pPr>
      <w:r>
        <w:rPr>
          <w:rFonts w:hint="eastAsia" w:ascii="宋体" w:hAnsi="宋体" w:eastAsia="宋体" w:cs="宋体"/>
          <w:b/>
          <w:bCs/>
          <w:lang w:eastAsia="zh-CN"/>
        </w:rPr>
        <w:t>1、与《沂水县诸葛镇总体规划（2017-2035年）》符合性分析</w:t>
      </w:r>
    </w:p>
    <w:p>
      <w:pPr>
        <w:ind w:firstLine="560"/>
        <w:rPr>
          <w:rFonts w:hint="eastAsia" w:ascii="宋体" w:hAnsi="宋体" w:eastAsia="宋体" w:cs="宋体"/>
          <w:lang w:eastAsia="zh-CN"/>
        </w:rPr>
      </w:pPr>
      <w:r>
        <w:rPr>
          <w:rFonts w:hint="eastAsia" w:ascii="宋体" w:hAnsi="宋体" w:eastAsia="宋体" w:cs="宋体"/>
          <w:lang w:eastAsia="zh-CN"/>
        </w:rPr>
        <w:t>根据《沂水县诸葛镇总体规划（2017-2035年）》，见图10.1.2-1。</w:t>
      </w:r>
      <w:r>
        <w:rPr>
          <w:rFonts w:hint="eastAsia" w:cs="宋体"/>
          <w:lang w:eastAsia="zh-CN"/>
        </w:rPr>
        <w:t>本项目</w:t>
      </w:r>
      <w:r>
        <w:rPr>
          <w:rFonts w:hint="eastAsia" w:ascii="宋体" w:hAnsi="宋体" w:eastAsia="宋体" w:cs="宋体"/>
          <w:lang w:eastAsia="zh-CN"/>
        </w:rPr>
        <w:t>所在地属于H5采矿用地，企业已取得采矿证，符合土地利用总体规划。</w:t>
      </w:r>
    </w:p>
    <w:p>
      <w:pPr>
        <w:ind w:firstLine="562"/>
        <w:rPr>
          <w:rFonts w:hint="eastAsia" w:ascii="宋体" w:hAnsi="宋体" w:eastAsia="宋体" w:cs="宋体"/>
          <w:b/>
          <w:bCs/>
          <w:lang w:eastAsia="zh-CN"/>
        </w:rPr>
      </w:pPr>
      <w:r>
        <w:rPr>
          <w:rFonts w:hint="eastAsia" w:ascii="宋体" w:hAnsi="宋体" w:eastAsia="宋体" w:cs="宋体"/>
          <w:b/>
          <w:bCs/>
          <w:lang w:eastAsia="zh-CN"/>
        </w:rPr>
        <w:t>2、与《沂源县土地利用总体规划（2006-2020年）》符合性分析</w:t>
      </w:r>
    </w:p>
    <w:p>
      <w:pPr>
        <w:ind w:firstLine="560"/>
        <w:rPr>
          <w:rFonts w:hint="eastAsia" w:ascii="宋体" w:hAnsi="宋体" w:eastAsia="宋体" w:cs="宋体"/>
          <w:lang w:eastAsia="zh-CN"/>
        </w:rPr>
      </w:pPr>
      <w:r>
        <w:rPr>
          <w:rFonts w:hint="eastAsia" w:ascii="宋体" w:hAnsi="宋体" w:eastAsia="宋体" w:cs="宋体"/>
          <w:lang w:eastAsia="zh-CN"/>
        </w:rPr>
        <w:t>根据《沂源县土地利用总体规划（2006-2020年）》，见图10.1.2-2。</w:t>
      </w:r>
      <w:r>
        <w:rPr>
          <w:rFonts w:hint="eastAsia" w:cs="宋体"/>
          <w:lang w:eastAsia="zh-CN"/>
        </w:rPr>
        <w:t>本项目</w:t>
      </w:r>
      <w:r>
        <w:rPr>
          <w:rFonts w:hint="eastAsia" w:ascii="宋体" w:hAnsi="宋体" w:eastAsia="宋体" w:cs="宋体"/>
          <w:lang w:eastAsia="zh-CN"/>
        </w:rPr>
        <w:t>所在地属于采矿用地，企业已取得采矿证，符合土地利用总体规划。</w:t>
      </w:r>
    </w:p>
    <w:p>
      <w:pPr>
        <w:ind w:firstLine="0" w:firstLineChars="0"/>
        <w:outlineLvl w:val="3"/>
        <w:rPr>
          <w:rFonts w:hint="eastAsia" w:ascii="宋体" w:hAnsi="宋体" w:eastAsia="宋体" w:cs="宋体"/>
          <w:b/>
          <w:bCs/>
          <w:lang w:eastAsia="zh-CN"/>
        </w:rPr>
      </w:pPr>
      <w:r>
        <w:rPr>
          <w:rFonts w:hint="eastAsia" w:ascii="宋体" w:hAnsi="宋体" w:eastAsia="宋体" w:cs="宋体"/>
          <w:b/>
          <w:bCs/>
          <w:lang w:eastAsia="zh-CN"/>
        </w:rPr>
        <w:t>12.1.2.2 与矿产资源总体规划符合性分析</w:t>
      </w:r>
    </w:p>
    <w:p>
      <w:pPr>
        <w:ind w:firstLine="562"/>
        <w:rPr>
          <w:rFonts w:hint="eastAsia" w:ascii="宋体" w:hAnsi="宋体" w:eastAsia="宋体" w:cs="宋体"/>
          <w:b/>
          <w:bCs/>
          <w:lang w:eastAsia="zh-CN"/>
        </w:rPr>
      </w:pPr>
      <w:r>
        <w:rPr>
          <w:rFonts w:hint="eastAsia" w:ascii="宋体" w:hAnsi="宋体" w:eastAsia="宋体" w:cs="宋体"/>
          <w:b/>
          <w:bCs/>
          <w:lang w:eastAsia="zh-CN"/>
        </w:rPr>
        <w:t>1、与《山东省矿产资源总体规划（2016-2020年）》符合性分析</w:t>
      </w:r>
    </w:p>
    <w:p>
      <w:pPr>
        <w:ind w:firstLine="560"/>
        <w:rPr>
          <w:rFonts w:hint="eastAsia" w:ascii="宋体" w:hAnsi="宋体" w:eastAsia="宋体" w:cs="宋体"/>
          <w:lang w:eastAsia="zh-CN"/>
        </w:rPr>
      </w:pPr>
      <w:r>
        <w:rPr>
          <w:rFonts w:hint="eastAsia" w:ascii="宋体" w:hAnsi="宋体" w:eastAsia="宋体" w:cs="宋体"/>
          <w:lang w:eastAsia="zh-CN"/>
        </w:rPr>
        <w:t>根据该规划，山东省开采规划分区主要分为：</w:t>
      </w:r>
    </w:p>
    <w:p>
      <w:pPr>
        <w:ind w:firstLine="560"/>
        <w:rPr>
          <w:rFonts w:hint="eastAsia" w:ascii="宋体" w:hAnsi="宋体" w:eastAsia="宋体" w:cs="宋体"/>
          <w:lang w:eastAsia="zh-CN"/>
        </w:rPr>
      </w:pPr>
      <w:r>
        <w:rPr>
          <w:rFonts w:hint="eastAsia" w:ascii="宋体" w:hAnsi="宋体" w:eastAsia="宋体" w:cs="宋体"/>
          <w:lang w:eastAsia="zh-CN"/>
        </w:rPr>
        <w:t>1）重点矿区</w:t>
      </w:r>
    </w:p>
    <w:p>
      <w:pPr>
        <w:ind w:firstLine="560"/>
        <w:rPr>
          <w:rFonts w:hint="eastAsia" w:ascii="宋体" w:hAnsi="宋体" w:eastAsia="宋体" w:cs="宋体"/>
          <w:lang w:eastAsia="zh-CN"/>
        </w:rPr>
      </w:pPr>
      <w:r>
        <w:rPr>
          <w:rFonts w:hint="eastAsia" w:ascii="宋体" w:hAnsi="宋体" w:eastAsia="宋体" w:cs="宋体"/>
          <w:lang w:eastAsia="zh-CN"/>
        </w:rPr>
        <w:t>是以战略性矿产或区域优势特色矿产为主、资源储量大、资源条件好、具有开发利用基础、对全国资源开发具有举足轻重作用的大型矿产地和矿集区。划定重点矿区38个，包括13个国家规划矿区（见表12.1.2-1）。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表12.2.1-2</w:t>
      </w:r>
      <w:r>
        <w:rPr>
          <w:rFonts w:hint="eastAsia" w:ascii="宋体" w:hAnsi="宋体" w:eastAsia="宋体" w:cs="宋体"/>
          <w:b/>
          <w:bCs/>
          <w:sz w:val="24"/>
          <w:lang w:eastAsia="zh-CN"/>
        </w:rPr>
        <w:tab/>
      </w:r>
      <w:r>
        <w:rPr>
          <w:rFonts w:hint="eastAsia" w:ascii="宋体" w:hAnsi="宋体" w:eastAsia="宋体" w:cs="宋体"/>
          <w:b/>
          <w:bCs/>
          <w:sz w:val="24"/>
          <w:lang w:eastAsia="zh-CN"/>
        </w:rPr>
        <w:t>重点矿区一览表</w:t>
      </w:r>
    </w:p>
    <w:tbl>
      <w:tblPr>
        <w:tblStyle w:val="24"/>
        <w:tblW w:w="0" w:type="auto"/>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1377"/>
        <w:gridCol w:w="7772"/>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377" w:type="dxa"/>
            <w:tcBorders>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保护区类型</w:t>
            </w:r>
          </w:p>
        </w:tc>
        <w:tc>
          <w:tcPr>
            <w:tcW w:w="7772" w:type="dxa"/>
            <w:tcBorders>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名称</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377" w:type="dxa"/>
            <w:tcBorders>
              <w:top w:val="single" w:color="000000" w:sz="4" w:space="0"/>
              <w:left w:val="single" w:color="000000" w:sz="12" w:space="0"/>
              <w:bottom w:val="single" w:color="000000" w:sz="4"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国家规划矿区</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（13处）</w:t>
            </w:r>
          </w:p>
        </w:tc>
        <w:tc>
          <w:tcPr>
            <w:tcW w:w="7772" w:type="dxa"/>
            <w:tcBorders>
              <w:top w:val="single" w:color="000000" w:sz="4" w:space="0"/>
              <w:left w:val="single" w:color="000000" w:sz="4" w:space="0"/>
              <w:bottom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黄河北煤炭国家规划矿区、巨野煤矿重点矿区、济宁煤矿重点矿区、平度-莱西石墨</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矿区、新城金矿、三山岛金矿、焦家金矿、玲珑金矿、海域金矿、莱州纱岭金矿、夏甸金矿、大尹各庄金矿、山东中矿玲南—阜山金矿。总面积18340.49平方千米。</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97" w:hRule="atLeast"/>
        </w:trPr>
        <w:tc>
          <w:tcPr>
            <w:tcW w:w="1377" w:type="dxa"/>
            <w:tcBorders>
              <w:top w:val="single" w:color="000000" w:sz="4" w:space="0"/>
              <w:left w:val="single" w:color="000000" w:sz="12" w:space="0"/>
              <w:right w:val="single" w:color="000000" w:sz="4"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省级重点矿区</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（25处）</w:t>
            </w:r>
          </w:p>
        </w:tc>
        <w:tc>
          <w:tcPr>
            <w:tcW w:w="7772" w:type="dxa"/>
            <w:tcBorders>
              <w:top w:val="single" w:color="000000" w:sz="4" w:space="0"/>
              <w:left w:val="single" w:color="000000" w:sz="4" w:space="0"/>
              <w:right w:val="single" w:color="000000" w:sz="12" w:space="0"/>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单县煤矿、肥城煤矿、新汶煤矿、枣滕煤矿、龙口煤炭油页岩、山东东平铁矿、山</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东莱芜铁矿、山东临淄金岭铁矿、昌邑铁矿、</w:t>
            </w:r>
            <w:r>
              <w:rPr>
                <w:rFonts w:hint="eastAsia" w:ascii="宋体" w:hAnsi="宋体" w:eastAsia="宋体" w:cs="宋体"/>
                <w:b/>
                <w:bCs/>
                <w:sz w:val="21"/>
                <w:szCs w:val="21"/>
                <w:lang w:eastAsia="zh-CN"/>
              </w:rPr>
              <w:t>韩旺铁矿</w:t>
            </w:r>
            <w:r>
              <w:rPr>
                <w:rFonts w:hint="eastAsia" w:ascii="宋体" w:hAnsi="宋体" w:eastAsia="宋体" w:cs="宋体"/>
                <w:sz w:val="21"/>
                <w:szCs w:val="21"/>
                <w:lang w:eastAsia="zh-CN"/>
              </w:rPr>
              <w:t>、苍峄（兰陵）铁矿、平邑归来庄矿、沂南铜井、平度大庄子、莱州仓上—三山岛、莱州焦家—新城、招远北截—金翅岭、招远大尹格庄—夏甸、平度旧店、招远玲珑、蓬莱大柳行、邓格庄、郭城—辽上、五莲街头花岗岩、邹平铜矿重点矿区。总面积4796.92平方千米。</w:t>
            </w:r>
          </w:p>
        </w:tc>
      </w:tr>
    </w:tbl>
    <w:p>
      <w:pPr>
        <w:ind w:firstLine="560"/>
        <w:rPr>
          <w:rFonts w:hint="eastAsia" w:ascii="宋体" w:hAnsi="宋体" w:eastAsia="宋体" w:cs="宋体"/>
          <w:lang w:eastAsia="zh-CN"/>
        </w:rPr>
      </w:pPr>
      <w:r>
        <w:rPr>
          <w:rFonts w:hint="eastAsia" w:ascii="宋体" w:hAnsi="宋体" w:eastAsia="宋体" w:cs="宋体"/>
          <w:lang w:eastAsia="zh-CN"/>
        </w:rPr>
        <w:t>2）限制开采区</w:t>
      </w:r>
    </w:p>
    <w:p>
      <w:pPr>
        <w:ind w:firstLine="560"/>
        <w:rPr>
          <w:rFonts w:hint="eastAsia" w:ascii="宋体" w:hAnsi="宋体" w:eastAsia="宋体" w:cs="宋体"/>
          <w:lang w:eastAsia="zh-CN"/>
        </w:rPr>
      </w:pPr>
      <w:r>
        <w:rPr>
          <w:rFonts w:hint="eastAsia" w:ascii="宋体" w:hAnsi="宋体" w:eastAsia="宋体" w:cs="宋体"/>
          <w:lang w:eastAsia="zh-CN"/>
        </w:rPr>
        <w:t>根据国家产业政策对矿种的开发的限制划定限制开采区4个，包括平邑盆地石膏限制开采区、枣庄底阁石膏限制开采区、潍坊北部地下卤水限制开采区、大汶口盆地盐类限制开采区。</w:t>
      </w:r>
    </w:p>
    <w:p>
      <w:pPr>
        <w:ind w:firstLine="560"/>
        <w:rPr>
          <w:rFonts w:hint="eastAsia" w:ascii="宋体" w:hAnsi="宋体" w:eastAsia="宋体" w:cs="宋体"/>
          <w:lang w:eastAsia="zh-CN"/>
        </w:rPr>
      </w:pPr>
      <w:r>
        <w:rPr>
          <w:rFonts w:hint="eastAsia" w:ascii="宋体" w:hAnsi="宋体" w:eastAsia="宋体" w:cs="宋体"/>
          <w:lang w:eastAsia="zh-CN"/>
        </w:rPr>
        <w:t>3）禁止开采区</w:t>
      </w:r>
    </w:p>
    <w:p>
      <w:pPr>
        <w:ind w:firstLine="560"/>
        <w:rPr>
          <w:rFonts w:hint="eastAsia" w:ascii="宋体" w:hAnsi="宋体" w:eastAsia="宋体" w:cs="宋体"/>
          <w:lang w:eastAsia="zh-CN"/>
        </w:rPr>
      </w:pPr>
      <w:r>
        <w:rPr>
          <w:rFonts w:hint="eastAsia" w:ascii="宋体" w:hAnsi="宋体" w:eastAsia="宋体" w:cs="宋体"/>
          <w:lang w:eastAsia="zh-CN"/>
        </w:rPr>
        <w:t>将国家级、省级地质公园、风景名胜区、自然保护区、地质地貌保护区等的核心功能区、各级各类自然保护区、生态保护红线Ⅰ类红线区及生态保护红线负面清单中禁止矿产开采的Ⅱ类红线区、国家重点保护的不能移动的历史文物和名胜古迹所在地和其它禁止开采的区域划为禁止开采区，共划定111处。</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为地下开采铁矿，属于省级重点矿区韩旺铁矿，符合《山东省矿产资源总体规划（2016-2020年）》。</w:t>
      </w:r>
    </w:p>
    <w:p>
      <w:pPr>
        <w:ind w:firstLine="562"/>
        <w:rPr>
          <w:rFonts w:hint="eastAsia" w:ascii="宋体" w:hAnsi="宋体" w:eastAsia="宋体" w:cs="宋体"/>
          <w:b/>
          <w:bCs/>
          <w:lang w:eastAsia="zh-CN"/>
        </w:rPr>
      </w:pPr>
      <w:r>
        <w:rPr>
          <w:rFonts w:hint="eastAsia" w:ascii="宋体" w:hAnsi="宋体" w:eastAsia="宋体" w:cs="宋体"/>
          <w:b/>
          <w:bCs/>
          <w:lang w:eastAsia="zh-CN"/>
        </w:rPr>
        <w:t>2、与《临沂市矿产资源总体规划（2016-2020年）》符合性分析</w:t>
      </w:r>
    </w:p>
    <w:p>
      <w:pPr>
        <w:ind w:firstLine="560"/>
        <w:rPr>
          <w:rFonts w:hint="eastAsia" w:ascii="宋体" w:hAnsi="宋体" w:eastAsia="宋体" w:cs="宋体"/>
          <w:lang w:eastAsia="zh-CN"/>
        </w:rPr>
      </w:pPr>
      <w:r>
        <w:rPr>
          <w:rFonts w:hint="eastAsia" w:ascii="宋体" w:hAnsi="宋体" w:eastAsia="宋体" w:cs="宋体"/>
          <w:lang w:eastAsia="zh-CN"/>
        </w:rPr>
        <w:t>根据该规划，临沂市打造“一带二区五大板块”矿业发展新格局。</w:t>
      </w:r>
    </w:p>
    <w:p>
      <w:pPr>
        <w:ind w:firstLine="560"/>
        <w:rPr>
          <w:rFonts w:hint="eastAsia" w:ascii="宋体" w:hAnsi="宋体" w:eastAsia="宋体" w:cs="宋体"/>
          <w:lang w:eastAsia="zh-CN"/>
        </w:rPr>
      </w:pPr>
      <w:r>
        <w:rPr>
          <w:rFonts w:hint="eastAsia" w:ascii="宋体" w:hAnsi="宋体" w:eastAsia="宋体" w:cs="宋体"/>
          <w:lang w:eastAsia="zh-CN"/>
        </w:rPr>
        <w:t>五大板块包括铁矿、铁钛矿、金矿、金刚石、石英砂岩。铁矿板块重点加强沂水县、兰陵县的资源勘查，进一步夯实资源基础，加大资源整合力度，提高产业集中度，优化产业布局，建立铁矿产业园。</w:t>
      </w:r>
    </w:p>
    <w:p>
      <w:pPr>
        <w:ind w:firstLine="560"/>
        <w:rPr>
          <w:rFonts w:hint="eastAsia" w:ascii="宋体" w:hAnsi="宋体" w:eastAsia="宋体" w:cs="宋体"/>
          <w:kern w:val="2"/>
          <w:lang w:eastAsia="zh-CN"/>
        </w:rPr>
      </w:pPr>
      <w:r>
        <w:rPr>
          <w:rFonts w:hint="eastAsia" w:ascii="宋体" w:hAnsi="宋体" w:eastAsia="宋体" w:cs="宋体"/>
          <w:kern w:val="2"/>
          <w:lang w:eastAsia="zh-CN"/>
        </w:rPr>
        <w:t>加大资源整合力度，提高产业集中度，优化布局；进一步强化技术创新，加快产品升级。整合兰陵县铁矿资源，以兰陵大型铁矿为依托建立铁矿产业园，重点开发兰陵以下铁矿企业重组、转型，推进铁矿资源开发与深加工，延长产业链，提高产品附加值，到2020年，铁矿资源产量保持在1500万吨/年左右。充分利用沂水县铁矿、钛铁矿资源丰富的优势，以沂水县上峪大型钛铁矿为核心建设钛铁矿产业园。</w:t>
      </w:r>
    </w:p>
    <w:p>
      <w:pPr>
        <w:ind w:firstLine="560"/>
        <w:rPr>
          <w:rFonts w:hint="eastAsia" w:ascii="宋体" w:hAnsi="宋体" w:eastAsia="宋体" w:cs="宋体"/>
          <w:kern w:val="2"/>
          <w:lang w:eastAsia="zh-CN"/>
        </w:rPr>
      </w:pPr>
      <w:r>
        <w:rPr>
          <w:rFonts w:hint="eastAsia" w:ascii="宋体" w:hAnsi="宋体" w:eastAsia="宋体" w:cs="宋体"/>
          <w:kern w:val="2"/>
          <w:lang w:eastAsia="zh-CN"/>
        </w:rPr>
        <w:t>调整矿产品结构，改善采、选、冶等技术，提高矿产瓶深加工技术水平和能力，使高技术含量、高附加值矿产品比例明显提高。实现产品由“原料型”向“加工型”转变，促进优质资源优势开发。</w:t>
      </w:r>
    </w:p>
    <w:p>
      <w:pPr>
        <w:ind w:firstLine="560"/>
        <w:rPr>
          <w:rFonts w:hint="eastAsia" w:ascii="宋体" w:hAnsi="宋体" w:eastAsia="宋体" w:cs="宋体"/>
          <w:kern w:val="2"/>
          <w:lang w:eastAsia="zh-CN"/>
        </w:rPr>
      </w:pPr>
      <w:r>
        <w:rPr>
          <w:rFonts w:hint="eastAsia" w:cs="宋体"/>
          <w:kern w:val="2"/>
          <w:lang w:eastAsia="zh-CN"/>
        </w:rPr>
        <w:t>本项目</w:t>
      </w:r>
      <w:r>
        <w:rPr>
          <w:rFonts w:hint="eastAsia" w:ascii="宋体" w:hAnsi="宋体" w:eastAsia="宋体" w:cs="宋体"/>
          <w:kern w:val="2"/>
          <w:lang w:eastAsia="zh-CN"/>
        </w:rPr>
        <w:t>属于沂水县铁矿，鲁南矿业为采、选、球团为一体的大型矿石，符合《临沂市矿产资源总体规划（2016-2020年）》。</w:t>
      </w:r>
    </w:p>
    <w:p>
      <w:pPr>
        <w:numPr>
          <w:ilvl w:val="0"/>
          <w:numId w:val="29"/>
        </w:numPr>
        <w:ind w:firstLine="562"/>
        <w:rPr>
          <w:rFonts w:hint="eastAsia" w:ascii="宋体" w:hAnsi="宋体" w:eastAsia="宋体" w:cs="宋体"/>
          <w:b/>
          <w:bCs/>
          <w:kern w:val="2"/>
          <w:lang w:eastAsia="zh-CN"/>
        </w:rPr>
      </w:pPr>
      <w:r>
        <w:rPr>
          <w:rFonts w:hint="eastAsia" w:ascii="宋体" w:hAnsi="宋体" w:eastAsia="宋体" w:cs="宋体"/>
          <w:b/>
          <w:bCs/>
          <w:kern w:val="2"/>
          <w:lang w:eastAsia="zh-CN"/>
        </w:rPr>
        <w:t>与《淄博市矿产资源总体规划（2016-2020）》符合性分析</w:t>
      </w:r>
    </w:p>
    <w:p>
      <w:pPr>
        <w:ind w:firstLine="560"/>
        <w:rPr>
          <w:rFonts w:hint="eastAsia" w:ascii="宋体" w:hAnsi="宋体" w:eastAsia="宋体" w:cs="宋体"/>
          <w:lang w:eastAsia="zh-CN"/>
        </w:rPr>
      </w:pPr>
      <w:r>
        <w:rPr>
          <w:rFonts w:hint="eastAsia" w:ascii="宋体" w:hAnsi="宋体" w:eastAsia="宋体" w:cs="宋体"/>
          <w:lang w:eastAsia="zh-CN"/>
        </w:rPr>
        <w:t>（1）矿区分类</w:t>
      </w:r>
    </w:p>
    <w:p>
      <w:pPr>
        <w:ind w:firstLine="560"/>
        <w:rPr>
          <w:rFonts w:hint="eastAsia" w:ascii="宋体" w:hAnsi="宋体" w:eastAsia="宋体" w:cs="宋体"/>
          <w:lang w:eastAsia="zh-CN"/>
        </w:rPr>
      </w:pPr>
      <w:r>
        <w:rPr>
          <w:rFonts w:hint="eastAsia" w:ascii="宋体" w:hAnsi="宋体" w:eastAsia="宋体" w:cs="宋体"/>
          <w:lang w:eastAsia="zh-CN"/>
        </w:rPr>
        <w:t>根据该规划，淄博市开采规划分区主要分为：</w:t>
      </w:r>
    </w:p>
    <w:p>
      <w:pPr>
        <w:ind w:firstLine="560"/>
        <w:rPr>
          <w:rFonts w:hint="eastAsia" w:ascii="宋体" w:hAnsi="宋体" w:eastAsia="宋体" w:cs="宋体"/>
          <w:lang w:eastAsia="zh-CN"/>
        </w:rPr>
      </w:pPr>
      <w:r>
        <w:rPr>
          <w:rFonts w:hint="eastAsia" w:ascii="宋体" w:hAnsi="宋体" w:eastAsia="宋体" w:cs="宋体"/>
          <w:lang w:eastAsia="zh-CN"/>
        </w:rPr>
        <w:t>1）重点矿区</w:t>
      </w:r>
    </w:p>
    <w:p>
      <w:pPr>
        <w:ind w:firstLine="560"/>
        <w:rPr>
          <w:rFonts w:hint="eastAsia" w:ascii="宋体" w:hAnsi="宋体" w:eastAsia="宋体" w:cs="宋体"/>
          <w:lang w:eastAsia="zh-CN"/>
        </w:rPr>
      </w:pPr>
      <w:r>
        <w:rPr>
          <w:rFonts w:hint="eastAsia" w:ascii="宋体" w:hAnsi="宋体" w:eastAsia="宋体" w:cs="宋体"/>
          <w:lang w:eastAsia="zh-CN"/>
        </w:rPr>
        <w:t>落实省规划，划定重点矿区2个：</w:t>
      </w:r>
    </w:p>
    <w:p>
      <w:pPr>
        <w:ind w:firstLine="560"/>
        <w:rPr>
          <w:rFonts w:hint="eastAsia" w:ascii="宋体" w:hAnsi="宋体" w:eastAsia="宋体" w:cs="宋体"/>
          <w:lang w:eastAsia="zh-CN"/>
        </w:rPr>
      </w:pPr>
      <w:r>
        <w:rPr>
          <w:rFonts w:hint="eastAsia" w:ascii="宋体" w:hAnsi="宋体" w:eastAsia="宋体" w:cs="宋体"/>
          <w:lang w:eastAsia="zh-CN"/>
        </w:rPr>
        <w:t>山东金岭铁矿重点矿区，面积71.74平方千米；韩旺铁矿重点矿区，面积50.70平方千米。</w:t>
      </w:r>
    </w:p>
    <w:p>
      <w:pPr>
        <w:ind w:firstLine="560"/>
        <w:rPr>
          <w:rFonts w:hint="eastAsia" w:ascii="宋体" w:hAnsi="宋体" w:eastAsia="宋体" w:cs="宋体"/>
          <w:lang w:eastAsia="zh-CN"/>
        </w:rPr>
      </w:pPr>
      <w:r>
        <w:rPr>
          <w:rFonts w:hint="eastAsia" w:ascii="宋体" w:hAnsi="宋体" w:eastAsia="宋体" w:cs="宋体"/>
          <w:lang w:eastAsia="zh-CN"/>
        </w:rPr>
        <w:t>2）限制开采区</w:t>
      </w:r>
    </w:p>
    <w:p>
      <w:pPr>
        <w:ind w:firstLine="560"/>
        <w:rPr>
          <w:rFonts w:hint="eastAsia" w:ascii="宋体" w:hAnsi="宋体" w:eastAsia="宋体" w:cs="宋体"/>
          <w:lang w:eastAsia="zh-CN"/>
        </w:rPr>
      </w:pPr>
      <w:r>
        <w:rPr>
          <w:rFonts w:hint="eastAsia" w:ascii="宋体" w:hAnsi="宋体" w:eastAsia="宋体" w:cs="宋体"/>
          <w:lang w:eastAsia="zh-CN"/>
        </w:rPr>
        <w:t>将地质公园、风景名胜区、地质地貌保护区等的缓冲区、重要水源地的涵养区、国家重点保护的不能移动的历史文物和名胜古迹所在地的周边地区和其他限制开采的区域以及限制开采的水泥用灰岩、饰面石材和建筑石料等矿产所在的区域划为限制开采区。</w:t>
      </w:r>
    </w:p>
    <w:p>
      <w:pPr>
        <w:ind w:firstLine="560"/>
        <w:rPr>
          <w:rFonts w:hint="eastAsia" w:ascii="宋体" w:hAnsi="宋体" w:eastAsia="宋体" w:cs="宋体"/>
          <w:lang w:eastAsia="zh-CN"/>
        </w:rPr>
      </w:pPr>
      <w:r>
        <w:rPr>
          <w:rFonts w:hint="eastAsia" w:ascii="宋体" w:hAnsi="宋体" w:eastAsia="宋体" w:cs="宋体"/>
          <w:lang w:eastAsia="zh-CN"/>
        </w:rPr>
        <w:t>3）禁止开采区</w:t>
      </w:r>
    </w:p>
    <w:p>
      <w:pPr>
        <w:ind w:firstLine="560"/>
        <w:rPr>
          <w:rFonts w:hint="eastAsia" w:ascii="宋体" w:hAnsi="宋体" w:eastAsia="宋体" w:cs="宋体"/>
          <w:lang w:eastAsia="zh-CN"/>
        </w:rPr>
      </w:pPr>
      <w:r>
        <w:rPr>
          <w:rFonts w:hint="eastAsia" w:ascii="宋体" w:hAnsi="宋体" w:eastAsia="宋体" w:cs="宋体"/>
          <w:lang w:eastAsia="zh-CN"/>
        </w:rPr>
        <w:t>将生态保护红线区、地质公园、风景名胜区、地质地貌保护区等的核心功能区、各级各类自然保护区、重要水源地、国家重点保护的不能移动的历史文物和名胜古迹所在地和其它禁止开采的区域划为禁止开采区。划定禁止开采区24个。</w:t>
      </w:r>
    </w:p>
    <w:p>
      <w:pPr>
        <w:ind w:firstLine="560"/>
        <w:rPr>
          <w:rFonts w:hint="eastAsia" w:ascii="宋体" w:hAnsi="宋体" w:eastAsia="宋体" w:cs="宋体"/>
          <w:kern w:val="2"/>
          <w:lang w:eastAsia="zh-CN"/>
        </w:rPr>
      </w:pPr>
      <w:r>
        <w:rPr>
          <w:rFonts w:hint="eastAsia" w:ascii="宋体" w:hAnsi="宋体" w:eastAsia="宋体" w:cs="宋体"/>
          <w:kern w:val="2"/>
          <w:lang w:eastAsia="zh-CN"/>
        </w:rPr>
        <w:t>（2）矿业结构调整</w:t>
      </w:r>
    </w:p>
    <w:p>
      <w:pPr>
        <w:ind w:firstLine="560"/>
        <w:rPr>
          <w:rFonts w:hint="eastAsia" w:ascii="宋体" w:hAnsi="宋体" w:eastAsia="宋体" w:cs="宋体"/>
          <w:kern w:val="2"/>
          <w:lang w:eastAsia="zh-CN"/>
        </w:rPr>
      </w:pPr>
      <w:r>
        <w:rPr>
          <w:rFonts w:hint="eastAsia" w:ascii="宋体" w:hAnsi="宋体" w:eastAsia="宋体" w:cs="宋体"/>
          <w:kern w:val="2"/>
          <w:lang w:eastAsia="zh-CN"/>
        </w:rPr>
        <w:t>优化企业结构，调整大、中、小型矿山比例。通过治理整顿，依法关闭浪费资源、污染严重、不具备安全生产条件的矿山企业。鼓励建设大、中型矿山企业，限制小矿发展。</w:t>
      </w:r>
    </w:p>
    <w:p>
      <w:pPr>
        <w:ind w:firstLine="560"/>
        <w:rPr>
          <w:rFonts w:hint="eastAsia" w:ascii="宋体" w:hAnsi="宋体" w:eastAsia="宋体" w:cs="宋体"/>
          <w:kern w:val="2"/>
          <w:lang w:eastAsia="zh-CN"/>
        </w:rPr>
      </w:pPr>
      <w:r>
        <w:rPr>
          <w:rFonts w:hint="eastAsia" w:ascii="宋体" w:hAnsi="宋体" w:eastAsia="宋体" w:cs="宋体"/>
          <w:kern w:val="2"/>
          <w:lang w:eastAsia="zh-CN"/>
        </w:rPr>
        <w:t>（3）优化采、选、冶结构</w:t>
      </w:r>
    </w:p>
    <w:p>
      <w:pPr>
        <w:ind w:firstLine="560"/>
        <w:rPr>
          <w:rFonts w:hint="eastAsia" w:ascii="宋体" w:hAnsi="宋体" w:eastAsia="宋体" w:cs="宋体"/>
          <w:kern w:val="2"/>
          <w:lang w:eastAsia="zh-CN"/>
        </w:rPr>
      </w:pPr>
      <w:r>
        <w:rPr>
          <w:rFonts w:hint="eastAsia" w:ascii="宋体" w:hAnsi="宋体" w:eastAsia="宋体" w:cs="宋体"/>
          <w:kern w:val="2"/>
          <w:lang w:eastAsia="zh-CN"/>
        </w:rPr>
        <w:t>加大采、选、冶结构调整力度，形成资源相对集中开发，采、选、冶基本合理配套的开发建设模式。</w:t>
      </w:r>
    </w:p>
    <w:p>
      <w:pPr>
        <w:ind w:firstLine="560"/>
        <w:rPr>
          <w:rFonts w:hint="eastAsia" w:ascii="宋体" w:hAnsi="宋体" w:eastAsia="宋体" w:cs="宋体"/>
          <w:kern w:val="2"/>
          <w:lang w:eastAsia="zh-CN"/>
        </w:rPr>
      </w:pPr>
      <w:r>
        <w:rPr>
          <w:rFonts w:hint="eastAsia" w:ascii="宋体" w:hAnsi="宋体" w:eastAsia="宋体" w:cs="宋体"/>
          <w:kern w:val="2"/>
          <w:lang w:eastAsia="zh-CN"/>
        </w:rPr>
        <w:t>（4）加强矿山地质环境保护</w:t>
      </w:r>
    </w:p>
    <w:p>
      <w:pPr>
        <w:ind w:firstLine="560"/>
        <w:rPr>
          <w:rFonts w:hint="eastAsia" w:ascii="宋体" w:hAnsi="宋体" w:eastAsia="宋体" w:cs="宋体"/>
          <w:kern w:val="2"/>
          <w:lang w:eastAsia="zh-CN"/>
        </w:rPr>
      </w:pPr>
      <w:r>
        <w:rPr>
          <w:rFonts w:hint="eastAsia" w:ascii="宋体" w:hAnsi="宋体" w:eastAsia="宋体" w:cs="宋体"/>
          <w:kern w:val="2"/>
          <w:lang w:eastAsia="zh-CN"/>
        </w:rPr>
        <w:t>1）严格矿山开采准入条件：严格执行矿产资源规划，落实规划分区管理制度。强化源头管理，全面实行矿产资源开发利用方案和矿山地质环境保护与土地复垦方案同步编制、同步审查、同步实施的三同时制度和社会公示制度。</w:t>
      </w:r>
    </w:p>
    <w:p>
      <w:pPr>
        <w:ind w:firstLine="560"/>
        <w:rPr>
          <w:rFonts w:hint="eastAsia" w:ascii="宋体" w:hAnsi="宋体" w:eastAsia="宋体" w:cs="宋体"/>
          <w:kern w:val="2"/>
          <w:lang w:eastAsia="zh-CN"/>
        </w:rPr>
      </w:pPr>
      <w:r>
        <w:rPr>
          <w:rFonts w:hint="eastAsia" w:ascii="宋体" w:hAnsi="宋体" w:eastAsia="宋体" w:cs="宋体"/>
          <w:kern w:val="2"/>
          <w:lang w:eastAsia="zh-CN"/>
        </w:rPr>
        <w:t>2）建立矿山地质环境治理恢复基金制度，进一步加强企业矿山地质环境质量恢复的监督检查。</w:t>
      </w:r>
    </w:p>
    <w:p>
      <w:pPr>
        <w:ind w:firstLine="560"/>
        <w:rPr>
          <w:rFonts w:hint="eastAsia" w:ascii="宋体" w:hAnsi="宋体" w:eastAsia="宋体" w:cs="宋体"/>
          <w:kern w:val="2"/>
          <w:lang w:eastAsia="zh-CN"/>
        </w:rPr>
      </w:pPr>
      <w:r>
        <w:rPr>
          <w:rFonts w:hint="eastAsia" w:ascii="宋体" w:hAnsi="宋体" w:eastAsia="宋体" w:cs="宋体"/>
          <w:kern w:val="2"/>
          <w:lang w:eastAsia="zh-CN"/>
        </w:rPr>
        <w:t>3）矿山建设与矿山地质环境治理恢复同时进行，严格按绿色矿山标准开发建设。</w:t>
      </w:r>
    </w:p>
    <w:p>
      <w:pPr>
        <w:ind w:firstLine="560"/>
        <w:rPr>
          <w:rFonts w:hint="eastAsia" w:ascii="宋体" w:hAnsi="宋体" w:eastAsia="宋体" w:cs="宋体"/>
          <w:kern w:val="2"/>
          <w:lang w:eastAsia="zh-CN"/>
        </w:rPr>
      </w:pPr>
      <w:r>
        <w:rPr>
          <w:rFonts w:hint="eastAsia" w:cs="宋体"/>
          <w:kern w:val="2"/>
          <w:lang w:eastAsia="zh-CN"/>
        </w:rPr>
        <w:t>本项目</w:t>
      </w:r>
      <w:r>
        <w:rPr>
          <w:rFonts w:hint="eastAsia" w:ascii="宋体" w:hAnsi="宋体" w:eastAsia="宋体" w:cs="宋体"/>
          <w:kern w:val="2"/>
          <w:lang w:eastAsia="zh-CN"/>
        </w:rPr>
        <w:t>归属于沂源韩旺铁矿，隶属于重点矿区；鲁南矿业已编制完成土地复垦方案并设矿山地质环境治理恢复基金制，建设与修复同步进行，符合《淄博市矿产资源总体规划（2016-2020）》。</w:t>
      </w:r>
    </w:p>
    <w:p>
      <w:pPr>
        <w:ind w:firstLine="0" w:firstLineChars="0"/>
        <w:outlineLvl w:val="3"/>
        <w:rPr>
          <w:rFonts w:hint="eastAsia" w:ascii="宋体" w:hAnsi="宋体" w:eastAsia="宋体" w:cs="宋体"/>
          <w:b/>
          <w:bCs/>
          <w:lang w:eastAsia="zh-CN"/>
        </w:rPr>
      </w:pPr>
      <w:r>
        <w:rPr>
          <w:rFonts w:hint="eastAsia" w:ascii="宋体" w:hAnsi="宋体" w:eastAsia="宋体" w:cs="宋体"/>
          <w:b/>
          <w:bCs/>
          <w:lang w:eastAsia="zh-CN"/>
        </w:rPr>
        <w:t>12.1.2.3 与区域集中式饮用水水源保护区的符合性分析</w:t>
      </w:r>
    </w:p>
    <w:p>
      <w:pPr>
        <w:ind w:firstLine="562"/>
        <w:rPr>
          <w:rFonts w:hint="eastAsia" w:ascii="宋体" w:hAnsi="宋体" w:eastAsia="宋体" w:cs="宋体"/>
          <w:b/>
          <w:bCs/>
          <w:lang w:eastAsia="zh-CN"/>
        </w:rPr>
      </w:pPr>
      <w:r>
        <w:rPr>
          <w:rFonts w:hint="eastAsia" w:ascii="宋体" w:hAnsi="宋体" w:eastAsia="宋体" w:cs="宋体"/>
          <w:b/>
          <w:bCs/>
          <w:lang w:eastAsia="zh-CN"/>
        </w:rPr>
        <w:t>1、与沂水县集中式饮用水水源保护区的符合性分析</w:t>
      </w:r>
    </w:p>
    <w:p>
      <w:pPr>
        <w:ind w:firstLine="560"/>
        <w:rPr>
          <w:rFonts w:hint="eastAsia" w:ascii="宋体" w:hAnsi="宋体" w:eastAsia="宋体" w:cs="宋体"/>
          <w:lang w:eastAsia="zh-CN"/>
        </w:rPr>
      </w:pPr>
      <w:r>
        <w:rPr>
          <w:rFonts w:hint="eastAsia" w:ascii="宋体" w:hAnsi="宋体" w:eastAsia="宋体" w:cs="宋体"/>
          <w:lang w:eastAsia="zh-CN"/>
        </w:rPr>
        <w:t>根据《山东省环境保护厅关于临沂市城镇集中式饮用水水源保护区划定方案的复函》（鲁环发[2010]120号），沂水县城镇集中式饮用水水源保护区共2处：沂水县第一万吨水厂饮用水水源保护区和沂水县虹吸井群饮用水水源保护区。根据人民政府对县水务公司关于改用第一万吨水厂和虹吸井群及启用黄家安水厂的请示批复沂政字【2014】79号文件，将第一万吨水厂和虹吸井群改为工业用水厂，不再作县城饮水水源地管理；同意启用黄家安水厂，将其作为县城饮用水水源地，并按规定划定水源保护区。根据沂水县人民政府对沂水县“千吨万人”农村饮用水水源地保护区划分技术报告的批复（沂政字[2017]36号），沂水县共划分有7个饮用水源保护区。</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不在沂水县饮用水水源地保护区范围内，符合沂水县饮用水水源地保护规划。</w:t>
      </w:r>
      <w:r>
        <w:rPr>
          <w:rFonts w:hint="eastAsia" w:cs="宋体"/>
          <w:lang w:eastAsia="zh-CN"/>
        </w:rPr>
        <w:t>本项目</w:t>
      </w:r>
      <w:r>
        <w:rPr>
          <w:rFonts w:hint="eastAsia" w:ascii="宋体" w:hAnsi="宋体" w:eastAsia="宋体" w:cs="宋体"/>
          <w:lang w:eastAsia="zh-CN"/>
        </w:rPr>
        <w:t>与沂水县饮用水水源保护区位置关系图见图10.1.2-3。</w:t>
      </w:r>
    </w:p>
    <w:p>
      <w:pPr>
        <w:numPr>
          <w:ilvl w:val="0"/>
          <w:numId w:val="30"/>
        </w:numPr>
        <w:ind w:firstLine="562"/>
        <w:rPr>
          <w:rFonts w:hint="eastAsia" w:ascii="宋体" w:hAnsi="宋体" w:eastAsia="宋体" w:cs="宋体"/>
          <w:b/>
          <w:bCs/>
          <w:kern w:val="2"/>
          <w:lang w:eastAsia="zh-CN"/>
        </w:rPr>
      </w:pPr>
      <w:r>
        <w:rPr>
          <w:rFonts w:hint="eastAsia" w:ascii="宋体" w:hAnsi="宋体" w:eastAsia="宋体" w:cs="宋体"/>
          <w:b/>
          <w:bCs/>
          <w:kern w:val="2"/>
          <w:lang w:eastAsia="zh-CN"/>
        </w:rPr>
        <w:t>与沂源县集中式饮用水水源保护区的符合性分析</w:t>
      </w:r>
    </w:p>
    <w:p>
      <w:pPr>
        <w:ind w:firstLine="560"/>
        <w:rPr>
          <w:rFonts w:hint="eastAsia" w:ascii="宋体" w:hAnsi="宋体" w:eastAsia="宋体" w:cs="宋体"/>
          <w:lang w:eastAsia="zh-CN"/>
        </w:rPr>
      </w:pPr>
      <w:r>
        <w:rPr>
          <w:rFonts w:hint="eastAsia" w:ascii="宋体" w:hAnsi="宋体" w:eastAsia="宋体" w:cs="宋体"/>
          <w:lang w:eastAsia="zh-CN"/>
        </w:rPr>
        <w:t>根据沂源县人民政府关于沂源县农村饮用水水源地保护区划定方案的批复（源政字[2018]117号），沂源县共划分4个饮用水保护区，分别为：大旺泉水源地保护区、桃花坪集中供水井保护区、鲁村镇集中供水厂保护区、东北庄深井保护区。</w:t>
      </w:r>
    </w:p>
    <w:p>
      <w:pPr>
        <w:pStyle w:val="2"/>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不在沂源县饮用水水源地保护区范围内，符合沂源县饮用水水源地保护规划。</w:t>
      </w:r>
      <w:r>
        <w:rPr>
          <w:rFonts w:hint="eastAsia" w:cs="宋体"/>
          <w:lang w:eastAsia="zh-CN"/>
        </w:rPr>
        <w:t>本项目</w:t>
      </w:r>
      <w:r>
        <w:rPr>
          <w:rFonts w:hint="eastAsia" w:ascii="宋体" w:hAnsi="宋体" w:eastAsia="宋体" w:cs="宋体"/>
          <w:lang w:eastAsia="zh-CN"/>
        </w:rPr>
        <w:t>与沂源县饮用水水源保护区位置关系图见图12.1.2-4。</w:t>
      </w:r>
    </w:p>
    <w:p>
      <w:pPr>
        <w:pStyle w:val="6"/>
        <w:rPr>
          <w:rFonts w:hint="eastAsia" w:ascii="宋体" w:hAnsi="宋体" w:eastAsia="宋体" w:cs="宋体"/>
          <w:lang w:eastAsia="zh-CN"/>
        </w:rPr>
      </w:pPr>
      <w:bookmarkStart w:id="225" w:name="_Toc17754"/>
      <w:bookmarkStart w:id="226" w:name="_Toc1512"/>
      <w:r>
        <w:rPr>
          <w:rFonts w:hint="eastAsia" w:ascii="宋体" w:hAnsi="宋体" w:eastAsia="宋体" w:cs="宋体"/>
          <w:lang w:eastAsia="zh-CN"/>
        </w:rPr>
        <w:t>12.2 与产业政策符合性分析</w:t>
      </w:r>
      <w:bookmarkEnd w:id="225"/>
      <w:bookmarkEnd w:id="226"/>
    </w:p>
    <w:p>
      <w:pPr>
        <w:pStyle w:val="7"/>
        <w:rPr>
          <w:rFonts w:hint="eastAsia" w:ascii="宋体" w:hAnsi="宋体" w:eastAsia="宋体" w:cs="宋体"/>
          <w:lang w:eastAsia="zh-CN"/>
        </w:rPr>
      </w:pPr>
      <w:r>
        <w:rPr>
          <w:rFonts w:hint="eastAsia" w:ascii="宋体" w:hAnsi="宋体" w:eastAsia="宋体" w:cs="宋体"/>
          <w:lang w:eastAsia="zh-CN"/>
        </w:rPr>
        <w:t>12.2.1 与产业政策符合性分析</w:t>
      </w:r>
    </w:p>
    <w:p>
      <w:pPr>
        <w:ind w:firstLine="562"/>
        <w:rPr>
          <w:rFonts w:hint="eastAsia" w:ascii="宋体" w:hAnsi="宋体" w:eastAsia="宋体" w:cs="宋体"/>
          <w:b/>
          <w:bCs/>
          <w:lang w:eastAsia="zh-CN"/>
        </w:rPr>
      </w:pPr>
      <w:r>
        <w:rPr>
          <w:rFonts w:hint="eastAsia" w:ascii="宋体" w:hAnsi="宋体" w:eastAsia="宋体" w:cs="宋体"/>
          <w:b/>
          <w:bCs/>
          <w:lang w:eastAsia="zh-CN"/>
        </w:rPr>
        <w:t>（1）与《产业结构调整指导目录（2019年本）》的符合性</w:t>
      </w:r>
    </w:p>
    <w:p>
      <w:pPr>
        <w:ind w:firstLine="560"/>
        <w:rPr>
          <w:rFonts w:hint="eastAsia" w:ascii="宋体" w:hAnsi="宋体" w:eastAsia="宋体" w:cs="宋体"/>
          <w:lang w:eastAsia="zh-CN"/>
        </w:rPr>
      </w:pPr>
      <w:r>
        <w:rPr>
          <w:rFonts w:hint="eastAsia" w:ascii="宋体" w:hAnsi="宋体" w:eastAsia="宋体" w:cs="宋体"/>
          <w:lang w:eastAsia="zh-CN"/>
        </w:rPr>
        <w:t>根据《产业结构调整指导目录（2019年本）》，</w:t>
      </w:r>
      <w:r>
        <w:rPr>
          <w:rFonts w:hint="eastAsia" w:cs="宋体"/>
          <w:lang w:eastAsia="zh-CN"/>
        </w:rPr>
        <w:t>本项目</w:t>
      </w:r>
      <w:r>
        <w:rPr>
          <w:rFonts w:hint="eastAsia" w:ascii="宋体" w:hAnsi="宋体" w:eastAsia="宋体" w:cs="宋体"/>
          <w:lang w:eastAsia="zh-CN"/>
        </w:rPr>
        <w:t>属于“鼓励类”第八项“钢铁”中第1条“1、黑色金属矿山接替资源勘探及关键勘探技术开发，低品位难选矿综合选别和利用技术，高品质铁精矿绿色高效智能化生产技术与装备”，符合国家产业政策相关要求，且项目未使用国家淘汰和限制使用的工艺及设备。</w:t>
      </w:r>
    </w:p>
    <w:p>
      <w:pPr>
        <w:ind w:firstLine="562"/>
        <w:rPr>
          <w:rFonts w:hint="eastAsia" w:ascii="宋体" w:hAnsi="宋体" w:eastAsia="宋体" w:cs="宋体"/>
          <w:b/>
          <w:bCs/>
          <w:lang w:eastAsia="zh-CN"/>
        </w:rPr>
      </w:pPr>
      <w:r>
        <w:rPr>
          <w:rFonts w:hint="eastAsia" w:ascii="宋体" w:hAnsi="宋体" w:eastAsia="宋体" w:cs="宋体"/>
          <w:b/>
          <w:bCs/>
          <w:lang w:eastAsia="zh-CN"/>
        </w:rPr>
        <w:t>（2）与国土资发[2004]208号的符合性</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采矿规模为50万吨/年，符合《关于调整部分矿种矿山生产建设规模标准的通知》（国土资发[2004]208号）中“铁（地下开采）最低生产建设规模（3万吨/年）”的要求，</w:t>
      </w:r>
      <w:r>
        <w:rPr>
          <w:rFonts w:hint="eastAsia" w:cs="宋体"/>
          <w:lang w:eastAsia="zh-CN"/>
        </w:rPr>
        <w:t>本项目</w:t>
      </w:r>
      <w:r>
        <w:rPr>
          <w:rFonts w:hint="eastAsia" w:ascii="宋体" w:hAnsi="宋体" w:eastAsia="宋体" w:cs="宋体"/>
          <w:lang w:eastAsia="zh-CN"/>
        </w:rPr>
        <w:t>属于中型矿山。</w:t>
      </w:r>
      <w:r>
        <w:rPr>
          <w:rFonts w:hint="eastAsia" w:cs="宋体"/>
          <w:lang w:eastAsia="zh-CN"/>
        </w:rPr>
        <w:t>本项目</w:t>
      </w:r>
      <w:r>
        <w:rPr>
          <w:rFonts w:hint="eastAsia" w:ascii="宋体" w:hAnsi="宋体" w:eastAsia="宋体" w:cs="宋体"/>
          <w:lang w:eastAsia="zh-CN"/>
        </w:rPr>
        <w:t>建成投入使用后，鲁南矿业采矿规模为100万吨/年，属于大型矿山。</w:t>
      </w:r>
    </w:p>
    <w:p>
      <w:pPr>
        <w:pStyle w:val="7"/>
        <w:rPr>
          <w:rFonts w:hint="eastAsia" w:ascii="宋体" w:hAnsi="宋体" w:eastAsia="宋体" w:cs="宋体"/>
          <w:lang w:eastAsia="zh-CN"/>
        </w:rPr>
      </w:pPr>
      <w:r>
        <w:rPr>
          <w:rFonts w:hint="eastAsia" w:ascii="宋体" w:hAnsi="宋体" w:eastAsia="宋体" w:cs="宋体"/>
          <w:lang w:eastAsia="zh-CN"/>
        </w:rPr>
        <w:t>12.2.2 与《矿山生态环境保护与污染防治技术政策》符合性分析</w:t>
      </w:r>
    </w:p>
    <w:p>
      <w:pPr>
        <w:ind w:firstLine="560"/>
        <w:rPr>
          <w:rFonts w:hint="eastAsia" w:ascii="宋体" w:hAnsi="宋体" w:eastAsia="宋体" w:cs="宋体"/>
          <w:lang w:eastAsia="zh-CN"/>
        </w:rPr>
      </w:pPr>
      <w:r>
        <w:rPr>
          <w:rFonts w:hint="eastAsia" w:ascii="宋体" w:hAnsi="宋体" w:eastAsia="宋体" w:cs="宋体"/>
          <w:lang w:eastAsia="zh-CN"/>
        </w:rPr>
        <w:t>为实现矿产资源开发与生态环境保护协调发展，提高矿产资源开发利用效率，避免和减少矿区生态环境破坏和污染，原国家环保总局发布了《矿山生态环境保护与污染防治技术政策》（环发[2005]109号），</w:t>
      </w:r>
      <w:r>
        <w:rPr>
          <w:rFonts w:hint="eastAsia" w:cs="宋体"/>
          <w:lang w:eastAsia="zh-CN"/>
        </w:rPr>
        <w:t>本项目</w:t>
      </w:r>
      <w:r>
        <w:rPr>
          <w:rFonts w:hint="eastAsia" w:ascii="宋体" w:hAnsi="宋体" w:eastAsia="宋体" w:cs="宋体"/>
          <w:lang w:eastAsia="zh-CN"/>
        </w:rPr>
        <w:t>符合性分析见下表。</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表12.2.2-1 </w:t>
      </w:r>
      <w:r>
        <w:rPr>
          <w:rFonts w:hint="eastAsia" w:cs="宋体"/>
          <w:b/>
          <w:bCs/>
          <w:sz w:val="24"/>
          <w:lang w:eastAsia="zh-CN"/>
        </w:rPr>
        <w:t>本项目</w:t>
      </w:r>
      <w:r>
        <w:rPr>
          <w:rFonts w:hint="eastAsia" w:ascii="宋体" w:hAnsi="宋体" w:eastAsia="宋体" w:cs="宋体"/>
          <w:b/>
          <w:bCs/>
          <w:sz w:val="24"/>
          <w:lang w:eastAsia="zh-CN"/>
        </w:rPr>
        <w:t>与环发[2005]109号符合性分析</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39"/>
        <w:gridCol w:w="5103"/>
        <w:gridCol w:w="2386"/>
        <w:gridCol w:w="82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83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要点</w:t>
            </w: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政策要求</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情况</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选址</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规定</w:t>
            </w: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禁止在依法划定的自然保护区（核心区、缓冲区）、风景名胜区、森林公园、饮用水水源保护区、重要湖泊周边、文物古迹所在地、地质遗迹保护区、基本农田保护区等区域内采矿</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不涉及此类敏感区</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禁止在铁路、国道、省道两侧的直观可视范围内进行露天开采</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属于地下开采</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禁止在地质灾害危险区开采矿产资源</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所在地不属于地质灾害危险区</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禁止新建对生态环境产生不可恢复利用的、产生破坏性影响的矿产资源开发项目</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属于地下开采，采用充填法进行井下充填，对地表环境影响很小</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矿产资源开发应符合国家产业政策要求，选址、布局应符合所在地的区域发展规划</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符合国家产业政策要求，符合淄博市、临沂市城市总体规划要求</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矿产资源开发设计</w:t>
            </w: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矿产资源开发企业应制定矿产资源综合开发规划，并应进行环境影响评价，规划内容包括资源开发利用、生态环境保护、地质灾害防治、水土保持、废弃地复垦等。</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建设单位已开展相关报告及方案的编制工作</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应优先选择废物产生量少、水重复利用率高，对矿区生态环境影响小的采、选矿生产工艺与技术</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采矿工程采用上向水平分层充填采矿法、阶段采矿法（嗣后充填），废物产生少，生态环境影响小</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应考虑低污染、高附加值的产业链延伸建设，把资源优势转化为经济优势。</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提倡煤－电、煤－化工、煤－焦、煤－建材、铁矿石－铁精矿－球团矿等低污染、高附加值的产业链延伸建设。</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属于采矿，鲁南矿业建设“铁矿石－铁精矿－球团矿”为一体的产业链。</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矿井水、选矿水和矿山其它外排水应统筹规划、分类管理、综合利用</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矿井涌水全部回用于选矿厂，选矿厂废水循环利用，不外排</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地面运输系统设计时，宜考虑采用封闭运输通道运输矿物和固体废物</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矿石在井下采用密闭皮带走廊运输至选矿厂，井下废石不出井</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采矿</w:t>
            </w: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推广应用充填采矿工艺技术，提倡废石不出井，利用尾砂、废石充填采空区</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采用嗣后充填，采矿废石不出井，直接充填采空区。选矿废石部分外售、部分运至尾矿库、部分用于井下充填。废石及尾矿全部进行综合利用。</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矿坑水的综合利用和废水、</w:t>
            </w: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废气的处理</w:t>
            </w: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鼓励将矿坑水优先利用为生产用水，作为辅助水源加以利用</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矿井涌水完全回用于生产，不外排</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宜采取修筑排水沟、引流渠，预先截堵水，防渗漏处理等措施，防止或减少各种水源进入露天采场和地下井巷</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采取防堵水措施，企业建有排水沟、引流渠</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宜采用安装除尘装置，湿式作业，个体防护等措施防治凿岩、铲装、运输等采矿作业中的粉尘污染</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采取湿式作业、降尘等措施</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固体废物贮存和综合利用</w:t>
            </w: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对采矿活动所产生的固体废物，应使用专用场所堆放，并采取有效措施防止二次环境污染及诱发次生地质灾害</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采矿废石不出井，直接充填采空区</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大力推广采矿固体废物的综合利用技术</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采矿废石不出井，直接充填采空区</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3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废弃地复垦</w:t>
            </w:r>
          </w:p>
        </w:tc>
        <w:tc>
          <w:tcPr>
            <w:tcW w:w="51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山生产过程中应采取种植植物和覆盖等复垦措施，对露天坑、废石场、尾矿库、矸石山等永久性坡面进行稳定化处理，防止水土流失和滑坡。废石场、尾矿库、矸石山等固废堆场服务期满后，应及时封场和复垦，防止水土流失及风蚀扬尘等。</w:t>
            </w:r>
          </w:p>
        </w:tc>
        <w:tc>
          <w:tcPr>
            <w:tcW w:w="23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企业已编制完成《矿山地质环境保护与土壤复垦方案》、《绿色矿山实施方案》，后期按照要求落实</w:t>
            </w:r>
          </w:p>
        </w:tc>
        <w:tc>
          <w:tcPr>
            <w:tcW w:w="82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12.2.3 与《矿山生态环境保护与恢复治理技术规范(试行)》符合性分析</w:t>
      </w:r>
    </w:p>
    <w:p>
      <w:pPr>
        <w:ind w:firstLine="560"/>
        <w:rPr>
          <w:rFonts w:hint="eastAsia" w:ascii="宋体" w:hAnsi="宋体" w:eastAsia="宋体" w:cs="宋体"/>
          <w:lang w:eastAsia="zh-CN"/>
        </w:rPr>
      </w:pPr>
      <w:r>
        <w:rPr>
          <w:rFonts w:hint="eastAsia" w:ascii="宋体" w:hAnsi="宋体" w:eastAsia="宋体" w:cs="宋体"/>
          <w:lang w:eastAsia="zh-CN"/>
        </w:rPr>
        <w:t>根据《矿山生态环境保护与恢复治理技术规范(试行)》(HJ 651-2013)，项目建设完成后所采用环保措施与其符合性分析情况见表12.2.3-1。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表12.2.3-1 </w:t>
      </w:r>
      <w:r>
        <w:rPr>
          <w:rFonts w:hint="eastAsia" w:cs="宋体"/>
          <w:b/>
          <w:bCs/>
          <w:sz w:val="24"/>
          <w:lang w:eastAsia="zh-CN"/>
        </w:rPr>
        <w:t>本项目</w:t>
      </w:r>
      <w:r>
        <w:rPr>
          <w:rFonts w:hint="eastAsia" w:ascii="宋体" w:hAnsi="宋体" w:eastAsia="宋体" w:cs="宋体"/>
          <w:b/>
          <w:bCs/>
          <w:sz w:val="24"/>
          <w:lang w:eastAsia="zh-CN"/>
        </w:rPr>
        <w:t>与HJ 651-2012符合性分析</w:t>
      </w:r>
    </w:p>
    <w:tbl>
      <w:tblPr>
        <w:tblStyle w:val="24"/>
        <w:tblW w:w="0" w:type="auto"/>
        <w:tblInd w:w="10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5179"/>
        <w:gridCol w:w="3043"/>
        <w:gridCol w:w="92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7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相关要点</w:t>
            </w:r>
          </w:p>
        </w:tc>
        <w:tc>
          <w:tcPr>
            <w:tcW w:w="30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设计要点</w:t>
            </w:r>
          </w:p>
        </w:tc>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相符性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7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禁止在依法划定的自然保护区、风景名胜区、森林公园</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饮用水水源保护区、文物古迹所在地、地质遗迹保护区基本农田保护区等重要生态保护地以及其他法律法规规定的禁采区域内采矿。禁止在重要道路、航道两侧及重要生态环境敏感目标可视范围内进行对景观破坏明显的露天开采。</w:t>
            </w:r>
          </w:p>
        </w:tc>
        <w:tc>
          <w:tcPr>
            <w:tcW w:w="30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矿区不涉及自然保护区、风景名胜区等重要生态保护地。项目采用地下开采方式，不会对景观造成明显破坏。</w:t>
            </w:r>
          </w:p>
        </w:tc>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7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矿产资源开发活动应符合国家和区域主体功能区规划、生态功能区划、生态环境保护规划的要求。</w:t>
            </w:r>
          </w:p>
        </w:tc>
        <w:tc>
          <w:tcPr>
            <w:tcW w:w="30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项目符合当地的生态功能规划、环境功能规划。</w:t>
            </w:r>
          </w:p>
        </w:tc>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7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所有矿山企业均应对照本标准各项要求，编制实施矿山</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生态环境保护与恢复治理方案。</w:t>
            </w:r>
          </w:p>
        </w:tc>
        <w:tc>
          <w:tcPr>
            <w:tcW w:w="30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建设单位已编制完成《矿山地质环境保护与土地复垦方案》。</w:t>
            </w:r>
          </w:p>
        </w:tc>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7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恢复治理后的各类场地应实现：安全稳定，对人类和动</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植物不造成威胁；对周边环境不产生污染；与周边自然环境和景观相协调；恢复土地基本功能，因地制宜实现土地可持续利用；区域整体生态功能得到保护和恢复。</w:t>
            </w:r>
          </w:p>
        </w:tc>
        <w:tc>
          <w:tcPr>
            <w:tcW w:w="30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通过分析，项目对周边生态环境</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影响较小，通过实施土地复垦，区域整体生态功能得到保护和恢复。</w:t>
            </w:r>
          </w:p>
        </w:tc>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179"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矿山工业场地不再使用的厂房、堆料场、沉沙设施、垃</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圾池、管线等各项建(构)筑物和基础设施应全部拆除，并进行景观和植被恢复。</w:t>
            </w:r>
          </w:p>
        </w:tc>
        <w:tc>
          <w:tcPr>
            <w:tcW w:w="304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项目设计服务期满后对现有工业场地建筑物及硬化路面根据复垦方案进行植被恢复。</w:t>
            </w:r>
          </w:p>
        </w:tc>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p>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12.2.4 与《冶金行业绿色矿山建设规范》符合性分析</w:t>
      </w:r>
    </w:p>
    <w:p>
      <w:pPr>
        <w:ind w:firstLine="560"/>
        <w:rPr>
          <w:rFonts w:hint="eastAsia" w:ascii="宋体" w:hAnsi="宋体" w:eastAsia="宋体" w:cs="宋体"/>
          <w:lang w:eastAsia="zh-CN"/>
        </w:rPr>
      </w:pPr>
      <w:r>
        <w:rPr>
          <w:rFonts w:hint="eastAsia" w:ascii="宋体" w:hAnsi="宋体" w:eastAsia="宋体" w:cs="宋体"/>
          <w:lang w:eastAsia="zh-CN"/>
        </w:rPr>
        <w:t>自然资源部2018年7月发布《冶金行业绿色矿山建设规范》（DZ/T 0319-2018）共9项行业标准，为我国矿业行业的绿色发展提供支撑和保障。项目符合性情况见下表。</w:t>
      </w:r>
    </w:p>
    <w:p>
      <w:pPr>
        <w:ind w:firstLine="0" w:firstLineChars="0"/>
        <w:jc w:val="center"/>
        <w:rPr>
          <w:rFonts w:hint="eastAsia" w:ascii="宋体" w:hAnsi="宋体" w:eastAsia="宋体" w:cs="宋体"/>
          <w:lang w:eastAsia="zh-CN"/>
        </w:rPr>
      </w:pPr>
      <w:r>
        <w:rPr>
          <w:rFonts w:hint="eastAsia" w:ascii="宋体" w:hAnsi="宋体" w:eastAsia="宋体" w:cs="宋体"/>
          <w:b/>
          <w:bCs/>
          <w:sz w:val="24"/>
          <w:lang w:eastAsia="zh-CN"/>
        </w:rPr>
        <w:t>表12.2.4-1 与冶金行业绿色矿山建设规范符合性分析</w:t>
      </w:r>
    </w:p>
    <w:tbl>
      <w:tblPr>
        <w:tblStyle w:val="25"/>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071"/>
        <w:gridCol w:w="3225"/>
        <w:gridCol w:w="9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要点内容</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cs="宋体"/>
                <w:b/>
                <w:bCs/>
                <w:kern w:val="2"/>
                <w:sz w:val="21"/>
                <w:szCs w:val="21"/>
                <w:lang w:eastAsia="zh-CN"/>
              </w:rPr>
              <w:t>本项目</w:t>
            </w:r>
            <w:r>
              <w:rPr>
                <w:rFonts w:hint="eastAsia" w:ascii="宋体" w:hAnsi="宋体" w:eastAsia="宋体" w:cs="宋体"/>
                <w:b/>
                <w:bCs/>
                <w:kern w:val="2"/>
                <w:sz w:val="21"/>
                <w:szCs w:val="21"/>
                <w:lang w:eastAsia="zh-CN"/>
              </w:rPr>
              <w:t>情况</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地面运输系统、运输设备、贮存场所实现全封闭或采取设置挡风、洒水喷淋等有效措施进行防尘，工作场所粉尘浓度应符合GBZ2.1规定的粉尘容许浓度要求，铁矿山排放应低于GB28661规定的大气污染物排放限值。</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采用全密闭的皮带运输矿石，粉尘产生量少</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应采取合理有效的技术措施对高噪声设备进行降噪处理，工业企业厂界噪声排放限值符合GB12348的规定，建筑施工厂界噪声排放限值应符合GB12523的规定</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绝大部分设备位于地下，部分位于地上的设备均位于房间内，又降噪处理。</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废弃物应有专用堆积场所，其建设、运行和监督管理应符合GB18599的规定，符合安全、环保等规定。废水应优先回用，未能回用的应100%达标排放。废石、尾矿等固体废弃物应分类处理，持续利用，安全处置率达到100%。</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掘进废石直接充填采空区，不外排；地下涌水沉淀后全部回用于厂区，不外排；危废收集后，暂存危废间，并委托有资质单位处置；生活垃圾集中收集，并委托环卫部门处置。</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根据矿区资源赋存状况、生态环境特征等条件，因地制宜选择采选工艺。优先选择资源利用高、对矿区生态破坏小的采选工艺，技术与装备，符合清洁生产要求</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根据资源赋存情况及生态环境特征，采用嗣后充填采矿法等采矿法进行铁矿开采。各项工艺技术满足清洁生产要求</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地下开采宜采用高效采矿法、高浓度或膏体充填技术，宜实现无轨机械化采矿</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该工程采用尾矿胶结充填法进行采空区回填，采矿选取大型无轨机械化设备</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环境敏感地区和建筑物下、铁路下、水体下等压矿区域应采用充填开采，其它地区在成本可控，经济合理的情况下宜采用充填开采，实现地面无废石堆存，地表变形和次生地质灾害得到有效控制</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地下开采选用充填法，废石全部外销，避免地表变形及次生地质灾害</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应建立环境监测与灾害应急预警机制，设置专门机构，配置专门管理人员和监测人员</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设有专门的环境监测及管理机构，并配有专门管理，并委托有资质单位进行环境监测</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宜采用井下回填处理、铺路、制砖、制备混凝土骨料等途径实现废石、尾矿综合利用。建立废石、尾矿加工利用系统，经济可行的矿山宜将废石、尾矿加工成砂石料、水泥骨料、微晶玻璃、土壤改良剂等产品</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掘进废石直接充填。企业尾矿部分充填采空区、部分转移至尾矿库。</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0"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应建立废水利用系统，达标处理后用于洒水降尘、喷雾降尘、选矿等作业。选矿废水循环利用率不低于85%</w:t>
            </w:r>
          </w:p>
        </w:tc>
        <w:tc>
          <w:tcPr>
            <w:tcW w:w="1736"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地下涌水经沉淀后全部回用，不外排。</w:t>
            </w:r>
          </w:p>
        </w:tc>
        <w:tc>
          <w:tcPr>
            <w:tcW w:w="533" w:type="pct"/>
            <w:tcBorders>
              <w:tl2br w:val="nil"/>
              <w:tr2bl w:val="nil"/>
            </w:tcBorders>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12.2.5 与《关于加快全省非煤矿山转型升级提高安全环保节约质效管理水平的意见》符合性分析</w:t>
      </w:r>
    </w:p>
    <w:p>
      <w:pPr>
        <w:ind w:firstLine="560"/>
        <w:rPr>
          <w:rFonts w:hint="eastAsia" w:ascii="宋体" w:hAnsi="宋体" w:eastAsia="宋体" w:cs="宋体"/>
          <w:lang w:eastAsia="zh-CN"/>
        </w:rPr>
      </w:pPr>
      <w:r>
        <w:rPr>
          <w:rFonts w:hint="eastAsia" w:ascii="宋体" w:hAnsi="宋体" w:eastAsia="宋体" w:cs="宋体"/>
          <w:color w:val="000000" w:themeColor="text1"/>
          <w:lang w:eastAsia="zh-CN"/>
          <w14:textFill>
            <w14:solidFill>
              <w14:schemeClr w14:val="tx1"/>
            </w14:solidFill>
          </w14:textFill>
        </w:rPr>
        <w:t>2016年6月6日，山东省人民政府办公厅以鲁政办字[2016]95号文件《关于加快全省非煤矿山转型升级提高安全环保节约质效管理水平的意见》对稳步推动矿山企业转型升级</w:t>
      </w:r>
      <w:r>
        <w:rPr>
          <w:rFonts w:hint="eastAsia" w:ascii="宋体" w:hAnsi="宋体" w:eastAsia="宋体" w:cs="宋体"/>
          <w:lang w:eastAsia="zh-CN"/>
        </w:rPr>
        <w:t>，全面提升安全保障能力和办矿水平，实现全省非煤矿山安全形势的稳定好转和各项标准的全面提升提出了相关意见。</w:t>
      </w:r>
      <w:r>
        <w:rPr>
          <w:rFonts w:hint="eastAsia" w:cs="宋体"/>
          <w:lang w:eastAsia="zh-CN"/>
        </w:rPr>
        <w:t>本项目</w:t>
      </w:r>
      <w:r>
        <w:rPr>
          <w:rFonts w:hint="eastAsia" w:ascii="宋体" w:hAnsi="宋体" w:eastAsia="宋体" w:cs="宋体"/>
          <w:lang w:eastAsia="zh-CN"/>
        </w:rPr>
        <w:t>与该意见的符合性分析见表12.2.5-1。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表12.2.5-1 </w:t>
      </w:r>
      <w:r>
        <w:rPr>
          <w:rFonts w:hint="eastAsia" w:cs="宋体"/>
          <w:b/>
          <w:bCs/>
          <w:sz w:val="24"/>
          <w:lang w:eastAsia="zh-CN"/>
        </w:rPr>
        <w:t>本项目</w:t>
      </w:r>
      <w:r>
        <w:rPr>
          <w:rFonts w:hint="eastAsia" w:ascii="宋体" w:hAnsi="宋体" w:eastAsia="宋体" w:cs="宋体"/>
          <w:b/>
          <w:bCs/>
          <w:sz w:val="24"/>
          <w:lang w:eastAsia="zh-CN"/>
        </w:rPr>
        <w:t>与鲁政办字[2016]95号符合性一览表</w:t>
      </w:r>
    </w:p>
    <w:tbl>
      <w:tblPr>
        <w:tblStyle w:val="24"/>
        <w:tblW w:w="503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695"/>
        <w:gridCol w:w="3638"/>
        <w:gridCol w:w="82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256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意见要求</w:t>
            </w:r>
          </w:p>
        </w:tc>
        <w:tc>
          <w:tcPr>
            <w:tcW w:w="198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符合性分析</w:t>
            </w:r>
          </w:p>
        </w:tc>
        <w:tc>
          <w:tcPr>
            <w:tcW w:w="45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color w:val="FF0000"/>
                <w:sz w:val="21"/>
                <w:szCs w:val="21"/>
                <w:lang w:eastAsia="zh-CN"/>
              </w:rPr>
            </w:pPr>
            <w:r>
              <w:rPr>
                <w:rFonts w:hint="eastAsia" w:ascii="宋体" w:hAnsi="宋体" w:eastAsia="宋体" w:cs="宋体"/>
                <w:sz w:val="21"/>
                <w:szCs w:val="21"/>
                <w:lang w:eastAsia="zh-CN"/>
              </w:rPr>
              <w:t>矿山环保手续完备，排放的废水、废气应当稳定达到满足国家和地方排放标准和总量控制的要求；临近居民区环境噪声(扣除本底)满足环境标准要求；严格落实环境影响评价文件等提出的生态保护对策与措施，固体废物贮存、处置场所符合国家标准要求，固体废物实现无害化处置。</w:t>
            </w:r>
          </w:p>
        </w:tc>
        <w:tc>
          <w:tcPr>
            <w:tcW w:w="198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矿井涌水全部回用于选矿厂，不外排；废气的排放能够稳定达到国家和地方排放标准；周边敏感点满足环境标准要求；项目投产后将严格落实环评文件提出的生态保护对策与措施，固体废物贮存、处置场所符合国家标准要求，能够实现无害化处置。</w:t>
            </w:r>
          </w:p>
        </w:tc>
        <w:tc>
          <w:tcPr>
            <w:tcW w:w="45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矿产资源“三率”(即开采回采率、选矿回收率、综合利用率)指标达到国家和省级标准，共伴生矿产及一些低品位、难选冶的资源得到利用，矿产资源节约集约开发利用水平不断提高。</w:t>
            </w:r>
          </w:p>
        </w:tc>
        <w:tc>
          <w:tcPr>
            <w:tcW w:w="198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采矿回采率为90.2%、选矿磁性铁回收率95%。矿山主要开采矿种为铁矿，无其它伴生有用组分。“三率”指标能够满足国家及省级标准。</w:t>
            </w:r>
          </w:p>
        </w:tc>
        <w:tc>
          <w:tcPr>
            <w:tcW w:w="45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严格控制矿产资源开发对矿山地质环境的破坏，最大限度地减少和避免矿山地质环境问题的发生，改善和提高矿山地质环境质量。对历史形成、责任灭失的重点老空区开展治理，修复矿山地质环境。</w:t>
            </w:r>
          </w:p>
        </w:tc>
        <w:tc>
          <w:tcPr>
            <w:tcW w:w="198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采矿过程采用嗣后充填，并已编制矿山地质环境保护和土地复垦方案。</w:t>
            </w:r>
          </w:p>
        </w:tc>
        <w:tc>
          <w:tcPr>
            <w:tcW w:w="45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先进适用的工艺和技术在企业生产、管理、运营各环节得到广泛推广利用，数字化矿山建设在规模以上矿山企业得到全面推广，创新科技、高效管理成为矿山企业发展的根本动力。国家明令禁止使用和淘汰的落后设备、技术、工艺得到全面禁止和淘汰</w:t>
            </w:r>
          </w:p>
        </w:tc>
        <w:tc>
          <w:tcPr>
            <w:tcW w:w="198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采用的设备和工艺不属于国家明令禁止使用和淘汰的落后设备。</w:t>
            </w:r>
          </w:p>
        </w:tc>
        <w:tc>
          <w:tcPr>
            <w:tcW w:w="45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严格限制在环境敏感区域建设资源开发项目；严禁在自然保护区内开展任何矿产资源开发活动，建设任何生产设施。禁止在饮用水水源一级保护区内新建、改建、扩建与供水设施和保护水源无关的建设项目；禁止在饮用水水源二级保护区内新建、改建扩建排放污染物的建设项目；禁止在南水北调工程调水沿线区域核心保护区新建、改建、扩建直接向水体排放污染物的矿产资源开发项目。</w:t>
            </w:r>
          </w:p>
        </w:tc>
        <w:tc>
          <w:tcPr>
            <w:tcW w:w="198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不在自然保护区、水源一级保护区和二级保护区、南水北调工程调水沿线区域核心保护区以及省生态红线区域范围内。</w:t>
            </w:r>
          </w:p>
        </w:tc>
        <w:tc>
          <w:tcPr>
            <w:tcW w:w="45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矿山企业新建、改建、扩建工程项目的安全、环保等设施，必须与主体工程同时设计、同时施工、同时投入使用；已核准(备案)的项目，必须在通过矿产资源开发利用方案审查、环保影响评价、安全条件审批、矿山地质环境保护与治理恢复方案审查和取得采矿许可证后方可开工建设；项目建成后，安全、环保等未经验收合格的，一律不得投入生产和使用。</w:t>
            </w:r>
          </w:p>
        </w:tc>
        <w:tc>
          <w:tcPr>
            <w:tcW w:w="198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安全、环保设施与主体工程同时设计、同时施工、同时投入使用；项目已完成开发利用方案、矿山地质环境保护和土地复垦方案审批；待项目建成后，经安全、环保验收合格后投入生产和使用。</w:t>
            </w:r>
          </w:p>
        </w:tc>
        <w:tc>
          <w:tcPr>
            <w:tcW w:w="45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3"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深化矿山企业污染治理。依法落实矿山企业环境保护的主体责任，实施更加严格的矿山生态保护和修复措施。矿山排放废水的受纳水体应满足水环境功能区划的要求，固体废物贮存处置场所的运行管理、废气废水的监测处理、地下水的监测监控等应当符合国家和地方标准要求。</w:t>
            </w:r>
          </w:p>
        </w:tc>
        <w:tc>
          <w:tcPr>
            <w:tcW w:w="198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鲁南矿业作为</w:t>
            </w:r>
            <w:r>
              <w:rPr>
                <w:rFonts w:hint="eastAsia" w:cs="宋体"/>
                <w:sz w:val="21"/>
                <w:szCs w:val="21"/>
                <w:lang w:eastAsia="zh-CN"/>
              </w:rPr>
              <w:t>本项目</w:t>
            </w:r>
            <w:r>
              <w:rPr>
                <w:rFonts w:hint="eastAsia" w:ascii="宋体" w:hAnsi="宋体" w:eastAsia="宋体" w:cs="宋体"/>
                <w:sz w:val="21"/>
                <w:szCs w:val="21"/>
                <w:lang w:eastAsia="zh-CN"/>
              </w:rPr>
              <w:t>环境保护的责任主体，将严格落实环评提出的矿山生态保护和修复措施。</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废水不外排，固体废物贮存处置场所的运行管理、废气废水的监测处理、地下水的监测监控等均符合国家和地方标准要求。</w:t>
            </w:r>
          </w:p>
        </w:tc>
        <w:tc>
          <w:tcPr>
            <w:tcW w:w="450"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12.2.6 与《关于印发山东省标本兼治遏制重大事故工作指导方案的通知》符合性分析</w:t>
      </w:r>
    </w:p>
    <w:p>
      <w:pPr>
        <w:ind w:firstLine="560"/>
        <w:rPr>
          <w:rFonts w:hint="eastAsia" w:ascii="宋体" w:hAnsi="宋体" w:eastAsia="宋体" w:cs="宋体"/>
          <w:lang w:eastAsia="zh-CN"/>
        </w:rPr>
      </w:pPr>
      <w:r>
        <w:rPr>
          <w:rFonts w:hint="eastAsia" w:ascii="宋体" w:hAnsi="宋体" w:eastAsia="宋体" w:cs="宋体"/>
          <w:lang w:eastAsia="zh-CN"/>
        </w:rPr>
        <w:t>根据《关于印发山东省标本兼治遏制重大事故工作指导方案的通知》鲁政办发[2016]32号文，“自2016年起3年内，原则上不再审批新建煤矿、新增产能技术改造和煤矿生产能力核增项目。省内原则上不再审批地下开采非煤矿山项目，确需批建的，铁矿生产能力必须达到30万吨/年，金矿生产能力必须达到6万吨/年，粘土矿生产能力必须达到5万吨/年，且须经省联席会议联审报省政府审批；暂停审批新建石膏矿山；对达不到《山东省金属非金属地下矿山安全生产技术与管理规范》的矿山一律不得生产。重点建设安全生产风险分级管控与隐患排查治理体系信息平台建设工程，重大危险源在线监测及事故预警示范工程，煤矿重大灾害防治和煤矿监控系统升级改造示范工程，煤矿事故风险分析平台建设工程，金属非金属地下矿山采空区治理和监控工程，尾矿库“头顶库”综合治理工程，矿山救援能力建设工程。”</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属于铁矿采矿项目，采矿规模为50万吨/年，鲁南矿业是拥有合法采矿证，采矿证范围已包含</w:t>
      </w:r>
      <w:r>
        <w:rPr>
          <w:rFonts w:hint="eastAsia" w:cs="宋体"/>
          <w:lang w:eastAsia="zh-CN"/>
        </w:rPr>
        <w:t>本项目</w:t>
      </w:r>
      <w:r>
        <w:rPr>
          <w:rFonts w:hint="eastAsia" w:ascii="宋体" w:hAnsi="宋体" w:eastAsia="宋体" w:cs="宋体"/>
          <w:lang w:eastAsia="zh-CN"/>
        </w:rPr>
        <w:t>，</w:t>
      </w:r>
      <w:r>
        <w:rPr>
          <w:rFonts w:hint="eastAsia" w:cs="宋体"/>
          <w:lang w:eastAsia="zh-CN"/>
        </w:rPr>
        <w:t>本项目</w:t>
      </w:r>
      <w:r>
        <w:rPr>
          <w:rFonts w:hint="eastAsia" w:ascii="宋体" w:hAnsi="宋体" w:eastAsia="宋体" w:cs="宋体"/>
          <w:lang w:eastAsia="zh-CN"/>
        </w:rPr>
        <w:t>是在合法采矿证范围内开展合法采矿活动，符合该文件相关要求。</w:t>
      </w:r>
    </w:p>
    <w:p>
      <w:pPr>
        <w:pStyle w:val="7"/>
        <w:rPr>
          <w:rFonts w:hint="eastAsia" w:ascii="宋体" w:hAnsi="宋体" w:eastAsia="宋体" w:cs="宋体"/>
          <w:lang w:eastAsia="zh-CN"/>
        </w:rPr>
      </w:pPr>
      <w:r>
        <w:rPr>
          <w:rFonts w:hint="eastAsia" w:ascii="宋体" w:hAnsi="宋体" w:eastAsia="宋体" w:cs="宋体"/>
          <w:lang w:eastAsia="zh-CN"/>
        </w:rPr>
        <w:t>12.2.7 与《山东省绿色矿山建设工作方案》符合性分析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与《山东省绿色矿山建设工作方案》（鲁国土资规[2017]3号）符合性分析见表12.2.7-1。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表12.2.7-1 与鲁国土资规[2017]3号相符性分析</w:t>
      </w:r>
    </w:p>
    <w:tbl>
      <w:tblPr>
        <w:tblStyle w:val="24"/>
        <w:tblW w:w="0" w:type="auto"/>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76"/>
        <w:gridCol w:w="4720"/>
        <w:gridCol w:w="2711"/>
        <w:gridCol w:w="74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696" w:type="dxa"/>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方案要求</w:t>
            </w:r>
          </w:p>
        </w:tc>
        <w:tc>
          <w:tcPr>
            <w:tcW w:w="271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企业实施内容</w:t>
            </w:r>
          </w:p>
        </w:tc>
        <w:tc>
          <w:tcPr>
            <w:tcW w:w="74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相符性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7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一、总体要求</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（二）基本要求</w:t>
            </w:r>
          </w:p>
        </w:tc>
        <w:tc>
          <w:tcPr>
            <w:tcW w:w="472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政府引导、企业主体。</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政府及相关部门要明确发展目标，制定规划、产业政策和建设标准。矿山企业要落实主体责任，重点抓好矿山设计、建设、采矿、选矿、地质环境恢复治理、闭坑等关键环节绿色矿山建设的落实。</w:t>
            </w:r>
          </w:p>
        </w:tc>
        <w:tc>
          <w:tcPr>
            <w:tcW w:w="271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建设单位作为责任主体，要</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重点抓好矿山设计、建设、采矿、选矿、地质环境恢复治理、闭坑等关键环节绿色矿山建设的落实</w:t>
            </w:r>
          </w:p>
        </w:tc>
        <w:tc>
          <w:tcPr>
            <w:tcW w:w="74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7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472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环保优先、防治结合。</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在生态环境脆弱区、各级各类自然保护区、风景名胜区、地质公园内一律不准新设立探矿权和采矿权现有矿业权要按照有关规定逐步退出。督促采矿权人履行矿山地质环境恢复治理义务，预防和减少矿业活动对生态环境的污染破坏</w:t>
            </w:r>
          </w:p>
        </w:tc>
        <w:tc>
          <w:tcPr>
            <w:tcW w:w="271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的探矿权和采矿权不位于生态环境脆弱区、各级各类自然保护区、风景名胜区、地质公园内等。开采完毕后建设单位作为责任主体进行矿山地质环境恢复治理。</w:t>
            </w:r>
          </w:p>
        </w:tc>
        <w:tc>
          <w:tcPr>
            <w:tcW w:w="74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7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三、重点任务及进度安排</w:t>
            </w:r>
          </w:p>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（一）制定绿色矿业建设标准</w:t>
            </w:r>
          </w:p>
        </w:tc>
        <w:tc>
          <w:tcPr>
            <w:tcW w:w="472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一是制定绿色勘查技术规范，新上勘查项目必须符合绿色勘查技术规范；二是严格采矿权准入条件，新立采矿权必须符合绿色矿山建设标准；三是2018年底完成绿色矿山评估工作指南指导规范绿色矿山建设第三方评估工作。</w:t>
            </w:r>
          </w:p>
        </w:tc>
        <w:tc>
          <w:tcPr>
            <w:tcW w:w="2711"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鲁中矿业有限公司已经通过绿色矿山实施方案评审。</w:t>
            </w:r>
          </w:p>
        </w:tc>
        <w:tc>
          <w:tcPr>
            <w:tcW w:w="74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bl>
    <w:p>
      <w:pPr>
        <w:pStyle w:val="6"/>
        <w:rPr>
          <w:rFonts w:hint="eastAsia" w:ascii="宋体" w:hAnsi="宋体" w:eastAsia="宋体" w:cs="宋体"/>
          <w:lang w:eastAsia="zh-CN"/>
        </w:rPr>
      </w:pPr>
      <w:bookmarkStart w:id="227" w:name="_Toc3627"/>
      <w:bookmarkStart w:id="228" w:name="_Toc9820"/>
      <w:r>
        <w:rPr>
          <w:rFonts w:hint="eastAsia" w:ascii="宋体" w:hAnsi="宋体" w:eastAsia="宋体" w:cs="宋体"/>
          <w:lang w:eastAsia="zh-CN"/>
        </w:rPr>
        <w:t>12.3 与环保政策符合性分析</w:t>
      </w:r>
      <w:bookmarkEnd w:id="227"/>
      <w:bookmarkEnd w:id="228"/>
    </w:p>
    <w:p>
      <w:pPr>
        <w:pStyle w:val="7"/>
        <w:rPr>
          <w:rFonts w:hint="eastAsia" w:ascii="宋体" w:hAnsi="宋体" w:eastAsia="宋体" w:cs="宋体"/>
          <w:lang w:eastAsia="zh-CN"/>
        </w:rPr>
      </w:pPr>
      <w:r>
        <w:rPr>
          <w:rFonts w:hint="eastAsia" w:ascii="宋体" w:hAnsi="宋体" w:eastAsia="宋体" w:cs="宋体"/>
          <w:lang w:eastAsia="zh-CN"/>
        </w:rPr>
        <w:t>12.3.1</w:t>
      </w:r>
      <w:bookmarkStart w:id="229" w:name="_Toc490929983"/>
      <w:r>
        <w:rPr>
          <w:rFonts w:hint="eastAsia" w:ascii="宋体" w:hAnsi="宋体" w:eastAsia="宋体" w:cs="宋体"/>
          <w:lang w:eastAsia="zh-CN"/>
        </w:rPr>
        <w:t xml:space="preserve"> 与《国务院关于印发打赢蓝天保卫战三年行动计划的通知》（符合性</w:t>
      </w:r>
    </w:p>
    <w:p>
      <w:pPr>
        <w:ind w:firstLine="560"/>
        <w:rPr>
          <w:rFonts w:hint="eastAsia" w:ascii="宋体" w:hAnsi="宋体" w:eastAsia="宋体" w:cs="宋体"/>
          <w:lang w:eastAsia="zh-CN"/>
        </w:rPr>
      </w:pPr>
      <w:r>
        <w:rPr>
          <w:rFonts w:hint="eastAsia" w:ascii="宋体" w:hAnsi="宋体" w:eastAsia="宋体" w:cs="宋体"/>
          <w:lang w:eastAsia="zh-CN"/>
        </w:rPr>
        <w:t xml:space="preserve"> </w:t>
      </w:r>
      <w:r>
        <w:rPr>
          <w:rFonts w:hint="eastAsia" w:cs="宋体"/>
          <w:lang w:eastAsia="zh-CN"/>
        </w:rPr>
        <w:t>本项目</w:t>
      </w:r>
      <w:r>
        <w:rPr>
          <w:rFonts w:hint="eastAsia" w:ascii="宋体" w:hAnsi="宋体" w:eastAsia="宋体" w:cs="宋体"/>
          <w:lang w:eastAsia="zh-CN"/>
        </w:rPr>
        <w:t>与《国务院关于印发打赢蓝天保卫战三年行动计划的通知》国发[2018]22 号符合性分析见下表12.3.1-1。</w:t>
      </w:r>
    </w:p>
    <w:p>
      <w:pPr>
        <w:spacing w:line="500" w:lineRule="exact"/>
        <w:ind w:left="-2" w:leftChars="-1" w:firstLine="48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 xml:space="preserve">表12.3.1-1 </w:t>
      </w:r>
      <w:r>
        <w:rPr>
          <w:rFonts w:hint="eastAsia" w:cs="宋体"/>
          <w:b/>
          <w:bCs/>
          <w:kern w:val="2"/>
          <w:sz w:val="24"/>
          <w:lang w:eastAsia="zh-CN"/>
        </w:rPr>
        <w:t>本项目</w:t>
      </w:r>
      <w:r>
        <w:rPr>
          <w:rFonts w:hint="eastAsia" w:ascii="宋体" w:hAnsi="宋体" w:eastAsia="宋体" w:cs="宋体"/>
          <w:b/>
          <w:bCs/>
          <w:kern w:val="2"/>
          <w:sz w:val="24"/>
          <w:lang w:eastAsia="zh-CN"/>
        </w:rPr>
        <w:t>与国发[2018]22</w:t>
      </w:r>
      <w:r>
        <w:rPr>
          <w:rFonts w:hint="eastAsia" w:ascii="宋体" w:hAnsi="宋体" w:eastAsia="宋体" w:cs="宋体"/>
          <w:b/>
          <w:bCs/>
          <w:spacing w:val="-60"/>
          <w:kern w:val="2"/>
          <w:sz w:val="24"/>
          <w:lang w:eastAsia="zh-CN"/>
        </w:rPr>
        <w:t xml:space="preserve"> </w:t>
      </w:r>
      <w:r>
        <w:rPr>
          <w:rFonts w:hint="eastAsia" w:ascii="宋体" w:hAnsi="宋体" w:eastAsia="宋体" w:cs="宋体"/>
          <w:b/>
          <w:bCs/>
          <w:kern w:val="2"/>
          <w:sz w:val="24"/>
          <w:lang w:eastAsia="zh-CN"/>
        </w:rPr>
        <w:t>号符合性分析</w:t>
      </w:r>
    </w:p>
    <w:tbl>
      <w:tblPr>
        <w:tblStyle w:val="2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030"/>
        <w:gridCol w:w="5132"/>
        <w:gridCol w:w="2199"/>
        <w:gridCol w:w="74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70" w:hRule="exact"/>
          <w:tblHeader/>
        </w:trPr>
        <w:tc>
          <w:tcPr>
            <w:tcW w:w="566" w:type="pct"/>
            <w:tcBorders>
              <w:top w:val="single" w:color="000000" w:sz="12" w:space="0"/>
              <w:left w:val="single" w:color="000000" w:sz="12"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分类</w:t>
            </w:r>
          </w:p>
        </w:tc>
        <w:tc>
          <w:tcPr>
            <w:tcW w:w="2819" w:type="pct"/>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国发[2018]22 号意见要求</w:t>
            </w:r>
          </w:p>
        </w:tc>
        <w:tc>
          <w:tcPr>
            <w:tcW w:w="1208" w:type="pct"/>
            <w:tcBorders>
              <w:top w:val="single" w:color="000000" w:sz="12"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
                <w:bCs/>
                <w:kern w:val="2"/>
                <w:sz w:val="21"/>
                <w:szCs w:val="21"/>
                <w:lang w:eastAsia="zh-CN"/>
              </w:rPr>
            </w:pPr>
            <w:r>
              <w:rPr>
                <w:rFonts w:hint="eastAsia" w:cs="宋体"/>
                <w:b/>
                <w:bCs/>
                <w:kern w:val="2"/>
                <w:sz w:val="21"/>
                <w:szCs w:val="21"/>
                <w:lang w:eastAsia="zh-CN"/>
              </w:rPr>
              <w:t>本项目</w:t>
            </w:r>
            <w:r>
              <w:rPr>
                <w:rFonts w:hint="eastAsia" w:ascii="宋体" w:hAnsi="宋体" w:eastAsia="宋体" w:cs="宋体"/>
                <w:b/>
                <w:bCs/>
                <w:kern w:val="2"/>
                <w:sz w:val="21"/>
                <w:szCs w:val="21"/>
                <w:lang w:eastAsia="zh-CN"/>
              </w:rPr>
              <w:t>情况</w:t>
            </w:r>
          </w:p>
        </w:tc>
        <w:tc>
          <w:tcPr>
            <w:tcW w:w="407" w:type="pct"/>
            <w:tcBorders>
              <w:top w:val="single" w:color="000000" w:sz="12" w:space="0"/>
              <w:left w:val="single" w:color="000000" w:sz="4" w:space="0"/>
              <w:bottom w:val="single" w:color="000000" w:sz="4" w:space="0"/>
              <w:right w:val="single" w:color="000000" w:sz="12"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575" w:hRule="atLeast"/>
        </w:trPr>
        <w:tc>
          <w:tcPr>
            <w:tcW w:w="566" w:type="pct"/>
            <w:vMerge w:val="restart"/>
            <w:tcBorders>
              <w:top w:val="single" w:color="000000" w:sz="4" w:space="0"/>
              <w:left w:val="single" w:color="000000" w:sz="12" w:space="0"/>
              <w:bottom w:val="single" w:color="000000" w:sz="12"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二、调整优化产业结构，推进产业绿色发展</w:t>
            </w:r>
          </w:p>
        </w:tc>
        <w:tc>
          <w:tcPr>
            <w:tcW w:w="2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四）优化产业布局。各地完成生态保护红线、环境质量底线、资源利用上线、环境准入清单编制工作，明确禁止和限制发展的行业、生产工艺和产业目录。修订完善高耗能、高污染和资源型行业准入条件，环境空气质量未达标城市应制订更严格的产业准入门槛。积极推行区域、规划环境影响评价，新、改、扩建钢铁、石化、化工、焦化、建材、有色等项目的环境影响评价，应满足区域、规划环评要求。</w:t>
            </w:r>
          </w:p>
        </w:tc>
        <w:tc>
          <w:tcPr>
            <w:tcW w:w="12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leftChars="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spacing w:val="-2"/>
                <w:kern w:val="2"/>
                <w:sz w:val="21"/>
                <w:szCs w:val="21"/>
                <w:lang w:eastAsia="zh-CN"/>
              </w:rPr>
              <w:t>符合“三线一单”要求，不属于“两高”行业</w:t>
            </w:r>
          </w:p>
        </w:tc>
        <w:tc>
          <w:tcPr>
            <w:tcW w:w="407" w:type="pct"/>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549" w:hRule="atLeast"/>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pPr>
              <w:keepNext w:val="0"/>
              <w:keepLines w:val="0"/>
              <w:pageBreakBefore w:val="0"/>
              <w:widowControl/>
              <w:suppressLineNumbers w:val="0"/>
              <w:wordWrap/>
              <w:topLinePunct w:val="0"/>
              <w:autoSpaceDE/>
              <w:autoSpaceDN/>
              <w:bidi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p>
        </w:tc>
        <w:tc>
          <w:tcPr>
            <w:tcW w:w="2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五）严控“两高”行业产能。重点区域严禁新增钢铁、焦化、电解铝、铸造、水泥和平板玻璃等产能；严格执行钢铁、水泥、平板玻璃等行业产能置换实施办法；新、改、扩建涉及大宗物料运输的建设项目，原则上不得采用公路运输。</w:t>
            </w:r>
          </w:p>
        </w:tc>
        <w:tc>
          <w:tcPr>
            <w:tcW w:w="12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leftChars="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bCs/>
                <w:kern w:val="2"/>
                <w:sz w:val="21"/>
                <w:szCs w:val="21"/>
                <w:lang w:eastAsia="zh-CN"/>
              </w:rPr>
              <w:t>不属于</w:t>
            </w:r>
            <w:r>
              <w:rPr>
                <w:rFonts w:hint="eastAsia" w:ascii="宋体" w:hAnsi="宋体" w:eastAsia="宋体" w:cs="宋体"/>
                <w:kern w:val="2"/>
                <w:sz w:val="21"/>
                <w:szCs w:val="21"/>
                <w:lang w:eastAsia="zh-CN"/>
              </w:rPr>
              <w:t>“两高”行业</w:t>
            </w:r>
          </w:p>
        </w:tc>
        <w:tc>
          <w:tcPr>
            <w:tcW w:w="407" w:type="pct"/>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0" w:type="auto"/>
            <w:vMerge w:val="continue"/>
            <w:tcBorders>
              <w:top w:val="single" w:color="000000" w:sz="4" w:space="0"/>
              <w:left w:val="single" w:color="000000" w:sz="12" w:space="0"/>
              <w:bottom w:val="single" w:color="000000" w:sz="12" w:space="0"/>
              <w:right w:val="single" w:color="000000" w:sz="4" w:space="0"/>
            </w:tcBorders>
            <w:vAlign w:val="center"/>
          </w:tcPr>
          <w:p>
            <w:pPr>
              <w:keepNext w:val="0"/>
              <w:keepLines w:val="0"/>
              <w:pageBreakBefore w:val="0"/>
              <w:widowControl/>
              <w:suppressLineNumbers w:val="0"/>
              <w:wordWrap/>
              <w:topLinePunct w:val="0"/>
              <w:autoSpaceDE/>
              <w:autoSpaceDN/>
              <w:bidi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p>
        </w:tc>
        <w:tc>
          <w:tcPr>
            <w:tcW w:w="2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spacing w:val="-2"/>
                <w:kern w:val="2"/>
                <w:sz w:val="21"/>
                <w:szCs w:val="21"/>
                <w:lang w:eastAsia="zh-CN"/>
              </w:rPr>
            </w:pPr>
            <w:r>
              <w:rPr>
                <w:rFonts w:hint="eastAsia" w:ascii="宋体" w:hAnsi="宋体" w:eastAsia="宋体" w:cs="宋体"/>
                <w:spacing w:val="-2"/>
                <w:kern w:val="2"/>
                <w:sz w:val="21"/>
                <w:szCs w:val="21"/>
                <w:lang w:eastAsia="zh-CN"/>
              </w:rPr>
              <w:t>（七）深化工业污染治理。持续推进工业污染源全面达标排放，将烟气在线监测数据作为执法依据，加大超标处罚和联合惩戒力度，未达标排放的企业一律依法停产整治。建立覆盖所有固定污染源的企业排放许可制度，2020年底前，完成排污许可管理名录规定的行业许可证核发。</w:t>
            </w:r>
          </w:p>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spacing w:val="-2"/>
                <w:kern w:val="2"/>
                <w:sz w:val="21"/>
                <w:szCs w:val="21"/>
                <w:lang w:eastAsia="zh-CN"/>
              </w:rPr>
              <w:t>推进重点行业污染治理升级改造。重点区域二氧化硫、氮氧化物、颗粒物、挥发性有机物（VOCs）全面执行大气污染物特别排放限值。推动实施钢铁等行业超低排放改造，重点区域城市建成区内焦炉实施炉体加罩封闭，并对废气进行收集处理。强化工业企业无组织排放管控。开展钢铁、建材、有色、火电、焦化、铸造等重点行业及燃煤锅炉无组织排放排查，建立管理台账，对物料（含废渣）运输、装卸、储存、转移和工艺过程等无组织排放实施深度治理，2018年底前京津冀及周边地区基本完成治理任务，长三角地区和汾渭平原2019年底前完成，全国2020年底前基本完成。</w:t>
            </w:r>
          </w:p>
        </w:tc>
        <w:tc>
          <w:tcPr>
            <w:tcW w:w="12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leftChars="0" w:right="0" w:firstLine="0" w:firstLineChars="0"/>
              <w:textAlignment w:val="auto"/>
              <w:rPr>
                <w:rFonts w:hint="eastAsia" w:ascii="宋体" w:hAnsi="宋体" w:eastAsia="宋体" w:cs="宋体"/>
                <w:kern w:val="2"/>
                <w:sz w:val="21"/>
                <w:szCs w:val="21"/>
                <w:lang w:eastAsia="zh-CN"/>
              </w:rPr>
            </w:pPr>
            <w:r>
              <w:rPr>
                <w:rFonts w:hint="eastAsia" w:cs="宋体"/>
                <w:bCs/>
                <w:spacing w:val="-2"/>
                <w:kern w:val="2"/>
                <w:sz w:val="21"/>
                <w:szCs w:val="21"/>
                <w:lang w:eastAsia="zh-CN"/>
              </w:rPr>
              <w:t>本项目</w:t>
            </w:r>
            <w:r>
              <w:rPr>
                <w:rFonts w:hint="eastAsia" w:ascii="宋体" w:hAnsi="宋体" w:eastAsia="宋体" w:cs="宋体"/>
                <w:bCs/>
                <w:spacing w:val="-2"/>
                <w:kern w:val="2"/>
                <w:sz w:val="21"/>
                <w:szCs w:val="21"/>
                <w:lang w:eastAsia="zh-CN"/>
              </w:rPr>
              <w:t>为铁矿开采项目，位于沂水县与沂源县交界处，不属划定的重点</w:t>
            </w:r>
            <w:r>
              <w:rPr>
                <w:rFonts w:hint="eastAsia" w:ascii="宋体" w:hAnsi="宋体" w:eastAsia="宋体" w:cs="宋体"/>
                <w:spacing w:val="-2"/>
                <w:kern w:val="2"/>
                <w:sz w:val="21"/>
                <w:szCs w:val="21"/>
                <w:lang w:eastAsia="zh-CN"/>
              </w:rPr>
              <w:t>区域范围</w:t>
            </w:r>
          </w:p>
        </w:tc>
        <w:tc>
          <w:tcPr>
            <w:tcW w:w="407" w:type="pct"/>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PrEx>
        <w:trPr>
          <w:trHeight w:val="1906" w:hRule="atLeast"/>
        </w:trPr>
        <w:tc>
          <w:tcPr>
            <w:tcW w:w="0" w:type="auto"/>
            <w:vMerge w:val="continue"/>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suppressLineNumbers w:val="0"/>
              <w:wordWrap/>
              <w:topLinePunct w:val="0"/>
              <w:autoSpaceDE/>
              <w:autoSpaceDN/>
              <w:bidi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p>
        </w:tc>
        <w:tc>
          <w:tcPr>
            <w:tcW w:w="2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bCs/>
                <w:spacing w:val="-2"/>
                <w:kern w:val="2"/>
                <w:sz w:val="21"/>
                <w:szCs w:val="21"/>
                <w:lang w:eastAsia="zh-CN"/>
              </w:rPr>
              <w:t>（十三）加快发展清洁能源和新能源。</w:t>
            </w:r>
            <w:r>
              <w:rPr>
                <w:rFonts w:hint="eastAsia" w:ascii="宋体" w:hAnsi="宋体" w:eastAsia="宋体" w:cs="宋体"/>
                <w:spacing w:val="-2"/>
                <w:kern w:val="2"/>
                <w:sz w:val="21"/>
                <w:szCs w:val="21"/>
                <w:lang w:eastAsia="zh-CN"/>
              </w:rPr>
              <w:t>到2020年，非化石能源占能源消费总量比重达到15%。有序发展水电，安全高效发展核电，优化风能、太阳能开发布局，因地制宜发展生物质能、地热能等。在具备资源条件的地方，鼓励发展县域生物质热电联产、生物质成型燃料锅炉及生物天然气。加大可再生能源消纳力度，基本解决弃水、弃风、弃光问题。</w:t>
            </w:r>
          </w:p>
        </w:tc>
        <w:tc>
          <w:tcPr>
            <w:tcW w:w="12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r>
              <w:rPr>
                <w:rFonts w:hint="eastAsia" w:cs="宋体"/>
                <w:bCs/>
                <w:spacing w:val="-2"/>
                <w:kern w:val="2"/>
                <w:sz w:val="21"/>
                <w:szCs w:val="21"/>
                <w:lang w:eastAsia="zh-CN"/>
              </w:rPr>
              <w:t>本项目</w:t>
            </w:r>
            <w:r>
              <w:rPr>
                <w:rFonts w:hint="eastAsia" w:ascii="宋体" w:hAnsi="宋体" w:eastAsia="宋体" w:cs="宋体"/>
                <w:bCs/>
                <w:spacing w:val="-2"/>
                <w:kern w:val="2"/>
                <w:sz w:val="21"/>
                <w:szCs w:val="21"/>
                <w:lang w:eastAsia="zh-CN"/>
              </w:rPr>
              <w:t>不涉及燃料消耗</w:t>
            </w:r>
          </w:p>
        </w:tc>
        <w:tc>
          <w:tcPr>
            <w:tcW w:w="407" w:type="pct"/>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906" w:hRule="atLeast"/>
        </w:trPr>
        <w:tc>
          <w:tcPr>
            <w:tcW w:w="0" w:type="auto"/>
            <w:tcBorders>
              <w:top w:val="single" w:color="000000" w:sz="4" w:space="0"/>
              <w:left w:val="single" w:color="000000" w:sz="12" w:space="0"/>
              <w:bottom w:val="single" w:color="000000" w:sz="4" w:space="0"/>
              <w:right w:val="single" w:color="000000" w:sz="4" w:space="0"/>
            </w:tcBorders>
            <w:vAlign w:val="center"/>
          </w:tcPr>
          <w:p>
            <w:pPr>
              <w:keepNext w:val="0"/>
              <w:keepLines w:val="0"/>
              <w:pageBreakBefore w:val="0"/>
              <w:widowControl/>
              <w:suppressLineNumbers w:val="0"/>
              <w:wordWrap/>
              <w:topLinePunct w:val="0"/>
              <w:autoSpaceDE/>
              <w:autoSpaceDN/>
              <w:bidi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spacing w:val="8"/>
                <w:kern w:val="2"/>
                <w:sz w:val="21"/>
                <w:szCs w:val="21"/>
                <w:lang w:eastAsia="zh-CN"/>
              </w:rPr>
              <w:t>四、积极调整运输结构，发展绿色交通体系</w:t>
            </w:r>
          </w:p>
        </w:tc>
        <w:tc>
          <w:tcPr>
            <w:tcW w:w="2819"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bCs/>
                <w:spacing w:val="-2"/>
                <w:kern w:val="2"/>
                <w:sz w:val="21"/>
                <w:szCs w:val="21"/>
                <w:lang w:eastAsia="zh-CN"/>
              </w:rPr>
            </w:pPr>
            <w:r>
              <w:rPr>
                <w:rFonts w:hint="eastAsia" w:ascii="宋体" w:hAnsi="宋体" w:eastAsia="宋体" w:cs="宋体"/>
                <w:spacing w:val="-2"/>
                <w:kern w:val="2"/>
                <w:sz w:val="21"/>
                <w:szCs w:val="21"/>
                <w:lang w:eastAsia="zh-CN"/>
              </w:rPr>
              <w:t>（二十三）打好柴油货车污染治理攻坚战。</w:t>
            </w:r>
            <w:r>
              <w:rPr>
                <w:rFonts w:hint="eastAsia" w:ascii="宋体" w:hAnsi="宋体" w:eastAsia="宋体" w:cs="宋体"/>
                <w:bCs/>
                <w:spacing w:val="-2"/>
                <w:kern w:val="2"/>
                <w:sz w:val="21"/>
                <w:szCs w:val="21"/>
                <w:lang w:eastAsia="zh-CN"/>
              </w:rPr>
              <w:t>制定柴油货车污染治理攻坚战行动方案，统筹油、路、车治理，实施清洁柴油车（机）、清洁运输和清洁油品行动，确保柴油货车污染排放总量明显下降。加强柴油货车生产销售、注册使用、检验维修等环节的监督管理，建立天地车人一体化的全方位监控体系，实施在用汽车排放检测与强制维护制度。各地开展多部门联合执法专项行动。</w:t>
            </w:r>
          </w:p>
        </w:tc>
        <w:tc>
          <w:tcPr>
            <w:tcW w:w="1208" w:type="pct"/>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bCs/>
                <w:spacing w:val="-2"/>
                <w:kern w:val="2"/>
                <w:sz w:val="21"/>
                <w:szCs w:val="21"/>
                <w:lang w:eastAsia="zh-CN"/>
              </w:rPr>
            </w:pPr>
            <w:r>
              <w:rPr>
                <w:rFonts w:hint="eastAsia" w:cs="宋体"/>
                <w:bCs/>
                <w:spacing w:val="-2"/>
                <w:kern w:val="2"/>
                <w:sz w:val="21"/>
                <w:szCs w:val="21"/>
                <w:lang w:eastAsia="zh-CN"/>
              </w:rPr>
              <w:t>本项目</w:t>
            </w:r>
            <w:r>
              <w:rPr>
                <w:rFonts w:hint="eastAsia" w:ascii="宋体" w:hAnsi="宋体" w:eastAsia="宋体" w:cs="宋体"/>
                <w:bCs/>
                <w:spacing w:val="-2"/>
                <w:kern w:val="2"/>
                <w:sz w:val="21"/>
                <w:szCs w:val="21"/>
                <w:lang w:eastAsia="zh-CN"/>
              </w:rPr>
              <w:t>不涉及汽车运输</w:t>
            </w:r>
          </w:p>
        </w:tc>
        <w:tc>
          <w:tcPr>
            <w:tcW w:w="407" w:type="pct"/>
            <w:tcBorders>
              <w:top w:val="single" w:color="000000" w:sz="4" w:space="0"/>
              <w:left w:val="single" w:color="000000" w:sz="4" w:space="0"/>
              <w:bottom w:val="single" w:color="000000" w:sz="4" w:space="0"/>
              <w:right w:val="single" w:color="000000" w:sz="12"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Cs/>
                <w:spacing w:val="-2"/>
                <w:kern w:val="2"/>
                <w:sz w:val="21"/>
                <w:szCs w:val="21"/>
                <w:lang w:eastAsia="zh-CN"/>
              </w:rPr>
            </w:pPr>
            <w:r>
              <w:rPr>
                <w:rFonts w:hint="eastAsia" w:ascii="宋体" w:hAnsi="宋体" w:eastAsia="宋体" w:cs="宋体"/>
                <w:bCs/>
                <w:spacing w:val="-2"/>
                <w:kern w:val="2"/>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1040" w:hRule="atLeast"/>
        </w:trPr>
        <w:tc>
          <w:tcPr>
            <w:tcW w:w="0" w:type="auto"/>
            <w:tcBorders>
              <w:left w:val="single" w:color="000000" w:sz="12" w:space="0"/>
              <w:bottom w:val="single" w:color="000000" w:sz="12" w:space="0"/>
              <w:right w:val="single" w:color="000000" w:sz="4" w:space="0"/>
            </w:tcBorders>
            <w:vAlign w:val="center"/>
          </w:tcPr>
          <w:p>
            <w:pPr>
              <w:keepNext w:val="0"/>
              <w:keepLines w:val="0"/>
              <w:pageBreakBefore w:val="0"/>
              <w:widowControl/>
              <w:suppressLineNumbers w:val="0"/>
              <w:wordWrap/>
              <w:topLinePunct w:val="0"/>
              <w:autoSpaceDE/>
              <w:autoSpaceDN/>
              <w:bidi w:val="0"/>
              <w:snapToGrid/>
              <w:spacing w:before="0" w:beforeAutospacing="0" w:after="0" w:afterAutospacing="0" w:line="240" w:lineRule="auto"/>
              <w:ind w:left="0" w:right="0" w:firstLine="0" w:firstLineChars="0"/>
              <w:textAlignment w:val="auto"/>
              <w:rPr>
                <w:rFonts w:hint="eastAsia" w:ascii="宋体" w:hAnsi="宋体" w:eastAsia="宋体" w:cs="宋体"/>
                <w:kern w:val="2"/>
                <w:sz w:val="21"/>
                <w:szCs w:val="21"/>
                <w:lang w:eastAsia="zh-CN"/>
              </w:rPr>
            </w:pPr>
            <w:r>
              <w:rPr>
                <w:rFonts w:hint="eastAsia" w:ascii="宋体" w:hAnsi="宋体" w:eastAsia="宋体" w:cs="宋体"/>
                <w:spacing w:val="8"/>
                <w:kern w:val="2"/>
                <w:sz w:val="21"/>
                <w:szCs w:val="21"/>
                <w:lang w:eastAsia="zh-CN"/>
              </w:rPr>
              <w:t>六、实施重大专项行动，大幅降低污染物排放</w:t>
            </w:r>
          </w:p>
        </w:tc>
        <w:tc>
          <w:tcPr>
            <w:tcW w:w="2819" w:type="pct"/>
            <w:tcBorders>
              <w:top w:val="single" w:color="000000" w:sz="4" w:space="0"/>
              <w:left w:val="single" w:color="000000" w:sz="4" w:space="0"/>
              <w:bottom w:val="single" w:color="000000" w:sz="12"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bCs/>
                <w:spacing w:val="-2"/>
                <w:kern w:val="2"/>
                <w:sz w:val="21"/>
                <w:szCs w:val="21"/>
                <w:lang w:eastAsia="zh-CN"/>
              </w:rPr>
            </w:pPr>
            <w:r>
              <w:rPr>
                <w:rFonts w:hint="eastAsia" w:ascii="宋体" w:hAnsi="宋体" w:eastAsia="宋体" w:cs="宋体"/>
                <w:spacing w:val="-2"/>
                <w:kern w:val="2"/>
                <w:sz w:val="21"/>
                <w:szCs w:val="21"/>
                <w:lang w:eastAsia="zh-CN"/>
              </w:rPr>
              <w:t>（二十五）实施VOCs专项整治方案。</w:t>
            </w:r>
            <w:r>
              <w:rPr>
                <w:rFonts w:hint="eastAsia" w:ascii="宋体" w:hAnsi="宋体" w:eastAsia="宋体" w:cs="宋体"/>
                <w:bCs/>
                <w:spacing w:val="-2"/>
                <w:kern w:val="2"/>
                <w:sz w:val="21"/>
                <w:szCs w:val="21"/>
                <w:lang w:eastAsia="zh-CN"/>
              </w:rPr>
              <w:t>制定石化、化工、工业涂装、包装印刷等VOCs排放重点行业和油品储运销综合整治方案，出台泄漏检测与修复标准，编制VOCs治理技术指南。重点区域禁止建设生产和使用高VOCs含量的溶剂型涂料、油墨、胶粘剂等项目，加大餐饮油烟治理力度。开展VOCs整治专项执法行动，严厉打击违法排污行为，对治理效果差、技术服务能力弱、运营管理水平低的治理单位，公布名单，实行联合惩戒，扶持培育VOCs治理和服务专业化规模化龙头企业。</w:t>
            </w:r>
          </w:p>
        </w:tc>
        <w:tc>
          <w:tcPr>
            <w:tcW w:w="1208" w:type="pct"/>
            <w:tcBorders>
              <w:top w:val="single" w:color="000000" w:sz="4" w:space="0"/>
              <w:left w:val="single" w:color="000000" w:sz="4" w:space="0"/>
              <w:bottom w:val="single" w:color="000000" w:sz="12" w:space="0"/>
              <w:right w:val="single" w:color="000000" w:sz="4"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textAlignment w:val="auto"/>
              <w:rPr>
                <w:rFonts w:hint="eastAsia" w:ascii="宋体" w:hAnsi="宋体" w:eastAsia="宋体" w:cs="宋体"/>
                <w:bCs/>
                <w:spacing w:val="-2"/>
                <w:kern w:val="2"/>
                <w:sz w:val="21"/>
                <w:szCs w:val="21"/>
                <w:lang w:eastAsia="zh-CN"/>
              </w:rPr>
            </w:pPr>
            <w:r>
              <w:rPr>
                <w:rFonts w:hint="eastAsia" w:cs="宋体"/>
                <w:bCs/>
                <w:spacing w:val="-2"/>
                <w:kern w:val="2"/>
                <w:sz w:val="21"/>
                <w:szCs w:val="21"/>
                <w:lang w:eastAsia="zh-CN"/>
              </w:rPr>
              <w:t>本项目</w:t>
            </w:r>
            <w:r>
              <w:rPr>
                <w:rFonts w:hint="eastAsia" w:ascii="宋体" w:hAnsi="宋体" w:eastAsia="宋体" w:cs="宋体"/>
                <w:bCs/>
                <w:spacing w:val="-2"/>
                <w:kern w:val="2"/>
                <w:sz w:val="21"/>
                <w:szCs w:val="21"/>
                <w:lang w:eastAsia="zh-CN"/>
              </w:rPr>
              <w:t>不属于VOCs排放重点行业，所在区域不属于重点区域</w:t>
            </w:r>
          </w:p>
        </w:tc>
        <w:tc>
          <w:tcPr>
            <w:tcW w:w="407" w:type="pct"/>
            <w:tcBorders>
              <w:top w:val="single" w:color="000000" w:sz="4" w:space="0"/>
              <w:left w:val="single" w:color="000000" w:sz="4" w:space="0"/>
              <w:bottom w:val="single" w:color="000000" w:sz="12" w:space="0"/>
              <w:right w:val="single" w:color="000000" w:sz="12" w:space="0"/>
            </w:tcBorders>
            <w:vAlign w:val="center"/>
          </w:tcPr>
          <w:p>
            <w:pPr>
              <w:keepNext w:val="0"/>
              <w:keepLines w:val="0"/>
              <w:pageBreakBefore w:val="0"/>
              <w:suppressLineNumbers w:val="0"/>
              <w:kinsoku w:val="0"/>
              <w:wordWrap/>
              <w:overflowPunct w:val="0"/>
              <w:topLinePunct w:val="0"/>
              <w:bidi w:val="0"/>
              <w:adjustRightInd w:val="0"/>
              <w:snapToGrid/>
              <w:spacing w:before="0" w:beforeAutospacing="0" w:after="0" w:afterAutospacing="0" w:line="240" w:lineRule="auto"/>
              <w:ind w:left="0" w:right="0" w:firstLine="0" w:firstLineChars="0"/>
              <w:jc w:val="center"/>
              <w:textAlignment w:val="auto"/>
              <w:rPr>
                <w:rFonts w:hint="eastAsia" w:ascii="宋体" w:hAnsi="宋体" w:eastAsia="宋体" w:cs="宋体"/>
                <w:bCs/>
                <w:spacing w:val="-2"/>
                <w:kern w:val="2"/>
                <w:sz w:val="21"/>
                <w:szCs w:val="21"/>
                <w:lang w:eastAsia="zh-CN"/>
              </w:rPr>
            </w:pPr>
            <w:r>
              <w:rPr>
                <w:rFonts w:hint="eastAsia" w:ascii="宋体" w:hAnsi="宋体" w:eastAsia="宋体" w:cs="宋体"/>
                <w:bCs/>
                <w:spacing w:val="-2"/>
                <w:kern w:val="2"/>
                <w:sz w:val="21"/>
                <w:szCs w:val="21"/>
                <w:lang w:eastAsia="zh-CN"/>
              </w:rPr>
              <w:t>符合</w:t>
            </w:r>
          </w:p>
        </w:tc>
      </w:tr>
    </w:tbl>
    <w:p>
      <w:pPr>
        <w:pStyle w:val="7"/>
        <w:rPr>
          <w:rFonts w:hint="eastAsia" w:ascii="宋体" w:hAnsi="宋体" w:eastAsia="宋体" w:cs="宋体"/>
          <w:lang w:eastAsia="zh-CN"/>
        </w:rPr>
      </w:pPr>
      <w:bookmarkStart w:id="230" w:name="_Toc490929979"/>
      <w:r>
        <w:rPr>
          <w:rFonts w:hint="eastAsia" w:ascii="宋体" w:hAnsi="宋体" w:eastAsia="宋体" w:cs="宋体"/>
          <w:lang w:eastAsia="zh-CN"/>
        </w:rPr>
        <w:t>12.3.2 与《山东省“十四五”生态环境保护规划》符合性分析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w:t>
      </w:r>
      <w:r>
        <w:rPr>
          <w:rFonts w:hint="eastAsia" w:ascii="宋体" w:hAnsi="宋体" w:eastAsia="宋体" w:cs="宋体"/>
          <w:color w:val="000000" w:themeColor="text1"/>
          <w:lang w:eastAsia="zh-CN"/>
          <w14:textFill>
            <w14:solidFill>
              <w14:schemeClr w14:val="tx1"/>
            </w14:solidFill>
          </w14:textFill>
        </w:rPr>
        <w:t>山东省“十四五”生态环境保护规划</w:t>
      </w:r>
      <w:r>
        <w:rPr>
          <w:rFonts w:hint="eastAsia" w:ascii="宋体" w:hAnsi="宋体" w:eastAsia="宋体" w:cs="宋体"/>
          <w:lang w:eastAsia="zh-CN"/>
        </w:rPr>
        <w:t>》（鲁政发[2021]12号）符合性见表12.3.2-1。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表12.3.2-1 项目与山东省“十四五”生态环境保护规划符合性分析一览表</w:t>
      </w:r>
    </w:p>
    <w:tbl>
      <w:tblPr>
        <w:tblStyle w:val="24"/>
        <w:tblW w:w="9428" w:type="dxa"/>
        <w:tblInd w:w="-34"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926"/>
        <w:gridCol w:w="5503"/>
        <w:gridCol w:w="2244"/>
        <w:gridCol w:w="75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分类</w:t>
            </w:r>
          </w:p>
        </w:tc>
        <w:tc>
          <w:tcPr>
            <w:tcW w:w="55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山东省生态环境保护“十三五”规划</w:t>
            </w:r>
          </w:p>
        </w:tc>
        <w:tc>
          <w:tcPr>
            <w:tcW w:w="224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情况</w:t>
            </w:r>
          </w:p>
        </w:tc>
        <w:tc>
          <w:tcPr>
            <w:tcW w:w="75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综合治理工业污染</w:t>
            </w:r>
          </w:p>
        </w:tc>
        <w:tc>
          <w:tcPr>
            <w:tcW w:w="55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一是实施燃煤机组（锅炉）超低排放改造，到2017年年底前，单机10万千瓦及以上燃煤机组全部完成超低排放改造；力争到2018年全部完成单台10蒸吨/小时以上燃煤锅炉超低排放改造或清洁能源替代</w:t>
            </w:r>
          </w:p>
        </w:tc>
        <w:tc>
          <w:tcPr>
            <w:tcW w:w="224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不使用燃煤锅炉，冬季采用市政集中供热</w:t>
            </w:r>
          </w:p>
        </w:tc>
        <w:tc>
          <w:tcPr>
            <w:tcW w:w="75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6"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综合整治扬尘污染</w:t>
            </w:r>
          </w:p>
        </w:tc>
        <w:tc>
          <w:tcPr>
            <w:tcW w:w="55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加强城市扬尘管理，严格落实《山东省扬尘污染防治管理办法》（省政府令第248号），建立扬尘环境监测、投诉举报等制度</w:t>
            </w:r>
          </w:p>
        </w:tc>
        <w:tc>
          <w:tcPr>
            <w:tcW w:w="2244"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施工期严格按照山东省扬尘污染防治管理办法要求进行施工</w:t>
            </w:r>
          </w:p>
        </w:tc>
        <w:tc>
          <w:tcPr>
            <w:tcW w:w="75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55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强化施工扬尘管理，建设工程施工现场应采取围挡封闭、地面硬化、车辆冲洗、密闭堆放等防尘措施减少建筑、拆房、道路施工过程中的物料、建筑垃圾和渣土等外逸，研究推进冬季土石方工程错峰施工</w:t>
            </w:r>
          </w:p>
        </w:tc>
        <w:tc>
          <w:tcPr>
            <w:tcW w:w="2244"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75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55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推进堆场扬尘管理，强化煤堆、土堆、沙堆、料堆的监督管理</w:t>
            </w:r>
          </w:p>
        </w:tc>
        <w:tc>
          <w:tcPr>
            <w:tcW w:w="224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废石不出井，直接充填采空区，矿石提升至地表后采用密闭皮带走廊运输，不设置废石堆场和矿石堆场</w:t>
            </w:r>
          </w:p>
        </w:tc>
        <w:tc>
          <w:tcPr>
            <w:tcW w:w="75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6"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p>
        </w:tc>
        <w:tc>
          <w:tcPr>
            <w:tcW w:w="55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加强“三区两线”(城市规划控制区、风景名胜区、自然保护区和铁路、高速公路、国道、省道等重要交通沿线)两侧可视范围内露天开采矿山清理整顿，完成城乡结合部露天矿山的关闭工作</w:t>
            </w:r>
          </w:p>
        </w:tc>
        <w:tc>
          <w:tcPr>
            <w:tcW w:w="224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属于地下开采项目</w:t>
            </w:r>
          </w:p>
        </w:tc>
        <w:tc>
          <w:tcPr>
            <w:tcW w:w="75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实施全过程水污染防治</w:t>
            </w:r>
          </w:p>
        </w:tc>
        <w:tc>
          <w:tcPr>
            <w:tcW w:w="55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加强工业污染防治。制定实施差别化区域环境准入政策，控制造纸、焦化、氮肥、有色金属、印染、农副食品加工、原料药制造、制革、农药、电镀等十大重点行业产能和污染物排放。依法淘汰落后产能，完成13类重污染小型工业企业排查和取缔工作。提高工业企业污染治理水平，在确保所有排污单位达到常见鱼类稳定生长治污水平的基础上，以影响水环境质量全面达标的污染物为重点，实施再提高工程</w:t>
            </w:r>
          </w:p>
        </w:tc>
        <w:tc>
          <w:tcPr>
            <w:tcW w:w="224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不新增生活污水，矿井涌水全部回用。</w:t>
            </w:r>
          </w:p>
        </w:tc>
        <w:tc>
          <w:tcPr>
            <w:tcW w:w="75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92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严格控制新增土壤污染</w:t>
            </w:r>
          </w:p>
        </w:tc>
        <w:tc>
          <w:tcPr>
            <w:tcW w:w="5503"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严格用地准入，将建设用地士壤环境管理要求纳入城市规划和供地管理，土地开发利用必须符合土壤环境质量要求。严格环境准入，禁止在居民区、学校、医疗和养老机构等周边新建有色金属冶炼、焦化等行业企业，有序搬迁或依法关闭对土壤造成严重污染的现有企业，科学布局生活垃圾处理、危险废物处置、废旧资源再生利用等设施和场所。严防矿产资源开发污染土壞，矿产资源开发活动集中的区域，各市政府可对相关工矿企业提出更加严格的排放控制要求，防止废气、废水、尾矿、矸石等污染土壤环境；开展尾矿库专项治理，严格督促尾矿库企业落实主体责任，加大对病、危、险尾矿库和“头顶库”等尾矿库治理力度，落实尾矿库闭库任，</w:t>
            </w:r>
          </w:p>
        </w:tc>
        <w:tc>
          <w:tcPr>
            <w:tcW w:w="2244"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不属于有色金属冶炼、焦化等行业企业，工业场地周边无学校、医疗和养老机构，距离最近的敏感点噪声能够达到相应的标准；</w:t>
            </w:r>
            <w:r>
              <w:rPr>
                <w:rFonts w:hint="eastAsia" w:cs="宋体"/>
                <w:sz w:val="21"/>
                <w:szCs w:val="21"/>
                <w:lang w:eastAsia="zh-CN"/>
              </w:rPr>
              <w:t>本项目</w:t>
            </w:r>
            <w:r>
              <w:rPr>
                <w:rFonts w:hint="eastAsia" w:ascii="宋体" w:hAnsi="宋体" w:eastAsia="宋体" w:cs="宋体"/>
                <w:sz w:val="21"/>
                <w:szCs w:val="21"/>
                <w:lang w:eastAsia="zh-CN"/>
              </w:rPr>
              <w:t>废气达标排放，废水全部综合利用，不外排；采矿废石不出井，全部用于井下充填。</w:t>
            </w:r>
          </w:p>
        </w:tc>
        <w:tc>
          <w:tcPr>
            <w:tcW w:w="755"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12.3.3 与《山东省2013-2020年大气污染防治规划三期行动计划》（2018-2020年）符合性</w:t>
      </w:r>
      <w:bookmarkEnd w:id="230"/>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与《山东省2013-2020年大气污染防治规划三期行动计划》（2018-2020年）符合情况见表10.3.3-1。</w:t>
      </w:r>
    </w:p>
    <w:p>
      <w:pPr>
        <w:autoSpaceDE/>
        <w:autoSpaceDN/>
        <w:spacing w:line="500" w:lineRule="exact"/>
        <w:ind w:firstLine="0" w:firstLineChars="0"/>
        <w:jc w:val="center"/>
        <w:rPr>
          <w:rFonts w:hint="eastAsia" w:ascii="宋体" w:hAnsi="宋体" w:eastAsia="宋体" w:cs="宋体"/>
          <w:b/>
          <w:bCs/>
          <w:kern w:val="2"/>
          <w:sz w:val="24"/>
          <w:lang w:val="zh-CN" w:eastAsia="zh-CN"/>
        </w:rPr>
      </w:pPr>
      <w:r>
        <w:rPr>
          <w:rFonts w:hint="eastAsia" w:ascii="宋体" w:hAnsi="宋体" w:eastAsia="宋体" w:cs="宋体"/>
          <w:b/>
          <w:bCs/>
          <w:kern w:val="2"/>
          <w:sz w:val="24"/>
          <w:lang w:val="zh-CN" w:eastAsia="zh-CN"/>
        </w:rPr>
        <w:t>表</w:t>
      </w:r>
      <w:r>
        <w:rPr>
          <w:rFonts w:hint="eastAsia" w:ascii="宋体" w:hAnsi="宋体" w:eastAsia="宋体" w:cs="宋体"/>
          <w:b/>
          <w:bCs/>
          <w:kern w:val="2"/>
          <w:sz w:val="24"/>
          <w:lang w:eastAsia="zh-CN"/>
        </w:rPr>
        <w:t>12.3.3-1</w:t>
      </w:r>
      <w:r>
        <w:rPr>
          <w:rFonts w:hint="eastAsia" w:ascii="宋体" w:hAnsi="宋体" w:eastAsia="宋体" w:cs="宋体"/>
          <w:b/>
          <w:bCs/>
          <w:kern w:val="2"/>
          <w:sz w:val="24"/>
          <w:lang w:val="zh-CN" w:eastAsia="zh-CN"/>
        </w:rPr>
        <w:t>与《山东省2013-2020年大气污染防治规划三期行动计划》符合情况</w:t>
      </w:r>
    </w:p>
    <w:tbl>
      <w:tblPr>
        <w:tblStyle w:val="2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6565"/>
        <w:gridCol w:w="1432"/>
        <w:gridCol w:w="5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 w:type="pct"/>
            <w:tcBorders>
              <w:tl2br w:val="nil"/>
              <w:tr2bl w:val="nil"/>
            </w:tcBorders>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分类</w:t>
            </w:r>
          </w:p>
        </w:tc>
        <w:tc>
          <w:tcPr>
            <w:tcW w:w="3607" w:type="pct"/>
            <w:tcBorders>
              <w:tl2br w:val="nil"/>
              <w:tr2bl w:val="nil"/>
            </w:tcBorders>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eastAsia="zh-CN"/>
              </w:rPr>
              <w:t>鲁政发〔2018〕17号</w:t>
            </w:r>
            <w:r>
              <w:rPr>
                <w:rFonts w:hint="eastAsia" w:ascii="宋体" w:hAnsi="宋体" w:eastAsia="宋体" w:cs="宋体"/>
                <w:b/>
                <w:bCs/>
                <w:kern w:val="2"/>
                <w:sz w:val="21"/>
                <w:szCs w:val="21"/>
                <w:lang w:val="zh-CN" w:eastAsia="zh-CN"/>
              </w:rPr>
              <w:t>要求</w:t>
            </w:r>
          </w:p>
        </w:tc>
        <w:tc>
          <w:tcPr>
            <w:tcW w:w="787" w:type="pct"/>
            <w:tcBorders>
              <w:tl2br w:val="nil"/>
              <w:tr2bl w:val="nil"/>
            </w:tcBorders>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cs="宋体"/>
                <w:b/>
                <w:bCs/>
                <w:kern w:val="2"/>
                <w:sz w:val="21"/>
                <w:szCs w:val="21"/>
                <w:lang w:val="zh-CN" w:eastAsia="zh-CN"/>
              </w:rPr>
              <w:t>本项目</w:t>
            </w:r>
            <w:r>
              <w:rPr>
                <w:rFonts w:hint="eastAsia" w:ascii="宋体" w:hAnsi="宋体" w:eastAsia="宋体" w:cs="宋体"/>
                <w:b/>
                <w:bCs/>
                <w:kern w:val="2"/>
                <w:sz w:val="21"/>
                <w:szCs w:val="21"/>
                <w:lang w:val="zh-CN" w:eastAsia="zh-CN"/>
              </w:rPr>
              <w:t>情况</w:t>
            </w:r>
          </w:p>
        </w:tc>
        <w:tc>
          <w:tcPr>
            <w:tcW w:w="312" w:type="pct"/>
            <w:tcBorders>
              <w:tl2br w:val="nil"/>
              <w:tr2bl w:val="nil"/>
            </w:tcBorders>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293" w:type="pct"/>
            <w:vMerge w:val="restar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优化运输结构与布局。</w:t>
            </w:r>
          </w:p>
        </w:tc>
        <w:tc>
          <w:tcPr>
            <w:tcW w:w="360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压缩大宗物料公路运输量，新、改、扩建涉及大宗物料运输的建设项目，原则上不得采用公路运输。到2020年，对运输距离在400公里以上的，计划性较强的煤炭、矿石、焦炭、石油等大宗货物基本转为铁路运输或管道运输。</w:t>
            </w:r>
          </w:p>
        </w:tc>
        <w:tc>
          <w:tcPr>
            <w:tcW w:w="78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不涉及大宗物料公路运输</w:t>
            </w:r>
          </w:p>
        </w:tc>
        <w:tc>
          <w:tcPr>
            <w:tcW w:w="312"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9" w:hRule="atLeast"/>
        </w:trPr>
        <w:tc>
          <w:tcPr>
            <w:tcW w:w="293" w:type="pct"/>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360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减少重污染天气期间柴油货车运输，涉及大宗原材料及产品运输的重点用车企业应制定应急运输响应方案。重污染天气期间，高排放、老旧柴油货车原则上禁止上路行驶。</w:t>
            </w:r>
          </w:p>
        </w:tc>
        <w:tc>
          <w:tcPr>
            <w:tcW w:w="78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柴油货车按照此要求执行</w:t>
            </w:r>
          </w:p>
        </w:tc>
        <w:tc>
          <w:tcPr>
            <w:tcW w:w="312"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293"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全面实施排污许可管理</w:t>
            </w:r>
          </w:p>
        </w:tc>
        <w:tc>
          <w:tcPr>
            <w:tcW w:w="360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加快推进排污许可证核发工作，各市要按照《排污许可证管理暂行规定》的申请与核发程序，制定排污许可证核发时间表，在《固定污染源排污许可分类管理名录（2017年版）》中规定的时间节点完成，到2020年，完成排污许可分类管理名录规定的行业许可证核发。推行企业自我申报排污情况、自我承诺排污真实性、自我监测、自我管理、自我公开信息、自我接受社会监督。严格排污许可证实施监管，加大对企业持证排污情况的监管力度，定期检查许可事项的落实情况、执行情况，对投诉举报多、有严重违法违规记录等情况的排污单位，要提高抽查比例，并公开监督检查情况。对不按证排污的，依法实施停产整治，并处罚款，拒不改正的依法实施按日计罚。对未依法取得排污许可证排放污染物的，依法依规予以从严处罚。</w:t>
            </w:r>
          </w:p>
        </w:tc>
        <w:tc>
          <w:tcPr>
            <w:tcW w:w="78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企业已按环保主管部门的要求申请排污许可证</w:t>
            </w:r>
          </w:p>
        </w:tc>
        <w:tc>
          <w:tcPr>
            <w:tcW w:w="312"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10" w:hRule="atLeast"/>
        </w:trPr>
        <w:tc>
          <w:tcPr>
            <w:tcW w:w="293" w:type="pct"/>
            <w:vMerge w:val="restar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工业污染源全面达标排放</w:t>
            </w:r>
          </w:p>
        </w:tc>
        <w:tc>
          <w:tcPr>
            <w:tcW w:w="360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持续推进工业污染源提标改造。7个传输通道城市二氧化硫、氮氧化物、颗粒物、挥发性有机物（VOCs）全面执行大气污染物特别排放限值。全省推动实施钢铁等行业超低排放改造。7个传输通道城市城市建成区内焦炉要实施炉体加罩封闭，并对废气进行收集处理。自2020年1月1日起，全省全面执行《山东省区域性大气污染物综合排放标准》第四时段大气污染物排放浓度限值。到2020年，工业污染源全面执行国家和省大气污染物相应时段排放标准要求。持续推进工业污染源全面达标排放，将烟气在线监测数据作为执法依据，加大超标处罚和联合惩戒力度，未达标排放的企业一律依法停产整治。</w:t>
            </w:r>
          </w:p>
        </w:tc>
        <w:tc>
          <w:tcPr>
            <w:tcW w:w="78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p>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位于沂水和沂源交界处，淄博属于7个传输通道城市，</w:t>
            </w:r>
            <w:r>
              <w:rPr>
                <w:rFonts w:hint="eastAsia" w:cs="宋体"/>
                <w:kern w:val="2"/>
                <w:sz w:val="21"/>
                <w:szCs w:val="21"/>
                <w:lang w:eastAsia="zh-CN"/>
              </w:rPr>
              <w:t>本项目</w:t>
            </w:r>
            <w:r>
              <w:rPr>
                <w:rFonts w:hint="eastAsia" w:ascii="宋体" w:hAnsi="宋体" w:eastAsia="宋体" w:cs="宋体"/>
                <w:kern w:val="2"/>
                <w:sz w:val="21"/>
                <w:szCs w:val="21"/>
                <w:lang w:eastAsia="zh-CN"/>
              </w:rPr>
              <w:t>污染物排放严格执行相应时段排放标准</w:t>
            </w:r>
          </w:p>
        </w:tc>
        <w:tc>
          <w:tcPr>
            <w:tcW w:w="312"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93" w:type="pct"/>
            <w:vMerge w:val="continue"/>
            <w:tcBorders>
              <w:tl2br w:val="nil"/>
              <w:tr2bl w:val="nil"/>
            </w:tcBorders>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p>
        </w:tc>
        <w:tc>
          <w:tcPr>
            <w:tcW w:w="360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落实《山东省“十三五”挥发性有机物污染防治工作方案》，采取源头削减、过程控制、末端治理全过程防控措施，全面加强VOCs污染防治。</w:t>
            </w:r>
          </w:p>
        </w:tc>
        <w:tc>
          <w:tcPr>
            <w:tcW w:w="787"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符合《山东省“十三五”挥发性有机物污染防治工作方案》</w:t>
            </w:r>
          </w:p>
        </w:tc>
        <w:tc>
          <w:tcPr>
            <w:tcW w:w="312" w:type="pct"/>
            <w:tcBorders>
              <w:tl2br w:val="nil"/>
              <w:tr2bl w:val="nil"/>
            </w:tcBorders>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12.3.4 与《关于印发山东省落实&lt;水污染防治行动计划&gt;实施方案的通知》（鲁政发[2015]31号）符合性</w:t>
      </w:r>
    </w:p>
    <w:p>
      <w:pPr>
        <w:ind w:firstLine="560"/>
        <w:rPr>
          <w:rFonts w:hint="eastAsia" w:ascii="宋体" w:hAnsi="宋体" w:eastAsia="宋体" w:cs="宋体"/>
          <w:lang w:eastAsia="zh-CN"/>
        </w:rPr>
      </w:pPr>
      <w:r>
        <w:rPr>
          <w:rFonts w:hint="eastAsia" w:ascii="宋体" w:hAnsi="宋体" w:eastAsia="宋体" w:cs="宋体"/>
          <w:lang w:eastAsia="zh-CN"/>
        </w:rPr>
        <w:t xml:space="preserve"> </w:t>
      </w:r>
      <w:r>
        <w:rPr>
          <w:rFonts w:hint="eastAsia" w:cs="宋体"/>
          <w:lang w:eastAsia="zh-CN"/>
        </w:rPr>
        <w:t>本项目</w:t>
      </w:r>
      <w:r>
        <w:rPr>
          <w:rFonts w:hint="eastAsia" w:ascii="宋体" w:hAnsi="宋体" w:eastAsia="宋体" w:cs="宋体"/>
          <w:lang w:eastAsia="zh-CN"/>
        </w:rPr>
        <w:t>与《关于印发山东省落实&lt;水污染防治行动计划&gt;实施方案的通知》（鲁政发[2015]31号）符合性分析见表12.3.4-1。</w:t>
      </w:r>
    </w:p>
    <w:p>
      <w:pPr>
        <w:autoSpaceDE/>
        <w:autoSpaceDN/>
        <w:spacing w:line="500" w:lineRule="exact"/>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 xml:space="preserve">表12.3.4-1 </w:t>
      </w:r>
      <w:r>
        <w:rPr>
          <w:rFonts w:hint="eastAsia" w:cs="宋体"/>
          <w:b/>
          <w:bCs/>
          <w:kern w:val="2"/>
          <w:sz w:val="24"/>
          <w:lang w:eastAsia="zh-CN"/>
        </w:rPr>
        <w:t>本项目</w:t>
      </w:r>
      <w:r>
        <w:rPr>
          <w:rFonts w:hint="eastAsia" w:ascii="宋体" w:hAnsi="宋体" w:eastAsia="宋体" w:cs="宋体"/>
          <w:b/>
          <w:bCs/>
          <w:kern w:val="2"/>
          <w:sz w:val="24"/>
          <w:lang w:eastAsia="zh-CN"/>
        </w:rPr>
        <w:t>与鲁政发[2015]31号符合性分析</w:t>
      </w:r>
    </w:p>
    <w:tbl>
      <w:tblPr>
        <w:tblStyle w:val="24"/>
        <w:tblW w:w="4999"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57" w:type="dxa"/>
          <w:bottom w:w="0" w:type="dxa"/>
          <w:right w:w="57" w:type="dxa"/>
        </w:tblCellMar>
      </w:tblPr>
      <w:tblGrid>
        <w:gridCol w:w="616"/>
        <w:gridCol w:w="5319"/>
        <w:gridCol w:w="2417"/>
        <w:gridCol w:w="83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35"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序号</w:t>
            </w:r>
          </w:p>
        </w:tc>
        <w:tc>
          <w:tcPr>
            <w:tcW w:w="2895" w:type="pct"/>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鲁政发[2015]31号文件要求</w:t>
            </w:r>
          </w:p>
        </w:tc>
        <w:tc>
          <w:tcPr>
            <w:tcW w:w="1316"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情况</w:t>
            </w:r>
          </w:p>
        </w:tc>
        <w:tc>
          <w:tcPr>
            <w:tcW w:w="452" w:type="pct"/>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35"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1</w:t>
            </w:r>
          </w:p>
        </w:tc>
        <w:tc>
          <w:tcPr>
            <w:tcW w:w="4664" w:type="pct"/>
            <w:gridSpan w:val="3"/>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b/>
                <w:sz w:val="21"/>
                <w:szCs w:val="21"/>
                <w:lang w:eastAsia="zh-CN"/>
              </w:rPr>
            </w:pPr>
            <w:r>
              <w:rPr>
                <w:rFonts w:hint="eastAsia" w:ascii="宋体" w:hAnsi="宋体" w:eastAsia="宋体" w:cs="宋体"/>
                <w:b/>
                <w:sz w:val="21"/>
                <w:szCs w:val="21"/>
                <w:lang w:eastAsia="zh-CN"/>
              </w:rPr>
              <w:t>加强工业污染防治</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35"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1.1</w:t>
            </w:r>
          </w:p>
        </w:tc>
        <w:tc>
          <w:tcPr>
            <w:tcW w:w="2895" w:type="pct"/>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各市根据水质目标和主体功能区要求，制定实施差别化区域环境准入政策，从严审批高耗水、高污染物排放、产生有毒有害污染物的建设项目，对造纸、焦化、氮肥、有色金属、印染、农副食品加工、原料药制造、制革、农药、电镀等十大重点行业，实行新(改、扩)建项目主要污染物排放等量或减量置换，在南水北调重点保护区、集中式饮用水水源涵养区等敏感区域实行产能规模和主要污染物排放减量置换</w:t>
            </w:r>
          </w:p>
        </w:tc>
        <w:tc>
          <w:tcPr>
            <w:tcW w:w="1316"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无废水外排，不会对周围水体造成影响</w:t>
            </w:r>
          </w:p>
        </w:tc>
        <w:tc>
          <w:tcPr>
            <w:tcW w:w="452" w:type="pct"/>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35"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1.2</w:t>
            </w:r>
          </w:p>
        </w:tc>
        <w:tc>
          <w:tcPr>
            <w:tcW w:w="2895" w:type="pct"/>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2016年年底前全部取缔不符合产业政策的小型造纸、制革、印染、染料、炼焦、炼硫、炼砷、炼油、电镀、农药、淀粉、鱼粉、石材加工等严重污染水环境的生产项目</w:t>
            </w:r>
          </w:p>
        </w:tc>
        <w:tc>
          <w:tcPr>
            <w:tcW w:w="1316"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不属于严重污染水环境的生产项目，项目建设符合产业政策要求</w:t>
            </w:r>
          </w:p>
        </w:tc>
        <w:tc>
          <w:tcPr>
            <w:tcW w:w="452" w:type="pct"/>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35"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1.3</w:t>
            </w:r>
          </w:p>
        </w:tc>
        <w:tc>
          <w:tcPr>
            <w:tcW w:w="2895" w:type="pct"/>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2017年年底前，各类工业集聚区要全面实现污水集中处理并安装自动在线监控装置，对逾期未完成的，实施涉水新建项目“限批”，并依照有关规定撤销其基地内资格。化工基地内、涉重金属工业基地内要逐步推行“一企一管”和地上管廊的建设与改造</w:t>
            </w:r>
          </w:p>
        </w:tc>
        <w:tc>
          <w:tcPr>
            <w:tcW w:w="1316"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 xml:space="preserve">无废水外排 </w:t>
            </w:r>
          </w:p>
        </w:tc>
        <w:tc>
          <w:tcPr>
            <w:tcW w:w="452" w:type="pct"/>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35"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b/>
                <w:sz w:val="21"/>
                <w:szCs w:val="21"/>
                <w:lang w:eastAsia="zh-CN"/>
              </w:rPr>
            </w:pPr>
            <w:r>
              <w:rPr>
                <w:rFonts w:hint="eastAsia" w:ascii="宋体" w:hAnsi="宋体" w:eastAsia="宋体" w:cs="宋体"/>
                <w:b/>
                <w:sz w:val="21"/>
                <w:szCs w:val="21"/>
                <w:lang w:eastAsia="zh-CN"/>
              </w:rPr>
              <w:t>2</w:t>
            </w:r>
          </w:p>
        </w:tc>
        <w:tc>
          <w:tcPr>
            <w:tcW w:w="4664" w:type="pct"/>
            <w:gridSpan w:val="3"/>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b/>
                <w:sz w:val="21"/>
                <w:szCs w:val="21"/>
                <w:lang w:eastAsia="zh-CN"/>
              </w:rPr>
            </w:pPr>
            <w:r>
              <w:rPr>
                <w:rFonts w:hint="eastAsia" w:ascii="宋体" w:hAnsi="宋体" w:eastAsia="宋体" w:cs="宋体"/>
                <w:b/>
                <w:sz w:val="21"/>
                <w:szCs w:val="21"/>
                <w:lang w:eastAsia="zh-CN"/>
              </w:rPr>
              <w:t>促进水资源节约和循环利用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35" w:type="pct"/>
            <w:shd w:val="clear" w:color="auto" w:fill="auto"/>
            <w:noWrap/>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2.3</w:t>
            </w:r>
          </w:p>
        </w:tc>
        <w:tc>
          <w:tcPr>
            <w:tcW w:w="2895" w:type="pct"/>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禁止农业、工业建设项目和服务业新增取用地下水，并逐步压缩地下水开采量，在超采区内确需取用地下水的，要在现有地下水开采总量控制指标内调剂解决</w:t>
            </w:r>
          </w:p>
        </w:tc>
        <w:tc>
          <w:tcPr>
            <w:tcW w:w="1316" w:type="pct"/>
            <w:shd w:val="clear" w:color="auto" w:fill="auto"/>
            <w:vAlign w:val="center"/>
          </w:tcPr>
          <w:p>
            <w:pPr>
              <w:keepNext w:val="0"/>
              <w:keepLines w:val="0"/>
              <w:widowControl/>
              <w:suppressLineNumbers w:val="0"/>
              <w:autoSpaceDE/>
              <w:autoSpaceDN/>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取用新鲜水来自市政供水管网，不采用地下水</w:t>
            </w:r>
          </w:p>
        </w:tc>
        <w:tc>
          <w:tcPr>
            <w:tcW w:w="452" w:type="pct"/>
            <w:vAlign w:val="center"/>
          </w:tcPr>
          <w:p>
            <w:pPr>
              <w:keepNext w:val="0"/>
              <w:keepLines w:val="0"/>
              <w:widowControl/>
              <w:suppressLineNumbers w:val="0"/>
              <w:autoSpaceDE/>
              <w:autoSpaceDN/>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12.3.5 与《国务院关于印发土壤污染防治行动计划的通知》（国发〔2016〕31号）的符合性分析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与《国务院关于印发土壤污染防治行动计划的通知》（国发[2016]31号）中符合性见下表12.3.5-1。</w:t>
      </w:r>
    </w:p>
    <w:p>
      <w:pPr>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表12.3.5-1 与国发[2016]31号符合性一览表</w:t>
      </w:r>
    </w:p>
    <w:tbl>
      <w:tblPr>
        <w:tblStyle w:val="24"/>
        <w:tblW w:w="511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4777"/>
        <w:gridCol w:w="3850"/>
        <w:gridCol w:w="6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blHeader/>
        </w:trPr>
        <w:tc>
          <w:tcPr>
            <w:tcW w:w="25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意见要求</w:t>
            </w:r>
          </w:p>
        </w:tc>
        <w:tc>
          <w:tcPr>
            <w:tcW w:w="206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cs="宋体"/>
                <w:b/>
                <w:bCs/>
                <w:sz w:val="21"/>
                <w:szCs w:val="21"/>
                <w:lang w:eastAsia="zh-CN"/>
              </w:rPr>
              <w:t>本项目</w:t>
            </w:r>
            <w:r>
              <w:rPr>
                <w:rFonts w:hint="eastAsia" w:ascii="宋体" w:hAnsi="宋体" w:eastAsia="宋体" w:cs="宋体"/>
                <w:b/>
                <w:bCs/>
                <w:sz w:val="21"/>
                <w:szCs w:val="21"/>
                <w:lang w:eastAsia="zh-CN"/>
              </w:rPr>
              <w:t>符合性分析</w:t>
            </w:r>
          </w:p>
        </w:tc>
        <w:tc>
          <w:tcPr>
            <w:tcW w:w="36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sz w:val="21"/>
                <w:szCs w:val="21"/>
                <w:lang w:eastAsia="zh-CN"/>
              </w:rPr>
            </w:pPr>
            <w:r>
              <w:rPr>
                <w:rFonts w:hint="eastAsia" w:ascii="宋体" w:hAnsi="宋体" w:eastAsia="宋体" w:cs="宋体"/>
                <w:b/>
                <w:bCs/>
                <w:sz w:val="21"/>
                <w:szCs w:val="21"/>
                <w:lang w:eastAsia="zh-CN"/>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加强对矿山、油田等矿产资源开采活动影响区域内未利用地的环境监管，发现土壤污染问题的，要及时督促有关企业采取防治措施</w:t>
            </w:r>
          </w:p>
        </w:tc>
        <w:tc>
          <w:tcPr>
            <w:tcW w:w="206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产生的污染物主要污染物为粉尘，对环境影响较小。项目制定有土壤长期跟踪监测计划，及时发现及解决问题</w:t>
            </w:r>
          </w:p>
        </w:tc>
        <w:tc>
          <w:tcPr>
            <w:tcW w:w="36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排放重点污染物的建设项目，在开展环境影响评价时，要增加对土壤环境影响的评价内容，并提出防范土壤污染的具体措施</w:t>
            </w:r>
          </w:p>
        </w:tc>
        <w:tc>
          <w:tcPr>
            <w:tcW w:w="206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排放的污染物主要为粉尘，废石及尾矿属于Ⅰ类一般工业固体废物，堆存场地采取地面硬化等措施，并对淋滤废水进行收集回用。</w:t>
            </w:r>
            <w:r>
              <w:rPr>
                <w:rFonts w:hint="eastAsia" w:cs="宋体"/>
                <w:sz w:val="21"/>
                <w:szCs w:val="21"/>
                <w:lang w:eastAsia="zh-CN"/>
              </w:rPr>
              <w:t>本项目</w:t>
            </w:r>
            <w:r>
              <w:rPr>
                <w:rFonts w:hint="eastAsia" w:ascii="宋体" w:hAnsi="宋体" w:eastAsia="宋体" w:cs="宋体"/>
                <w:sz w:val="21"/>
                <w:szCs w:val="21"/>
                <w:lang w:eastAsia="zh-CN"/>
              </w:rPr>
              <w:t>不涉及重金属等污染物的排放，环境影响很小</w:t>
            </w:r>
          </w:p>
        </w:tc>
        <w:tc>
          <w:tcPr>
            <w:tcW w:w="36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严防矿产资源开发污染土壤。全面整治历史遗留尾矿库，完善覆膜、压土、排洪、堤坝加固等隐患治理和闭库措施。有重点监管尾矿库的企业要开展环境风险评估，完善污染治理设施，储备应急物资。</w:t>
            </w:r>
          </w:p>
        </w:tc>
        <w:tc>
          <w:tcPr>
            <w:tcW w:w="206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为扩建项目，选矿及尾矿库依托厂区原有。企业1#尾矿库已闭库，目前回采中；2#尾矿库刚投入使用，具有完善的手续。</w:t>
            </w:r>
          </w:p>
        </w:tc>
        <w:tc>
          <w:tcPr>
            <w:tcW w:w="36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564"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ascii="宋体" w:hAnsi="宋体" w:eastAsia="宋体" w:cs="宋体"/>
                <w:sz w:val="21"/>
                <w:szCs w:val="21"/>
                <w:lang w:eastAsia="zh-CN"/>
              </w:rPr>
              <w:t>加强工业废物处理处置。全面整治尾矿、煤矸石、工业副产石膏、粉煤灰、赤泥、冶炼渣、电石渣、铬渣、砷渣以及脱硫、脱硝、除尘产生固体废物的堆存场所，完善防扬散、防流失、防渗漏等设施，制定整治方案并有序实施。</w:t>
            </w:r>
          </w:p>
        </w:tc>
        <w:tc>
          <w:tcPr>
            <w:tcW w:w="2066"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固体废物暂存处，均采用地面硬化、遮雨挡雨等处理。其中除尘灰及时收集，全部回用于生产中，不外排；脱硫石膏及时收集并运输至尾矿库筑坝。废石及尾矿全部进行综合利用。</w:t>
            </w:r>
          </w:p>
        </w:tc>
        <w:tc>
          <w:tcPr>
            <w:tcW w:w="369" w:type="pc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sz w:val="21"/>
                <w:szCs w:val="21"/>
                <w:lang w:eastAsia="zh-CN"/>
              </w:rPr>
            </w:pPr>
            <w:r>
              <w:rPr>
                <w:rFonts w:hint="eastAsia" w:ascii="宋体" w:hAnsi="宋体" w:eastAsia="宋体" w:cs="宋体"/>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12.3.6 与《山东省加强污染源头防治 推进“四减四增”三年行动方案（2018-2020年）》符合性分析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与《山东省加强污染源头防治 推进“四减四增”三年行动方案（2018-2020年）》符合性分析见下表10.3.6-1。</w:t>
      </w:r>
    </w:p>
    <w:bookmarkEnd w:id="229"/>
    <w:p>
      <w:pPr>
        <w:autoSpaceDE/>
        <w:autoSpaceDN/>
        <w:spacing w:line="24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 xml:space="preserve">表12.3.6-1 </w:t>
      </w:r>
      <w:r>
        <w:rPr>
          <w:rFonts w:hint="eastAsia" w:cs="宋体"/>
          <w:b/>
          <w:bCs/>
          <w:kern w:val="2"/>
          <w:sz w:val="24"/>
          <w:lang w:eastAsia="zh-CN"/>
        </w:rPr>
        <w:t>本项目</w:t>
      </w:r>
      <w:r>
        <w:rPr>
          <w:rFonts w:hint="eastAsia" w:ascii="宋体" w:hAnsi="宋体" w:eastAsia="宋体" w:cs="宋体"/>
          <w:b/>
          <w:bCs/>
          <w:kern w:val="2"/>
          <w:sz w:val="24"/>
          <w:lang w:eastAsia="zh-CN"/>
        </w:rPr>
        <w:t xml:space="preserve">与《山东省加强污染源头防治 </w:t>
      </w:r>
    </w:p>
    <w:p>
      <w:pPr>
        <w:autoSpaceDE/>
        <w:autoSpaceDN/>
        <w:spacing w:line="240" w:lineRule="auto"/>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推进“四减四增”三年行动方案（2018-2020年）》符合性分析</w:t>
      </w:r>
    </w:p>
    <w:tbl>
      <w:tblPr>
        <w:tblStyle w:val="24"/>
        <w:tblW w:w="504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2"/>
        <w:gridCol w:w="5496"/>
        <w:gridCol w:w="2403"/>
        <w:gridCol w:w="5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711"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分类</w:t>
            </w:r>
          </w:p>
        </w:tc>
        <w:tc>
          <w:tcPr>
            <w:tcW w:w="5481"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eastAsia="zh-CN"/>
              </w:rPr>
              <w:t>方案</w:t>
            </w:r>
            <w:r>
              <w:rPr>
                <w:rFonts w:hint="eastAsia" w:ascii="宋体" w:hAnsi="宋体" w:eastAsia="宋体" w:cs="宋体"/>
                <w:b/>
                <w:bCs/>
                <w:kern w:val="2"/>
                <w:sz w:val="21"/>
                <w:szCs w:val="21"/>
                <w:lang w:val="zh-CN" w:eastAsia="zh-CN"/>
              </w:rPr>
              <w:t>要求</w:t>
            </w:r>
          </w:p>
        </w:tc>
        <w:tc>
          <w:tcPr>
            <w:tcW w:w="2396"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cs="宋体"/>
                <w:b/>
                <w:bCs/>
                <w:kern w:val="2"/>
                <w:sz w:val="21"/>
                <w:szCs w:val="21"/>
                <w:lang w:val="zh-CN" w:eastAsia="zh-CN"/>
              </w:rPr>
              <w:t>本项目</w:t>
            </w:r>
            <w:r>
              <w:rPr>
                <w:rFonts w:hint="eastAsia" w:ascii="宋体" w:hAnsi="宋体" w:eastAsia="宋体" w:cs="宋体"/>
                <w:b/>
                <w:bCs/>
                <w:kern w:val="2"/>
                <w:sz w:val="21"/>
                <w:szCs w:val="21"/>
                <w:lang w:val="zh-CN" w:eastAsia="zh-CN"/>
              </w:rPr>
              <w:t>情况</w:t>
            </w:r>
          </w:p>
        </w:tc>
        <w:tc>
          <w:tcPr>
            <w:tcW w:w="576"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711" w:type="dxa"/>
            <w:tcMar>
              <w:top w:w="0" w:type="dxa"/>
              <w:left w:w="0" w:type="dxa"/>
              <w:bottom w:w="0" w:type="dxa"/>
              <w:right w:w="0" w:type="dxa"/>
            </w:tcMar>
            <w:vAlign w:val="center"/>
          </w:tcPr>
          <w:p>
            <w:pPr>
              <w:keepNext w:val="0"/>
              <w:keepLines w:val="0"/>
              <w:widowControl/>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bCs/>
                <w:sz w:val="21"/>
                <w:szCs w:val="21"/>
                <w:lang w:eastAsia="zh-CN"/>
              </w:rPr>
              <w:t>二、调整产业结构</w:t>
            </w:r>
          </w:p>
        </w:tc>
        <w:tc>
          <w:tcPr>
            <w:tcW w:w="5481"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rPr>
                <w:rFonts w:hint="eastAsia" w:ascii="宋体" w:hAnsi="宋体" w:eastAsia="宋体" w:cs="宋体"/>
                <w:kern w:val="2"/>
                <w:sz w:val="21"/>
                <w:szCs w:val="21"/>
                <w:lang w:eastAsia="zh-CN"/>
              </w:rPr>
            </w:pPr>
            <w:r>
              <w:rPr>
                <w:rFonts w:hint="eastAsia" w:ascii="宋体" w:hAnsi="宋体" w:eastAsia="宋体" w:cs="宋体"/>
                <w:sz w:val="21"/>
                <w:szCs w:val="21"/>
                <w:lang w:eastAsia="zh-CN"/>
              </w:rPr>
              <w:t>环保方面，属于国务院经济综合宏观调控部门会同国务院有关部门发布的产业政策目录中明令淘汰或者立即淘汰的落后生产工艺装备、落后产品的，不予核发排污许可证</w:t>
            </w:r>
            <w:r>
              <w:rPr>
                <w:rFonts w:hint="eastAsia" w:ascii="宋体" w:hAnsi="宋体" w:eastAsia="宋体" w:cs="宋体"/>
                <w:kern w:val="2"/>
                <w:sz w:val="21"/>
                <w:szCs w:val="21"/>
                <w:lang w:eastAsia="zh-CN"/>
              </w:rPr>
              <w:t xml:space="preserve"> </w:t>
            </w:r>
          </w:p>
        </w:tc>
        <w:tc>
          <w:tcPr>
            <w:tcW w:w="2396"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rPr>
            </w:pPr>
            <w:r>
              <w:rPr>
                <w:rFonts w:hint="eastAsia" w:cs="宋体"/>
                <w:kern w:val="2"/>
                <w:sz w:val="21"/>
                <w:szCs w:val="21"/>
                <w:lang w:val="zh-CN" w:eastAsia="zh-CN"/>
              </w:rPr>
              <w:t>本项目</w:t>
            </w:r>
            <w:r>
              <w:rPr>
                <w:rFonts w:hint="eastAsia" w:ascii="宋体" w:hAnsi="宋体" w:eastAsia="宋体" w:cs="宋体"/>
                <w:kern w:val="2"/>
                <w:sz w:val="21"/>
                <w:szCs w:val="21"/>
                <w:lang w:val="zh-CN" w:eastAsia="zh-CN"/>
              </w:rPr>
              <w:t>的生产工艺装备和产品不属于国家明令淘汰或者立即淘汰的落后生产工艺装备和落后产品</w:t>
            </w:r>
          </w:p>
        </w:tc>
        <w:tc>
          <w:tcPr>
            <w:tcW w:w="576"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716" w:hRule="atLeast"/>
        </w:trPr>
        <w:tc>
          <w:tcPr>
            <w:tcW w:w="711" w:type="dxa"/>
            <w:tcMar>
              <w:top w:w="0" w:type="dxa"/>
              <w:left w:w="0" w:type="dxa"/>
              <w:bottom w:w="0" w:type="dxa"/>
              <w:right w:w="0" w:type="dxa"/>
            </w:tcMar>
            <w:vAlign w:val="center"/>
          </w:tcPr>
          <w:p>
            <w:pPr>
              <w:keepNext w:val="0"/>
              <w:keepLines w:val="0"/>
              <w:widowControl/>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bCs/>
                <w:sz w:val="21"/>
                <w:szCs w:val="21"/>
                <w:lang w:eastAsia="zh-CN"/>
              </w:rPr>
              <w:t>四、调整运输结构</w:t>
            </w:r>
          </w:p>
        </w:tc>
        <w:tc>
          <w:tcPr>
            <w:tcW w:w="5481" w:type="dxa"/>
            <w:tcMar>
              <w:top w:w="0" w:type="dxa"/>
              <w:left w:w="0" w:type="dxa"/>
              <w:bottom w:w="0" w:type="dxa"/>
              <w:right w:w="0" w:type="dxa"/>
            </w:tcMar>
            <w:vAlign w:val="center"/>
          </w:tcPr>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压缩大宗物料公路运输量，到2020年，对运输距离在400公里以上、计划性较强的煤炭、矿石、焦炭、石油等大宗货物基本转为铁路运输。</w:t>
            </w:r>
          </w:p>
          <w:p>
            <w:pPr>
              <w:keepNext w:val="0"/>
              <w:keepLines w:val="0"/>
              <w:suppressLineNumbers w:val="0"/>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sz w:val="21"/>
                <w:szCs w:val="21"/>
                <w:lang w:eastAsia="zh-CN"/>
              </w:rPr>
              <w:t>新、改、扩建涉及大宗物料运输的建设项目，原则上不得采用公路运输。</w:t>
            </w:r>
          </w:p>
        </w:tc>
        <w:tc>
          <w:tcPr>
            <w:tcW w:w="2396" w:type="dxa"/>
            <w:tcMar>
              <w:top w:w="0" w:type="dxa"/>
              <w:left w:w="0" w:type="dxa"/>
              <w:bottom w:w="0" w:type="dxa"/>
              <w:right w:w="0" w:type="dxa"/>
            </w:tcMar>
            <w:vAlign w:val="center"/>
          </w:tcPr>
          <w:p>
            <w:pPr>
              <w:keepNext w:val="0"/>
              <w:keepLines w:val="0"/>
              <w:suppressLineNumbers w:val="0"/>
              <w:spacing w:before="0" w:beforeAutospacing="0" w:after="0" w:afterAutospacing="0"/>
              <w:ind w:left="0" w:right="0" w:firstLine="42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无大宗物料公路运输。</w:t>
            </w:r>
          </w:p>
        </w:tc>
        <w:tc>
          <w:tcPr>
            <w:tcW w:w="576" w:type="dxa"/>
            <w:tcMar>
              <w:top w:w="0" w:type="dxa"/>
              <w:left w:w="0" w:type="dxa"/>
              <w:bottom w:w="0" w:type="dxa"/>
              <w:right w:w="0" w:type="dxa"/>
            </w:tcMar>
            <w:vAlign w:val="center"/>
          </w:tcPr>
          <w:p>
            <w:pPr>
              <w:keepNext w:val="0"/>
              <w:keepLines w:val="0"/>
              <w:suppressLineNumbers w:val="0"/>
              <w:spacing w:before="0" w:beforeAutospacing="0" w:after="0" w:afterAutospacing="0"/>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12.3.7 与《关于进一步加强建设项目固体废物环境管理的通知》（鲁环办发[2016]141号）符合性分析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与《关于进一步加强建设项目固体废物环境管理的通知》（鲁环办发[2016]141号）的符合性分析见表12.3.7-1。</w:t>
      </w:r>
    </w:p>
    <w:p>
      <w:pPr>
        <w:autoSpaceDE/>
        <w:autoSpaceDN/>
        <w:spacing w:line="500" w:lineRule="exact"/>
        <w:ind w:firstLine="0" w:firstLineChars="0"/>
        <w:jc w:val="center"/>
        <w:rPr>
          <w:rFonts w:hint="eastAsia" w:ascii="宋体" w:hAnsi="宋体" w:eastAsia="宋体" w:cs="宋体"/>
          <w:sz w:val="24"/>
          <w:lang w:eastAsia="zh-CN"/>
        </w:rPr>
      </w:pPr>
      <w:r>
        <w:rPr>
          <w:rFonts w:hint="eastAsia" w:ascii="宋体" w:hAnsi="宋体" w:eastAsia="宋体" w:cs="宋体"/>
          <w:sz w:val="24"/>
          <w:lang w:eastAsia="zh-CN"/>
        </w:rPr>
        <w:t xml:space="preserve">表12.3.7-1 </w:t>
      </w:r>
      <w:r>
        <w:rPr>
          <w:rFonts w:hint="eastAsia" w:cs="宋体"/>
          <w:sz w:val="24"/>
          <w:lang w:eastAsia="zh-CN"/>
        </w:rPr>
        <w:t>本项目</w:t>
      </w:r>
      <w:r>
        <w:rPr>
          <w:rFonts w:hint="eastAsia" w:ascii="宋体" w:hAnsi="宋体" w:eastAsia="宋体" w:cs="宋体"/>
          <w:sz w:val="24"/>
          <w:lang w:eastAsia="zh-CN"/>
        </w:rPr>
        <w:t>与鲁环办发[2016]141号文的符合性分析</w:t>
      </w:r>
    </w:p>
    <w:tbl>
      <w:tblPr>
        <w:tblStyle w:val="24"/>
        <w:tblW w:w="5137"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57" w:type="dxa"/>
          <w:bottom w:w="0" w:type="dxa"/>
          <w:right w:w="57" w:type="dxa"/>
        </w:tblCellMar>
      </w:tblPr>
      <w:tblGrid>
        <w:gridCol w:w="6061"/>
        <w:gridCol w:w="2465"/>
        <w:gridCol w:w="91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tblHeader/>
          <w:jc w:val="center"/>
        </w:trPr>
        <w:tc>
          <w:tcPr>
            <w:tcW w:w="3211"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鲁环办发[2016]141号（一）</w:t>
            </w:r>
          </w:p>
        </w:tc>
        <w:tc>
          <w:tcPr>
            <w:tcW w:w="1306"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cs="宋体"/>
                <w:b/>
                <w:bCs/>
                <w:kern w:val="2"/>
                <w:sz w:val="21"/>
                <w:szCs w:val="21"/>
                <w:lang w:val="zh-CN" w:eastAsia="zh-CN"/>
              </w:rPr>
              <w:t>本项目</w:t>
            </w:r>
            <w:r>
              <w:rPr>
                <w:rFonts w:hint="eastAsia" w:ascii="宋体" w:hAnsi="宋体" w:eastAsia="宋体" w:cs="宋体"/>
                <w:b/>
                <w:bCs/>
                <w:kern w:val="2"/>
                <w:sz w:val="21"/>
                <w:szCs w:val="21"/>
                <w:lang w:val="zh-CN" w:eastAsia="zh-CN"/>
              </w:rPr>
              <w:t>情况</w:t>
            </w:r>
          </w:p>
        </w:tc>
        <w:tc>
          <w:tcPr>
            <w:tcW w:w="483"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211" w:type="pct"/>
            <w:shd w:val="clear" w:color="auto" w:fill="auto"/>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一、要结合建设项目的工艺过程，梳理说明各类固体废物(固态、半固态及高浓度液体)的产生环节、主要成分和理化特性</w:t>
            </w:r>
          </w:p>
        </w:tc>
        <w:tc>
          <w:tcPr>
            <w:tcW w:w="1306"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本次评价重点分析了项目固体废物产生环节，主要成分等内容，见工程分析章节固废相关内容部分</w:t>
            </w:r>
          </w:p>
        </w:tc>
        <w:tc>
          <w:tcPr>
            <w:tcW w:w="483"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211" w:type="pct"/>
            <w:shd w:val="clear" w:color="auto" w:fill="auto"/>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二、要根据《固体废物鉴别导则(试行)》(国家环保总局公告2006年11号)的规定，对建设项目产生的各类副产物是否属于固体废物进行判断，属于固体废物的，应依据《国家危险废物名录》(以下简称《名录》)判断其是否属于危险废物，凡列入《名录》的，属于危险废物，不需再进行危险特性鉴别；未列入《名录》、但疑似危险废物的，应根据产生环节和主要成分进行分析，对可能含有危险组分的，应明确在项目试生产阶段，对其作危险特性鉴别要求，并提出鉴别指标选取的建议方案</w:t>
            </w:r>
          </w:p>
        </w:tc>
        <w:tc>
          <w:tcPr>
            <w:tcW w:w="1306"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项目废矿物油为危险废物，委托有资质单位处置</w:t>
            </w:r>
          </w:p>
        </w:tc>
        <w:tc>
          <w:tcPr>
            <w:tcW w:w="483"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211" w:type="pct"/>
            <w:shd w:val="clear" w:color="auto" w:fill="auto"/>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三、要对分析结果进行汇总，以列表形式说明建设项目产生的固体废物的名称、类别、属性和数量等情况</w:t>
            </w:r>
          </w:p>
        </w:tc>
        <w:tc>
          <w:tcPr>
            <w:tcW w:w="1306"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项目列表详细说明了固废产生环节，类别，数量，危险废物类别代码等内容</w:t>
            </w:r>
          </w:p>
        </w:tc>
        <w:tc>
          <w:tcPr>
            <w:tcW w:w="483"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57" w:type="dxa"/>
            <w:bottom w:w="0" w:type="dxa"/>
            <w:right w:w="57" w:type="dxa"/>
          </w:tblCellMar>
        </w:tblPrEx>
        <w:trPr>
          <w:trHeight w:val="340" w:hRule="atLeast"/>
          <w:jc w:val="center"/>
        </w:trPr>
        <w:tc>
          <w:tcPr>
            <w:tcW w:w="3211" w:type="pct"/>
            <w:shd w:val="clear" w:color="auto" w:fill="auto"/>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在评价建设项目固体废物的环境影响时，要逐项评价建设项目业主单位提出的固体废物利用处置方案是否符合环保要求，并对其可行性进行论证。环评机构要根据建设项目固体废物工程分析和环境影响预测结果，提出废物分类收集、安全贮存、综合利用和无害化处置的合理建议，按照《环境影响评价技术导则》的有关要求，编写环境影响报告固体废物污染防治章节。</w:t>
            </w:r>
          </w:p>
        </w:tc>
        <w:tc>
          <w:tcPr>
            <w:tcW w:w="1306"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both"/>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val="zh-CN" w:eastAsia="zh-CN"/>
              </w:rPr>
              <w:t>本次环评按照要求进行固体废物污染防治章节编制，提出了危险废物分类收集、安全贮存、无害化处置（委托处理）等方面的合理建议</w:t>
            </w:r>
          </w:p>
        </w:tc>
        <w:tc>
          <w:tcPr>
            <w:tcW w:w="483" w:type="pct"/>
            <w:vAlign w:val="center"/>
          </w:tcPr>
          <w:p>
            <w:pPr>
              <w:keepNext w:val="0"/>
              <w:keepLines w:val="0"/>
              <w:suppressLineNumbers w:val="0"/>
              <w:tabs>
                <w:tab w:val="center" w:pos="4706"/>
              </w:tabs>
              <w:autoSpaceDE/>
              <w:autoSpaceDN/>
              <w:spacing w:before="0" w:beforeAutospacing="0" w:after="0" w:afterAutospacing="0" w:line="240" w:lineRule="auto"/>
              <w:ind w:left="0" w:right="0" w:firstLine="0" w:firstLineChars="0"/>
              <w:jc w:val="center"/>
              <w:rPr>
                <w:rFonts w:hint="eastAsia" w:ascii="宋体" w:hAnsi="宋体" w:eastAsia="宋体" w:cs="宋体"/>
                <w:kern w:val="2"/>
                <w:sz w:val="21"/>
                <w:szCs w:val="21"/>
                <w:lang w:val="zh-CN" w:eastAsia="zh-CN"/>
              </w:rPr>
            </w:pPr>
            <w:r>
              <w:rPr>
                <w:rFonts w:hint="eastAsia" w:ascii="宋体" w:hAnsi="宋体" w:eastAsia="宋体" w:cs="宋体"/>
                <w:kern w:val="2"/>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12.3.8 与《临沂市打赢蓝天保卫战作战方案暨2018-2020年大气污染防治攻坚行动实施方案》临政发〔2018〕19号符合性分析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与临政发〔2018〕19号的符合性分析见表10.3.8-1。</w:t>
      </w:r>
    </w:p>
    <w:p>
      <w:pPr>
        <w:autoSpaceDE/>
        <w:autoSpaceDN/>
        <w:spacing w:line="500" w:lineRule="exact"/>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表12.3.8-1 </w:t>
      </w:r>
      <w:r>
        <w:rPr>
          <w:rFonts w:hint="eastAsia" w:cs="宋体"/>
          <w:b/>
          <w:bCs/>
          <w:sz w:val="24"/>
          <w:lang w:eastAsia="zh-CN"/>
        </w:rPr>
        <w:t>本项目</w:t>
      </w:r>
      <w:r>
        <w:rPr>
          <w:rFonts w:hint="eastAsia" w:ascii="宋体" w:hAnsi="宋体" w:eastAsia="宋体" w:cs="宋体"/>
          <w:b/>
          <w:bCs/>
          <w:sz w:val="24"/>
          <w:lang w:eastAsia="zh-CN"/>
        </w:rPr>
        <w:t>与临政发〔2018〕19 号符合性分析</w:t>
      </w:r>
    </w:p>
    <w:tbl>
      <w:tblPr>
        <w:tblStyle w:val="24"/>
        <w:tblW w:w="501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688"/>
        <w:gridCol w:w="5938"/>
        <w:gridCol w:w="1932"/>
        <w:gridCol w:w="57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686"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分类</w:t>
            </w:r>
          </w:p>
        </w:tc>
        <w:tc>
          <w:tcPr>
            <w:tcW w:w="5922"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eastAsia="zh-CN"/>
              </w:rPr>
              <w:t>鲁政发〔2018〕17号</w:t>
            </w:r>
            <w:r>
              <w:rPr>
                <w:rFonts w:hint="eastAsia" w:ascii="宋体" w:hAnsi="宋体" w:eastAsia="宋体" w:cs="宋体"/>
                <w:b/>
                <w:bCs/>
                <w:kern w:val="2"/>
                <w:sz w:val="21"/>
                <w:szCs w:val="21"/>
                <w:lang w:val="zh-CN" w:eastAsia="zh-CN"/>
              </w:rPr>
              <w:t>要求</w:t>
            </w:r>
          </w:p>
        </w:tc>
        <w:tc>
          <w:tcPr>
            <w:tcW w:w="1927"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cs="宋体"/>
                <w:b/>
                <w:bCs/>
                <w:kern w:val="2"/>
                <w:sz w:val="21"/>
                <w:szCs w:val="21"/>
                <w:lang w:val="zh-CN" w:eastAsia="zh-CN"/>
              </w:rPr>
              <w:t>本项目</w:t>
            </w:r>
            <w:r>
              <w:rPr>
                <w:rFonts w:hint="eastAsia" w:ascii="宋体" w:hAnsi="宋体" w:eastAsia="宋体" w:cs="宋体"/>
                <w:b/>
                <w:bCs/>
                <w:kern w:val="2"/>
                <w:sz w:val="21"/>
                <w:szCs w:val="21"/>
                <w:lang w:val="zh-CN" w:eastAsia="zh-CN"/>
              </w:rPr>
              <w:t>情况</w:t>
            </w:r>
          </w:p>
        </w:tc>
        <w:tc>
          <w:tcPr>
            <w:tcW w:w="571"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6"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sz w:val="21"/>
                <w:szCs w:val="21"/>
                <w:lang w:eastAsia="zh-CN"/>
              </w:rPr>
              <w:t>能源结构调整</w:t>
            </w:r>
          </w:p>
        </w:tc>
        <w:tc>
          <w:tcPr>
            <w:tcW w:w="592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bCs/>
                <w:sz w:val="21"/>
                <w:szCs w:val="21"/>
                <w:lang w:eastAsia="zh-CN"/>
              </w:rPr>
              <w:t>大力发展清洁能源。实施非化石能源倍增行动计划，因地制宜规模化开发利用风能、太阳能、生物质能、水电等新能源和可再生能源资源。到2020 年，全市风电、太阳能发电、生物质发电、抽水蓄能和小水电等新能源和可再生能源发电装机达到220 万千瓦以上。推进太阳能利用与常规能源体系相融合，推动生物质能资源规模化和市场化开发，到2020 年，太阳能、生物质能利用量分别相当于替代41 万吨、50 万吨标准煤以上。</w:t>
            </w:r>
          </w:p>
        </w:tc>
        <w:tc>
          <w:tcPr>
            <w:tcW w:w="192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bCs/>
                <w:sz w:val="21"/>
                <w:szCs w:val="21"/>
                <w:lang w:eastAsia="zh-CN"/>
              </w:rPr>
              <w:t>本项目</w:t>
            </w:r>
            <w:r>
              <w:rPr>
                <w:rFonts w:hint="eastAsia" w:ascii="宋体" w:hAnsi="宋体" w:eastAsia="宋体" w:cs="宋体"/>
                <w:bCs/>
                <w:sz w:val="21"/>
                <w:szCs w:val="21"/>
                <w:lang w:eastAsia="zh-CN"/>
              </w:rPr>
              <w:t>不涉及燃料消耗</w:t>
            </w:r>
          </w:p>
        </w:tc>
        <w:tc>
          <w:tcPr>
            <w:tcW w:w="571"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6"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bCs/>
                <w:sz w:val="21"/>
                <w:szCs w:val="21"/>
                <w:lang w:eastAsia="zh-CN"/>
              </w:rPr>
              <w:t>产业结构优化</w:t>
            </w:r>
          </w:p>
        </w:tc>
        <w:tc>
          <w:tcPr>
            <w:tcW w:w="592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严格控制“两高”行业新增产能。</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落后产能淘汰和过剩产能压减</w:t>
            </w:r>
          </w:p>
        </w:tc>
        <w:tc>
          <w:tcPr>
            <w:tcW w:w="192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不属“两高”行业、落后产能淘汰和过剩产能</w:t>
            </w:r>
          </w:p>
        </w:tc>
        <w:tc>
          <w:tcPr>
            <w:tcW w:w="571"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6"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bCs/>
                <w:sz w:val="21"/>
                <w:szCs w:val="21"/>
                <w:lang w:eastAsia="zh-CN"/>
              </w:rPr>
              <w:t>提升移动源污染防治水平</w:t>
            </w:r>
          </w:p>
        </w:tc>
        <w:tc>
          <w:tcPr>
            <w:tcW w:w="592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2018 年12 月31 日前，引导钢铁、焦化、建材等日运输量超过1000 吨或者日运输车辆数超过20 辆（次）的企业使用国Ⅳ以上排放标准的车辆。</w:t>
            </w:r>
          </w:p>
        </w:tc>
        <w:tc>
          <w:tcPr>
            <w:tcW w:w="192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运输使用国Ⅳ以上排放标准的车辆</w:t>
            </w:r>
          </w:p>
        </w:tc>
        <w:tc>
          <w:tcPr>
            <w:tcW w:w="571"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686"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shd w:val="clear" w:color="auto" w:fill="F0F8FF"/>
                <w:lang w:eastAsia="zh-CN"/>
              </w:rPr>
            </w:pPr>
            <w:r>
              <w:rPr>
                <w:rFonts w:hint="eastAsia" w:ascii="宋体" w:hAnsi="宋体" w:eastAsia="宋体" w:cs="宋体"/>
                <w:bCs/>
                <w:sz w:val="21"/>
                <w:szCs w:val="21"/>
                <w:lang w:eastAsia="zh-CN"/>
              </w:rPr>
              <w:t>生态保护与建设</w:t>
            </w:r>
          </w:p>
        </w:tc>
        <w:tc>
          <w:tcPr>
            <w:tcW w:w="592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shd w:val="clear" w:color="auto" w:fill="F0F8FF"/>
                <w:lang w:eastAsia="zh-CN"/>
              </w:rPr>
            </w:pPr>
            <w:r>
              <w:rPr>
                <w:rFonts w:hint="eastAsia" w:ascii="宋体" w:hAnsi="宋体" w:eastAsia="宋体" w:cs="宋体"/>
                <w:bCs/>
                <w:sz w:val="21"/>
                <w:szCs w:val="21"/>
                <w:lang w:eastAsia="zh-CN"/>
              </w:rPr>
              <w:t>渣土物料运输扬尘治理。运输渣土、土方、砂石、垃圾、灰浆、煤炭等散装、流体物料的车辆，必须采取密闭措施，安装GPS 系统，取得公安交管部门核发的《工程运输车辆通行证》，并按照规定的路线、时间行驶，严禁运输过程中遗撒泄漏。</w:t>
            </w:r>
          </w:p>
        </w:tc>
        <w:tc>
          <w:tcPr>
            <w:tcW w:w="192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cs="宋体"/>
                <w:bCs/>
                <w:sz w:val="21"/>
                <w:szCs w:val="21"/>
                <w:lang w:eastAsia="zh-CN"/>
              </w:rPr>
              <w:t>本项目</w:t>
            </w:r>
            <w:r>
              <w:rPr>
                <w:rFonts w:hint="eastAsia" w:ascii="宋体" w:hAnsi="宋体" w:eastAsia="宋体" w:cs="宋体"/>
                <w:bCs/>
                <w:sz w:val="21"/>
                <w:szCs w:val="21"/>
                <w:lang w:eastAsia="zh-CN"/>
              </w:rPr>
              <w:t>运输车辆采取密闭措施，并按照规定的路线、时间行驶，严禁运输过程中遗撒泄漏</w:t>
            </w:r>
          </w:p>
        </w:tc>
        <w:tc>
          <w:tcPr>
            <w:tcW w:w="571"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bl>
    <w:p>
      <w:pPr>
        <w:pStyle w:val="7"/>
        <w:rPr>
          <w:rFonts w:hint="eastAsia" w:ascii="宋体" w:hAnsi="宋体" w:eastAsia="宋体" w:cs="宋体"/>
          <w:lang w:eastAsia="zh-CN"/>
        </w:rPr>
      </w:pPr>
      <w:r>
        <w:rPr>
          <w:rFonts w:hint="eastAsia" w:ascii="宋体" w:hAnsi="宋体" w:eastAsia="宋体" w:cs="宋体"/>
          <w:lang w:eastAsia="zh-CN"/>
        </w:rPr>
        <w:t>12.3.9 与《沂源县打赢蓝天保卫战三年实施方案（2018-2020年）》源政发〔2018〕121号符合性分析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与淄政发〔2018〕23号的符合性分析见表12.3.9-1。</w:t>
      </w:r>
    </w:p>
    <w:p>
      <w:pPr>
        <w:autoSpaceDE/>
        <w:autoSpaceDN/>
        <w:spacing w:line="500" w:lineRule="exact"/>
        <w:ind w:firstLine="0" w:firstLineChars="0"/>
        <w:jc w:val="center"/>
        <w:rPr>
          <w:rFonts w:hint="eastAsia" w:ascii="宋体" w:hAnsi="宋体" w:eastAsia="宋体" w:cs="宋体"/>
          <w:b/>
          <w:bCs/>
          <w:sz w:val="24"/>
          <w:lang w:eastAsia="zh-CN"/>
        </w:rPr>
      </w:pPr>
      <w:r>
        <w:rPr>
          <w:rFonts w:hint="eastAsia" w:ascii="宋体" w:hAnsi="宋体" w:eastAsia="宋体" w:cs="宋体"/>
          <w:b/>
          <w:bCs/>
          <w:sz w:val="24"/>
          <w:lang w:eastAsia="zh-CN"/>
        </w:rPr>
        <w:t xml:space="preserve">表12.3.9-1 </w:t>
      </w:r>
      <w:r>
        <w:rPr>
          <w:rFonts w:hint="eastAsia" w:cs="宋体"/>
          <w:b/>
          <w:bCs/>
          <w:sz w:val="24"/>
          <w:lang w:eastAsia="zh-CN"/>
        </w:rPr>
        <w:t>本项目</w:t>
      </w:r>
      <w:r>
        <w:rPr>
          <w:rFonts w:hint="eastAsia" w:ascii="宋体" w:hAnsi="宋体" w:eastAsia="宋体" w:cs="宋体"/>
          <w:b/>
          <w:bCs/>
          <w:sz w:val="24"/>
          <w:lang w:eastAsia="zh-CN"/>
        </w:rPr>
        <w:t>与源政发〔2018〕121号符合性分析</w:t>
      </w:r>
    </w:p>
    <w:tbl>
      <w:tblPr>
        <w:tblStyle w:val="24"/>
        <w:tblW w:w="5176"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089"/>
        <w:gridCol w:w="5103"/>
        <w:gridCol w:w="2636"/>
        <w:gridCol w:w="59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trPr>
        <w:tc>
          <w:tcPr>
            <w:tcW w:w="1087"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分类</w:t>
            </w:r>
          </w:p>
        </w:tc>
        <w:tc>
          <w:tcPr>
            <w:tcW w:w="5089"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eastAsia="zh-CN"/>
              </w:rPr>
              <w:t>淄政发〔2018〕23号</w:t>
            </w:r>
            <w:r>
              <w:rPr>
                <w:rFonts w:hint="eastAsia" w:ascii="宋体" w:hAnsi="宋体" w:eastAsia="宋体" w:cs="宋体"/>
                <w:b/>
                <w:bCs/>
                <w:kern w:val="2"/>
                <w:sz w:val="21"/>
                <w:szCs w:val="21"/>
                <w:lang w:val="zh-CN" w:eastAsia="zh-CN"/>
              </w:rPr>
              <w:t>要求</w:t>
            </w:r>
          </w:p>
        </w:tc>
        <w:tc>
          <w:tcPr>
            <w:tcW w:w="2629"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cs="宋体"/>
                <w:b/>
                <w:bCs/>
                <w:kern w:val="2"/>
                <w:sz w:val="21"/>
                <w:szCs w:val="21"/>
                <w:lang w:val="zh-CN" w:eastAsia="zh-CN"/>
              </w:rPr>
              <w:t>本项目</w:t>
            </w:r>
            <w:r>
              <w:rPr>
                <w:rFonts w:hint="eastAsia" w:ascii="宋体" w:hAnsi="宋体" w:eastAsia="宋体" w:cs="宋体"/>
                <w:b/>
                <w:bCs/>
                <w:kern w:val="2"/>
                <w:sz w:val="21"/>
                <w:szCs w:val="21"/>
                <w:lang w:val="zh-CN" w:eastAsia="zh-CN"/>
              </w:rPr>
              <w:t>情况</w:t>
            </w:r>
          </w:p>
        </w:tc>
        <w:tc>
          <w:tcPr>
            <w:tcW w:w="592" w:type="dxa"/>
            <w:tcMar>
              <w:top w:w="0" w:type="dxa"/>
              <w:left w:w="0" w:type="dxa"/>
              <w:bottom w:w="0" w:type="dxa"/>
              <w:right w:w="0" w:type="dxa"/>
            </w:tcMar>
            <w:vAlign w:val="center"/>
          </w:tcPr>
          <w:p>
            <w:pPr>
              <w:keepNext w:val="0"/>
              <w:keepLines w:val="0"/>
              <w:suppressLineNumbers w:val="0"/>
              <w:tabs>
                <w:tab w:val="center" w:pos="4706"/>
              </w:tabs>
              <w:autoSpaceDE/>
              <w:autoSpaceDN/>
              <w:adjustRightInd w:val="0"/>
              <w:snapToGrid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val="zh-CN" w:eastAsia="zh-CN"/>
              </w:rPr>
            </w:pPr>
            <w:r>
              <w:rPr>
                <w:rFonts w:hint="eastAsia" w:ascii="宋体" w:hAnsi="宋体" w:eastAsia="宋体" w:cs="宋体"/>
                <w:b/>
                <w:bCs/>
                <w:kern w:val="2"/>
                <w:sz w:val="21"/>
                <w:szCs w:val="21"/>
                <w:lang w:val="zh-CN" w:eastAsia="zh-CN"/>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sz w:val="21"/>
                <w:szCs w:val="21"/>
                <w:lang w:eastAsia="zh-CN"/>
              </w:rPr>
              <w:t>优化产业结构与布局</w:t>
            </w:r>
          </w:p>
        </w:tc>
        <w:tc>
          <w:tcPr>
            <w:tcW w:w="508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全县范围内禁止新增钢铁、焦化、电解铝、铸造、水泥和平板玻璃等产能；严格执行钢铁、水泥、平板玻璃等行业产能置换实施办法。</w:t>
            </w:r>
          </w:p>
        </w:tc>
        <w:tc>
          <w:tcPr>
            <w:tcW w:w="262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不属于“两高”行业。</w:t>
            </w:r>
          </w:p>
        </w:tc>
        <w:tc>
          <w:tcPr>
            <w:tcW w:w="59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bCs/>
                <w:sz w:val="21"/>
                <w:szCs w:val="21"/>
                <w:lang w:eastAsia="zh-CN"/>
              </w:rPr>
              <w:t>优化能源结构与布局</w:t>
            </w:r>
          </w:p>
        </w:tc>
        <w:tc>
          <w:tcPr>
            <w:tcW w:w="508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严格控制新上耗煤项目审批、核准、备案，鼓励天然气、电力等清洁能源替代煤炭消费。</w:t>
            </w:r>
          </w:p>
        </w:tc>
        <w:tc>
          <w:tcPr>
            <w:tcW w:w="262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不涉及燃料消耗。</w:t>
            </w:r>
          </w:p>
        </w:tc>
        <w:tc>
          <w:tcPr>
            <w:tcW w:w="59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bCs/>
                <w:sz w:val="21"/>
                <w:szCs w:val="21"/>
                <w:lang w:eastAsia="zh-CN"/>
              </w:rPr>
              <w:t>优化交通结构与布局</w:t>
            </w:r>
          </w:p>
        </w:tc>
        <w:tc>
          <w:tcPr>
            <w:tcW w:w="508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减少重污染天气期间柴油货车运输，涉及大宗原材料及产品运输的重点用车企业应制定错峰运输方案。</w:t>
            </w:r>
          </w:p>
        </w:tc>
        <w:tc>
          <w:tcPr>
            <w:tcW w:w="262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cs="宋体"/>
                <w:sz w:val="21"/>
                <w:szCs w:val="21"/>
                <w:lang w:eastAsia="zh-CN"/>
              </w:rPr>
              <w:t>本项目</w:t>
            </w:r>
            <w:r>
              <w:rPr>
                <w:rFonts w:hint="eastAsia" w:ascii="宋体" w:hAnsi="宋体" w:eastAsia="宋体" w:cs="宋体"/>
                <w:sz w:val="21"/>
                <w:szCs w:val="21"/>
                <w:lang w:eastAsia="zh-CN"/>
              </w:rPr>
              <w:t>不涉及大宗物料公路运输。矿石的提升采用全密闭的皮带运输。</w:t>
            </w:r>
          </w:p>
        </w:tc>
        <w:tc>
          <w:tcPr>
            <w:tcW w:w="59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1087"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shd w:val="clear" w:color="auto" w:fill="F0F8FF"/>
                <w:lang w:eastAsia="zh-CN"/>
              </w:rPr>
            </w:pPr>
            <w:r>
              <w:rPr>
                <w:rFonts w:hint="eastAsia" w:ascii="宋体" w:hAnsi="宋体" w:eastAsia="宋体" w:cs="宋体"/>
                <w:bCs/>
                <w:sz w:val="21"/>
                <w:szCs w:val="21"/>
                <w:lang w:eastAsia="zh-CN"/>
              </w:rPr>
              <w:t>深化工业污染源治理</w:t>
            </w:r>
          </w:p>
        </w:tc>
        <w:tc>
          <w:tcPr>
            <w:tcW w:w="508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sz w:val="21"/>
                <w:szCs w:val="21"/>
                <w:lang w:eastAsia="zh-CN"/>
              </w:rPr>
            </w:pPr>
            <w:r>
              <w:rPr>
                <w:rFonts w:hint="eastAsia" w:ascii="宋体" w:hAnsi="宋体" w:eastAsia="宋体" w:cs="宋体"/>
                <w:sz w:val="21"/>
                <w:szCs w:val="21"/>
                <w:lang w:eastAsia="zh-CN"/>
              </w:rPr>
              <w:t>加快推进排污许可证的核发工作。</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shd w:val="clear" w:color="auto" w:fill="F0F8FF"/>
                <w:lang w:eastAsia="zh-CN"/>
              </w:rPr>
            </w:pPr>
            <w:r>
              <w:rPr>
                <w:rFonts w:hint="eastAsia" w:ascii="宋体" w:hAnsi="宋体" w:eastAsia="宋体" w:cs="宋体"/>
                <w:sz w:val="21"/>
                <w:szCs w:val="21"/>
                <w:lang w:eastAsia="zh-CN"/>
              </w:rPr>
              <w:t>禁止建设、生产和使用高VOCS含量的溶剂型涂料、油墨、胶粘剂等项目。</w:t>
            </w:r>
          </w:p>
        </w:tc>
        <w:tc>
          <w:tcPr>
            <w:tcW w:w="2629"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bCs/>
                <w:sz w:val="21"/>
                <w:szCs w:val="21"/>
                <w:lang w:eastAsia="zh-CN"/>
              </w:rPr>
            </w:pPr>
            <w:r>
              <w:rPr>
                <w:rFonts w:hint="eastAsia" w:ascii="宋体" w:hAnsi="宋体" w:eastAsia="宋体" w:cs="宋体"/>
                <w:bCs/>
                <w:sz w:val="21"/>
                <w:szCs w:val="21"/>
                <w:lang w:eastAsia="zh-CN"/>
              </w:rPr>
              <w:t>企业已申领排污许可证。</w:t>
            </w:r>
            <w:r>
              <w:rPr>
                <w:rFonts w:hint="eastAsia" w:cs="宋体"/>
                <w:bCs/>
                <w:sz w:val="21"/>
                <w:szCs w:val="21"/>
                <w:lang w:eastAsia="zh-CN"/>
              </w:rPr>
              <w:t>本项目</w:t>
            </w:r>
            <w:r>
              <w:rPr>
                <w:rFonts w:hint="eastAsia" w:ascii="宋体" w:hAnsi="宋体" w:eastAsia="宋体" w:cs="宋体"/>
                <w:bCs/>
                <w:sz w:val="21"/>
                <w:szCs w:val="21"/>
                <w:lang w:eastAsia="zh-CN"/>
              </w:rPr>
              <w:t>不涉及高物料VOC的使用。</w:t>
            </w:r>
          </w:p>
        </w:tc>
        <w:tc>
          <w:tcPr>
            <w:tcW w:w="592" w:type="dxa"/>
            <w:tcMar>
              <w:top w:w="0" w:type="dxa"/>
              <w:left w:w="0" w:type="dxa"/>
              <w:bottom w:w="0" w:type="dxa"/>
              <w:right w:w="0" w:type="dxa"/>
            </w:tcMar>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bl>
    <w:p>
      <w:pPr>
        <w:pStyle w:val="6"/>
        <w:rPr>
          <w:rFonts w:hint="eastAsia" w:ascii="宋体" w:hAnsi="宋体" w:eastAsia="宋体" w:cs="宋体"/>
          <w:lang w:eastAsia="zh-CN"/>
        </w:rPr>
      </w:pPr>
      <w:bookmarkStart w:id="231" w:name="_Toc35625077"/>
      <w:bookmarkStart w:id="232" w:name="_Toc17432"/>
      <w:bookmarkStart w:id="233" w:name="_Toc16633"/>
      <w:bookmarkStart w:id="234" w:name="_Toc517717931"/>
      <w:bookmarkStart w:id="235" w:name="_Toc472866576"/>
      <w:bookmarkStart w:id="236" w:name="_Toc482779056"/>
      <w:r>
        <w:rPr>
          <w:rFonts w:hint="eastAsia" w:ascii="宋体" w:hAnsi="宋体" w:eastAsia="宋体" w:cs="宋体"/>
          <w:lang w:eastAsia="zh-CN"/>
        </w:rPr>
        <w:t>12.4 与“三线一单”相关要求符合性分析</w:t>
      </w:r>
      <w:bookmarkEnd w:id="231"/>
      <w:bookmarkEnd w:id="232"/>
      <w:bookmarkEnd w:id="233"/>
    </w:p>
    <w:p>
      <w:pPr>
        <w:ind w:firstLine="560"/>
        <w:rPr>
          <w:rFonts w:hint="eastAsia" w:ascii="宋体" w:hAnsi="宋体" w:eastAsia="宋体" w:cs="宋体"/>
          <w:kern w:val="2"/>
          <w:lang w:eastAsia="zh-CN"/>
        </w:rPr>
      </w:pPr>
      <w:r>
        <w:rPr>
          <w:rFonts w:hint="eastAsia" w:ascii="宋体" w:hAnsi="宋体" w:eastAsia="宋体" w:cs="宋体"/>
          <w:kern w:val="2"/>
          <w:lang w:eastAsia="zh-CN"/>
        </w:rPr>
        <w:t>2016年10月26日环保部发布《关于以改善环境质量为核心加强环境影响评价管理的通知》（环环评[2016]150号）文，提出“三线一单”的约束机制，具体为落实“生态保护红线、环境质量底线、资源利用上线和环境准入负面清单”。现就生态保护红线、环境质量底线、资源利用上线和环境准入负面清单相关要求符合性分析如下：</w:t>
      </w:r>
    </w:p>
    <w:p>
      <w:pPr>
        <w:ind w:firstLine="0" w:firstLineChars="0"/>
        <w:jc w:val="center"/>
        <w:rPr>
          <w:rFonts w:hint="eastAsia" w:ascii="宋体" w:hAnsi="宋体" w:eastAsia="宋体" w:cs="宋体"/>
          <w:b/>
          <w:bCs/>
          <w:kern w:val="2"/>
          <w:sz w:val="24"/>
          <w:lang w:eastAsia="zh-CN"/>
        </w:rPr>
      </w:pPr>
      <w:r>
        <w:rPr>
          <w:rFonts w:hint="eastAsia" w:ascii="宋体" w:hAnsi="宋体" w:eastAsia="宋体" w:cs="宋体"/>
          <w:b/>
          <w:bCs/>
          <w:kern w:val="2"/>
          <w:sz w:val="24"/>
          <w:lang w:eastAsia="zh-CN"/>
        </w:rPr>
        <w:t xml:space="preserve">表12.4.1-1 </w:t>
      </w:r>
      <w:r>
        <w:rPr>
          <w:rFonts w:hint="eastAsia" w:cs="宋体"/>
          <w:b/>
          <w:bCs/>
          <w:kern w:val="2"/>
          <w:sz w:val="24"/>
          <w:lang w:eastAsia="zh-CN"/>
        </w:rPr>
        <w:t>本项目</w:t>
      </w:r>
      <w:r>
        <w:rPr>
          <w:rFonts w:hint="eastAsia" w:ascii="宋体" w:hAnsi="宋体" w:eastAsia="宋体" w:cs="宋体"/>
          <w:b/>
          <w:bCs/>
          <w:kern w:val="2"/>
          <w:sz w:val="24"/>
          <w:lang w:eastAsia="zh-CN"/>
        </w:rPr>
        <w:t>“三线一单”对照表</w:t>
      </w:r>
    </w:p>
    <w:tbl>
      <w:tblPr>
        <w:tblStyle w:val="25"/>
        <w:tblW w:w="92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320"/>
        <w:gridCol w:w="6910"/>
        <w:gridCol w:w="8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内容</w:t>
            </w:r>
          </w:p>
        </w:tc>
        <w:tc>
          <w:tcPr>
            <w:tcW w:w="7230" w:type="dxa"/>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项目情况</w:t>
            </w:r>
          </w:p>
        </w:tc>
        <w:tc>
          <w:tcPr>
            <w:tcW w:w="8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center"/>
              <w:rPr>
                <w:rFonts w:hint="eastAsia" w:ascii="宋体" w:hAnsi="宋体" w:eastAsia="宋体" w:cs="宋体"/>
                <w:b/>
                <w:bCs/>
                <w:kern w:val="2"/>
                <w:sz w:val="21"/>
                <w:szCs w:val="21"/>
                <w:lang w:eastAsia="zh-CN"/>
              </w:rPr>
            </w:pPr>
            <w:r>
              <w:rPr>
                <w:rFonts w:hint="eastAsia" w:ascii="宋体" w:hAnsi="宋体" w:eastAsia="宋体" w:cs="宋体"/>
                <w:b/>
                <w:bCs/>
                <w:kern w:val="2"/>
                <w:sz w:val="21"/>
                <w:szCs w:val="21"/>
                <w:lang w:eastAsia="zh-CN"/>
              </w:rPr>
              <w:t>是否符合要求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Merge w:val="restart"/>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生态保护红线</w:t>
            </w:r>
          </w:p>
        </w:tc>
        <w:tc>
          <w:tcPr>
            <w:tcW w:w="32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沂水县</w:t>
            </w:r>
          </w:p>
        </w:tc>
        <w:tc>
          <w:tcPr>
            <w:tcW w:w="691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沂水县共有生态保护红线区6个，分别为：沭河上游水源涵养生态保护红线区、跋山水库水源涵养生态保护红线区、石山-萁山土壤保持生态保护红线区、大弓山-大顶子土壤保持生态保护红线区、沂山土壤保持生态保护红线区、连崮-吉利山土壤土壤保持生态保护红线区。根据图10.1.1-1可知，</w:t>
            </w:r>
            <w:r>
              <w:rPr>
                <w:rFonts w:hint="eastAsia" w:cs="宋体"/>
                <w:kern w:val="2"/>
                <w:sz w:val="21"/>
                <w:szCs w:val="21"/>
                <w:lang w:eastAsia="zh-CN"/>
              </w:rPr>
              <w:t>本项目</w:t>
            </w:r>
            <w:r>
              <w:rPr>
                <w:rFonts w:hint="eastAsia" w:ascii="宋体" w:hAnsi="宋体" w:eastAsia="宋体" w:cs="宋体"/>
                <w:kern w:val="2"/>
                <w:sz w:val="21"/>
                <w:szCs w:val="21"/>
                <w:lang w:eastAsia="zh-CN"/>
              </w:rPr>
              <w:t>不再生态保护红线内。</w:t>
            </w:r>
          </w:p>
        </w:tc>
        <w:tc>
          <w:tcPr>
            <w:tcW w:w="8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vMerge w:val="continue"/>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p>
        </w:tc>
        <w:tc>
          <w:tcPr>
            <w:tcW w:w="32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沂源县</w:t>
            </w:r>
          </w:p>
        </w:tc>
        <w:tc>
          <w:tcPr>
            <w:tcW w:w="6910"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沂源县共有生态保护红线区6个，分别为：沂河源头水源涵养生态保护红线区、潭溪山-峨庄生物多样性维护生态保护红线区、鲁山以东生物多样性维护生态保护红线区、沂源西部-田庄水库生物多样性维护生态保护红线区、织女湖-织女洞生物多样性维护生态保护红线区、毫山以南生物多样性维护生态保护红线区。根据图10.1.1-2可知，</w:t>
            </w:r>
            <w:r>
              <w:rPr>
                <w:rFonts w:hint="eastAsia" w:cs="宋体"/>
                <w:kern w:val="2"/>
                <w:sz w:val="21"/>
                <w:szCs w:val="21"/>
                <w:lang w:eastAsia="zh-CN"/>
              </w:rPr>
              <w:t>本项目</w:t>
            </w:r>
            <w:r>
              <w:rPr>
                <w:rFonts w:hint="eastAsia" w:ascii="宋体" w:hAnsi="宋体" w:eastAsia="宋体" w:cs="宋体"/>
                <w:kern w:val="2"/>
                <w:sz w:val="21"/>
                <w:szCs w:val="21"/>
                <w:lang w:eastAsia="zh-CN"/>
              </w:rPr>
              <w:t>不再生态保护红线内。</w:t>
            </w:r>
          </w:p>
        </w:tc>
        <w:tc>
          <w:tcPr>
            <w:tcW w:w="8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环境质量底线</w:t>
            </w:r>
          </w:p>
        </w:tc>
        <w:tc>
          <w:tcPr>
            <w:tcW w:w="7230" w:type="dxa"/>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为地下开采铁矿项目，不涉及燃料。生产用水来源于地下矿井涌水，水资源回用率高。用电来自国家电网。选址于现有采矿用地，不新占土地资源。项目总体资源消耗量少，符合资源利用上线的要求。</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声环境：周边声环境能够满足《声环境质量标准》(GB3096-2008)2 类标准限值要求；</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环境空气：项目周边环境空气能够满足《环境空气质量标准》（GB3095-2012）二级标准要求；</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地表水：沂河和龙王峪河断面部分硝酸盐(以N计）、全盐量、硫酸盐和溶解氧超标。主要受周边灌溉、种植、居民生活及上游地表排洪的影响，其它因子均满足《地表水环境质量标准》（GB3838-2002）III 类标准要求。</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地下水：地下水满足《地下水质量标准》(GB/T14848-2017)Ⅲ类标准限值要求。项目采取严格的环境管理措施，运行不会对地表水、地下水造成污染。</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土壤：建设用地满足《土壤环境质量 建设用地土壤污染风险管控标准（试行）(GB36600—2018)中第二类用地筛选值要求。结合各环境要素影响预测内容，</w:t>
            </w:r>
            <w:r>
              <w:rPr>
                <w:rFonts w:hint="eastAsia" w:cs="宋体"/>
                <w:kern w:val="2"/>
                <w:sz w:val="21"/>
                <w:szCs w:val="21"/>
                <w:lang w:eastAsia="zh-CN"/>
              </w:rPr>
              <w:t>本项目</w:t>
            </w:r>
            <w:r>
              <w:rPr>
                <w:rFonts w:hint="eastAsia" w:ascii="宋体" w:hAnsi="宋体" w:eastAsia="宋体" w:cs="宋体"/>
                <w:kern w:val="2"/>
                <w:sz w:val="21"/>
                <w:szCs w:val="21"/>
                <w:lang w:eastAsia="zh-CN"/>
              </w:rPr>
              <w:t>建成后不会突破环境质量底线。</w:t>
            </w:r>
          </w:p>
        </w:tc>
        <w:tc>
          <w:tcPr>
            <w:tcW w:w="8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资源利用上线</w:t>
            </w:r>
          </w:p>
        </w:tc>
        <w:tc>
          <w:tcPr>
            <w:tcW w:w="7230" w:type="dxa"/>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cs="宋体"/>
                <w:kern w:val="2"/>
                <w:sz w:val="21"/>
                <w:szCs w:val="21"/>
                <w:lang w:eastAsia="zh-CN"/>
              </w:rPr>
              <w:t>本项目</w:t>
            </w:r>
            <w:r>
              <w:rPr>
                <w:rFonts w:hint="eastAsia" w:ascii="宋体" w:hAnsi="宋体" w:eastAsia="宋体" w:cs="宋体"/>
                <w:kern w:val="2"/>
                <w:sz w:val="21"/>
                <w:szCs w:val="21"/>
                <w:lang w:eastAsia="zh-CN"/>
              </w:rPr>
              <w:t>编制的《山东钢铁集团矿业有限公司彭集铁矿资源开发利用方案（变更）》已通过专家评审。</w:t>
            </w:r>
            <w:r>
              <w:rPr>
                <w:rFonts w:hint="eastAsia" w:cs="宋体"/>
                <w:kern w:val="2"/>
                <w:sz w:val="21"/>
                <w:szCs w:val="21"/>
                <w:lang w:eastAsia="zh-CN"/>
              </w:rPr>
              <w:t>本项目</w:t>
            </w:r>
            <w:r>
              <w:rPr>
                <w:rFonts w:hint="eastAsia" w:ascii="宋体" w:hAnsi="宋体" w:eastAsia="宋体" w:cs="宋体"/>
                <w:kern w:val="2"/>
                <w:sz w:val="21"/>
                <w:szCs w:val="21"/>
                <w:lang w:eastAsia="zh-CN"/>
              </w:rPr>
              <w:t>属于中型铁矿山。</w:t>
            </w:r>
          </w:p>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生产用水全部来源于地下涌水，全部回用，水资源回用率高；用电来自国家电网。选址于现有采矿用地，不新占土地资源。项目总体资源消耗量少。</w:t>
            </w:r>
          </w:p>
        </w:tc>
        <w:tc>
          <w:tcPr>
            <w:tcW w:w="8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72"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环境准入负面清单</w:t>
            </w:r>
          </w:p>
        </w:tc>
        <w:tc>
          <w:tcPr>
            <w:tcW w:w="7230" w:type="dxa"/>
            <w:gridSpan w:val="2"/>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无相关情况</w:t>
            </w:r>
          </w:p>
        </w:tc>
        <w:tc>
          <w:tcPr>
            <w:tcW w:w="886" w:type="dxa"/>
            <w:tcBorders>
              <w:tl2br w:val="nil"/>
              <w:tr2bl w:val="nil"/>
            </w:tcBorders>
            <w:vAlign w:val="center"/>
          </w:tcPr>
          <w:p>
            <w:pPr>
              <w:keepNext w:val="0"/>
              <w:keepLines w:val="0"/>
              <w:suppressLineNumbers w:val="0"/>
              <w:spacing w:before="0" w:beforeAutospacing="0" w:after="0" w:afterAutospacing="0" w:line="240" w:lineRule="auto"/>
              <w:ind w:left="0" w:right="0" w:firstLine="0" w:firstLineChars="0"/>
              <w:jc w:val="both"/>
              <w:rPr>
                <w:rFonts w:hint="eastAsia" w:ascii="宋体" w:hAnsi="宋体" w:eastAsia="宋体" w:cs="宋体"/>
                <w:kern w:val="2"/>
                <w:sz w:val="21"/>
                <w:szCs w:val="21"/>
                <w:lang w:eastAsia="zh-CN"/>
              </w:rPr>
            </w:pPr>
            <w:r>
              <w:rPr>
                <w:rFonts w:hint="eastAsia" w:ascii="宋体" w:hAnsi="宋体" w:eastAsia="宋体" w:cs="宋体"/>
                <w:kern w:val="2"/>
                <w:sz w:val="21"/>
                <w:szCs w:val="21"/>
                <w:lang w:eastAsia="zh-CN"/>
              </w:rPr>
              <w:t>符合</w:t>
            </w:r>
          </w:p>
        </w:tc>
      </w:tr>
      <w:bookmarkEnd w:id="234"/>
      <w:bookmarkEnd w:id="235"/>
      <w:bookmarkEnd w:id="236"/>
    </w:tbl>
    <w:p>
      <w:pPr>
        <w:pStyle w:val="6"/>
        <w:rPr>
          <w:rFonts w:hint="eastAsia" w:ascii="宋体" w:hAnsi="宋体" w:eastAsia="宋体" w:cs="宋体"/>
          <w:lang w:eastAsia="zh-CN"/>
        </w:rPr>
      </w:pPr>
      <w:bookmarkStart w:id="237" w:name="_Toc517717932"/>
      <w:bookmarkStart w:id="238" w:name="_Toc482779057"/>
      <w:bookmarkStart w:id="239" w:name="_Toc35625079"/>
      <w:bookmarkStart w:id="240" w:name="_Toc472866577"/>
      <w:bookmarkStart w:id="241" w:name="_Toc12902"/>
      <w:bookmarkStart w:id="242" w:name="_Toc29280"/>
      <w:r>
        <w:rPr>
          <w:rFonts w:hint="eastAsia" w:ascii="宋体" w:hAnsi="宋体" w:eastAsia="宋体" w:cs="宋体"/>
          <w:lang w:eastAsia="zh-CN"/>
        </w:rPr>
        <w:t>12.4 小结</w:t>
      </w:r>
      <w:bookmarkEnd w:id="237"/>
      <w:bookmarkEnd w:id="238"/>
      <w:bookmarkEnd w:id="239"/>
      <w:bookmarkEnd w:id="240"/>
      <w:bookmarkEnd w:id="241"/>
      <w:bookmarkEnd w:id="242"/>
    </w:p>
    <w:p>
      <w:pPr>
        <w:ind w:firstLine="560"/>
        <w:rPr>
          <w:rFonts w:hint="eastAsia" w:ascii="宋体" w:hAnsi="宋体" w:eastAsia="宋体" w:cs="宋体"/>
          <w:kern w:val="2"/>
          <w:lang w:eastAsia="zh-CN"/>
        </w:rPr>
      </w:pPr>
      <w:r>
        <w:rPr>
          <w:rFonts w:hint="eastAsia" w:cs="宋体"/>
          <w:kern w:val="2"/>
          <w:lang w:eastAsia="zh-CN"/>
        </w:rPr>
        <w:t>本项目</w:t>
      </w:r>
      <w:r>
        <w:rPr>
          <w:rFonts w:hint="eastAsia" w:ascii="宋体" w:hAnsi="宋体" w:eastAsia="宋体" w:cs="宋体"/>
          <w:kern w:val="2"/>
          <w:lang w:eastAsia="zh-CN"/>
        </w:rPr>
        <w:t>在采取可行的污染物治理措施后，经预测，污染物排放对环境的影响均较小。</w:t>
      </w:r>
      <w:r>
        <w:rPr>
          <w:rFonts w:hint="eastAsia" w:cs="宋体"/>
          <w:kern w:val="2"/>
          <w:lang w:eastAsia="zh-CN"/>
        </w:rPr>
        <w:t>本项目</w:t>
      </w:r>
      <w:r>
        <w:rPr>
          <w:rFonts w:hint="eastAsia" w:ascii="宋体" w:hAnsi="宋体" w:eastAsia="宋体" w:cs="宋体"/>
          <w:kern w:val="2"/>
          <w:lang w:eastAsia="zh-CN"/>
        </w:rPr>
        <w:t>在充分考虑预防、控制、削减环境风险的相关措施，并且在制定好应急预案的情况下，环境风险可接受。</w:t>
      </w:r>
    </w:p>
    <w:p>
      <w:pPr>
        <w:ind w:firstLine="560"/>
        <w:rPr>
          <w:rFonts w:hint="eastAsia" w:ascii="宋体" w:hAnsi="宋体" w:eastAsia="宋体" w:cs="宋体"/>
          <w:kern w:val="2"/>
          <w:lang w:eastAsia="zh-CN"/>
        </w:rPr>
      </w:pPr>
      <w:r>
        <w:rPr>
          <w:rFonts w:hint="eastAsia" w:ascii="宋体" w:hAnsi="宋体" w:eastAsia="宋体" w:cs="宋体"/>
          <w:kern w:val="2"/>
          <w:lang w:eastAsia="zh-CN"/>
        </w:rPr>
        <w:t>综上所述，</w:t>
      </w:r>
      <w:r>
        <w:rPr>
          <w:rFonts w:hint="eastAsia" w:cs="宋体"/>
          <w:kern w:val="2"/>
          <w:lang w:eastAsia="zh-CN"/>
        </w:rPr>
        <w:t>本项目</w:t>
      </w:r>
      <w:r>
        <w:rPr>
          <w:rFonts w:hint="eastAsia" w:ascii="宋体" w:hAnsi="宋体" w:eastAsia="宋体" w:cs="宋体"/>
          <w:kern w:val="2"/>
          <w:lang w:eastAsia="zh-CN"/>
        </w:rPr>
        <w:t>选址建设条件良好，区域环境敏感程度较低，结合环境影响预测评价结果综合分析，</w:t>
      </w:r>
      <w:r>
        <w:rPr>
          <w:rFonts w:hint="eastAsia" w:cs="宋体"/>
          <w:kern w:val="2"/>
          <w:lang w:eastAsia="zh-CN"/>
        </w:rPr>
        <w:t>本项目</w:t>
      </w:r>
      <w:r>
        <w:rPr>
          <w:rFonts w:hint="eastAsia" w:ascii="宋体" w:hAnsi="宋体" w:eastAsia="宋体" w:cs="宋体"/>
          <w:kern w:val="2"/>
          <w:lang w:eastAsia="zh-CN"/>
        </w:rPr>
        <w:t>建设合理。</w:t>
      </w:r>
    </w:p>
    <w:p>
      <w:pPr>
        <w:ind w:firstLine="560"/>
        <w:rPr>
          <w:rFonts w:hint="eastAsia" w:ascii="宋体" w:hAnsi="宋体" w:eastAsia="宋体" w:cs="宋体"/>
          <w:kern w:val="2"/>
          <w:lang w:eastAsia="zh-CN"/>
        </w:rPr>
      </w:pPr>
    </w:p>
    <w:p>
      <w:pPr>
        <w:ind w:firstLine="560"/>
        <w:rPr>
          <w:rFonts w:hint="eastAsia" w:ascii="宋体" w:hAnsi="宋体" w:eastAsia="宋体" w:cs="宋体"/>
          <w:kern w:val="2"/>
          <w:lang w:eastAsia="zh-CN"/>
        </w:rPr>
      </w:pPr>
    </w:p>
    <w:p>
      <w:pPr>
        <w:ind w:firstLine="560"/>
        <w:rPr>
          <w:rFonts w:hint="eastAsia" w:ascii="宋体" w:hAnsi="宋体" w:eastAsia="宋体" w:cs="宋体"/>
          <w:kern w:val="2"/>
          <w:lang w:eastAsia="zh-CN"/>
        </w:rPr>
      </w:pPr>
    </w:p>
    <w:p>
      <w:pPr>
        <w:ind w:firstLine="0" w:firstLineChars="0"/>
        <w:rPr>
          <w:rFonts w:hint="eastAsia" w:ascii="宋体" w:hAnsi="宋体" w:eastAsia="宋体" w:cs="宋体"/>
          <w:szCs w:val="28"/>
          <w:lang w:eastAsia="zh-CN" w:bidi="ar"/>
        </w:rPr>
      </w:pPr>
    </w:p>
    <w:p>
      <w:pPr>
        <w:ind w:firstLine="560"/>
        <w:rPr>
          <w:rFonts w:hint="eastAsia" w:ascii="宋体" w:hAnsi="宋体" w:eastAsia="宋体" w:cs="宋体"/>
          <w:lang w:eastAsia="zh-CN"/>
        </w:rPr>
      </w:pPr>
    </w:p>
    <w:p>
      <w:pPr>
        <w:ind w:firstLine="560"/>
        <w:rPr>
          <w:rFonts w:hint="eastAsia" w:ascii="宋体" w:hAnsi="宋体" w:eastAsia="宋体" w:cs="宋体"/>
          <w:lang w:eastAsia="zh-CN"/>
        </w:rPr>
      </w:pPr>
    </w:p>
    <w:p>
      <w:pPr>
        <w:pStyle w:val="14"/>
        <w:ind w:firstLine="0" w:firstLineChars="0"/>
        <w:rPr>
          <w:rFonts w:hint="eastAsia" w:ascii="宋体" w:hAnsi="宋体" w:eastAsia="宋体" w:cs="宋体"/>
          <w:szCs w:val="28"/>
          <w:lang w:eastAsia="zh-CN" w:bidi="ar"/>
        </w:rPr>
        <w:sectPr>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pPr>
    </w:p>
    <w:p>
      <w:pPr>
        <w:pStyle w:val="5"/>
        <w:numPr>
          <w:ilvl w:val="0"/>
          <w:numId w:val="31"/>
        </w:numPr>
        <w:spacing w:before="156" w:after="156"/>
        <w:rPr>
          <w:rFonts w:hint="eastAsia" w:ascii="宋体" w:hAnsi="宋体" w:eastAsia="宋体" w:cs="宋体"/>
          <w:lang w:eastAsia="zh-CN"/>
        </w:rPr>
      </w:pPr>
      <w:bookmarkStart w:id="243" w:name="_Toc13231"/>
      <w:bookmarkStart w:id="244" w:name="_Toc15077"/>
      <w:r>
        <w:rPr>
          <w:rFonts w:hint="eastAsia" w:ascii="宋体" w:hAnsi="宋体" w:eastAsia="宋体" w:cs="宋体"/>
          <w:lang w:eastAsia="zh-CN"/>
        </w:rPr>
        <w:t>结论及建议</w:t>
      </w:r>
      <w:bookmarkEnd w:id="243"/>
      <w:bookmarkEnd w:id="244"/>
    </w:p>
    <w:p>
      <w:pPr>
        <w:pStyle w:val="6"/>
        <w:rPr>
          <w:rFonts w:hint="eastAsia" w:ascii="宋体" w:hAnsi="宋体" w:eastAsia="宋体" w:cs="宋体"/>
          <w:lang w:eastAsia="zh-CN"/>
        </w:rPr>
      </w:pPr>
      <w:bookmarkStart w:id="245" w:name="_Toc5609"/>
      <w:bookmarkStart w:id="246" w:name="_Toc27100"/>
      <w:r>
        <w:rPr>
          <w:rFonts w:hint="eastAsia" w:ascii="宋体" w:hAnsi="宋体" w:eastAsia="宋体" w:cs="宋体"/>
          <w:lang w:eastAsia="zh-CN"/>
        </w:rPr>
        <w:t>13.1 评价结论</w:t>
      </w:r>
      <w:bookmarkEnd w:id="245"/>
      <w:bookmarkEnd w:id="246"/>
    </w:p>
    <w:p>
      <w:pPr>
        <w:pStyle w:val="7"/>
        <w:rPr>
          <w:rFonts w:hint="eastAsia" w:ascii="宋体" w:hAnsi="宋体" w:eastAsia="宋体" w:cs="宋体"/>
          <w:lang w:eastAsia="zh-CN"/>
        </w:rPr>
      </w:pPr>
      <w:r>
        <w:rPr>
          <w:rFonts w:hint="eastAsia" w:ascii="宋体" w:hAnsi="宋体" w:eastAsia="宋体" w:cs="宋体"/>
          <w:lang w:eastAsia="zh-CN"/>
        </w:rPr>
        <w:t>13.1.1 工程基本情况</w:t>
      </w:r>
    </w:p>
    <w:p>
      <w:pPr>
        <w:ind w:firstLine="560"/>
        <w:rPr>
          <w:rFonts w:hint="eastAsia" w:ascii="宋体" w:hAnsi="宋体" w:eastAsia="宋体" w:cs="宋体"/>
          <w:lang w:eastAsia="zh-CN"/>
        </w:rPr>
      </w:pPr>
      <w:r>
        <w:rPr>
          <w:rFonts w:hint="eastAsia" w:ascii="宋体" w:hAnsi="宋体" w:eastAsia="宋体" w:cs="宋体"/>
          <w:lang w:eastAsia="zh-CN"/>
        </w:rPr>
        <w:t>莱钢集团鲁南矿业有限公司露天转地下开采工程（二期/扩界）项目位于山东省临沂市沂水县和淄博市沂源县交界处沂蒙山区腹地，属于地下开采铁矿项目，产铁矿50万t/a。</w:t>
      </w:r>
      <w:r>
        <w:rPr>
          <w:rFonts w:hint="eastAsia" w:cs="宋体"/>
          <w:lang w:eastAsia="zh-CN"/>
        </w:rPr>
        <w:t>本项目</w:t>
      </w:r>
      <w:r>
        <w:rPr>
          <w:rFonts w:hint="eastAsia" w:ascii="宋体" w:hAnsi="宋体" w:eastAsia="宋体" w:cs="宋体"/>
          <w:lang w:eastAsia="zh-CN"/>
        </w:rPr>
        <w:t>总投资19397.48万元，其中环保投资300万元，占总投资的1.55%。矿山服务年限为43年。</w:t>
      </w:r>
    </w:p>
    <w:p>
      <w:pPr>
        <w:pStyle w:val="2"/>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主要建设王峪矿段，采矿范围为63线~75线、-50m~+157m。主要建设地下采矿设施、2个风井、1个中央回风井、破碎系统、皮带运输系统等，选矿、球团、充填及尾矿均依托现有厂区。</w:t>
      </w:r>
    </w:p>
    <w:p>
      <w:pPr>
        <w:pStyle w:val="7"/>
        <w:rPr>
          <w:rFonts w:hint="eastAsia" w:ascii="宋体" w:hAnsi="宋体" w:eastAsia="宋体" w:cs="宋体"/>
          <w:lang w:eastAsia="zh-CN"/>
        </w:rPr>
      </w:pPr>
      <w:r>
        <w:rPr>
          <w:rFonts w:hint="eastAsia" w:ascii="宋体" w:hAnsi="宋体" w:eastAsia="宋体" w:cs="宋体"/>
          <w:lang w:eastAsia="zh-CN"/>
        </w:rPr>
        <w:t>13.1.2 产业政策与规划符合性分析</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属于《产业结构调整指导目录（2019年本）》，中“鼓励类”第八项“钢铁”中第1条“1、黑色金属矿山接替资源勘探及关键勘探技术开发，低品位难选矿综合选别和利用技术，高品质铁精矿绿色高效智能化生产技术与装备”，符合国家产业政策相关要求。</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符合《关于调整部分矿种矿山生产建设规模标准的通知》（国土资发[2004]208号）的要求。</w:t>
      </w:r>
    </w:p>
    <w:p>
      <w:pPr>
        <w:ind w:firstLine="560"/>
        <w:rPr>
          <w:rFonts w:hint="eastAsia" w:ascii="宋体" w:hAnsi="宋体" w:eastAsia="宋体" w:cs="宋体"/>
          <w:lang w:eastAsia="zh-CN"/>
        </w:rPr>
      </w:pPr>
      <w:r>
        <w:rPr>
          <w:rFonts w:hint="eastAsia" w:ascii="宋体" w:hAnsi="宋体" w:eastAsia="宋体" w:cs="宋体"/>
          <w:lang w:eastAsia="zh-CN"/>
        </w:rPr>
        <w:t>项目选址不在生态红线中；符合沂水县和沂源县城市发展总体规划；符合山东省、临沂市和淄博市矿产资源总体规划。</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符合相关法律法规的要求。</w:t>
      </w:r>
    </w:p>
    <w:p>
      <w:pPr>
        <w:pStyle w:val="7"/>
        <w:rPr>
          <w:rFonts w:hint="eastAsia" w:ascii="宋体" w:hAnsi="宋体" w:eastAsia="宋体" w:cs="宋体"/>
          <w:lang w:eastAsia="zh-CN"/>
        </w:rPr>
      </w:pPr>
      <w:r>
        <w:rPr>
          <w:rFonts w:hint="eastAsia" w:ascii="宋体" w:hAnsi="宋体" w:eastAsia="宋体" w:cs="宋体"/>
          <w:lang w:eastAsia="zh-CN"/>
        </w:rPr>
        <w:t>13.1.3 污染物产生及排放情况</w:t>
      </w:r>
    </w:p>
    <w:p>
      <w:pPr>
        <w:ind w:firstLine="562"/>
        <w:rPr>
          <w:rFonts w:hint="eastAsia" w:ascii="宋体" w:hAnsi="宋体" w:eastAsia="宋体" w:cs="宋体"/>
          <w:b/>
          <w:bCs/>
          <w:lang w:eastAsia="zh-CN"/>
        </w:rPr>
      </w:pPr>
      <w:r>
        <w:rPr>
          <w:rFonts w:hint="eastAsia" w:ascii="宋体" w:hAnsi="宋体" w:eastAsia="宋体" w:cs="宋体"/>
          <w:b/>
          <w:bCs/>
          <w:lang w:eastAsia="zh-CN"/>
        </w:rPr>
        <w:t>1、废气</w:t>
      </w:r>
    </w:p>
    <w:p>
      <w:pPr>
        <w:ind w:firstLine="560"/>
        <w:rPr>
          <w:rFonts w:hint="eastAsia" w:ascii="宋体" w:hAnsi="宋体" w:eastAsia="宋体" w:cs="宋体"/>
          <w:lang w:eastAsia="zh-CN"/>
        </w:rPr>
      </w:pPr>
      <w:r>
        <w:rPr>
          <w:rFonts w:hint="eastAsia" w:ascii="宋体" w:hAnsi="宋体" w:eastAsia="宋体" w:cs="宋体"/>
          <w:lang w:eastAsia="zh-CN"/>
        </w:rPr>
        <w:t>扩能项目废气污染物主要为粉尘及少量 CO、NOx等。井下污风采取湿式作业、喷雾洒水除尘、通风通过风井排放；矿石通过皮带运输斜井提升，皮带运输斜井全部密封、中间设置喷淋除尘。</w:t>
      </w:r>
    </w:p>
    <w:p>
      <w:pPr>
        <w:ind w:firstLine="560"/>
        <w:rPr>
          <w:rFonts w:hint="eastAsia" w:ascii="宋体" w:hAnsi="宋体" w:eastAsia="宋体" w:cs="宋体"/>
          <w:lang w:eastAsia="zh-CN"/>
        </w:rPr>
      </w:pPr>
      <w:r>
        <w:rPr>
          <w:rFonts w:hint="eastAsia" w:ascii="宋体" w:hAnsi="宋体" w:eastAsia="宋体" w:cs="宋体"/>
          <w:lang w:eastAsia="zh-CN"/>
        </w:rPr>
        <w:t>经预测叠加厂界颗粒物浓度满足《铁矿采选工业污染物排放标准》（GB 28661-2012）表7中的无组织排放浓度限值。</w:t>
      </w:r>
    </w:p>
    <w:p>
      <w:pPr>
        <w:ind w:firstLine="562"/>
        <w:rPr>
          <w:rFonts w:hint="eastAsia" w:ascii="宋体" w:hAnsi="宋体" w:eastAsia="宋体" w:cs="宋体"/>
          <w:b/>
          <w:bCs/>
          <w:lang w:eastAsia="zh-CN"/>
        </w:rPr>
      </w:pPr>
      <w:r>
        <w:rPr>
          <w:rFonts w:hint="eastAsia" w:ascii="宋体" w:hAnsi="宋体" w:eastAsia="宋体" w:cs="宋体"/>
          <w:b/>
          <w:bCs/>
          <w:lang w:eastAsia="zh-CN"/>
        </w:rPr>
        <w:t>2、废水</w:t>
      </w:r>
    </w:p>
    <w:p>
      <w:pPr>
        <w:ind w:firstLine="560"/>
        <w:rPr>
          <w:rFonts w:hint="eastAsia" w:ascii="宋体" w:hAnsi="宋体" w:eastAsia="宋体" w:cs="宋体"/>
          <w:lang w:eastAsia="zh-CN"/>
        </w:rPr>
      </w:pPr>
      <w:r>
        <w:rPr>
          <w:rFonts w:hint="eastAsia" w:ascii="宋体" w:hAnsi="宋体" w:eastAsia="宋体" w:cs="宋体"/>
          <w:lang w:eastAsia="zh-CN"/>
        </w:rPr>
        <w:t>（1）生活污水</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不新增生活污水，生活污水经污水处理站处理后达到《城镇污水处理厂污染物排放标准》（GB 18918-2002）一级A标准、《城市污水再生利用 城市杂用水水质》(GB/T18920-2020)中“城市绿化、道路清扫、消防、建筑施工”标准的水质要求后，全部回用于企业绿化和道路洒水，不外排。</w:t>
      </w:r>
    </w:p>
    <w:p>
      <w:pPr>
        <w:ind w:firstLine="560"/>
        <w:rPr>
          <w:rFonts w:hint="eastAsia" w:ascii="宋体" w:hAnsi="宋体" w:eastAsia="宋体" w:cs="宋体"/>
          <w:lang w:eastAsia="zh-CN"/>
        </w:rPr>
      </w:pPr>
      <w:r>
        <w:rPr>
          <w:rFonts w:hint="eastAsia" w:ascii="宋体" w:hAnsi="宋体" w:eastAsia="宋体" w:cs="宋体"/>
          <w:lang w:eastAsia="zh-CN"/>
        </w:rPr>
        <w:t>（2）矿井涌水</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矿井涌水4088.6m3/d，水质较好，全部回用于生产，不外排。</w:t>
      </w:r>
    </w:p>
    <w:p>
      <w:pPr>
        <w:ind w:firstLine="562"/>
        <w:rPr>
          <w:rFonts w:hint="eastAsia" w:ascii="宋体" w:hAnsi="宋体" w:eastAsia="宋体" w:cs="宋体"/>
          <w:b/>
          <w:bCs/>
          <w:lang w:eastAsia="zh-CN"/>
        </w:rPr>
      </w:pPr>
      <w:r>
        <w:rPr>
          <w:rFonts w:hint="eastAsia" w:ascii="宋体" w:hAnsi="宋体" w:eastAsia="宋体" w:cs="宋体"/>
          <w:b/>
          <w:bCs/>
          <w:lang w:eastAsia="zh-CN"/>
        </w:rPr>
        <w:t>3、固废</w:t>
      </w:r>
    </w:p>
    <w:p>
      <w:pPr>
        <w:ind w:firstLine="560"/>
        <w:rPr>
          <w:rFonts w:hint="eastAsia" w:ascii="宋体" w:hAnsi="宋体" w:eastAsia="宋体" w:cs="宋体"/>
          <w:lang w:eastAsia="zh-CN"/>
        </w:rPr>
      </w:pPr>
      <w:r>
        <w:rPr>
          <w:rFonts w:hint="eastAsia" w:cs="宋体"/>
          <w:lang w:eastAsia="zh-CN"/>
        </w:rPr>
        <w:t>本项目</w:t>
      </w:r>
      <w:r>
        <w:rPr>
          <w:rFonts w:hint="eastAsia" w:ascii="宋体" w:hAnsi="宋体" w:eastAsia="宋体" w:cs="宋体"/>
          <w:lang w:eastAsia="zh-CN"/>
        </w:rPr>
        <w:t>生产期间井下掘进废石约</w:t>
      </w:r>
      <w:r>
        <w:rPr>
          <w:rFonts w:hint="eastAsia" w:cs="宋体"/>
          <w:lang w:val="en-US" w:eastAsia="zh-CN"/>
        </w:rPr>
        <w:t>7.6</w:t>
      </w:r>
      <w:r>
        <w:rPr>
          <w:rFonts w:hint="eastAsia" w:ascii="宋体" w:hAnsi="宋体" w:eastAsia="宋体" w:cs="宋体"/>
          <w:lang w:eastAsia="zh-CN"/>
        </w:rPr>
        <w:t>万t/a，全部用于回填采空区，废石不出坑。井下水仓污泥产生量分别约为85t/a，污泥不出井，直接回填采空区；涌水池污泥产生量约为115t/a，定期清理，清理出污泥直接运输至选矿厂进行磁选。设备维护所产生的危废主要是废矿物油和废油桶，其中废矿物油产生量约0.5t/年；废油桶产生量约0.4t/a。废矿物油及废油桶收集后暂存公司危废暂存间，委托有资质单位统一处理。</w:t>
      </w:r>
    </w:p>
    <w:p>
      <w:pPr>
        <w:ind w:firstLine="562"/>
        <w:rPr>
          <w:rFonts w:hint="eastAsia" w:ascii="宋体" w:hAnsi="宋体" w:eastAsia="宋体" w:cs="宋体"/>
          <w:b/>
          <w:bCs/>
          <w:lang w:eastAsia="zh-CN"/>
        </w:rPr>
      </w:pPr>
      <w:r>
        <w:rPr>
          <w:rFonts w:hint="eastAsia" w:ascii="宋体" w:hAnsi="宋体" w:eastAsia="宋体" w:cs="宋体"/>
          <w:b/>
          <w:bCs/>
          <w:lang w:eastAsia="zh-CN"/>
        </w:rPr>
        <w:t>4、噪声</w:t>
      </w:r>
    </w:p>
    <w:p>
      <w:pPr>
        <w:ind w:firstLine="560"/>
        <w:rPr>
          <w:rFonts w:hint="eastAsia" w:ascii="宋体" w:hAnsi="宋体" w:eastAsia="宋体" w:cs="宋体"/>
          <w:lang w:eastAsia="zh-CN"/>
        </w:rPr>
      </w:pPr>
      <w:r>
        <w:rPr>
          <w:rFonts w:hint="eastAsia" w:ascii="宋体" w:hAnsi="宋体" w:eastAsia="宋体" w:cs="宋体"/>
          <w:lang w:eastAsia="zh-CN"/>
        </w:rPr>
        <w:t>项目噪声由凿岩、爆破、铲运、提升、破碎、矿石运输等产生。</w:t>
      </w:r>
    </w:p>
    <w:p>
      <w:pPr>
        <w:ind w:firstLine="560"/>
        <w:rPr>
          <w:rFonts w:hint="eastAsia" w:ascii="宋体" w:hAnsi="宋体" w:eastAsia="宋体" w:cs="宋体"/>
          <w:lang w:eastAsia="zh-CN"/>
        </w:rPr>
      </w:pPr>
      <w:r>
        <w:rPr>
          <w:rFonts w:hint="eastAsia" w:ascii="宋体" w:hAnsi="宋体" w:eastAsia="宋体" w:cs="宋体"/>
          <w:lang w:eastAsia="zh-CN"/>
        </w:rPr>
        <w:t>经预测，</w:t>
      </w:r>
      <w:r>
        <w:rPr>
          <w:rFonts w:hint="eastAsia" w:cs="宋体"/>
          <w:lang w:eastAsia="zh-CN"/>
        </w:rPr>
        <w:t>本项目</w:t>
      </w:r>
      <w:r>
        <w:rPr>
          <w:rFonts w:hint="eastAsia" w:ascii="宋体" w:hAnsi="宋体" w:eastAsia="宋体" w:cs="宋体"/>
          <w:lang w:eastAsia="zh-CN"/>
        </w:rPr>
        <w:t>建成投产后，东、南、西厂界噪声预测值均满足《工业企业厂界噪声排放标准》（GB12348-2008）中2类标准要求。崔家王峪、耿家林村噪声均满足《声环境质量标准》(GB 3096-2008)2类标准要求。</w:t>
      </w:r>
    </w:p>
    <w:p>
      <w:pPr>
        <w:ind w:firstLine="560"/>
        <w:rPr>
          <w:rFonts w:hint="eastAsia" w:ascii="宋体" w:hAnsi="宋体" w:eastAsia="宋体" w:cs="宋体"/>
          <w:lang w:eastAsia="zh-CN"/>
        </w:rPr>
      </w:pPr>
      <w:r>
        <w:rPr>
          <w:rFonts w:hint="eastAsia" w:ascii="宋体" w:hAnsi="宋体" w:eastAsia="宋体" w:cs="宋体"/>
          <w:lang w:eastAsia="zh-CN"/>
        </w:rPr>
        <w:t>北厂界受交通噪声影响，昼间噪声预测值满足《工业企业厂界噪声排放标准》（GB12348-2008）中4类标准要求；夜间噪声预测前后无差别，北厂界夜间现状噪声不满足《工业企业厂界噪声排放标准》（GB12348-2008）中4类标准要求。</w:t>
      </w:r>
    </w:p>
    <w:p>
      <w:pPr>
        <w:pStyle w:val="7"/>
        <w:rPr>
          <w:rFonts w:hint="eastAsia" w:ascii="宋体" w:hAnsi="宋体" w:eastAsia="宋体" w:cs="宋体"/>
          <w:lang w:eastAsia="zh-CN"/>
        </w:rPr>
      </w:pPr>
      <w:r>
        <w:rPr>
          <w:rFonts w:hint="eastAsia" w:ascii="宋体" w:hAnsi="宋体" w:eastAsia="宋体" w:cs="宋体"/>
          <w:lang w:eastAsia="zh-CN"/>
        </w:rPr>
        <w:t>13.1.4 环境质量现状评价</w:t>
      </w:r>
    </w:p>
    <w:p>
      <w:pPr>
        <w:ind w:firstLine="560"/>
        <w:rPr>
          <w:rFonts w:hint="eastAsia" w:ascii="宋体" w:hAnsi="宋体" w:eastAsia="宋体" w:cs="宋体"/>
          <w:lang w:eastAsia="zh-CN"/>
        </w:rPr>
      </w:pPr>
      <w:r>
        <w:rPr>
          <w:rFonts w:hint="eastAsia" w:ascii="宋体" w:hAnsi="宋体" w:eastAsia="宋体" w:cs="宋体"/>
          <w:lang w:eastAsia="zh-CN"/>
        </w:rPr>
        <w:t>环境质量现状评价结果表明：</w:t>
      </w:r>
    </w:p>
    <w:p>
      <w:pPr>
        <w:pStyle w:val="2"/>
        <w:numPr>
          <w:ilvl w:val="0"/>
          <w:numId w:val="32"/>
        </w:numPr>
        <w:spacing w:after="0"/>
        <w:ind w:firstLine="560"/>
        <w:rPr>
          <w:rFonts w:hint="eastAsia" w:ascii="宋体" w:hAnsi="宋体" w:eastAsia="宋体" w:cs="宋体"/>
          <w:lang w:eastAsia="zh-CN"/>
        </w:rPr>
      </w:pPr>
      <w:r>
        <w:rPr>
          <w:rFonts w:hint="eastAsia" w:ascii="宋体" w:hAnsi="宋体" w:eastAsia="宋体" w:cs="宋体"/>
          <w:lang w:eastAsia="zh-CN"/>
        </w:rPr>
        <w:t>环境空气：项目所在为非达标区。</w:t>
      </w:r>
    </w:p>
    <w:p>
      <w:pPr>
        <w:numPr>
          <w:ilvl w:val="0"/>
          <w:numId w:val="32"/>
        </w:numPr>
        <w:ind w:firstLine="560"/>
        <w:rPr>
          <w:rFonts w:hint="eastAsia" w:ascii="宋体" w:hAnsi="宋体" w:eastAsia="宋体" w:cs="宋体"/>
          <w:lang w:eastAsia="zh-CN"/>
        </w:rPr>
      </w:pPr>
      <w:r>
        <w:rPr>
          <w:rFonts w:hint="eastAsia" w:ascii="宋体" w:hAnsi="宋体" w:eastAsia="宋体" w:cs="宋体"/>
          <w:lang w:eastAsia="zh-CN"/>
        </w:rPr>
        <w:t>地表水：沂河和龙王峪河断面部分硝酸盐(以N计）、全盐量、硫酸盐和溶解氧超标。主要受周边灌溉、种植、居民生活及上游地表排洪的影响，其他指标满足《地表水环境质量标准》（GB3838-2002）III类标准要求。</w:t>
      </w:r>
    </w:p>
    <w:p>
      <w:pPr>
        <w:numPr>
          <w:ilvl w:val="0"/>
          <w:numId w:val="32"/>
        </w:numPr>
        <w:ind w:firstLine="560"/>
        <w:rPr>
          <w:rFonts w:hint="eastAsia" w:ascii="宋体" w:hAnsi="宋体" w:eastAsia="宋体" w:cs="宋体"/>
          <w:lang w:eastAsia="zh-CN"/>
        </w:rPr>
      </w:pPr>
      <w:r>
        <w:rPr>
          <w:rFonts w:hint="eastAsia" w:ascii="宋体" w:hAnsi="宋体" w:eastAsia="宋体" w:cs="宋体"/>
          <w:lang w:eastAsia="zh-CN"/>
        </w:rPr>
        <w:t>地下水：本次环评监测中韩旺三村、耿家王峪和后文村的地下水水质指标均能满足《地下水质量标准》（GB/T 14848-2017）标准要求。</w:t>
      </w:r>
    </w:p>
    <w:p>
      <w:pPr>
        <w:pStyle w:val="16"/>
        <w:numPr>
          <w:ilvl w:val="0"/>
          <w:numId w:val="32"/>
        </w:numPr>
        <w:ind w:firstLine="560"/>
        <w:rPr>
          <w:rFonts w:hint="eastAsia" w:ascii="宋体" w:hAnsi="宋体" w:eastAsia="宋体" w:cs="宋体"/>
        </w:rPr>
      </w:pPr>
      <w:r>
        <w:rPr>
          <w:rFonts w:hint="eastAsia" w:ascii="宋体" w:hAnsi="宋体" w:eastAsia="宋体" w:cs="宋体"/>
        </w:rPr>
        <w:t>声环境：除鲁南矿业西厂界夜间噪声超标外，南厂界和北厂界均能满足《工业企业厂界环境噪声排放标准》（GB 12348-2008）限值要求，耿家林、崔家王峪噪声满足《声环境质量标准》（GB 3096-2008）限值要求。西厂界因靠近S234省道，主要受交通噪声影响。</w:t>
      </w:r>
    </w:p>
    <w:p>
      <w:pPr>
        <w:pStyle w:val="16"/>
        <w:numPr>
          <w:ilvl w:val="0"/>
          <w:numId w:val="32"/>
        </w:numPr>
        <w:ind w:firstLine="560"/>
        <w:rPr>
          <w:rFonts w:hint="eastAsia" w:ascii="宋体" w:hAnsi="宋体" w:eastAsia="宋体" w:cs="宋体"/>
        </w:rPr>
      </w:pPr>
      <w:r>
        <w:rPr>
          <w:rFonts w:hint="eastAsia" w:ascii="宋体" w:hAnsi="宋体" w:eastAsia="宋体" w:cs="宋体"/>
        </w:rPr>
        <w:t>土壤：工业场地及周边农用地土壤环境质量均满足《土壤环境质量 建设用地土壤污染风险管控标准（试行）》（GB36600-2018）表一中二类用地筛选值和《土壤环境质量 农用地土壤污染风险管控标准（试行）》（GB 15618-2018）的筛选值的要求。区域土壤环境质量能够满足项目建设的要求。</w:t>
      </w:r>
    </w:p>
    <w:p>
      <w:pPr>
        <w:pStyle w:val="16"/>
        <w:numPr>
          <w:ilvl w:val="0"/>
          <w:numId w:val="32"/>
        </w:numPr>
        <w:ind w:firstLine="560"/>
        <w:rPr>
          <w:rFonts w:hint="eastAsia" w:ascii="宋体" w:hAnsi="宋体" w:eastAsia="宋体" w:cs="宋体"/>
        </w:rPr>
      </w:pPr>
      <w:r>
        <w:rPr>
          <w:rFonts w:hint="eastAsia" w:ascii="宋体" w:hAnsi="宋体" w:eastAsia="宋体" w:cs="宋体"/>
        </w:rPr>
        <w:t>生态环境：</w:t>
      </w:r>
      <w:r>
        <w:rPr>
          <w:rFonts w:hint="eastAsia" w:ascii="宋体" w:hAnsi="宋体" w:cs="宋体"/>
          <w:lang w:eastAsia="zh-CN"/>
        </w:rPr>
        <w:t>本项目</w:t>
      </w:r>
      <w:r>
        <w:rPr>
          <w:rFonts w:hint="eastAsia" w:ascii="宋体" w:hAnsi="宋体" w:eastAsia="宋体" w:cs="宋体"/>
        </w:rPr>
        <w:t>所在地区属暖温带落叶阔叶林区。现有植被主要为农业的主要植被物种有小麦、玉米、苹果、桃等；林业的主要植被物种有松、杨、柳等。评价区内无国家保护动物和珍稀濒危动物。评价区域内有重要生态敏感区——山东沂水湿地国家湿地公园。</w:t>
      </w:r>
    </w:p>
    <w:p>
      <w:pPr>
        <w:pStyle w:val="16"/>
        <w:ind w:firstLine="560"/>
        <w:rPr>
          <w:rFonts w:hint="eastAsia" w:ascii="宋体" w:hAnsi="宋体" w:eastAsia="宋体" w:cs="宋体"/>
        </w:rPr>
      </w:pPr>
      <w:r>
        <w:rPr>
          <w:rFonts w:hint="eastAsia" w:ascii="宋体" w:hAnsi="宋体" w:eastAsia="宋体" w:cs="宋体"/>
        </w:rPr>
        <w:t>综上分析，</w:t>
      </w:r>
      <w:r>
        <w:rPr>
          <w:rFonts w:hint="eastAsia" w:ascii="宋体" w:hAnsi="宋体" w:cs="宋体"/>
          <w:lang w:eastAsia="zh-CN"/>
        </w:rPr>
        <w:t>本项目</w:t>
      </w:r>
      <w:r>
        <w:rPr>
          <w:rFonts w:hint="eastAsia" w:ascii="宋体" w:hAnsi="宋体" w:eastAsia="宋体" w:cs="宋体"/>
        </w:rPr>
        <w:t>周边环境质量状况适合项目的建设运行。</w:t>
      </w:r>
    </w:p>
    <w:p>
      <w:pPr>
        <w:pStyle w:val="7"/>
        <w:rPr>
          <w:rFonts w:hint="eastAsia" w:ascii="宋体" w:hAnsi="宋体" w:eastAsia="宋体" w:cs="宋体"/>
          <w:lang w:eastAsia="zh-CN"/>
        </w:rPr>
      </w:pPr>
      <w:r>
        <w:rPr>
          <w:rFonts w:hint="eastAsia" w:ascii="宋体" w:hAnsi="宋体" w:eastAsia="宋体" w:cs="宋体"/>
          <w:lang w:eastAsia="zh-CN"/>
        </w:rPr>
        <w:t>13.1.6 环境影响预测与评价</w:t>
      </w:r>
    </w:p>
    <w:p>
      <w:pPr>
        <w:pStyle w:val="2"/>
        <w:keepNext w:val="0"/>
        <w:keepLines w:val="0"/>
        <w:pageBreakBefore w:val="0"/>
        <w:widowControl w:val="0"/>
        <w:kinsoku/>
        <w:wordWrap/>
        <w:overflowPunct/>
        <w:topLinePunct w:val="0"/>
        <w:autoSpaceDE w:val="0"/>
        <w:autoSpaceDN w:val="0"/>
        <w:bidi w:val="0"/>
        <w:adjustRightInd/>
        <w:snapToGrid/>
        <w:spacing w:after="0"/>
        <w:ind w:firstLine="560"/>
        <w:textAlignment w:val="auto"/>
        <w:rPr>
          <w:rFonts w:hint="eastAsia" w:ascii="宋体" w:hAnsi="宋体" w:eastAsia="宋体" w:cs="宋体"/>
          <w:highlight w:val="none"/>
          <w:lang w:eastAsia="zh-CN"/>
        </w:rPr>
      </w:pPr>
      <w:r>
        <w:rPr>
          <w:rFonts w:hint="eastAsia" w:ascii="宋体" w:hAnsi="宋体" w:eastAsia="宋体" w:cs="宋体"/>
          <w:highlight w:val="none"/>
          <w:lang w:eastAsia="zh-CN"/>
        </w:rPr>
        <w:t>根据本次环评环境影响预测：</w:t>
      </w:r>
    </w:p>
    <w:p>
      <w:pPr>
        <w:ind w:firstLine="560"/>
        <w:rPr>
          <w:rFonts w:hint="eastAsia" w:ascii="宋体" w:hAnsi="宋体" w:eastAsia="宋体" w:cs="宋体"/>
          <w:highlight w:val="none"/>
          <w:lang w:eastAsia="zh-CN"/>
        </w:rPr>
      </w:pPr>
      <w:r>
        <w:rPr>
          <w:rFonts w:hint="eastAsia" w:ascii="宋体" w:hAnsi="宋体" w:eastAsia="宋体" w:cs="宋体"/>
          <w:highlight w:val="none"/>
          <w:lang w:eastAsia="zh-CN"/>
        </w:rPr>
        <w:t>（1）环境空气：在100%保证率下，</w:t>
      </w:r>
      <w:r>
        <w:rPr>
          <w:rFonts w:hint="eastAsia" w:cs="宋体"/>
          <w:highlight w:val="none"/>
          <w:lang w:eastAsia="zh-CN"/>
        </w:rPr>
        <w:t>本项目</w:t>
      </w:r>
      <w:r>
        <w:rPr>
          <w:rFonts w:hint="eastAsia" w:ascii="宋体" w:hAnsi="宋体" w:eastAsia="宋体" w:cs="宋体"/>
          <w:highlight w:val="none"/>
          <w:lang w:eastAsia="zh-CN"/>
        </w:rPr>
        <w:t>污染源对各预测关心点、网格点TSP日均、年均浓度贡献值满足《环境空气质量标准》(GB3095-2012)中二级标准限值要求。大气环境影响预测范围内各预测关心点TSP日均环境影响叠加浓度满足《环境空气质量标准》(GB3095-2012)二级标准限值要求。</w:t>
      </w:r>
      <w:r>
        <w:rPr>
          <w:rFonts w:hint="eastAsia" w:cs="宋体"/>
          <w:highlight w:val="none"/>
          <w:lang w:eastAsia="zh-CN"/>
        </w:rPr>
        <w:t>本项目</w:t>
      </w:r>
      <w:r>
        <w:rPr>
          <w:rFonts w:hint="eastAsia" w:ascii="宋体" w:hAnsi="宋体" w:eastAsia="宋体" w:cs="宋体"/>
          <w:highlight w:val="none"/>
          <w:lang w:eastAsia="zh-CN"/>
        </w:rPr>
        <w:t>大气环境影响符合环境空气功能区划，新增污染源与监测值叠加后，各污染物均满足环境功能区划的要求。</w:t>
      </w:r>
    </w:p>
    <w:p>
      <w:pPr>
        <w:pStyle w:val="16"/>
        <w:ind w:firstLine="560"/>
        <w:rPr>
          <w:rFonts w:hint="eastAsia" w:ascii="宋体" w:hAnsi="宋体" w:eastAsia="宋体" w:cs="宋体"/>
        </w:rPr>
      </w:pPr>
      <w:r>
        <w:rPr>
          <w:rFonts w:hint="eastAsia" w:ascii="宋体" w:hAnsi="宋体" w:eastAsia="宋体" w:cs="宋体"/>
        </w:rPr>
        <w:t>（2）地表水：矿井涌水正常情况下全部综合利用，不外排，非正常情况下，由地面涌水池、井下水仓暂存，确保涌水不外排。项目废水均能得到有效处理，对周边地表水环境影响较小。</w:t>
      </w:r>
    </w:p>
    <w:p>
      <w:pPr>
        <w:pStyle w:val="16"/>
        <w:ind w:firstLine="560"/>
        <w:rPr>
          <w:rFonts w:hint="eastAsia" w:ascii="宋体" w:hAnsi="宋体" w:eastAsia="宋体" w:cs="宋体"/>
        </w:rPr>
      </w:pPr>
      <w:r>
        <w:rPr>
          <w:rFonts w:hint="eastAsia" w:ascii="宋体" w:hAnsi="宋体" w:eastAsia="宋体" w:cs="宋体"/>
        </w:rPr>
        <w:t>（3）地下水：</w:t>
      </w:r>
      <w:r>
        <w:rPr>
          <w:rFonts w:hint="eastAsia" w:ascii="宋体" w:hAnsi="宋体" w:cs="宋体"/>
          <w:lang w:eastAsia="zh-CN"/>
        </w:rPr>
        <w:t>本项目</w:t>
      </w:r>
      <w:r>
        <w:rPr>
          <w:rFonts w:hint="eastAsia" w:ascii="宋体" w:hAnsi="宋体" w:eastAsia="宋体" w:cs="宋体"/>
        </w:rPr>
        <w:t>矿井涌水、生活废水等在采取本此环评提出的有效防渗措施前提下，</w:t>
      </w:r>
      <w:r>
        <w:rPr>
          <w:rFonts w:hint="eastAsia" w:ascii="宋体" w:hAnsi="宋体" w:cs="宋体"/>
          <w:lang w:eastAsia="zh-CN"/>
        </w:rPr>
        <w:t>本项目</w:t>
      </w:r>
      <w:r>
        <w:rPr>
          <w:rFonts w:hint="eastAsia" w:ascii="宋体" w:hAnsi="宋体" w:eastAsia="宋体" w:cs="宋体"/>
        </w:rPr>
        <w:t>地下开采会导致泰山群变质岩裂隙含水岩层水位降低。不会影响周边居民生活饮水水（取自第四系冲洪积层）。</w:t>
      </w:r>
    </w:p>
    <w:p>
      <w:pPr>
        <w:pStyle w:val="16"/>
        <w:ind w:firstLine="560"/>
        <w:rPr>
          <w:rFonts w:hint="eastAsia" w:ascii="宋体" w:hAnsi="宋体" w:eastAsia="宋体" w:cs="宋体"/>
        </w:rPr>
      </w:pPr>
      <w:r>
        <w:rPr>
          <w:rFonts w:hint="eastAsia" w:ascii="宋体" w:hAnsi="宋体" w:eastAsia="宋体" w:cs="宋体"/>
        </w:rPr>
        <w:t>（4）声环境：预测结果表明，</w:t>
      </w:r>
      <w:r>
        <w:rPr>
          <w:rFonts w:hint="eastAsia" w:ascii="宋体" w:hAnsi="宋体" w:cs="宋体"/>
          <w:lang w:eastAsia="zh-CN"/>
        </w:rPr>
        <w:t>本项目</w:t>
      </w:r>
      <w:r>
        <w:rPr>
          <w:rFonts w:hint="eastAsia" w:ascii="宋体" w:hAnsi="宋体" w:eastAsia="宋体" w:cs="宋体"/>
        </w:rPr>
        <w:t>营运后厂界噪声排放不会对周围声环境产生太大的影响。爆破点至地表建筑物最近距离为130m，可满足爆破振动安全距离（123.9m）要求，对地面建筑物影响较小。</w:t>
      </w:r>
    </w:p>
    <w:p>
      <w:pPr>
        <w:pStyle w:val="16"/>
        <w:ind w:firstLine="560"/>
        <w:rPr>
          <w:rFonts w:hint="eastAsia" w:ascii="宋体" w:hAnsi="宋体" w:eastAsia="宋体" w:cs="宋体"/>
        </w:rPr>
      </w:pPr>
      <w:r>
        <w:rPr>
          <w:rFonts w:hint="eastAsia" w:ascii="宋体" w:hAnsi="宋体" w:eastAsia="宋体" w:cs="宋体"/>
        </w:rPr>
        <w:t>（5）土壤环境：通过预测评价，</w:t>
      </w:r>
      <w:r>
        <w:rPr>
          <w:rFonts w:hint="eastAsia" w:ascii="宋体" w:hAnsi="宋体" w:cs="宋体"/>
          <w:lang w:eastAsia="zh-CN"/>
        </w:rPr>
        <w:t>本项目</w:t>
      </w:r>
      <w:r>
        <w:rPr>
          <w:rFonts w:hint="eastAsia" w:ascii="宋体" w:hAnsi="宋体" w:eastAsia="宋体" w:cs="宋体"/>
        </w:rPr>
        <w:t>运行期对周边土壤环境影响较小，</w:t>
      </w:r>
      <w:r>
        <w:rPr>
          <w:rFonts w:hint="eastAsia" w:ascii="宋体" w:hAnsi="宋体" w:cs="宋体"/>
          <w:lang w:eastAsia="zh-CN"/>
        </w:rPr>
        <w:t>本项目</w:t>
      </w:r>
      <w:r>
        <w:rPr>
          <w:rFonts w:hint="eastAsia" w:ascii="宋体" w:hAnsi="宋体" w:eastAsia="宋体" w:cs="宋体"/>
        </w:rPr>
        <w:t>采取了相应的土壤防控措施。在落实好土壤防控措施的情况下，项目土壤环境影响可控，从土壤环境影响的角度，项目建设可行。</w:t>
      </w:r>
    </w:p>
    <w:p>
      <w:pPr>
        <w:pStyle w:val="16"/>
        <w:ind w:firstLine="560"/>
        <w:rPr>
          <w:rFonts w:hint="eastAsia" w:ascii="宋体" w:hAnsi="宋体" w:eastAsia="宋体" w:cs="宋体"/>
        </w:rPr>
      </w:pPr>
      <w:r>
        <w:rPr>
          <w:rFonts w:hint="eastAsia" w:ascii="宋体" w:hAnsi="宋体" w:eastAsia="宋体" w:cs="宋体"/>
        </w:rPr>
        <w:t>（6）生态：根据现场勘查矿区范围内动植物主要为该区常见、广布种，未发现濒危珍稀保护动植物分布。矿区采用废石、尾砂胶结充填的方法可以有效控制地表变形，引发采空塌陷及地表裂缝的可能性极小。本次扩能工程新增地面工程占地均为工况用地，不会造成明显的土地利用情况的变化，对区域景观、动植物和生态环境影响较小。</w:t>
      </w:r>
    </w:p>
    <w:p>
      <w:pPr>
        <w:pStyle w:val="16"/>
        <w:ind w:firstLine="560"/>
        <w:rPr>
          <w:rFonts w:hint="eastAsia" w:ascii="宋体" w:hAnsi="宋体" w:eastAsia="宋体" w:cs="宋体"/>
        </w:rPr>
      </w:pPr>
      <w:r>
        <w:rPr>
          <w:rFonts w:hint="eastAsia" w:ascii="宋体" w:hAnsi="宋体" w:eastAsia="宋体" w:cs="宋体"/>
        </w:rPr>
        <w:t>（7）固废：</w:t>
      </w:r>
      <w:r>
        <w:rPr>
          <w:rFonts w:hint="eastAsia" w:ascii="宋体" w:hAnsi="宋体" w:cs="宋体"/>
          <w:lang w:eastAsia="zh-CN"/>
        </w:rPr>
        <w:t>本项目</w:t>
      </w:r>
      <w:r>
        <w:rPr>
          <w:rFonts w:hint="eastAsia" w:ascii="宋体" w:hAnsi="宋体" w:eastAsia="宋体" w:cs="宋体"/>
        </w:rPr>
        <w:t>固体废物主要是采矿废石、井下水仓沉淀污泥、涌水池沉淀污泥、机修废物等。废石用于井下充填不出井；井下水仓污泥直接回填采空区；机修废物及时收集暂存至危险废物暂存间，并委托有资质单位处置。</w:t>
      </w:r>
    </w:p>
    <w:p>
      <w:pPr>
        <w:pStyle w:val="16"/>
        <w:ind w:firstLine="560"/>
        <w:rPr>
          <w:rFonts w:hint="eastAsia" w:ascii="宋体" w:hAnsi="宋体" w:eastAsia="宋体" w:cs="宋体"/>
        </w:rPr>
      </w:pPr>
      <w:r>
        <w:rPr>
          <w:rFonts w:hint="eastAsia" w:ascii="宋体" w:hAnsi="宋体" w:eastAsia="宋体" w:cs="宋体"/>
        </w:rPr>
        <w:t>（8）环境风险：</w:t>
      </w:r>
      <w:r>
        <w:rPr>
          <w:rFonts w:hint="eastAsia" w:ascii="宋体" w:hAnsi="宋体" w:cs="宋体"/>
          <w:lang w:eastAsia="zh-CN"/>
        </w:rPr>
        <w:t>本项目</w:t>
      </w:r>
      <w:r>
        <w:rPr>
          <w:rFonts w:hint="eastAsia" w:ascii="宋体" w:hAnsi="宋体" w:eastAsia="宋体" w:cs="宋体"/>
        </w:rPr>
        <w:t>可能出现的环境风险事故主要是炸药爆炸，地下水透水，地面坍塌，管线泄露等。企业制定了详细的风险事故防范措施、风险应急预案、事故应急处理措施、环境风险监测。在落实环评提出的环境风险防范措施并加强风险管理后，项目环境风险概率较小，处于可接受水平。</w:t>
      </w:r>
    </w:p>
    <w:p>
      <w:pPr>
        <w:pStyle w:val="7"/>
        <w:rPr>
          <w:rFonts w:hint="eastAsia" w:ascii="宋体" w:hAnsi="宋体" w:eastAsia="宋体" w:cs="宋体"/>
          <w:lang w:eastAsia="zh-CN"/>
        </w:rPr>
      </w:pPr>
      <w:r>
        <w:rPr>
          <w:rFonts w:hint="eastAsia" w:ascii="宋体" w:hAnsi="宋体" w:eastAsia="宋体" w:cs="宋体"/>
          <w:lang w:eastAsia="zh-CN"/>
        </w:rPr>
        <w:t>13.1.7 地质环境影响评价</w:t>
      </w:r>
    </w:p>
    <w:p>
      <w:pPr>
        <w:pStyle w:val="16"/>
        <w:ind w:firstLine="560"/>
        <w:rPr>
          <w:rFonts w:hint="eastAsia" w:ascii="宋体" w:hAnsi="宋体" w:eastAsia="宋体" w:cs="宋体"/>
        </w:rPr>
      </w:pPr>
      <w:r>
        <w:rPr>
          <w:rFonts w:hint="eastAsia" w:ascii="宋体" w:hAnsi="宋体" w:eastAsia="宋体" w:cs="宋体"/>
        </w:rPr>
        <w:t>在现状评估基础上根据矿产资源开采规划、采矿地质环境特征将评估区确定为影响严重区，预测采矿活动引发地质环境问题危害性小，含水层影响严重，地形地貌景观和土地资源影响较轻。</w:t>
      </w:r>
    </w:p>
    <w:p>
      <w:pPr>
        <w:pStyle w:val="7"/>
        <w:rPr>
          <w:rFonts w:hint="eastAsia" w:ascii="宋体" w:hAnsi="宋体" w:eastAsia="宋体" w:cs="宋体"/>
          <w:lang w:eastAsia="zh-CN"/>
        </w:rPr>
      </w:pPr>
      <w:r>
        <w:rPr>
          <w:rFonts w:hint="eastAsia" w:ascii="宋体" w:hAnsi="宋体" w:eastAsia="宋体" w:cs="宋体"/>
          <w:lang w:eastAsia="zh-CN"/>
        </w:rPr>
        <w:t>13.1.8 环境保护措施及技术经济分析</w:t>
      </w:r>
    </w:p>
    <w:p>
      <w:pPr>
        <w:pStyle w:val="16"/>
        <w:ind w:firstLine="560"/>
        <w:rPr>
          <w:rFonts w:hint="eastAsia" w:ascii="宋体" w:hAnsi="宋体" w:eastAsia="宋体" w:cs="宋体"/>
        </w:rPr>
      </w:pPr>
      <w:r>
        <w:rPr>
          <w:rFonts w:hint="eastAsia" w:ascii="宋体" w:hAnsi="宋体" w:eastAsia="宋体" w:cs="宋体"/>
        </w:rPr>
        <w:t>本工程所采取的各类环境保护措施在技术上是可行的，经济上是合理的，处理效果稳定可靠，能够确保本工程污染物达标排放。</w:t>
      </w:r>
    </w:p>
    <w:p>
      <w:pPr>
        <w:pStyle w:val="7"/>
        <w:rPr>
          <w:rFonts w:hint="eastAsia" w:ascii="宋体" w:hAnsi="宋体" w:eastAsia="宋体" w:cs="宋体"/>
          <w:lang w:eastAsia="zh-CN"/>
        </w:rPr>
      </w:pPr>
      <w:r>
        <w:rPr>
          <w:rFonts w:hint="eastAsia" w:ascii="宋体" w:hAnsi="宋体" w:eastAsia="宋体" w:cs="宋体"/>
          <w:lang w:eastAsia="zh-CN"/>
        </w:rPr>
        <w:t>13.1.9 总量控制</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建成后，废水排放为零，无需申请COD、氨氮总量指标。</w:t>
      </w:r>
    </w:p>
    <w:p>
      <w:pPr>
        <w:pStyle w:val="16"/>
        <w:ind w:firstLine="560"/>
        <w:rPr>
          <w:rFonts w:hint="eastAsia" w:ascii="宋体" w:hAnsi="宋体" w:eastAsia="宋体" w:cs="宋体"/>
        </w:rPr>
      </w:pPr>
      <w:r>
        <w:rPr>
          <w:rFonts w:hint="eastAsia" w:ascii="宋体" w:hAnsi="宋体" w:cs="宋体"/>
          <w:lang w:eastAsia="zh-CN"/>
        </w:rPr>
        <w:t>本项目</w:t>
      </w:r>
      <w:r>
        <w:rPr>
          <w:rFonts w:hint="eastAsia" w:ascii="宋体" w:hAnsi="宋体" w:eastAsia="宋体" w:cs="宋体"/>
        </w:rPr>
        <w:t>排放颗粒物污染物排放量为</w:t>
      </w:r>
      <w:r>
        <w:rPr>
          <w:rFonts w:hint="eastAsia" w:ascii="宋体" w:hAnsi="宋体" w:cs="宋体"/>
          <w:lang w:val="en-US" w:eastAsia="zh-CN"/>
        </w:rPr>
        <w:t>0.10</w:t>
      </w:r>
      <w:r>
        <w:rPr>
          <w:rFonts w:hint="eastAsia" w:ascii="宋体" w:hAnsi="宋体" w:eastAsia="宋体" w:cs="宋体"/>
        </w:rPr>
        <w:t>t/a，无二氧化硫、氮氧化物、挥发性有机物排放。</w:t>
      </w:r>
    </w:p>
    <w:p>
      <w:pPr>
        <w:pStyle w:val="6"/>
        <w:rPr>
          <w:rFonts w:hint="eastAsia" w:ascii="宋体" w:hAnsi="宋体" w:eastAsia="宋体" w:cs="宋体"/>
          <w:lang w:eastAsia="zh-CN"/>
        </w:rPr>
      </w:pPr>
      <w:bookmarkStart w:id="247" w:name="_Toc7398"/>
      <w:bookmarkStart w:id="248" w:name="_Toc10062"/>
      <w:r>
        <w:rPr>
          <w:rFonts w:hint="eastAsia" w:ascii="宋体" w:hAnsi="宋体" w:eastAsia="宋体" w:cs="宋体"/>
          <w:lang w:eastAsia="zh-CN"/>
        </w:rPr>
        <w:t>13.2 结论</w:t>
      </w:r>
      <w:bookmarkEnd w:id="247"/>
      <w:bookmarkEnd w:id="248"/>
    </w:p>
    <w:p>
      <w:pPr>
        <w:pStyle w:val="16"/>
        <w:ind w:firstLine="560"/>
        <w:rPr>
          <w:rFonts w:hint="eastAsia" w:ascii="宋体" w:hAnsi="宋体" w:eastAsia="宋体" w:cs="宋体"/>
        </w:rPr>
      </w:pPr>
      <w:r>
        <w:rPr>
          <w:rFonts w:hint="eastAsia" w:ascii="宋体" w:hAnsi="宋体" w:eastAsia="宋体" w:cs="宋体"/>
        </w:rPr>
        <w:t>莱钢集团鲁南矿业有限公司露天转地下开采工程（二期/扩界）项目符合国家、山东省产业政策要求；选址符合当地城市总体规划、矿产资源规划的要求；环境保护措施经济可靠，产生的污染、生态影响均得到有效控制，对环境影响较轻；采用废石和尾砂胶结充填采矿法，造成地表塌陷的可能较小；项目污染物排放少，符合达标排放、总量控制的基本原则；群众支持率高，可实现经济、社会、环境三效益的协调统一。从环境保护角度分析，在保证落实本报告提出的环保措施前提下，莱钢集团鲁南矿业有限公司露天转地下开采工程（二期/扩界）项目的建设是可行的。</w:t>
      </w:r>
    </w:p>
    <w:p>
      <w:pPr>
        <w:pStyle w:val="6"/>
        <w:rPr>
          <w:rFonts w:hint="eastAsia" w:ascii="宋体" w:hAnsi="宋体" w:eastAsia="宋体" w:cs="宋体"/>
          <w:lang w:eastAsia="zh-CN"/>
        </w:rPr>
      </w:pPr>
      <w:bookmarkStart w:id="249" w:name="_Toc7969"/>
      <w:bookmarkStart w:id="250" w:name="_Toc9251"/>
      <w:r>
        <w:rPr>
          <w:rFonts w:hint="eastAsia" w:ascii="宋体" w:hAnsi="宋体" w:eastAsia="宋体" w:cs="宋体"/>
          <w:lang w:eastAsia="zh-CN"/>
        </w:rPr>
        <w:t>13.3 建议</w:t>
      </w:r>
      <w:bookmarkEnd w:id="249"/>
      <w:bookmarkEnd w:id="250"/>
    </w:p>
    <w:p>
      <w:pPr>
        <w:ind w:firstLine="560"/>
        <w:rPr>
          <w:rFonts w:hint="eastAsia" w:ascii="宋体" w:hAnsi="宋体" w:eastAsia="宋体" w:cs="宋体"/>
          <w:lang w:eastAsia="zh-CN"/>
        </w:rPr>
      </w:pPr>
      <w:r>
        <w:rPr>
          <w:rFonts w:hint="eastAsia" w:ascii="宋体" w:hAnsi="宋体" w:eastAsia="宋体" w:cs="宋体"/>
          <w:lang w:eastAsia="zh-CN"/>
        </w:rPr>
        <w:t>（1）企业应切实落实本报告提出的各项环保设施，并加强对其的监督管理，确保正常运行；实施本报告书提出的环境管理和监测计划；</w:t>
      </w:r>
    </w:p>
    <w:p>
      <w:pPr>
        <w:ind w:firstLine="560"/>
        <w:rPr>
          <w:rFonts w:hint="eastAsia" w:ascii="宋体" w:hAnsi="宋体" w:eastAsia="宋体" w:cs="宋体"/>
          <w:lang w:eastAsia="zh-CN"/>
        </w:rPr>
      </w:pPr>
      <w:r>
        <w:rPr>
          <w:rFonts w:hint="eastAsia" w:ascii="宋体" w:hAnsi="宋体" w:eastAsia="宋体" w:cs="宋体"/>
          <w:lang w:eastAsia="zh-CN"/>
        </w:rPr>
        <w:t>（2）企业应加强矿石管理，及时选矿，减少矿石临时堆场的存贮时间；</w:t>
      </w:r>
    </w:p>
    <w:p>
      <w:pPr>
        <w:ind w:firstLine="560"/>
        <w:rPr>
          <w:rFonts w:hint="eastAsia" w:ascii="宋体" w:hAnsi="宋体" w:eastAsia="宋体" w:cs="宋体"/>
          <w:lang w:eastAsia="zh-CN"/>
        </w:rPr>
      </w:pPr>
      <w:r>
        <w:rPr>
          <w:rFonts w:hint="eastAsia" w:ascii="宋体" w:hAnsi="宋体" w:eastAsia="宋体" w:cs="宋体"/>
          <w:lang w:eastAsia="zh-CN"/>
        </w:rPr>
        <w:t>（3）建设单位及时与周边村庄居民沟通，了解村民反映的问题，并采取相应措施，减少对公众的不利影响；</w:t>
      </w:r>
    </w:p>
    <w:p>
      <w:pPr>
        <w:ind w:firstLine="560"/>
        <w:rPr>
          <w:rFonts w:hint="eastAsia" w:ascii="宋体" w:hAnsi="宋体" w:eastAsia="宋体" w:cs="宋体"/>
          <w:lang w:eastAsia="zh-CN"/>
        </w:rPr>
      </w:pPr>
      <w:r>
        <w:rPr>
          <w:rFonts w:hint="eastAsia" w:ascii="宋体" w:hAnsi="宋体" w:eastAsia="宋体" w:cs="宋体"/>
          <w:lang w:eastAsia="zh-CN"/>
        </w:rPr>
        <w:t>（4）建设单位营运过程中，应优先考虑当地农民就业问题，促进当地公众经济收入，提高居民生活水平。</w:t>
      </w:r>
    </w:p>
    <w:p>
      <w:pPr>
        <w:ind w:firstLine="560"/>
        <w:rPr>
          <w:rFonts w:hint="eastAsia" w:ascii="宋体" w:hAnsi="宋体" w:eastAsia="宋体" w:cs="宋体"/>
          <w:lang w:eastAsia="zh-CN"/>
        </w:rPr>
      </w:pPr>
      <w:r>
        <w:rPr>
          <w:rFonts w:hint="eastAsia" w:ascii="宋体" w:hAnsi="宋体" w:eastAsia="宋体" w:cs="宋体"/>
          <w:lang w:eastAsia="zh-CN"/>
        </w:rPr>
        <w:t>（5）生态保护是矿山工作的重点。项目应严格落实水土保持、土地复垦、地质保护与恢复治理方案中的措施，避免生态问题的恶化，减少水土流失和地质灾害影响。</w:t>
      </w:r>
    </w:p>
    <w:p>
      <w:pPr>
        <w:pStyle w:val="16"/>
        <w:ind w:firstLine="560"/>
        <w:rPr>
          <w:rFonts w:hint="eastAsia" w:ascii="宋体" w:hAnsi="宋体" w:eastAsia="宋体" w:cs="宋体"/>
        </w:rPr>
      </w:pPr>
    </w:p>
    <w:sectPr>
      <w:pgSz w:w="11906" w:h="16838"/>
      <w:pgMar w:top="1417" w:right="1247" w:bottom="1247" w:left="1587" w:header="850" w:footer="850" w:gutter="0"/>
      <w:pgBorders>
        <w:top w:val="none" w:sz="0" w:space="0"/>
        <w:left w:val="none" w:sz="0" w:space="0"/>
        <w:bottom w:val="none" w:sz="0" w:space="0"/>
        <w:right w:val="none" w:sz="0" w:space="0"/>
      </w:pgBorders>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方正书宋简体">
    <w:altName w:val="宋体"/>
    <w:panose1 w:val="00000000000000000000"/>
    <w:charset w:val="86"/>
    <w:family w:val="auto"/>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简综艺">
    <w:altName w:val="宋体"/>
    <w:panose1 w:val="00000000000000000000"/>
    <w:charset w:val="86"/>
    <w:family w:val="modern"/>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Arial Narrow">
    <w:altName w:val="Arial"/>
    <w:panose1 w:val="020B0606020202030204"/>
    <w:charset w:val="00"/>
    <w:family w:val="swiss"/>
    <w:pitch w:val="default"/>
    <w:sig w:usb0="00000000" w:usb1="00000000" w:usb2="00000000" w:usb3="00000000" w:csb0="2000009F" w:csb1="DFD70000"/>
  </w:font>
  <w:font w:name="微软雅黑">
    <w:panose1 w:val="020B0503020204020204"/>
    <w:charset w:val="86"/>
    <w:family w:val="auto"/>
    <w:pitch w:val="default"/>
    <w:sig w:usb0="80000287" w:usb1="280F3C52" w:usb2="00000016" w:usb3="00000000" w:csb0="0004001F" w:csb1="00000000"/>
  </w:font>
  <w:font w:name="Meiryo">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lang w:eastAsia="zh-CN"/>
      </w:rPr>
      <mc:AlternateContent>
        <mc:Choice Requires="wps">
          <w:drawing>
            <wp:anchor distT="0" distB="0" distL="114300" distR="114300" simplePos="0" relativeHeight="251788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88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pStyle w:val="18"/>
                      <w:ind w:firstLine="360"/>
                    </w:pP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4560" w:firstLineChars="1900"/>
      <w:rPr>
        <w:rFonts w:ascii="楷体_GB2312" w:hAnsi="楷体_GB2312" w:eastAsia="楷体_GB2312" w:cs="楷体_GB2312"/>
      </w:rPr>
    </w:pPr>
    <w:r>
      <w:rPr>
        <w:sz w:val="24"/>
      </w:rPr>
      <mc:AlternateContent>
        <mc:Choice Requires="wps">
          <w:drawing>
            <wp:anchor distT="0" distB="0" distL="114300" distR="114300" simplePos="0" relativeHeight="2518149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49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CgfQw0AgAAZQQAAA4AAABkcnMvZTJvRG9jLnhtbK1UzY7TMBC+I/EO&#10;lu80adGu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99e5d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goH0MNAIAAGUEAAAOAAAAAAAAAAEAIAAAAB8BAABkcnMvZTJvRG9jLnhtbFBL&#10;BQYAAAAABgAGAFkBAADF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sz w:val="18"/>
      </w:rPr>
      <mc:AlternateContent>
        <mc:Choice Requires="wps">
          <w:drawing>
            <wp:anchor distT="0" distB="0" distL="114300" distR="114300" simplePos="0" relativeHeight="2518159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59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xir3I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r>
      <w:rPr>
        <w:lang w:eastAsia="zh-CN"/>
      </w:rPr>
      <mc:AlternateContent>
        <mc:Choice Requires="wps">
          <w:drawing>
            <wp:anchor distT="0" distB="0" distL="114300" distR="114300" simplePos="0" relativeHeight="251808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8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pPr>
                      <w:pStyle w:val="18"/>
                      <w:ind w:firstLine="360"/>
                    </w:pP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4560" w:firstLineChars="1900"/>
      <w:rPr>
        <w:rFonts w:ascii="楷体_GB2312" w:hAnsi="楷体_GB2312" w:eastAsia="楷体_GB2312" w:cs="楷体_GB2312"/>
      </w:rPr>
    </w:pPr>
    <w:r>
      <w:rPr>
        <w:sz w:val="24"/>
      </w:rPr>
      <mc:AlternateContent>
        <mc:Choice Requires="wps">
          <w:drawing>
            <wp:anchor distT="0" distB="0" distL="114300" distR="114300" simplePos="0" relativeHeight="2518169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69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feMe4zAgAAZQ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feMe4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sz w:val="18"/>
      </w:rPr>
      <mc:AlternateContent>
        <mc:Choice Requires="wps">
          <w:drawing>
            <wp:anchor distT="0" distB="0" distL="114300" distR="114300" simplePos="0" relativeHeight="2518179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79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hHZsDICAABl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V</w:t>
                    </w:r>
                    <w:r>
                      <w:fldChar w:fldCharType="end"/>
                    </w:r>
                  </w:p>
                </w:txbxContent>
              </v:textbox>
            </v:shape>
          </w:pict>
        </mc:Fallback>
      </mc:AlternateContent>
    </w:r>
    <w:r>
      <w:rPr>
        <w:lang w:eastAsia="zh-CN"/>
      </w:rPr>
      <mc:AlternateContent>
        <mc:Choice Requires="wps">
          <w:drawing>
            <wp:anchor distT="0" distB="0" distL="114300" distR="114300" simplePos="0" relativeHeight="251809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9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pPr>
                      <w:pStyle w:val="18"/>
                      <w:ind w:firstLine="360"/>
                    </w:pP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4560" w:firstLineChars="1900"/>
      <w:rPr>
        <w:rFonts w:ascii="楷体_GB2312" w:hAnsi="楷体_GB2312" w:eastAsia="楷体_GB2312" w:cs="楷体_GB2312"/>
      </w:rPr>
    </w:pPr>
    <w:r>
      <w:rPr>
        <w:sz w:val="24"/>
      </w:rPr>
      <mc:AlternateContent>
        <mc:Choice Requires="wps">
          <w:drawing>
            <wp:anchor distT="0" distB="0" distL="114300" distR="114300" simplePos="0" relativeHeight="2518190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90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tRywz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K3lBimUfLTj++n&#10;nw+nX99IOoREjQszRN47xMb2nW0RPpwHHCbmbeV1+oITgR8CHy8CizYSni5NJ9NpDheHb9gAP3u8&#10;7nyI74XVJBkF9ahgJyw7bELsQ4eQlM3YtVSqq6IypCno1es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GtRyw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楷体_GB2312" w:hAnsi="楷体_GB2312" w:eastAsia="楷体_GB2312" w:cs="楷体_GB2312"/>
        <w:bCs/>
        <w:color w:val="000000"/>
        <w:spacing w:val="2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84192" behindDoc="0" locked="0" layoutInCell="1" allowOverlap="1">
              <wp:simplePos x="0" y="0"/>
              <wp:positionH relativeFrom="margin">
                <wp:posOffset>5605780</wp:posOffset>
              </wp:positionH>
              <wp:positionV relativeFrom="paragraph">
                <wp:posOffset>48895</wp:posOffset>
              </wp:positionV>
              <wp:extent cx="188595" cy="290195"/>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8595" cy="290195"/>
                      </a:xfrm>
                      <a:prstGeom prst="rect">
                        <a:avLst/>
                      </a:prstGeom>
                      <a:noFill/>
                      <a:ln w="6350">
                        <a:noFill/>
                      </a:ln>
                      <a:effectLst/>
                    </wps:spPr>
                    <wps:txbx>
                      <w:txbxContent>
                        <w:p>
                          <w:pPr>
                            <w:pStyle w:val="18"/>
                            <w:spacing w:line="240" w:lineRule="auto"/>
                            <w:ind w:firstLine="0" w:firstLineChars="0"/>
                            <w:rPr>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9</w:t>
                          </w:r>
                          <w:r>
                            <w:rPr>
                              <w:rFonts w:hint="eastAsia"/>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41.4pt;margin-top:3.85pt;height:22.85pt;width:14.85pt;mso-position-horizontal-relative:margin;z-index:251784192;mso-width-relative:page;mso-height-relative:page;" filled="f" stroked="f" coordsize="21600,21600" o:gfxdata="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pZzFy1wAAAAgBAAAPAAAAAAAAAAEAIAAAACIAAABkcnMvZG93bnJl&#10;di54bWxQSwECFAAUAAAACACHTuJAZse22TcCAABjBAAADgAAAAAAAAABACAAAAAmAQAAZHJzL2Uy&#10;b0RvYy54bWxQSwUGAAAAAAYABgBZAQAAzwUAAAAA&#10;">
              <v:fill on="f" focussize="0,0"/>
              <v:stroke on="f" weight="0.5pt"/>
              <v:imagedata o:title=""/>
              <o:lock v:ext="edit" aspectratio="f"/>
              <v:textbox inset="0mm,0mm,0mm,0mm">
                <w:txbxContent>
                  <w:p>
                    <w:pPr>
                      <w:pStyle w:val="18"/>
                      <w:spacing w:line="240" w:lineRule="auto"/>
                      <w:ind w:firstLine="0" w:firstLineChars="0"/>
                      <w:rPr>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9</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85216"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5" name="图片 5"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楷体_GB2312" w:hAnsi="楷体_GB2312" w:eastAsia="楷体_GB2312" w:cs="楷体_GB2312"/>
        <w:bCs/>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楷体_GB2312" w:hAnsi="楷体_GB2312" w:eastAsia="楷体_GB2312" w:cs="楷体_GB2312"/>
        <w:sz w:val="21"/>
        <w:szCs w:val="21"/>
      </w:rPr>
    </w:pPr>
    <w:r>
      <w:rPr>
        <w:rFonts w:hint="eastAsia" w:ascii="楷体_GB2312" w:hAnsi="楷体_GB2312" w:eastAsia="楷体_GB2312" w:cs="楷体_GB2312"/>
        <w:bCs/>
        <w:color w:val="000000"/>
        <w:sz w:val="21"/>
        <w:szCs w:val="21"/>
      </w:rPr>
      <w:t>电话：（0531）86113158  86113168  传真：86113008</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460" w:firstLineChars="26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86240" behindDoc="0" locked="0" layoutInCell="1" allowOverlap="1">
              <wp:simplePos x="0" y="0"/>
              <wp:positionH relativeFrom="margin">
                <wp:posOffset>60960</wp:posOffset>
              </wp:positionH>
              <wp:positionV relativeFrom="paragraph">
                <wp:posOffset>24765</wp:posOffset>
              </wp:positionV>
              <wp:extent cx="436245" cy="257175"/>
              <wp:effectExtent l="0" t="0" r="0" b="0"/>
              <wp:wrapNone/>
              <wp:docPr id="6" name="文本框 6"/>
              <wp:cNvGraphicFramePr/>
              <a:graphic xmlns:a="http://schemas.openxmlformats.org/drawingml/2006/main">
                <a:graphicData uri="http://schemas.microsoft.com/office/word/2010/wordprocessingShape">
                  <wps:wsp>
                    <wps:cNvSpPr txBox="1"/>
                    <wps:spPr>
                      <a:xfrm>
                        <a:off x="0" y="0"/>
                        <a:ext cx="436245" cy="257175"/>
                      </a:xfrm>
                      <a:prstGeom prst="rect">
                        <a:avLst/>
                      </a:prstGeom>
                      <a:noFill/>
                      <a:ln>
                        <a:noFill/>
                      </a:ln>
                      <a:effectLst/>
                    </wps:spPr>
                    <wps:txbx>
                      <w:txbxContent>
                        <w:p>
                          <w:pPr>
                            <w:pStyle w:val="18"/>
                            <w:spacing w:line="240" w:lineRule="auto"/>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10</w:t>
                          </w:r>
                          <w:r>
                            <w:rPr>
                              <w:rFonts w:hint="eastAsia"/>
                              <w:sz w:val="21"/>
                              <w:szCs w:val="21"/>
                              <w:lang w:eastAsia="zh-CN"/>
                            </w:rPr>
                            <w:fldChar w:fldCharType="end"/>
                          </w:r>
                        </w:p>
                      </w:txbxContent>
                    </wps:txbx>
                    <wps:bodyPr wrap="square" lIns="0" tIns="0" rIns="0" bIns="0">
                      <a:noAutofit/>
                    </wps:bodyPr>
                  </wps:wsp>
                </a:graphicData>
              </a:graphic>
            </wp:anchor>
          </w:drawing>
        </mc:Choice>
        <mc:Fallback>
          <w:pict>
            <v:shape id="_x0000_s1026" o:spid="_x0000_s1026" o:spt="202" type="#_x0000_t202" style="position:absolute;left:0pt;margin-left:4.8pt;margin-top:1.95pt;height:20.25pt;width:34.35pt;mso-position-horizontal-relative:margin;z-index:251786240;mso-width-relative:page;mso-height-relative:page;" filled="f" stroked="f" coordsize="21600,21600" o:gfxdata="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m2lsz1QAAAAUBAAAPAAAAAAAAAAEAIAAAACIAAABkcnMv&#10;ZG93bnJldi54bWxQSwECFAAUAAAACACHTuJAmDxyAs0BAACbAwAADgAAAAAAAAABACAAAAAkAQAA&#10;ZHJzL2Uyb0RvYy54bWxQSwUGAAAAAAYABgBZAQAAYwUAAAAA&#10;">
              <v:fill on="f" focussize="0,0"/>
              <v:stroke on="f"/>
              <v:imagedata o:title=""/>
              <o:lock v:ext="edit" aspectratio="f"/>
              <v:textbox inset="0mm,0mm,0mm,0mm">
                <w:txbxContent>
                  <w:p>
                    <w:pPr>
                      <w:pStyle w:val="18"/>
                      <w:spacing w:line="240" w:lineRule="auto"/>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10</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87264" behindDoc="0" locked="0" layoutInCell="1" allowOverlap="0">
          <wp:simplePos x="0" y="0"/>
          <wp:positionH relativeFrom="column">
            <wp:posOffset>5396865</wp:posOffset>
          </wp:positionH>
          <wp:positionV relativeFrom="paragraph">
            <wp:posOffset>20955</wp:posOffset>
          </wp:positionV>
          <wp:extent cx="360045" cy="360045"/>
          <wp:effectExtent l="0" t="0" r="1905" b="1905"/>
          <wp:wrapNone/>
          <wp:docPr id="19"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color w:val="000000"/>
        <w:sz w:val="21"/>
        <w:szCs w:val="21"/>
        <w:lang w:eastAsia="zh-CN"/>
      </w:rPr>
      <w:t>济南浩宏伟业技术咨询有限公司</w:t>
    </w:r>
  </w:p>
  <w:p>
    <w:pPr>
      <w:spacing w:line="300" w:lineRule="exact"/>
      <w:ind w:firstLine="3990" w:firstLineChars="1900"/>
      <w:rPr>
        <w:rFonts w:ascii="楷体_GB2312" w:hAnsi="楷体_GB2312" w:eastAsia="楷体_GB2312" w:cs="楷体_GB2312"/>
      </w:rPr>
    </w:pPr>
    <w:r>
      <w:rPr>
        <w:rFonts w:hint="eastAsia" w:ascii="楷体_GB2312" w:hAnsi="楷体_GB2312" w:eastAsia="楷体_GB2312" w:cs="楷体_GB2312"/>
        <w:sz w:val="21"/>
        <w:szCs w:val="21"/>
      </w:rPr>
      <w:t>电话:(0531)86113158  86113168传真:86113008</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楷体_GB2312" w:hAnsi="楷体_GB2312" w:eastAsia="楷体_GB2312" w:cs="楷体_GB2312"/>
        <w:bCs/>
        <w:color w:val="000000"/>
        <w:spacing w:val="2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41184" behindDoc="0" locked="0" layoutInCell="1" allowOverlap="1">
              <wp:simplePos x="0" y="0"/>
              <wp:positionH relativeFrom="margin">
                <wp:posOffset>5491480</wp:posOffset>
              </wp:positionH>
              <wp:positionV relativeFrom="paragraph">
                <wp:posOffset>48895</wp:posOffset>
              </wp:positionV>
              <wp:extent cx="302895" cy="290195"/>
              <wp:effectExtent l="0" t="0" r="0" b="0"/>
              <wp:wrapNone/>
              <wp:docPr id="400" name="文本框 400"/>
              <wp:cNvGraphicFramePr/>
              <a:graphic xmlns:a="http://schemas.openxmlformats.org/drawingml/2006/main">
                <a:graphicData uri="http://schemas.microsoft.com/office/word/2010/wordprocessingShape">
                  <wps:wsp>
                    <wps:cNvSpPr txBox="1"/>
                    <wps:spPr>
                      <a:xfrm>
                        <a:off x="0" y="0"/>
                        <a:ext cx="302895" cy="290195"/>
                      </a:xfrm>
                      <a:prstGeom prst="rect">
                        <a:avLst/>
                      </a:prstGeom>
                      <a:noFill/>
                      <a:ln w="6350">
                        <a:noFill/>
                      </a:ln>
                      <a:effectLst/>
                    </wps:spPr>
                    <wps:txbx>
                      <w:txbxContent>
                        <w:p>
                          <w:pPr>
                            <w:pStyle w:val="18"/>
                            <w:spacing w:line="240" w:lineRule="auto"/>
                            <w:ind w:firstLine="0" w:firstLineChars="0"/>
                            <w:rPr>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25</w:t>
                          </w:r>
                          <w:r>
                            <w:rPr>
                              <w:rFonts w:hint="eastAsia"/>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3.85pt;height:22.85pt;width:23.85pt;mso-position-horizontal-relative:margin;z-index:251741184;mso-width-relative:page;mso-height-relative:page;" filled="f" stroked="f" coordsize="21600,21600" o:gfxdata="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Fqx7dcAAAAIAQAADwAAAAAAAAABACAAAAAiAAAAZHJzL2Rvd25y&#10;ZXYueG1sUEsBAhQAFAAAAAgAh07iQOjh0yA4AgAAZwQAAA4AAAAAAAAAAQAgAAAAJgEAAGRycy9l&#10;Mm9Eb2MueG1sUEsFBgAAAAAGAAYAWQEAANAFAAAAAA==&#10;">
              <v:fill on="f" focussize="0,0"/>
              <v:stroke on="f" weight="0.5pt"/>
              <v:imagedata o:title=""/>
              <o:lock v:ext="edit" aspectratio="f"/>
              <v:textbox inset="0mm,0mm,0mm,0mm">
                <w:txbxContent>
                  <w:p>
                    <w:pPr>
                      <w:pStyle w:val="18"/>
                      <w:spacing w:line="240" w:lineRule="auto"/>
                      <w:ind w:firstLine="0" w:firstLineChars="0"/>
                      <w:rPr>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25</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42208"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401" name="图片 401"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图片 401"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楷体_GB2312" w:hAnsi="楷体_GB2312" w:eastAsia="楷体_GB2312" w:cs="楷体_GB2312"/>
        <w:bCs/>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楷体_GB2312" w:hAnsi="楷体_GB2312" w:eastAsia="楷体_GB2312" w:cs="楷体_GB2312"/>
        <w:sz w:val="21"/>
        <w:szCs w:val="21"/>
      </w:rPr>
    </w:pPr>
    <w:r>
      <w:rPr>
        <w:rFonts w:hint="eastAsia" w:ascii="楷体_GB2312" w:hAnsi="楷体_GB2312" w:eastAsia="楷体_GB2312" w:cs="楷体_GB2312"/>
        <w:bCs/>
        <w:color w:val="000000"/>
        <w:sz w:val="21"/>
        <w:szCs w:val="21"/>
      </w:rPr>
      <w:t>电话：（0531）86113158  86113168  传真：86113008</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460" w:firstLineChars="26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37088" behindDoc="0" locked="0" layoutInCell="1" allowOverlap="1">
              <wp:simplePos x="0" y="0"/>
              <wp:positionH relativeFrom="margin">
                <wp:posOffset>3810</wp:posOffset>
              </wp:positionH>
              <wp:positionV relativeFrom="paragraph">
                <wp:posOffset>24765</wp:posOffset>
              </wp:positionV>
              <wp:extent cx="493395" cy="257175"/>
              <wp:effectExtent l="0" t="0" r="0" b="0"/>
              <wp:wrapNone/>
              <wp:docPr id="374" name="文本框 374"/>
              <wp:cNvGraphicFramePr/>
              <a:graphic xmlns:a="http://schemas.openxmlformats.org/drawingml/2006/main">
                <a:graphicData uri="http://schemas.microsoft.com/office/word/2010/wordprocessingShape">
                  <wps:wsp>
                    <wps:cNvSpPr txBox="1"/>
                    <wps:spPr>
                      <a:xfrm>
                        <a:off x="0" y="0"/>
                        <a:ext cx="493395" cy="257175"/>
                      </a:xfrm>
                      <a:prstGeom prst="rect">
                        <a:avLst/>
                      </a:prstGeom>
                      <a:noFill/>
                      <a:ln>
                        <a:noFill/>
                      </a:ln>
                      <a:effectLst/>
                    </wps:spPr>
                    <wps:txbx>
                      <w:txbxContent>
                        <w:p>
                          <w:pPr>
                            <w:pStyle w:val="18"/>
                            <w:spacing w:line="240" w:lineRule="auto"/>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26</w:t>
                          </w:r>
                          <w:r>
                            <w:rPr>
                              <w:rFonts w:hint="eastAsia"/>
                              <w:sz w:val="21"/>
                              <w:szCs w:val="21"/>
                              <w:lang w:eastAsia="zh-CN"/>
                            </w:rPr>
                            <w:fldChar w:fldCharType="end"/>
                          </w:r>
                        </w:p>
                      </w:txbxContent>
                    </wps:txbx>
                    <wps:bodyPr wrap="square" lIns="0" tIns="0" rIns="0" bIns="0">
                      <a:noAutofit/>
                    </wps:bodyPr>
                  </wps:wsp>
                </a:graphicData>
              </a:graphic>
            </wp:anchor>
          </w:drawing>
        </mc:Choice>
        <mc:Fallback>
          <w:pict>
            <v:shape id="_x0000_s1026" o:spid="_x0000_s1026" o:spt="202" type="#_x0000_t202" style="position:absolute;left:0pt;margin-left:0.3pt;margin-top:1.95pt;height:20.25pt;width:38.85pt;mso-position-horizontal-relative:margin;z-index:251737088;mso-width-relative:page;mso-height-relative:page;" filled="f" stroked="f" coordsize="21600,21600" o:gfxdata="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xxcy1AAAAAQBAAAPAAAAAAAAAAEAIAAAACIAAABk&#10;cnMvZG93bnJldi54bWxQSwECFAAUAAAACACHTuJAdv3DPNEBAACfAwAADgAAAAAAAAABACAAAAAj&#10;AQAAZHJzL2Uyb0RvYy54bWxQSwUGAAAAAAYABgBZAQAAZgUAAAAA&#10;">
              <v:fill on="f" focussize="0,0"/>
              <v:stroke on="f"/>
              <v:imagedata o:title=""/>
              <o:lock v:ext="edit" aspectratio="f"/>
              <v:textbox inset="0mm,0mm,0mm,0mm">
                <w:txbxContent>
                  <w:p>
                    <w:pPr>
                      <w:pStyle w:val="18"/>
                      <w:spacing w:line="240" w:lineRule="auto"/>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26</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38112" behindDoc="0" locked="0" layoutInCell="1" allowOverlap="0">
          <wp:simplePos x="0" y="0"/>
          <wp:positionH relativeFrom="column">
            <wp:posOffset>5396865</wp:posOffset>
          </wp:positionH>
          <wp:positionV relativeFrom="paragraph">
            <wp:posOffset>20955</wp:posOffset>
          </wp:positionV>
          <wp:extent cx="360045" cy="360045"/>
          <wp:effectExtent l="0" t="0" r="1905" b="1905"/>
          <wp:wrapNone/>
          <wp:docPr id="375"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color w:val="000000"/>
        <w:sz w:val="21"/>
        <w:szCs w:val="21"/>
        <w:lang w:eastAsia="zh-CN"/>
      </w:rPr>
      <w:t>济南浩宏伟业技术咨询有限公司</w:t>
    </w:r>
  </w:p>
  <w:p>
    <w:pPr>
      <w:spacing w:line="300" w:lineRule="exact"/>
      <w:ind w:firstLine="3990" w:firstLineChars="1900"/>
      <w:rPr>
        <w:rFonts w:ascii="楷体_GB2312" w:hAnsi="楷体_GB2312" w:eastAsia="楷体_GB2312" w:cs="楷体_GB2312"/>
      </w:rPr>
    </w:pPr>
    <w:r>
      <w:rPr>
        <w:rFonts w:hint="eastAsia" w:ascii="楷体_GB2312" w:hAnsi="楷体_GB2312" w:eastAsia="楷体_GB2312" w:cs="楷体_GB2312"/>
        <w:sz w:val="21"/>
        <w:szCs w:val="21"/>
      </w:rPr>
      <w:t>电话:(0531)86113158  86113168传真:86113008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楷体_GB2312" w:hAnsi="楷体_GB2312" w:eastAsia="楷体_GB2312" w:cs="楷体_GB2312"/>
        <w:bCs/>
        <w:color w:val="000000"/>
        <w:spacing w:val="2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39136" behindDoc="0" locked="0" layoutInCell="1" allowOverlap="1">
              <wp:simplePos x="0" y="0"/>
              <wp:positionH relativeFrom="margin">
                <wp:posOffset>5491480</wp:posOffset>
              </wp:positionH>
              <wp:positionV relativeFrom="paragraph">
                <wp:posOffset>48895</wp:posOffset>
              </wp:positionV>
              <wp:extent cx="302895" cy="290195"/>
              <wp:effectExtent l="0" t="0" r="0" b="0"/>
              <wp:wrapNone/>
              <wp:docPr id="376" name="文本框 376"/>
              <wp:cNvGraphicFramePr/>
              <a:graphic xmlns:a="http://schemas.openxmlformats.org/drawingml/2006/main">
                <a:graphicData uri="http://schemas.microsoft.com/office/word/2010/wordprocessingShape">
                  <wps:wsp>
                    <wps:cNvSpPr txBox="1"/>
                    <wps:spPr>
                      <a:xfrm>
                        <a:off x="0" y="0"/>
                        <a:ext cx="302895" cy="290195"/>
                      </a:xfrm>
                      <a:prstGeom prst="rect">
                        <a:avLst/>
                      </a:prstGeom>
                      <a:noFill/>
                      <a:ln w="6350">
                        <a:noFill/>
                      </a:ln>
                      <a:effectLst/>
                    </wps:spPr>
                    <wps:txbx>
                      <w:txbxContent>
                        <w:p>
                          <w:pPr>
                            <w:pStyle w:val="18"/>
                            <w:spacing w:line="240" w:lineRule="auto"/>
                            <w:ind w:firstLine="0" w:firstLineChars="0"/>
                            <w:rPr>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29</w:t>
                          </w:r>
                          <w:r>
                            <w:rPr>
                              <w:rFonts w:hint="eastAsia"/>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32.4pt;margin-top:3.85pt;height:22.85pt;width:23.85pt;mso-position-horizontal-relative:margin;z-index:251739136;mso-width-relative:page;mso-height-relative:page;" filled="f" stroked="f" coordsize="21600,21600" o:gfxdata="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CoWrHt1wAAAAgBAAAPAAAAAAAAAAEAIAAAACIAAABkcnMvZG93&#10;bnJldi54bWxQSwECFAAUAAAACACHTuJAokz2ozoCAABnBAAADgAAAAAAAAABACAAAAAmAQAAZHJz&#10;L2Uyb0RvYy54bWxQSwUGAAAAAAYABgBZAQAA0gUAAAAA&#10;">
              <v:fill on="f" focussize="0,0"/>
              <v:stroke on="f" weight="0.5pt"/>
              <v:imagedata o:title=""/>
              <o:lock v:ext="edit" aspectratio="f"/>
              <v:textbox inset="0mm,0mm,0mm,0mm">
                <w:txbxContent>
                  <w:p>
                    <w:pPr>
                      <w:pStyle w:val="18"/>
                      <w:spacing w:line="240" w:lineRule="auto"/>
                      <w:ind w:firstLine="0" w:firstLineChars="0"/>
                      <w:rPr>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29</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40160"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377" name="图片 37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图片 37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楷体_GB2312" w:hAnsi="楷体_GB2312" w:eastAsia="楷体_GB2312" w:cs="楷体_GB2312"/>
        <w:bCs/>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楷体_GB2312" w:hAnsi="楷体_GB2312" w:eastAsia="楷体_GB2312" w:cs="楷体_GB2312"/>
        <w:sz w:val="21"/>
        <w:szCs w:val="21"/>
      </w:rPr>
    </w:pPr>
    <w:r>
      <w:rPr>
        <w:rFonts w:hint="eastAsia" w:ascii="楷体_GB2312" w:hAnsi="楷体_GB2312" w:eastAsia="楷体_GB2312" w:cs="楷体_GB2312"/>
        <w:bCs/>
        <w:color w:val="000000"/>
        <w:sz w:val="21"/>
        <w:szCs w:val="21"/>
      </w:rPr>
      <w:t>电话：（0531）86113158  86113168  传真：86113008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4560" w:firstLineChars="1900"/>
      <w:rPr>
        <w:rFonts w:ascii="楷体_GB2312" w:hAnsi="楷体_GB2312" w:eastAsia="楷体_GB2312" w:cs="楷体_GB2312"/>
      </w:rPr>
    </w:pPr>
    <w:r>
      <w:rPr>
        <w:lang w:eastAsia="zh-CN"/>
      </w:rPr>
      <mc:AlternateContent>
        <mc:Choice Requires="wps">
          <w:drawing>
            <wp:anchor distT="0" distB="0" distL="114300" distR="114300" simplePos="0" relativeHeight="251789312" behindDoc="0" locked="0" layoutInCell="1" allowOverlap="1">
              <wp:simplePos x="0" y="0"/>
              <wp:positionH relativeFrom="margin">
                <wp:align>center</wp:align>
              </wp:positionH>
              <wp:positionV relativeFrom="paragraph">
                <wp:posOffset>0</wp:posOffset>
              </wp:positionV>
              <wp:extent cx="45466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4546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5.8pt;mso-position-horizontal:center;mso-position-horizontal-relative:margin;z-index:251789312;mso-width-relative:page;mso-height-relative:page;" filled="f" stroked="f" coordsize="21600,21600" o:gfxdata="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l8DCbTAAAABAEAAA8AAAAAAAAAAQAgAAAAIgAAAGRycy9kb3ducmV2LnhtbFBLAQIU&#10;ABQAAAAIAIdO4kC2kbZWMQIAAFgEAAAOAAAAAAAAAAEAIAAAACIBAABkcnMvZTJvRG9jLnhtbFBL&#10;BQYAAAAABgAGAFkBAADFBQ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460" w:firstLineChars="26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43232" behindDoc="0" locked="0" layoutInCell="1" allowOverlap="1">
              <wp:simplePos x="0" y="0"/>
              <wp:positionH relativeFrom="margin">
                <wp:posOffset>3810</wp:posOffset>
              </wp:positionH>
              <wp:positionV relativeFrom="paragraph">
                <wp:posOffset>24765</wp:posOffset>
              </wp:positionV>
              <wp:extent cx="493395" cy="257175"/>
              <wp:effectExtent l="0" t="0" r="0" b="0"/>
              <wp:wrapNone/>
              <wp:docPr id="402" name="文本框 402"/>
              <wp:cNvGraphicFramePr/>
              <a:graphic xmlns:a="http://schemas.openxmlformats.org/drawingml/2006/main">
                <a:graphicData uri="http://schemas.microsoft.com/office/word/2010/wordprocessingShape">
                  <wps:wsp>
                    <wps:cNvSpPr txBox="1"/>
                    <wps:spPr>
                      <a:xfrm>
                        <a:off x="0" y="0"/>
                        <a:ext cx="493395" cy="257175"/>
                      </a:xfrm>
                      <a:prstGeom prst="rect">
                        <a:avLst/>
                      </a:prstGeom>
                      <a:noFill/>
                      <a:ln>
                        <a:noFill/>
                      </a:ln>
                      <a:effectLst/>
                    </wps:spPr>
                    <wps:txbx>
                      <w:txbxContent>
                        <w:p>
                          <w:pPr>
                            <w:pStyle w:val="18"/>
                            <w:spacing w:line="240" w:lineRule="auto"/>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28</w:t>
                          </w:r>
                          <w:r>
                            <w:rPr>
                              <w:rFonts w:hint="eastAsia"/>
                              <w:sz w:val="21"/>
                              <w:szCs w:val="21"/>
                              <w:lang w:eastAsia="zh-CN"/>
                            </w:rPr>
                            <w:fldChar w:fldCharType="end"/>
                          </w:r>
                        </w:p>
                      </w:txbxContent>
                    </wps:txbx>
                    <wps:bodyPr wrap="square" lIns="0" tIns="0" rIns="0" bIns="0">
                      <a:noAutofit/>
                    </wps:bodyPr>
                  </wps:wsp>
                </a:graphicData>
              </a:graphic>
            </wp:anchor>
          </w:drawing>
        </mc:Choice>
        <mc:Fallback>
          <w:pict>
            <v:shape id="_x0000_s1026" o:spid="_x0000_s1026" o:spt="202" type="#_x0000_t202" style="position:absolute;left:0pt;margin-left:0.3pt;margin-top:1.95pt;height:20.25pt;width:38.85pt;mso-position-horizontal-relative:margin;z-index:251743232;mso-width-relative:page;mso-height-relative:page;" filled="f" stroked="f" coordsize="21600,21600" o:gfxdata="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&#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xxcy1AAAAAQBAAAPAAAAAAAAAAEAIAAAACIAAABk&#10;cnMvZG93bnJldi54bWxQSwECFAAUAAAACACHTuJA2jFySNEBAACfAwAADgAAAAAAAAABACAAAAAj&#10;AQAAZHJzL2Uyb0RvYy54bWxQSwUGAAAAAAYABgBZAQAAZgUAAAAA&#10;">
              <v:fill on="f" focussize="0,0"/>
              <v:stroke on="f"/>
              <v:imagedata o:title=""/>
              <o:lock v:ext="edit" aspectratio="f"/>
              <v:textbox inset="0mm,0mm,0mm,0mm">
                <w:txbxContent>
                  <w:p>
                    <w:pPr>
                      <w:pStyle w:val="18"/>
                      <w:spacing w:line="240" w:lineRule="auto"/>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28</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44256" behindDoc="0" locked="0" layoutInCell="1" allowOverlap="0">
          <wp:simplePos x="0" y="0"/>
          <wp:positionH relativeFrom="column">
            <wp:posOffset>5396865</wp:posOffset>
          </wp:positionH>
          <wp:positionV relativeFrom="paragraph">
            <wp:posOffset>20955</wp:posOffset>
          </wp:positionV>
          <wp:extent cx="360045" cy="360045"/>
          <wp:effectExtent l="0" t="0" r="1905" b="1905"/>
          <wp:wrapNone/>
          <wp:docPr id="403"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color w:val="000000"/>
        <w:sz w:val="21"/>
        <w:szCs w:val="21"/>
        <w:lang w:eastAsia="zh-CN"/>
      </w:rPr>
      <w:t>济南浩宏伟业技术咨询有限公司</w:t>
    </w:r>
  </w:p>
  <w:p>
    <w:pPr>
      <w:spacing w:line="300" w:lineRule="exact"/>
      <w:ind w:firstLine="3990" w:firstLineChars="1900"/>
      <w:rPr>
        <w:rFonts w:ascii="楷体_GB2312" w:hAnsi="楷体_GB2312" w:eastAsia="楷体_GB2312" w:cs="楷体_GB2312"/>
      </w:rPr>
    </w:pPr>
    <w:r>
      <w:rPr>
        <w:rFonts w:hint="eastAsia" w:ascii="楷体_GB2312" w:hAnsi="楷体_GB2312" w:eastAsia="楷体_GB2312" w:cs="楷体_GB2312"/>
        <w:sz w:val="21"/>
        <w:szCs w:val="21"/>
      </w:rPr>
      <w:t>电话:(0531)86113158  86113168传真:86113008</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楷体_GB2312" w:hAnsi="楷体_GB2312" w:eastAsia="楷体_GB2312" w:cs="楷体_GB2312"/>
        <w:bCs/>
        <w:color w:val="000000"/>
        <w:spacing w:val="2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04320" behindDoc="0" locked="0" layoutInCell="1" allowOverlap="1">
              <wp:simplePos x="0" y="0"/>
              <wp:positionH relativeFrom="margin">
                <wp:posOffset>8700770</wp:posOffset>
              </wp:positionH>
              <wp:positionV relativeFrom="paragraph">
                <wp:posOffset>69850</wp:posOffset>
              </wp:positionV>
              <wp:extent cx="254000" cy="269240"/>
              <wp:effectExtent l="0" t="0" r="0" b="0"/>
              <wp:wrapNone/>
              <wp:docPr id="130" name="文本框 130"/>
              <wp:cNvGraphicFramePr/>
              <a:graphic xmlns:a="http://schemas.openxmlformats.org/drawingml/2006/main">
                <a:graphicData uri="http://schemas.microsoft.com/office/word/2010/wordprocessingShape">
                  <wps:wsp>
                    <wps:cNvSpPr txBox="1"/>
                    <wps:spPr>
                      <a:xfrm>
                        <a:off x="0" y="0"/>
                        <a:ext cx="254000" cy="269240"/>
                      </a:xfrm>
                      <a:prstGeom prst="rect">
                        <a:avLst/>
                      </a:prstGeom>
                      <a:noFill/>
                      <a:ln w="6350">
                        <a:noFill/>
                      </a:ln>
                      <a:effectLst/>
                    </wps:spPr>
                    <wps:txbx>
                      <w:txbxContent>
                        <w:p>
                          <w:pPr>
                            <w:pStyle w:val="18"/>
                            <w:spacing w:line="240" w:lineRule="auto"/>
                            <w:ind w:firstLine="0" w:firstLineChars="0"/>
                            <w:rPr>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31</w:t>
                          </w:r>
                          <w:r>
                            <w:rPr>
                              <w:rFonts w:hint="eastAsia"/>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85.1pt;margin-top:5.5pt;height:21.2pt;width:20pt;mso-position-horizontal-relative:margin;z-index:251704320;mso-width-relative:page;mso-height-relative:page;" filled="f" stroked="f" coordsize="21600,21600" o:gfxdata="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GEtfYAAAACwEAAA8AAAAAAAAAAQAgAAAAIgAAAGRycy9kb3du&#10;cmV2LnhtbFBLAQIUABQAAAAIAIdO4kCeY8mBOAIAAGcEAAAOAAAAAAAAAAEAIAAAACcBAABkcnMv&#10;ZTJvRG9jLnhtbFBLBQYAAAAABgAGAFkBAADRBQAAAAA=&#10;">
              <v:fill on="f" focussize="0,0"/>
              <v:stroke on="f" weight="0.5pt"/>
              <v:imagedata o:title=""/>
              <o:lock v:ext="edit" aspectratio="f"/>
              <v:textbox inset="0mm,0mm,0mm,0mm">
                <w:txbxContent>
                  <w:p>
                    <w:pPr>
                      <w:pStyle w:val="18"/>
                      <w:spacing w:line="240" w:lineRule="auto"/>
                      <w:ind w:firstLine="0" w:firstLineChars="0"/>
                      <w:rPr>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31</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05344"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131" name="图片 131"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楷体_GB2312" w:hAnsi="楷体_GB2312" w:eastAsia="楷体_GB2312" w:cs="楷体_GB2312"/>
        <w:bCs/>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楷体_GB2312" w:hAnsi="楷体_GB2312" w:eastAsia="楷体_GB2312" w:cs="楷体_GB2312"/>
        <w:sz w:val="21"/>
        <w:szCs w:val="21"/>
      </w:rPr>
    </w:pPr>
    <w:r>
      <w:rPr>
        <w:rFonts w:hint="eastAsia" w:ascii="楷体_GB2312" w:hAnsi="楷体_GB2312" w:eastAsia="楷体_GB2312" w:cs="楷体_GB2312"/>
        <w:bCs/>
        <w:color w:val="000000"/>
        <w:sz w:val="21"/>
        <w:szCs w:val="21"/>
      </w:rPr>
      <w:t>电话：（0531）86113158  86113168  传真：86113008</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10500" w:firstLineChars="50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w:drawing>
        <wp:anchor distT="0" distB="0" distL="114300" distR="114300" simplePos="0" relativeHeight="251736064" behindDoc="0" locked="0" layoutInCell="1" allowOverlap="0">
          <wp:simplePos x="0" y="0"/>
          <wp:positionH relativeFrom="column">
            <wp:posOffset>8639810</wp:posOffset>
          </wp:positionH>
          <wp:positionV relativeFrom="paragraph">
            <wp:posOffset>-635</wp:posOffset>
          </wp:positionV>
          <wp:extent cx="360045" cy="360045"/>
          <wp:effectExtent l="0" t="0" r="1905" b="1905"/>
          <wp:wrapNone/>
          <wp:docPr id="362"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35040" behindDoc="0" locked="0" layoutInCell="1" allowOverlap="1">
              <wp:simplePos x="0" y="0"/>
              <wp:positionH relativeFrom="margin">
                <wp:posOffset>3810</wp:posOffset>
              </wp:positionH>
              <wp:positionV relativeFrom="paragraph">
                <wp:posOffset>24765</wp:posOffset>
              </wp:positionV>
              <wp:extent cx="493395" cy="257175"/>
              <wp:effectExtent l="0" t="0" r="0" b="0"/>
              <wp:wrapNone/>
              <wp:docPr id="361" name="文本框 361"/>
              <wp:cNvGraphicFramePr/>
              <a:graphic xmlns:a="http://schemas.openxmlformats.org/drawingml/2006/main">
                <a:graphicData uri="http://schemas.microsoft.com/office/word/2010/wordprocessingShape">
                  <wps:wsp>
                    <wps:cNvSpPr txBox="1"/>
                    <wps:spPr>
                      <a:xfrm>
                        <a:off x="0" y="0"/>
                        <a:ext cx="493395" cy="257175"/>
                      </a:xfrm>
                      <a:prstGeom prst="rect">
                        <a:avLst/>
                      </a:prstGeom>
                      <a:noFill/>
                      <a:ln>
                        <a:noFill/>
                      </a:ln>
                      <a:effectLst/>
                    </wps:spPr>
                    <wps:txbx>
                      <w:txbxContent>
                        <w:p>
                          <w:pPr>
                            <w:pStyle w:val="18"/>
                            <w:spacing w:line="240" w:lineRule="auto"/>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30</w:t>
                          </w:r>
                          <w:r>
                            <w:rPr>
                              <w:rFonts w:hint="eastAsia"/>
                              <w:sz w:val="21"/>
                              <w:szCs w:val="21"/>
                              <w:lang w:eastAsia="zh-CN"/>
                            </w:rPr>
                            <w:fldChar w:fldCharType="end"/>
                          </w:r>
                        </w:p>
                      </w:txbxContent>
                    </wps:txbx>
                    <wps:bodyPr wrap="square" lIns="0" tIns="0" rIns="0" bIns="0">
                      <a:noAutofit/>
                    </wps:bodyPr>
                  </wps:wsp>
                </a:graphicData>
              </a:graphic>
            </wp:anchor>
          </w:drawing>
        </mc:Choice>
        <mc:Fallback>
          <w:pict>
            <v:shape id="_x0000_s1026" o:spid="_x0000_s1026" o:spt="202" type="#_x0000_t202" style="position:absolute;left:0pt;margin-left:0.3pt;margin-top:1.95pt;height:20.25pt;width:38.85pt;mso-position-horizontal-relative:margin;z-index:251735040;mso-width-relative:page;mso-height-relative:page;" filled="f" stroked="f" coordsize="21600,21600" o:gfxdata="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exxcy1AAAAAQBAAAPAAAAAAAAAAEAIAAAACIAAABk&#10;cnMvZG93bnJldi54bWxQSwECFAAUAAAACACHTuJAMjsLT9EBAACfAwAADgAAAAAAAAABACAAAAAj&#10;AQAAZHJzL2Uyb0RvYy54bWxQSwUGAAAAAAYABgBZAQAAZgUAAAAA&#10;">
              <v:fill on="f" focussize="0,0"/>
              <v:stroke on="f"/>
              <v:imagedata o:title=""/>
              <o:lock v:ext="edit" aspectratio="f"/>
              <v:textbox inset="0mm,0mm,0mm,0mm">
                <w:txbxContent>
                  <w:p>
                    <w:pPr>
                      <w:pStyle w:val="18"/>
                      <w:spacing w:line="240" w:lineRule="auto"/>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30</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color w:val="000000"/>
        <w:sz w:val="21"/>
        <w:szCs w:val="21"/>
        <w:lang w:eastAsia="zh-CN"/>
      </w:rPr>
      <w:t>济南浩宏伟业技术咨询有限公司</w:t>
    </w:r>
  </w:p>
  <w:p>
    <w:pPr>
      <w:spacing w:line="300" w:lineRule="exact"/>
      <w:ind w:firstLine="9030" w:firstLineChars="4300"/>
      <w:rPr>
        <w:rFonts w:ascii="楷体_GB2312" w:hAnsi="楷体_GB2312" w:eastAsia="楷体_GB2312" w:cs="楷体_GB2312"/>
      </w:rPr>
    </w:pPr>
    <w:r>
      <w:rPr>
        <w:rFonts w:hint="eastAsia" w:ascii="楷体_GB2312" w:hAnsi="楷体_GB2312" w:eastAsia="楷体_GB2312" w:cs="楷体_GB2312"/>
        <w:sz w:val="21"/>
        <w:szCs w:val="21"/>
      </w:rPr>
      <w:t>电话:(0531)86113158  86113168传真:86113008</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仿宋_GB2312" w:hAnsi="仿宋_GB2312" w:eastAsia="仿宋_GB2312" w:cs="仿宋_GB2312"/>
        <w:bCs/>
        <w:color w:val="000000"/>
        <w:spacing w:val="20"/>
        <w:sz w:val="21"/>
        <w:szCs w:val="21"/>
        <w:lang w:eastAsia="zh-CN"/>
      </w:rPr>
    </w:pPr>
    <w:r>
      <w:rPr>
        <w:rFonts w:hint="eastAsia" w:ascii="仿宋_GB2312" w:hAnsi="仿宋_GB2312" w:eastAsia="仿宋_GB2312" w:cs="仿宋_GB2312"/>
        <w:sz w:val="21"/>
        <w:szCs w:val="21"/>
        <w:lang w:eastAsia="zh-CN"/>
      </w:rPr>
      <mc:AlternateContent>
        <mc:Choice Requires="wps">
          <w:drawing>
            <wp:anchor distT="0" distB="0" distL="114300" distR="114300" simplePos="0" relativeHeight="251753472" behindDoc="0" locked="0" layoutInCell="1" allowOverlap="1">
              <wp:simplePos x="0" y="0"/>
              <wp:positionH relativeFrom="margin">
                <wp:posOffset>5255260</wp:posOffset>
              </wp:positionH>
              <wp:positionV relativeFrom="paragraph">
                <wp:posOffset>27940</wp:posOffset>
              </wp:positionV>
              <wp:extent cx="488950" cy="24828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488950" cy="248285"/>
                      </a:xfrm>
                      <a:prstGeom prst="rect">
                        <a:avLst/>
                      </a:prstGeom>
                      <a:noFill/>
                      <a:ln w="6350">
                        <a:noFill/>
                      </a:ln>
                      <a:effectLst/>
                    </wps:spPr>
                    <wps:txbx>
                      <w:txbxContent>
                        <w:p>
                          <w:pPr>
                            <w:pStyle w:val="18"/>
                            <w:ind w:firstLine="42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45</w:t>
                          </w:r>
                          <w:r>
                            <w:rPr>
                              <w:rFonts w:hint="eastAsia"/>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13.8pt;margin-top:2.2pt;height:19.55pt;width:38.5pt;mso-position-horizontal-relative:margin;z-index:251753472;mso-width-relative:page;mso-height-relative:page;" filled="f" stroked="f" coordsize="21600,21600" o:gfxdata="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MiYHP1gAAAAgBAAAPAAAAAAAAAAEAIAAAACIAAABkcnMvZG93bnJl&#10;di54bWxQSwECFAAUAAAACACHTuJAf/LHqDgCAABnBAAADgAAAAAAAAABACAAAAAlAQAAZHJzL2Uy&#10;b0RvYy54bWxQSwUGAAAAAAYABgBZAQAAzwUAAAAA&#10;">
              <v:fill on="f" focussize="0,0"/>
              <v:stroke on="f" weight="0.5pt"/>
              <v:imagedata o:title=""/>
              <o:lock v:ext="edit" aspectratio="f"/>
              <v:textbox inset="0mm,0mm,0mm,0mm">
                <w:txbxContent>
                  <w:p>
                    <w:pPr>
                      <w:pStyle w:val="18"/>
                      <w:ind w:firstLine="42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45</w:t>
                    </w:r>
                    <w:r>
                      <w:rPr>
                        <w:rFonts w:hint="eastAsia"/>
                        <w:sz w:val="21"/>
                        <w:szCs w:val="21"/>
                        <w:lang w:eastAsia="zh-CN"/>
                      </w:rPr>
                      <w:fldChar w:fldCharType="end"/>
                    </w:r>
                  </w:p>
                </w:txbxContent>
              </v:textbox>
            </v:shape>
          </w:pict>
        </mc:Fallback>
      </mc:AlternateContent>
    </w:r>
    <w:r>
      <w:rPr>
        <w:rFonts w:hint="eastAsia" w:ascii="仿宋_GB2312" w:hAnsi="仿宋_GB2312" w:eastAsia="仿宋_GB2312" w:cs="仿宋_GB2312"/>
        <w:sz w:val="21"/>
        <w:szCs w:val="21"/>
        <w:lang w:eastAsia="zh-CN"/>
      </w:rPr>
      <w:drawing>
        <wp:anchor distT="0" distB="0" distL="114300" distR="114300" simplePos="0" relativeHeight="251754496"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208"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bCs/>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仿宋_GB2312" w:hAnsi="仿宋_GB2312" w:eastAsia="仿宋_GB2312" w:cs="仿宋_GB2312"/>
        <w:sz w:val="21"/>
        <w:szCs w:val="21"/>
      </w:rPr>
    </w:pPr>
    <w:r>
      <w:rPr>
        <w:rFonts w:hint="eastAsia" w:ascii="仿宋_GB2312" w:hAnsi="仿宋_GB2312" w:eastAsia="仿宋_GB2312" w:cs="仿宋_GB2312"/>
        <w:bCs/>
        <w:color w:val="000000"/>
        <w:sz w:val="21"/>
        <w:szCs w:val="21"/>
      </w:rPr>
      <w:t>电话：（0531）86113158  86113168  传真：86113008</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460" w:firstLineChars="26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51424" behindDoc="0" locked="0" layoutInCell="1" allowOverlap="1">
              <wp:simplePos x="0" y="0"/>
              <wp:positionH relativeFrom="margin">
                <wp:posOffset>-239395</wp:posOffset>
              </wp:positionH>
              <wp:positionV relativeFrom="paragraph">
                <wp:posOffset>28575</wp:posOffset>
              </wp:positionV>
              <wp:extent cx="450850" cy="389255"/>
              <wp:effectExtent l="0" t="0" r="0" b="0"/>
              <wp:wrapNone/>
              <wp:docPr id="205" name="文本框 205"/>
              <wp:cNvGraphicFramePr/>
              <a:graphic xmlns:a="http://schemas.openxmlformats.org/drawingml/2006/main">
                <a:graphicData uri="http://schemas.microsoft.com/office/word/2010/wordprocessingShape">
                  <wps:wsp>
                    <wps:cNvSpPr txBox="1"/>
                    <wps:spPr>
                      <a:xfrm flipH="1">
                        <a:off x="0" y="0"/>
                        <a:ext cx="450850" cy="389255"/>
                      </a:xfrm>
                      <a:prstGeom prst="rect">
                        <a:avLst/>
                      </a:prstGeom>
                      <a:noFill/>
                      <a:ln>
                        <a:noFill/>
                      </a:ln>
                      <a:effectLst/>
                    </wps:spPr>
                    <wps:txbx>
                      <w:txbxContent>
                        <w:p>
                          <w:pPr>
                            <w:pStyle w:val="18"/>
                            <w:ind w:firstLine="42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46</w:t>
                          </w:r>
                          <w:r>
                            <w:rPr>
                              <w:rFonts w:hint="eastAsia"/>
                              <w:sz w:val="21"/>
                              <w:szCs w:val="21"/>
                              <w:lang w:eastAsia="zh-CN"/>
                            </w:rPr>
                            <w:fldChar w:fldCharType="end"/>
                          </w:r>
                        </w:p>
                      </w:txbxContent>
                    </wps:txbx>
                    <wps:bodyPr wrap="square" lIns="0" tIns="0" rIns="0" bIns="0">
                      <a:noAutofit/>
                    </wps:bodyPr>
                  </wps:wsp>
                </a:graphicData>
              </a:graphic>
            </wp:anchor>
          </w:drawing>
        </mc:Choice>
        <mc:Fallback>
          <w:pict>
            <v:shape id="_x0000_s1026" o:spid="_x0000_s1026" o:spt="202" type="#_x0000_t202" style="position:absolute;left:0pt;flip:x;margin-left:-18.85pt;margin-top:2.25pt;height:30.65pt;width:35.5pt;mso-position-horizontal-relative:margin;z-index:251751424;mso-width-relative:page;mso-height-relative:page;" filled="f" stroked="f" coordsize="21600,21600" o:gfxdata="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SNexO1wAAAAcBAAAPAAAAAAAAAAEA&#10;IAAAACIAAABkcnMvZG93bnJldi54bWxQSwECFAAUAAAACACHTuJArH5BFtcBAACpAwAADgAAAAAA&#10;AAABACAAAAAmAQAAZHJzL2Uyb0RvYy54bWxQSwUGAAAAAAYABgBZAQAAbwUAAAAA&#10;">
              <v:fill on="f" focussize="0,0"/>
              <v:stroke on="f"/>
              <v:imagedata o:title=""/>
              <o:lock v:ext="edit" aspectratio="f"/>
              <v:textbox inset="0mm,0mm,0mm,0mm">
                <w:txbxContent>
                  <w:p>
                    <w:pPr>
                      <w:pStyle w:val="18"/>
                      <w:ind w:firstLine="42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46</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52448" behindDoc="0" locked="0" layoutInCell="1" allowOverlap="0">
          <wp:simplePos x="0" y="0"/>
          <wp:positionH relativeFrom="column">
            <wp:posOffset>5405755</wp:posOffset>
          </wp:positionH>
          <wp:positionV relativeFrom="paragraph">
            <wp:posOffset>0</wp:posOffset>
          </wp:positionV>
          <wp:extent cx="360045" cy="360045"/>
          <wp:effectExtent l="0" t="0" r="1905" b="1905"/>
          <wp:wrapNone/>
          <wp:docPr id="206"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color w:val="000000"/>
        <w:sz w:val="21"/>
        <w:szCs w:val="21"/>
        <w:lang w:eastAsia="zh-CN"/>
      </w:rPr>
      <w:t>济南浩宏伟业技术咨询有限公司</w:t>
    </w:r>
  </w:p>
  <w:p>
    <w:pPr>
      <w:spacing w:line="300" w:lineRule="exact"/>
      <w:ind w:firstLine="3990" w:firstLineChars="1900"/>
      <w:rPr>
        <w:rFonts w:ascii="楷体_GB2312" w:hAnsi="楷体_GB2312" w:eastAsia="楷体_GB2312" w:cs="楷体_GB2312"/>
        <w:sz w:val="21"/>
        <w:szCs w:val="21"/>
      </w:rPr>
    </w:pPr>
    <w:r>
      <w:rPr>
        <w:rFonts w:hint="eastAsia" w:ascii="楷体_GB2312" w:hAnsi="楷体_GB2312" w:eastAsia="楷体_GB2312" w:cs="楷体_GB2312"/>
        <w:sz w:val="21"/>
        <w:szCs w:val="21"/>
      </w:rPr>
      <w:t>电话:(0531)86113158  86113168传真:86113008</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仿宋_GB2312" w:hAnsi="仿宋_GB2312" w:eastAsia="仿宋_GB2312" w:cs="仿宋_GB2312"/>
        <w:color w:val="000000"/>
        <w:spacing w:val="20"/>
        <w:sz w:val="21"/>
        <w:szCs w:val="21"/>
        <w:lang w:eastAsia="zh-CN"/>
      </w:rPr>
    </w:pPr>
    <w:r>
      <w:rPr>
        <w:rFonts w:ascii="仿宋_GB2312" w:hAnsi="仿宋_GB2312" w:eastAsia="仿宋_GB2312" w:cs="仿宋_GB2312"/>
        <w:sz w:val="21"/>
        <w:szCs w:val="21"/>
        <w:lang w:eastAsia="zh-CN"/>
      </w:rPr>
      <mc:AlternateContent>
        <mc:Choice Requires="wps">
          <w:drawing>
            <wp:anchor distT="0" distB="0" distL="114300" distR="114300" simplePos="0" relativeHeight="251747328" behindDoc="0" locked="0" layoutInCell="1" allowOverlap="1">
              <wp:simplePos x="0" y="0"/>
              <wp:positionH relativeFrom="margin">
                <wp:posOffset>5313045</wp:posOffset>
              </wp:positionH>
              <wp:positionV relativeFrom="paragraph">
                <wp:posOffset>27940</wp:posOffset>
              </wp:positionV>
              <wp:extent cx="431165" cy="248285"/>
              <wp:effectExtent l="0" t="0" r="0" b="0"/>
              <wp:wrapNone/>
              <wp:docPr id="132" name="文本框 99"/>
              <wp:cNvGraphicFramePr/>
              <a:graphic xmlns:a="http://schemas.openxmlformats.org/drawingml/2006/main">
                <a:graphicData uri="http://schemas.microsoft.com/office/word/2010/wordprocessingShape">
                  <wps:wsp>
                    <wps:cNvSpPr txBox="1"/>
                    <wps:spPr>
                      <a:xfrm>
                        <a:off x="0" y="0"/>
                        <a:ext cx="431165" cy="248285"/>
                      </a:xfrm>
                      <a:prstGeom prst="rect">
                        <a:avLst/>
                      </a:prstGeom>
                      <a:noFill/>
                      <a:ln w="6350">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51</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99" o:spid="_x0000_s1026" o:spt="202" type="#_x0000_t202" style="position:absolute;left:0pt;margin-left:418.35pt;margin-top:2.2pt;height:19.55pt;width:33.95pt;mso-position-horizontal-relative:margin;z-index:251747328;mso-width-relative:page;mso-height-relative:page;" filled="f" stroked="f" coordsize="21600,21600" o:gfxdata="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mW8sAdcAAAAI&#10;AQAADwAAAAAAAAABACAAAAAiAAAAZHJzL2Rvd25yZXYueG1sUEsBAhQAFAAAAAgAh07iQLLJX5Dk&#10;AQAAsAMAAA4AAAAAAAAAAQAgAAAAJgEAAGRycy9lMm9Eb2MueG1sUEsFBgAAAAAGAAYAWQEAAHwF&#10;AAAAAA==&#10;">
              <v:fill on="f" focussize="0,0"/>
              <v:stroke on="f" weight="0.5pt"/>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51</w:t>
                    </w:r>
                    <w:r>
                      <w:rPr>
                        <w:sz w:val="21"/>
                        <w:szCs w:val="21"/>
                        <w:lang w:eastAsia="zh-CN"/>
                      </w:rPr>
                      <w:fldChar w:fldCharType="end"/>
                    </w:r>
                  </w:p>
                </w:txbxContent>
              </v:textbox>
            </v:shape>
          </w:pict>
        </mc:Fallback>
      </mc:AlternateContent>
    </w:r>
    <w:r>
      <w:rPr>
        <w:rFonts w:ascii="仿宋_GB2312" w:hAnsi="仿宋_GB2312" w:eastAsia="仿宋_GB2312" w:cs="仿宋_GB2312"/>
        <w:sz w:val="21"/>
        <w:szCs w:val="21"/>
        <w:lang w:eastAsia="zh-CN"/>
      </w:rPr>
      <w:drawing>
        <wp:anchor distT="0" distB="0" distL="114300" distR="114300" simplePos="0" relativeHeight="251748352"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133"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电话：（0531）86113158  86113168  传真：86113008</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460" w:firstLineChars="2600"/>
      <w:rPr>
        <w:rFonts w:ascii="微软简综艺" w:eastAsia="微软简综艺"/>
        <w:color w:val="000000"/>
        <w:sz w:val="21"/>
        <w:szCs w:val="21"/>
        <w:lang w:eastAsia="zh-CN"/>
      </w:rPr>
    </w:pPr>
    <w:r>
      <w:rPr>
        <w:sz w:val="21"/>
        <w:szCs w:val="21"/>
        <w:lang w:eastAsia="zh-CN"/>
      </w:rPr>
      <mc:AlternateContent>
        <mc:Choice Requires="wps">
          <w:drawing>
            <wp:anchor distT="0" distB="0" distL="114300" distR="114300" simplePos="0" relativeHeight="251749376" behindDoc="0" locked="0" layoutInCell="1" allowOverlap="1">
              <wp:simplePos x="0" y="0"/>
              <wp:positionH relativeFrom="margin">
                <wp:posOffset>-297180</wp:posOffset>
              </wp:positionH>
              <wp:positionV relativeFrom="paragraph">
                <wp:posOffset>0</wp:posOffset>
              </wp:positionV>
              <wp:extent cx="451485" cy="417830"/>
              <wp:effectExtent l="0" t="0" r="0" b="0"/>
              <wp:wrapNone/>
              <wp:docPr id="134" name="文本框 101"/>
              <wp:cNvGraphicFramePr/>
              <a:graphic xmlns:a="http://schemas.openxmlformats.org/drawingml/2006/main">
                <a:graphicData uri="http://schemas.microsoft.com/office/word/2010/wordprocessingShape">
                  <wps:wsp>
                    <wps:cNvSpPr txBox="1"/>
                    <wps:spPr>
                      <a:xfrm flipH="1">
                        <a:off x="0" y="0"/>
                        <a:ext cx="451485" cy="417830"/>
                      </a:xfrm>
                      <a:prstGeom prst="rect">
                        <a:avLst/>
                      </a:prstGeom>
                      <a:noFill/>
                      <a:ln>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50</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101" o:spid="_x0000_s1026" o:spt="202" type="#_x0000_t202" style="position:absolute;left:0pt;flip:x;margin-left:-23.4pt;margin-top:0pt;height:32.9pt;width:35.55pt;mso-position-horizontal-relative:margin;z-index:251749376;mso-width-relative:page;mso-height-relative:page;" filled="f" stroked="f" coordsize="21600,21600" o:gfxdata="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rZ8+xNUAAAAGAQAA&#10;DwAAAAAAAAABACAAAAAiAAAAZHJzL2Rvd25yZXYueG1sUEsBAhQAFAAAAAgAh07iQAO3gsfjAQAA&#10;sgMAAA4AAAAAAAAAAQAgAAAAJAEAAGRycy9lMm9Eb2MueG1sUEsFBgAAAAAGAAYAWQEAAHkFAAAA&#10;AA==&#10;">
              <v:fill on="f" focussize="0,0"/>
              <v:stroke on="f"/>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50</w:t>
                    </w:r>
                    <w:r>
                      <w:rPr>
                        <w:sz w:val="21"/>
                        <w:szCs w:val="21"/>
                        <w:lang w:eastAsia="zh-CN"/>
                      </w:rPr>
                      <w:fldChar w:fldCharType="end"/>
                    </w:r>
                  </w:p>
                </w:txbxContent>
              </v:textbox>
            </v:shape>
          </w:pict>
        </mc:Fallback>
      </mc:AlternateContent>
    </w:r>
    <w:r>
      <w:rPr>
        <w:rFonts w:ascii="楷体_GB2312" w:eastAsia="楷体_GB2312"/>
        <w:sz w:val="21"/>
        <w:szCs w:val="21"/>
        <w:lang w:eastAsia="zh-CN"/>
      </w:rPr>
      <w:drawing>
        <wp:anchor distT="0" distB="0" distL="114300" distR="114300" simplePos="0" relativeHeight="251750400" behindDoc="0" locked="0" layoutInCell="1" allowOverlap="0">
          <wp:simplePos x="0" y="0"/>
          <wp:positionH relativeFrom="column">
            <wp:posOffset>5405755</wp:posOffset>
          </wp:positionH>
          <wp:positionV relativeFrom="paragraph">
            <wp:posOffset>0</wp:posOffset>
          </wp:positionV>
          <wp:extent cx="360045" cy="360045"/>
          <wp:effectExtent l="0" t="0" r="1905" b="1905"/>
          <wp:wrapNone/>
          <wp:docPr id="135"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微软简综艺" w:eastAsia="微软简综艺"/>
        <w:color w:val="000000"/>
        <w:sz w:val="21"/>
        <w:szCs w:val="21"/>
        <w:lang w:eastAsia="zh-CN"/>
      </w:rPr>
      <w:t>济南浩宏伟业技术咨询有限公司</w:t>
    </w:r>
  </w:p>
  <w:p>
    <w:pPr>
      <w:spacing w:line="300" w:lineRule="exact"/>
      <w:ind w:firstLine="3990" w:firstLineChars="1900"/>
      <w:rPr>
        <w:sz w:val="21"/>
        <w:szCs w:val="21"/>
      </w:rPr>
    </w:pPr>
    <w:r>
      <w:rPr>
        <w:rFonts w:hint="eastAsia" w:ascii="楷体_GB2312" w:eastAsia="楷体_GB2312"/>
        <w:sz w:val="21"/>
        <w:szCs w:val="21"/>
      </w:rPr>
      <w:t>电话:(0531)86113158  86113168传真:86113008</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仿宋_GB2312" w:hAnsi="仿宋_GB2312" w:eastAsia="仿宋_GB2312" w:cs="仿宋_GB2312"/>
        <w:color w:val="000000"/>
        <w:spacing w:val="20"/>
        <w:sz w:val="21"/>
        <w:szCs w:val="21"/>
        <w:lang w:eastAsia="zh-CN"/>
      </w:rPr>
    </w:pPr>
    <w:r>
      <w:rPr>
        <w:rFonts w:ascii="仿宋_GB2312" w:hAnsi="仿宋_GB2312" w:eastAsia="仿宋_GB2312" w:cs="仿宋_GB2312"/>
        <w:sz w:val="21"/>
        <w:szCs w:val="21"/>
        <w:lang w:eastAsia="zh-CN"/>
      </w:rPr>
      <mc:AlternateContent>
        <mc:Choice Requires="wps">
          <w:drawing>
            <wp:anchor distT="0" distB="0" distL="114300" distR="114300" simplePos="0" relativeHeight="251755520" behindDoc="0" locked="0" layoutInCell="1" allowOverlap="1">
              <wp:simplePos x="0" y="0"/>
              <wp:positionH relativeFrom="margin">
                <wp:posOffset>5313045</wp:posOffset>
              </wp:positionH>
              <wp:positionV relativeFrom="paragraph">
                <wp:posOffset>-1270</wp:posOffset>
              </wp:positionV>
              <wp:extent cx="431165" cy="277495"/>
              <wp:effectExtent l="0" t="0" r="0" b="0"/>
              <wp:wrapNone/>
              <wp:docPr id="188" name="文本框 99"/>
              <wp:cNvGraphicFramePr/>
              <a:graphic xmlns:a="http://schemas.openxmlformats.org/drawingml/2006/main">
                <a:graphicData uri="http://schemas.microsoft.com/office/word/2010/wordprocessingShape">
                  <wps:wsp>
                    <wps:cNvSpPr txBox="1"/>
                    <wps:spPr>
                      <a:xfrm>
                        <a:off x="0" y="0"/>
                        <a:ext cx="431165" cy="277495"/>
                      </a:xfrm>
                      <a:prstGeom prst="rect">
                        <a:avLst/>
                      </a:prstGeom>
                      <a:noFill/>
                      <a:ln w="6350">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67</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99" o:spid="_x0000_s1026" o:spt="202" type="#_x0000_t202" style="position:absolute;left:0pt;margin-left:418.35pt;margin-top:-0.1pt;height:21.85pt;width:33.95pt;mso-position-horizontal-relative:margin;z-index:251755520;mso-width-relative:page;mso-height-relative:page;" filled="f" stroked="f" coordsize="21600,21600" o:gfxdata="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fob22AAA&#10;AAgBAAAPAAAAAAAAAAEAIAAAACIAAABkcnMvZG93bnJldi54bWxQSwECFAAUAAAACACHTuJAfe5K&#10;N+UBAACwAwAADgAAAAAAAAABACAAAAAnAQAAZHJzL2Uyb0RvYy54bWxQSwUGAAAAAAYABgBZAQAA&#10;fgUAAAAA&#10;">
              <v:fill on="f" focussize="0,0"/>
              <v:stroke on="f" weight="0.5pt"/>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67</w:t>
                    </w:r>
                    <w:r>
                      <w:rPr>
                        <w:sz w:val="21"/>
                        <w:szCs w:val="21"/>
                        <w:lang w:eastAsia="zh-CN"/>
                      </w:rPr>
                      <w:fldChar w:fldCharType="end"/>
                    </w:r>
                  </w:p>
                </w:txbxContent>
              </v:textbox>
            </v:shape>
          </w:pict>
        </mc:Fallback>
      </mc:AlternateContent>
    </w:r>
    <w:r>
      <w:rPr>
        <w:rFonts w:ascii="仿宋_GB2312" w:hAnsi="仿宋_GB2312" w:eastAsia="仿宋_GB2312" w:cs="仿宋_GB2312"/>
        <w:sz w:val="21"/>
        <w:szCs w:val="21"/>
        <w:lang w:eastAsia="zh-CN"/>
      </w:rPr>
      <w:drawing>
        <wp:anchor distT="0" distB="0" distL="114300" distR="114300" simplePos="0" relativeHeight="251756544"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237"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电话：（0531）86113158  86113168  传真：86113008</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460" w:firstLineChars="2600"/>
      <w:rPr>
        <w:rFonts w:ascii="仿宋_GB2312" w:hAnsi="仿宋_GB2312" w:eastAsia="仿宋_GB2312" w:cs="仿宋_GB2312"/>
        <w:color w:val="000000"/>
        <w:sz w:val="21"/>
        <w:szCs w:val="21"/>
        <w:lang w:eastAsia="zh-CN"/>
      </w:rPr>
    </w:pPr>
    <w:r>
      <w:rPr>
        <w:rFonts w:hint="eastAsia" w:ascii="仿宋_GB2312" w:hAnsi="仿宋_GB2312" w:eastAsia="仿宋_GB2312" w:cs="仿宋_GB2312"/>
        <w:sz w:val="21"/>
        <w:szCs w:val="21"/>
        <w:lang w:eastAsia="zh-CN"/>
      </w:rPr>
      <mc:AlternateContent>
        <mc:Choice Requires="wps">
          <w:drawing>
            <wp:anchor distT="0" distB="0" distL="114300" distR="114300" simplePos="0" relativeHeight="251757568" behindDoc="0" locked="0" layoutInCell="1" allowOverlap="1">
              <wp:simplePos x="0" y="0"/>
              <wp:positionH relativeFrom="margin">
                <wp:posOffset>-179705</wp:posOffset>
              </wp:positionH>
              <wp:positionV relativeFrom="paragraph">
                <wp:posOffset>-9525</wp:posOffset>
              </wp:positionV>
              <wp:extent cx="513715" cy="427355"/>
              <wp:effectExtent l="0" t="0" r="0" b="0"/>
              <wp:wrapNone/>
              <wp:docPr id="238" name="文本框 101"/>
              <wp:cNvGraphicFramePr/>
              <a:graphic xmlns:a="http://schemas.openxmlformats.org/drawingml/2006/main">
                <a:graphicData uri="http://schemas.microsoft.com/office/word/2010/wordprocessingShape">
                  <wps:wsp>
                    <wps:cNvSpPr txBox="1"/>
                    <wps:spPr>
                      <a:xfrm flipH="1">
                        <a:off x="0" y="0"/>
                        <a:ext cx="513715" cy="427355"/>
                      </a:xfrm>
                      <a:prstGeom prst="rect">
                        <a:avLst/>
                      </a:prstGeom>
                      <a:noFill/>
                      <a:ln>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68</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101" o:spid="_x0000_s1026" o:spt="202" type="#_x0000_t202" style="position:absolute;left:0pt;flip:x;margin-left:-14.15pt;margin-top:-0.75pt;height:33.65pt;width:40.45pt;mso-position-horizontal-relative:margin;z-index:251757568;mso-width-relative:page;mso-height-relative:page;" filled="f" stroked="f" coordsize="21600,21600" o:gfxdata="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Y+yvm2AAAAAgB&#10;AAAPAAAAAAAAAAEAIAAAACIAAABkcnMvZG93bnJldi54bWxQSwECFAAUAAAACACHTuJAOX9gWeIB&#10;AACyAwAADgAAAAAAAAABACAAAAAnAQAAZHJzL2Uyb0RvYy54bWxQSwUGAAAAAAYABgBZAQAAewUA&#10;AAAA&#10;">
              <v:fill on="f" focussize="0,0"/>
              <v:stroke on="f"/>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68</w:t>
                    </w:r>
                    <w:r>
                      <w:rPr>
                        <w:sz w:val="21"/>
                        <w:szCs w:val="21"/>
                        <w:lang w:eastAsia="zh-CN"/>
                      </w:rPr>
                      <w:fldChar w:fldCharType="end"/>
                    </w:r>
                  </w:p>
                </w:txbxContent>
              </v:textbox>
            </v:shape>
          </w:pict>
        </mc:Fallback>
      </mc:AlternateContent>
    </w:r>
    <w:r>
      <w:rPr>
        <w:rFonts w:hint="eastAsia" w:ascii="仿宋_GB2312" w:hAnsi="仿宋_GB2312" w:eastAsia="仿宋_GB2312" w:cs="仿宋_GB2312"/>
        <w:sz w:val="21"/>
        <w:szCs w:val="21"/>
        <w:lang w:eastAsia="zh-CN"/>
      </w:rPr>
      <w:drawing>
        <wp:anchor distT="0" distB="0" distL="114300" distR="114300" simplePos="0" relativeHeight="251758592" behindDoc="0" locked="0" layoutInCell="1" allowOverlap="0">
          <wp:simplePos x="0" y="0"/>
          <wp:positionH relativeFrom="column">
            <wp:posOffset>5405755</wp:posOffset>
          </wp:positionH>
          <wp:positionV relativeFrom="paragraph">
            <wp:posOffset>0</wp:posOffset>
          </wp:positionV>
          <wp:extent cx="360045" cy="360045"/>
          <wp:effectExtent l="0" t="0" r="1905" b="1905"/>
          <wp:wrapNone/>
          <wp:docPr id="242"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仿宋_GB2312" w:hAnsi="仿宋_GB2312" w:eastAsia="仿宋_GB2312" w:cs="仿宋_GB2312"/>
        <w:color w:val="000000"/>
        <w:sz w:val="21"/>
        <w:szCs w:val="21"/>
        <w:lang w:eastAsia="zh-CN"/>
      </w:rPr>
      <w:t>济南浩宏伟业技术咨询有限公司</w:t>
    </w:r>
  </w:p>
  <w:p>
    <w:pPr>
      <w:spacing w:line="300" w:lineRule="exact"/>
      <w:ind w:firstLine="3990" w:firstLineChars="1900"/>
      <w:rPr>
        <w:rFonts w:ascii="仿宋_GB2312" w:hAnsi="仿宋_GB2312" w:eastAsia="仿宋_GB2312" w:cs="仿宋_GB2312"/>
        <w:sz w:val="21"/>
        <w:szCs w:val="21"/>
      </w:rPr>
    </w:pPr>
    <w:r>
      <w:rPr>
        <w:rFonts w:hint="eastAsia" w:ascii="仿宋_GB2312" w:hAnsi="仿宋_GB2312" w:eastAsia="仿宋_GB2312" w:cs="仿宋_GB2312"/>
        <w:sz w:val="21"/>
        <w:szCs w:val="21"/>
      </w:rPr>
      <w:t>电话:(0531)86113158  86113168传真:86113008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楷体_GB2312" w:hAnsi="楷体_GB2312" w:eastAsia="楷体_GB2312" w:cs="楷体_GB2312"/>
        <w:bCs/>
        <w:color w:val="000000"/>
        <w:spacing w:val="2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698176" behindDoc="0" locked="0" layoutInCell="1" allowOverlap="1">
              <wp:simplePos x="0" y="0"/>
              <wp:positionH relativeFrom="margin">
                <wp:posOffset>5323840</wp:posOffset>
              </wp:positionH>
              <wp:positionV relativeFrom="paragraph">
                <wp:posOffset>14605</wp:posOffset>
              </wp:positionV>
              <wp:extent cx="431165" cy="33401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431165" cy="334010"/>
                      </a:xfrm>
                      <a:prstGeom prst="rect">
                        <a:avLst/>
                      </a:prstGeom>
                      <a:noFill/>
                      <a:ln w="6350">
                        <a:noFill/>
                      </a:ln>
                      <a:effectLst/>
                    </wps:spPr>
                    <wps:txbx>
                      <w:txbxContent>
                        <w:p>
                          <w:pPr>
                            <w:pStyle w:val="18"/>
                            <w:ind w:firstLine="42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73</w:t>
                          </w:r>
                          <w:r>
                            <w:rPr>
                              <w:rFonts w:hint="eastAsia"/>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19.2pt;margin-top:1.15pt;height:26.3pt;width:33.95pt;mso-position-horizontal-relative:margin;z-index:251698176;mso-width-relative:page;mso-height-relative:page;" filled="f" stroked="f" coordsize="21600,21600" o:gfxdata="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TCW8TYAAAACAEAAA8AAAAAAAAAAQAgAAAAIgAAAGRycy9kb3du&#10;cmV2LnhtbFBLAQIUABQAAAAIAIdO4kAS+LyvOAIAAGcEAAAOAAAAAAAAAAEAIAAAACcBAABkcnMv&#10;ZTJvRG9jLnhtbFBLBQYAAAAABgAGAFkBAADRBQAAAAA=&#10;">
              <v:fill on="f" focussize="0,0"/>
              <v:stroke on="f" weight="0.5pt"/>
              <v:imagedata o:title=""/>
              <o:lock v:ext="edit" aspectratio="f"/>
              <v:textbox inset="0mm,0mm,0mm,0mm">
                <w:txbxContent>
                  <w:p>
                    <w:pPr>
                      <w:pStyle w:val="18"/>
                      <w:ind w:firstLine="42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73</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699200"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147"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楷体_GB2312" w:hAnsi="楷体_GB2312" w:eastAsia="楷体_GB2312" w:cs="楷体_GB2312"/>
        <w:bCs/>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楷体_GB2312" w:hAnsi="楷体_GB2312" w:eastAsia="楷体_GB2312" w:cs="楷体_GB2312"/>
        <w:sz w:val="21"/>
        <w:szCs w:val="21"/>
      </w:rPr>
    </w:pPr>
    <w:r>
      <w:rPr>
        <w:rFonts w:hint="eastAsia" w:ascii="楷体_GB2312" w:hAnsi="楷体_GB2312" w:eastAsia="楷体_GB2312" w:cs="楷体_GB2312"/>
        <w:bCs/>
        <w:color w:val="000000"/>
        <w:sz w:val="21"/>
        <w:szCs w:val="21"/>
      </w:rPr>
      <w:t>电话：（0531）86113158  86113168  传真：86113008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sz w:val="18"/>
      </w:rPr>
      <mc:AlternateContent>
        <mc:Choice Requires="wps">
          <w:drawing>
            <wp:anchor distT="0" distB="0" distL="114300" distR="114300" simplePos="0" relativeHeight="251804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89" name="文本框 8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4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1Bt+k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1Bt+k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III</w:t>
                    </w:r>
                    <w:r>
                      <w:fldChar w:fldCharType="end"/>
                    </w:r>
                  </w:p>
                </w:txbxContent>
              </v:textbox>
            </v:shape>
          </w:pict>
        </mc:Fallback>
      </mc:AlternateContent>
    </w:r>
    <w:r>
      <w:rPr>
        <w:lang w:eastAsia="zh-CN"/>
      </w:rPr>
      <mc:AlternateContent>
        <mc:Choice Requires="wps">
          <w:drawing>
            <wp:anchor distT="0" distB="0" distL="114300" distR="114300" simplePos="0" relativeHeight="251803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3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mYjbo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f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mYjbotAgAAVwQAAA4AAAAAAAAAAQAgAAAAHwEAAGRycy9lMm9Eb2MueG1sUEsFBgAAAAAG&#10;AAYAWQEAAL4FAAAAAA==&#10;">
              <v:fill on="f" focussize="0,0"/>
              <v:stroke on="f" weight="0.5pt"/>
              <v:imagedata o:title=""/>
              <o:lock v:ext="edit" aspectratio="f"/>
              <v:textbox inset="0mm,0mm,0mm,0mm" style="mso-fit-shape-to-text:t;">
                <w:txbxContent>
                  <w:p>
                    <w:pPr>
                      <w:pStyle w:val="18"/>
                      <w:ind w:firstLine="360"/>
                    </w:pP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460" w:firstLineChars="26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w:drawing>
        <wp:anchor distT="0" distB="0" distL="114300" distR="114300" simplePos="0" relativeHeight="251746304" behindDoc="0" locked="0" layoutInCell="1" allowOverlap="0">
          <wp:simplePos x="0" y="0"/>
          <wp:positionH relativeFrom="column">
            <wp:posOffset>5347970</wp:posOffset>
          </wp:positionH>
          <wp:positionV relativeFrom="paragraph">
            <wp:posOffset>38100</wp:posOffset>
          </wp:positionV>
          <wp:extent cx="360045" cy="360045"/>
          <wp:effectExtent l="0" t="0" r="1905" b="1905"/>
          <wp:wrapNone/>
          <wp:docPr id="409"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45280" behindDoc="0" locked="0" layoutInCell="1" allowOverlap="1">
              <wp:simplePos x="0" y="0"/>
              <wp:positionH relativeFrom="margin">
                <wp:posOffset>86995</wp:posOffset>
              </wp:positionH>
              <wp:positionV relativeFrom="paragraph">
                <wp:posOffset>10795</wp:posOffset>
              </wp:positionV>
              <wp:extent cx="299720" cy="349250"/>
              <wp:effectExtent l="0" t="0" r="0" b="0"/>
              <wp:wrapNone/>
              <wp:docPr id="406" name="文本框 406"/>
              <wp:cNvGraphicFramePr/>
              <a:graphic xmlns:a="http://schemas.openxmlformats.org/drawingml/2006/main">
                <a:graphicData uri="http://schemas.microsoft.com/office/word/2010/wordprocessingShape">
                  <wps:wsp>
                    <wps:cNvSpPr txBox="1"/>
                    <wps:spPr>
                      <a:xfrm>
                        <a:off x="0" y="0"/>
                        <a:ext cx="299720" cy="349250"/>
                      </a:xfrm>
                      <a:prstGeom prst="rect">
                        <a:avLst/>
                      </a:prstGeom>
                      <a:noFill/>
                      <a:ln>
                        <a:noFill/>
                      </a:ln>
                      <a:effectLst/>
                    </wps:spPr>
                    <wps:txbx>
                      <w:txbxContent>
                        <w:p>
                          <w:pPr>
                            <w:pStyle w:val="18"/>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72</w:t>
                          </w:r>
                          <w:r>
                            <w:rPr>
                              <w:rFonts w:hint="eastAsia"/>
                              <w:sz w:val="21"/>
                              <w:szCs w:val="21"/>
                              <w:lang w:eastAsia="zh-CN"/>
                            </w:rPr>
                            <w:fldChar w:fldCharType="end"/>
                          </w:r>
                        </w:p>
                      </w:txbxContent>
                    </wps:txbx>
                    <wps:bodyPr wrap="square" lIns="0" tIns="0" rIns="0" bIns="0">
                      <a:noAutofit/>
                    </wps:bodyPr>
                  </wps:wsp>
                </a:graphicData>
              </a:graphic>
            </wp:anchor>
          </w:drawing>
        </mc:Choice>
        <mc:Fallback>
          <w:pict>
            <v:shape id="_x0000_s1026" o:spid="_x0000_s1026" o:spt="202" type="#_x0000_t202" style="position:absolute;left:0pt;margin-left:6.85pt;margin-top:0.85pt;height:27.5pt;width:23.6pt;mso-position-horizontal-relative:margin;z-index:251745280;mso-width-relative:page;mso-height-relative:page;" filled="f" stroked="f" coordsize="21600,21600" o:gfxdata="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V6Qib1AAAAAYBAAAPAAAAAAAAAAEAIAAAACIAAABk&#10;cnMvZG93bnJldi54bWxQSwECFAAUAAAACACHTuJApq30ZtEBAACfAwAADgAAAAAAAAABACAAAAAj&#10;AQAAZHJzL2Uyb0RvYy54bWxQSwUGAAAAAAYABgBZAQAAZgUAAAAA&#10;">
              <v:fill on="f" focussize="0,0"/>
              <v:stroke on="f"/>
              <v:imagedata o:title=""/>
              <o:lock v:ext="edit" aspectratio="f"/>
              <v:textbox inset="0mm,0mm,0mm,0mm">
                <w:txbxContent>
                  <w:p>
                    <w:pPr>
                      <w:pStyle w:val="18"/>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72</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color w:val="000000"/>
        <w:sz w:val="21"/>
        <w:szCs w:val="21"/>
        <w:lang w:eastAsia="zh-CN"/>
      </w:rPr>
      <w:t>济南浩宏伟业技术咨询有限公司</w:t>
    </w:r>
  </w:p>
  <w:p>
    <w:pPr>
      <w:spacing w:line="300" w:lineRule="exact"/>
      <w:ind w:firstLine="3990" w:firstLineChars="1900"/>
      <w:rPr>
        <w:rFonts w:ascii="楷体_GB2312" w:hAnsi="楷体_GB2312" w:eastAsia="楷体_GB2312" w:cs="楷体_GB2312"/>
        <w:sz w:val="21"/>
        <w:szCs w:val="21"/>
      </w:rPr>
    </w:pPr>
    <w:r>
      <w:rPr>
        <w:rFonts w:hint="eastAsia" w:ascii="楷体_GB2312" w:hAnsi="楷体_GB2312" w:eastAsia="楷体_GB2312" w:cs="楷体_GB2312"/>
        <w:sz w:val="21"/>
        <w:szCs w:val="21"/>
      </w:rPr>
      <w:t>电话:(0531)86113158  86113168传真:86113008</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楷体_GB2312" w:hAnsi="楷体_GB2312" w:eastAsia="楷体_GB2312" w:cs="楷体_GB2312"/>
        <w:bCs/>
        <w:color w:val="000000"/>
        <w:spacing w:val="2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73952" behindDoc="0" locked="0" layoutInCell="1" allowOverlap="1">
              <wp:simplePos x="0" y="0"/>
              <wp:positionH relativeFrom="margin">
                <wp:posOffset>8495030</wp:posOffset>
              </wp:positionH>
              <wp:positionV relativeFrom="paragraph">
                <wp:posOffset>-21590</wp:posOffset>
              </wp:positionV>
              <wp:extent cx="431165" cy="33401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431165" cy="334010"/>
                      </a:xfrm>
                      <a:prstGeom prst="rect">
                        <a:avLst/>
                      </a:prstGeom>
                      <a:noFill/>
                      <a:ln w="6350">
                        <a:noFill/>
                      </a:ln>
                      <a:effectLst/>
                    </wps:spPr>
                    <wps:txbx>
                      <w:txbxContent>
                        <w:p>
                          <w:pPr>
                            <w:pStyle w:val="18"/>
                            <w:ind w:firstLine="42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75</w:t>
                          </w:r>
                          <w:r>
                            <w:rPr>
                              <w:rFonts w:hint="eastAsia"/>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68.9pt;margin-top:-1.7pt;height:26.3pt;width:33.95pt;mso-position-horizontal-relative:margin;z-index:251773952;mso-width-relative:page;mso-height-relative:page;" filled="f" stroked="f" coordsize="21600,21600" o:gfxdata="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MTdgdbZAAAACwEAAA8AAAAAAAAAAQAgAAAAIgAAAGRycy9kb3du&#10;cmV2LnhtbFBLAQIUABQAAAAIAIdO4kBu7K1nNwIAAGUEAAAOAAAAAAAAAAEAIAAAACgBAABkcnMv&#10;ZTJvRG9jLnhtbFBLBQYAAAAABgAGAFkBAADRBQAAAAA=&#10;">
              <v:fill on="f" focussize="0,0"/>
              <v:stroke on="f" weight="0.5pt"/>
              <v:imagedata o:title=""/>
              <o:lock v:ext="edit" aspectratio="f"/>
              <v:textbox inset="0mm,0mm,0mm,0mm">
                <w:txbxContent>
                  <w:p>
                    <w:pPr>
                      <w:pStyle w:val="18"/>
                      <w:ind w:firstLine="42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75</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74976"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21"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楷体_GB2312" w:hAnsi="楷体_GB2312" w:eastAsia="楷体_GB2312" w:cs="楷体_GB2312"/>
        <w:bCs/>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楷体_GB2312" w:hAnsi="楷体_GB2312" w:eastAsia="楷体_GB2312" w:cs="楷体_GB2312"/>
        <w:sz w:val="21"/>
        <w:szCs w:val="21"/>
      </w:rPr>
    </w:pPr>
    <w:r>
      <w:rPr>
        <w:rFonts w:hint="eastAsia" w:ascii="楷体_GB2312" w:hAnsi="楷体_GB2312" w:eastAsia="楷体_GB2312" w:cs="楷体_GB2312"/>
        <w:bCs/>
        <w:color w:val="000000"/>
        <w:sz w:val="21"/>
        <w:szCs w:val="21"/>
      </w:rPr>
      <w:t>电话：（0531）86113158  86113168  传真：86113008</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10500" w:firstLineChars="50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w:drawing>
        <wp:anchor distT="0" distB="0" distL="114300" distR="114300" simplePos="0" relativeHeight="251777024" behindDoc="0" locked="0" layoutInCell="1" allowOverlap="0">
          <wp:simplePos x="0" y="0"/>
          <wp:positionH relativeFrom="column">
            <wp:posOffset>8619490</wp:posOffset>
          </wp:positionH>
          <wp:positionV relativeFrom="paragraph">
            <wp:posOffset>-635</wp:posOffset>
          </wp:positionV>
          <wp:extent cx="360045" cy="360045"/>
          <wp:effectExtent l="0" t="0" r="1905" b="1905"/>
          <wp:wrapNone/>
          <wp:docPr id="64"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76000" behindDoc="0" locked="0" layoutInCell="1" allowOverlap="1">
              <wp:simplePos x="0" y="0"/>
              <wp:positionH relativeFrom="margin">
                <wp:posOffset>86995</wp:posOffset>
              </wp:positionH>
              <wp:positionV relativeFrom="paragraph">
                <wp:posOffset>10795</wp:posOffset>
              </wp:positionV>
              <wp:extent cx="299720" cy="349250"/>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299720" cy="349250"/>
                      </a:xfrm>
                      <a:prstGeom prst="rect">
                        <a:avLst/>
                      </a:prstGeom>
                      <a:noFill/>
                      <a:ln>
                        <a:noFill/>
                      </a:ln>
                      <a:effectLst/>
                    </wps:spPr>
                    <wps:txbx>
                      <w:txbxContent>
                        <w:p>
                          <w:pPr>
                            <w:pStyle w:val="18"/>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74</w:t>
                          </w:r>
                          <w:r>
                            <w:rPr>
                              <w:rFonts w:hint="eastAsia"/>
                              <w:sz w:val="21"/>
                              <w:szCs w:val="21"/>
                              <w:lang w:eastAsia="zh-CN"/>
                            </w:rPr>
                            <w:fldChar w:fldCharType="end"/>
                          </w:r>
                        </w:p>
                      </w:txbxContent>
                    </wps:txbx>
                    <wps:bodyPr wrap="square" lIns="0" tIns="0" rIns="0" bIns="0">
                      <a:noAutofit/>
                    </wps:bodyPr>
                  </wps:wsp>
                </a:graphicData>
              </a:graphic>
            </wp:anchor>
          </w:drawing>
        </mc:Choice>
        <mc:Fallback>
          <w:pict>
            <v:shape id="_x0000_s1026" o:spid="_x0000_s1026" o:spt="202" type="#_x0000_t202" style="position:absolute;left:0pt;margin-left:6.85pt;margin-top:0.85pt;height:27.5pt;width:23.6pt;mso-position-horizontal-relative:margin;z-index:251776000;mso-width-relative:page;mso-height-relative:page;" filled="f" stroked="f" coordsize="21600,21600" o:gfxdata="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1ekIm9QAAAAGAQAADwAAAAAAAAABACAAAAAiAAAAZHJz&#10;L2Rvd25yZXYueG1sUEsBAhQAFAAAAAgAh07iQOzGw8DPAQAAnQMAAA4AAAAAAAAAAQAgAAAAIwEA&#10;AGRycy9lMm9Eb2MueG1sUEsFBgAAAAAGAAYAWQEAAGQFAAAAAA==&#10;">
              <v:fill on="f" focussize="0,0"/>
              <v:stroke on="f"/>
              <v:imagedata o:title=""/>
              <o:lock v:ext="edit" aspectratio="f"/>
              <v:textbox inset="0mm,0mm,0mm,0mm">
                <w:txbxContent>
                  <w:p>
                    <w:pPr>
                      <w:pStyle w:val="18"/>
                      <w:ind w:firstLine="0" w:firstLineChars="0"/>
                      <w:rPr>
                        <w:sz w:val="21"/>
                        <w:szCs w:val="21"/>
                        <w:lang w:eastAsia="zh-CN"/>
                      </w:rPr>
                    </w:pPr>
                    <w:r>
                      <w:rPr>
                        <w:rFonts w:hint="eastAsia"/>
                        <w:sz w:val="21"/>
                        <w:szCs w:val="21"/>
                        <w:lang w:eastAsia="zh-CN"/>
                      </w:rPr>
                      <w:fldChar w:fldCharType="begin"/>
                    </w:r>
                    <w:r>
                      <w:rPr>
                        <w:rFonts w:hint="eastAsia"/>
                        <w:sz w:val="21"/>
                        <w:szCs w:val="21"/>
                        <w:lang w:eastAsia="zh-CN"/>
                      </w:rPr>
                      <w:instrText xml:space="preserve"> PAGE  \* MERGEFORMAT </w:instrText>
                    </w:r>
                    <w:r>
                      <w:rPr>
                        <w:rFonts w:hint="eastAsia"/>
                        <w:sz w:val="21"/>
                        <w:szCs w:val="21"/>
                        <w:lang w:eastAsia="zh-CN"/>
                      </w:rPr>
                      <w:fldChar w:fldCharType="separate"/>
                    </w:r>
                    <w:r>
                      <w:rPr>
                        <w:sz w:val="21"/>
                        <w:szCs w:val="21"/>
                        <w:lang w:eastAsia="zh-CN"/>
                      </w:rPr>
                      <w:t>74</w:t>
                    </w:r>
                    <w:r>
                      <w:rPr>
                        <w:rFonts w:hint="eastAsia"/>
                        <w:sz w:val="21"/>
                        <w:szCs w:val="21"/>
                        <w:lang w:eastAsia="zh-CN"/>
                      </w:rPr>
                      <w:fldChar w:fldCharType="end"/>
                    </w:r>
                  </w:p>
                </w:txbxContent>
              </v:textbox>
            </v:shape>
          </w:pict>
        </mc:Fallback>
      </mc:AlternateContent>
    </w:r>
    <w:r>
      <w:rPr>
        <w:rFonts w:hint="eastAsia" w:ascii="楷体_GB2312" w:hAnsi="楷体_GB2312" w:eastAsia="楷体_GB2312" w:cs="楷体_GB2312"/>
        <w:color w:val="000000"/>
        <w:sz w:val="21"/>
        <w:szCs w:val="21"/>
        <w:lang w:eastAsia="zh-CN"/>
      </w:rPr>
      <w:t>济南浩宏伟业技术咨询有限公司</w:t>
    </w:r>
  </w:p>
  <w:p>
    <w:pPr>
      <w:spacing w:line="300" w:lineRule="exact"/>
      <w:ind w:firstLine="9030" w:firstLineChars="4300"/>
      <w:rPr>
        <w:rFonts w:ascii="楷体_GB2312" w:hAnsi="楷体_GB2312" w:eastAsia="楷体_GB2312" w:cs="楷体_GB2312"/>
        <w:sz w:val="21"/>
        <w:szCs w:val="21"/>
      </w:rPr>
    </w:pPr>
    <w:r>
      <w:rPr>
        <w:rFonts w:hint="eastAsia" w:ascii="楷体_GB2312" w:hAnsi="楷体_GB2312" w:eastAsia="楷体_GB2312" w:cs="楷体_GB2312"/>
        <w:sz w:val="21"/>
        <w:szCs w:val="21"/>
      </w:rPr>
      <w:t>电话:(0531)86113158  86113168传真:86113008</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仿宋_GB2312" w:hAnsi="仿宋_GB2312" w:eastAsia="仿宋_GB2312" w:cs="仿宋_GB2312"/>
        <w:color w:val="000000"/>
        <w:spacing w:val="20"/>
        <w:sz w:val="21"/>
        <w:szCs w:val="21"/>
        <w:lang w:eastAsia="zh-CN"/>
      </w:rPr>
    </w:pPr>
    <w:r>
      <w:rPr>
        <w:rFonts w:ascii="仿宋_GB2312" w:hAnsi="仿宋_GB2312" w:eastAsia="仿宋_GB2312" w:cs="仿宋_GB2312"/>
        <w:sz w:val="21"/>
        <w:szCs w:val="21"/>
        <w:lang w:eastAsia="zh-CN"/>
      </w:rPr>
      <mc:AlternateContent>
        <mc:Choice Requires="wps">
          <w:drawing>
            <wp:anchor distT="0" distB="0" distL="114300" distR="114300" simplePos="0" relativeHeight="251694080" behindDoc="1" locked="0" layoutInCell="1" allowOverlap="1">
              <wp:simplePos x="0" y="0"/>
              <wp:positionH relativeFrom="margin">
                <wp:posOffset>5591810</wp:posOffset>
              </wp:positionH>
              <wp:positionV relativeFrom="paragraph">
                <wp:posOffset>8255</wp:posOffset>
              </wp:positionV>
              <wp:extent cx="238125" cy="267970"/>
              <wp:effectExtent l="0" t="0" r="0" b="0"/>
              <wp:wrapThrough wrapText="bothSides">
                <wp:wrapPolygon>
                  <wp:start x="288" y="256"/>
                  <wp:lineTo x="21312" y="256"/>
                  <wp:lineTo x="21312" y="21344"/>
                  <wp:lineTo x="288" y="21344"/>
                  <wp:lineTo x="288" y="256"/>
                </wp:wrapPolygon>
              </wp:wrapThrough>
              <wp:docPr id="126" name="文本框 99"/>
              <wp:cNvGraphicFramePr/>
              <a:graphic xmlns:a="http://schemas.openxmlformats.org/drawingml/2006/main">
                <a:graphicData uri="http://schemas.microsoft.com/office/word/2010/wordprocessingShape">
                  <wps:wsp>
                    <wps:cNvSpPr txBox="1"/>
                    <wps:spPr>
                      <a:xfrm>
                        <a:off x="0" y="0"/>
                        <a:ext cx="238125" cy="267970"/>
                      </a:xfrm>
                      <a:prstGeom prst="rect">
                        <a:avLst/>
                      </a:prstGeom>
                      <a:noFill/>
                      <a:ln w="6350">
                        <a:noFill/>
                      </a:ln>
                    </wps:spPr>
                    <wps:txbx>
                      <w:txbxContent>
                        <w:p>
                          <w:pPr>
                            <w:tabs>
                              <w:tab w:val="center" w:pos="4153"/>
                              <w:tab w:val="right" w:pos="8306"/>
                            </w:tabs>
                            <w:ind w:firstLine="0" w:firstLineChars="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79</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99" o:spid="_x0000_s1026" o:spt="202" type="#_x0000_t202" style="position:absolute;left:0pt;margin-left:440.3pt;margin-top:0.65pt;height:21.1pt;width:18.75pt;mso-position-horizontal-relative:margin;mso-wrap-distance-left:9pt;mso-wrap-distance-right:9pt;z-index:-251622400;mso-width-relative:page;mso-height-relative:page;" filled="f" stroked="f" coordsize="21600,21600" wrapcoords="288 256 21312 256 21312 21344 288 21344 288 256" o:gfxdata="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DrxluR1gAAAAgB&#10;AAAPAAAAAAAAAAEAIAAAACIAAABkcnMvZG93bnJldi54bWxQSwECFAAUAAAACACHTuJAJgyheeQB&#10;AACwAwAADgAAAAAAAAABACAAAAAlAQAAZHJzL2Uyb0RvYy54bWxQSwUGAAAAAAYABgBZAQAAewUA&#10;AAAA&#10;">
              <v:fill on="f" focussize="0,0"/>
              <v:stroke on="f" weight="0.5pt"/>
              <v:imagedata o:title=""/>
              <o:lock v:ext="edit" aspectratio="f"/>
              <v:textbox inset="0mm,0mm,0mm,0mm">
                <w:txbxContent>
                  <w:p>
                    <w:pPr>
                      <w:tabs>
                        <w:tab w:val="center" w:pos="4153"/>
                        <w:tab w:val="right" w:pos="8306"/>
                      </w:tabs>
                      <w:ind w:firstLine="0" w:firstLineChars="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79</w:t>
                    </w:r>
                    <w:r>
                      <w:rPr>
                        <w:sz w:val="21"/>
                        <w:szCs w:val="21"/>
                        <w:lang w:eastAsia="zh-CN"/>
                      </w:rPr>
                      <w:fldChar w:fldCharType="end"/>
                    </w:r>
                  </w:p>
                </w:txbxContent>
              </v:textbox>
              <w10:wrap type="through"/>
            </v:shape>
          </w:pict>
        </mc:Fallback>
      </mc:AlternateContent>
    </w:r>
    <w:r>
      <w:rPr>
        <w:rFonts w:ascii="仿宋_GB2312" w:hAnsi="仿宋_GB2312" w:eastAsia="仿宋_GB2312" w:cs="仿宋_GB2312"/>
        <w:sz w:val="21"/>
        <w:szCs w:val="21"/>
        <w:lang w:eastAsia="zh-CN"/>
      </w:rPr>
      <w:drawing>
        <wp:anchor distT="0" distB="0" distL="114300" distR="114300" simplePos="0" relativeHeight="251695104"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127"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电话：（0531）86113158  86113168  传真：86113008</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240" w:lineRule="auto"/>
      <w:ind w:firstLine="5460" w:firstLineChars="26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696128" behindDoc="0" locked="0" layoutInCell="1" allowOverlap="1">
              <wp:simplePos x="0" y="0"/>
              <wp:positionH relativeFrom="margin">
                <wp:posOffset>-172720</wp:posOffset>
              </wp:positionH>
              <wp:positionV relativeFrom="paragraph">
                <wp:posOffset>-28575</wp:posOffset>
              </wp:positionV>
              <wp:extent cx="528955" cy="446405"/>
              <wp:effectExtent l="0" t="0" r="0" b="0"/>
              <wp:wrapNone/>
              <wp:docPr id="124" name="文本框 101"/>
              <wp:cNvGraphicFramePr/>
              <a:graphic xmlns:a="http://schemas.openxmlformats.org/drawingml/2006/main">
                <a:graphicData uri="http://schemas.microsoft.com/office/word/2010/wordprocessingShape">
                  <wps:wsp>
                    <wps:cNvSpPr txBox="1"/>
                    <wps:spPr>
                      <a:xfrm flipH="1">
                        <a:off x="0" y="0"/>
                        <a:ext cx="528955" cy="446405"/>
                      </a:xfrm>
                      <a:prstGeom prst="rect">
                        <a:avLst/>
                      </a:prstGeom>
                      <a:noFill/>
                      <a:ln>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76</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101" o:spid="_x0000_s1026" o:spt="202" type="#_x0000_t202" style="position:absolute;left:0pt;flip:x;margin-left:-13.6pt;margin-top:-2.25pt;height:35.15pt;width:41.65pt;mso-position-horizontal-relative:margin;z-index:251696128;mso-width-relative:page;mso-height-relative:page;" filled="f" stroked="f" coordsize="21600,21600" o:gfxdata="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F/yhNgAAAAI&#10;AQAADwAAAAAAAAABACAAAAAiAAAAZHJzL2Rvd25yZXYueG1sUEsBAhQAFAAAAAgAh07iQJQ4cvrj&#10;AQAAsgMAAA4AAAAAAAAAAQAgAAAAJwEAAGRycy9lMm9Eb2MueG1sUEsFBgAAAAAGAAYAWQEAAHwF&#10;AAAAAA==&#10;">
              <v:fill on="f" focussize="0,0"/>
              <v:stroke on="f"/>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76</w:t>
                    </w:r>
                    <w:r>
                      <w:rPr>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697152" behindDoc="0" locked="0" layoutInCell="1" allowOverlap="0">
          <wp:simplePos x="0" y="0"/>
          <wp:positionH relativeFrom="column">
            <wp:posOffset>5405755</wp:posOffset>
          </wp:positionH>
          <wp:positionV relativeFrom="paragraph">
            <wp:posOffset>0</wp:posOffset>
          </wp:positionV>
          <wp:extent cx="360045" cy="360045"/>
          <wp:effectExtent l="0" t="0" r="1905" b="1905"/>
          <wp:wrapNone/>
          <wp:docPr id="125"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color w:val="000000"/>
        <w:sz w:val="21"/>
        <w:szCs w:val="21"/>
        <w:lang w:eastAsia="zh-CN"/>
      </w:rPr>
      <w:t>济南浩宏伟业技术咨询有限公司</w:t>
    </w:r>
  </w:p>
  <w:p>
    <w:pPr>
      <w:spacing w:line="240" w:lineRule="auto"/>
      <w:ind w:firstLine="3990" w:firstLineChars="1900"/>
      <w:rPr>
        <w:rFonts w:ascii="仿宋_GB2312" w:hAnsi="仿宋_GB2312" w:eastAsia="仿宋_GB2312" w:cs="仿宋_GB2312"/>
        <w:sz w:val="21"/>
        <w:szCs w:val="21"/>
      </w:rPr>
    </w:pPr>
    <w:r>
      <w:rPr>
        <w:rFonts w:hint="eastAsia" w:ascii="楷体_GB2312" w:hAnsi="楷体_GB2312" w:eastAsia="楷体_GB2312" w:cs="楷体_GB2312"/>
        <w:sz w:val="21"/>
        <w:szCs w:val="21"/>
      </w:rPr>
      <w:t>电话:(0531)86113158  86113168传真:86113008</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仿宋_GB2312" w:hAnsi="仿宋_GB2312" w:eastAsia="仿宋_GB2312" w:cs="仿宋_GB2312"/>
        <w:color w:val="000000"/>
        <w:spacing w:val="20"/>
        <w:sz w:val="21"/>
        <w:szCs w:val="21"/>
        <w:lang w:eastAsia="zh-CN"/>
      </w:rPr>
    </w:pPr>
    <w:r>
      <w:rPr>
        <w:rFonts w:ascii="仿宋_GB2312" w:hAnsi="仿宋_GB2312" w:eastAsia="仿宋_GB2312" w:cs="仿宋_GB2312"/>
        <w:sz w:val="21"/>
        <w:szCs w:val="21"/>
        <w:lang w:eastAsia="zh-CN"/>
      </w:rPr>
      <mc:AlternateContent>
        <mc:Choice Requires="wps">
          <w:drawing>
            <wp:anchor distT="0" distB="0" distL="114300" distR="114300" simplePos="0" relativeHeight="251761664" behindDoc="1" locked="0" layoutInCell="1" allowOverlap="1">
              <wp:simplePos x="0" y="0"/>
              <wp:positionH relativeFrom="margin">
                <wp:posOffset>8758555</wp:posOffset>
              </wp:positionH>
              <wp:positionV relativeFrom="paragraph">
                <wp:posOffset>37465</wp:posOffset>
              </wp:positionV>
              <wp:extent cx="342265" cy="238760"/>
              <wp:effectExtent l="0" t="0" r="0" b="0"/>
              <wp:wrapThrough wrapText="bothSides">
                <wp:wrapPolygon>
                  <wp:start x="200" y="287"/>
                  <wp:lineTo x="21400" y="287"/>
                  <wp:lineTo x="21400" y="21313"/>
                  <wp:lineTo x="200" y="21313"/>
                  <wp:lineTo x="200" y="287"/>
                </wp:wrapPolygon>
              </wp:wrapThrough>
              <wp:docPr id="37" name="文本框 99"/>
              <wp:cNvGraphicFramePr/>
              <a:graphic xmlns:a="http://schemas.openxmlformats.org/drawingml/2006/main">
                <a:graphicData uri="http://schemas.microsoft.com/office/word/2010/wordprocessingShape">
                  <wps:wsp>
                    <wps:cNvSpPr txBox="1"/>
                    <wps:spPr>
                      <a:xfrm>
                        <a:off x="0" y="0"/>
                        <a:ext cx="342265" cy="238760"/>
                      </a:xfrm>
                      <a:prstGeom prst="rect">
                        <a:avLst/>
                      </a:prstGeom>
                      <a:noFill/>
                      <a:ln w="6350">
                        <a:noFill/>
                      </a:ln>
                    </wps:spPr>
                    <wps:txbx>
                      <w:txbxContent>
                        <w:p>
                          <w:pPr>
                            <w:tabs>
                              <w:tab w:val="center" w:pos="4153"/>
                              <w:tab w:val="right" w:pos="8306"/>
                            </w:tabs>
                            <w:ind w:firstLine="0" w:firstLineChars="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81</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99" o:spid="_x0000_s1026" o:spt="202" type="#_x0000_t202" style="position:absolute;left:0pt;margin-left:689.65pt;margin-top:2.95pt;height:18.8pt;width:26.95pt;mso-position-horizontal-relative:margin;mso-wrap-distance-left:9pt;mso-wrap-distance-right:9pt;z-index:-251554816;mso-width-relative:page;mso-height-relative:page;" filled="f" stroked="f" coordsize="21600,21600" wrapcoords="200 287 21400 287 21400 21313 200 21313 200 287" o:gfxdata="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3AfQdkA&#10;AAAKAQAADwAAAAAAAAABACAAAAAiAAAAZHJzL2Rvd25yZXYueG1sUEsBAhQAFAAAAAgAh07iQBAF&#10;MIblAQAArwMAAA4AAAAAAAAAAQAgAAAAKAEAAGRycy9lMm9Eb2MueG1sUEsFBgAAAAAGAAYAWQEA&#10;AH8FAAAAAA==&#10;">
              <v:fill on="f" focussize="0,0"/>
              <v:stroke on="f" weight="0.5pt"/>
              <v:imagedata o:title=""/>
              <o:lock v:ext="edit" aspectratio="f"/>
              <v:textbox inset="0mm,0mm,0mm,0mm">
                <w:txbxContent>
                  <w:p>
                    <w:pPr>
                      <w:tabs>
                        <w:tab w:val="center" w:pos="4153"/>
                        <w:tab w:val="right" w:pos="8306"/>
                      </w:tabs>
                      <w:ind w:firstLine="0" w:firstLineChars="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81</w:t>
                    </w:r>
                    <w:r>
                      <w:rPr>
                        <w:sz w:val="21"/>
                        <w:szCs w:val="21"/>
                        <w:lang w:eastAsia="zh-CN"/>
                      </w:rPr>
                      <w:fldChar w:fldCharType="end"/>
                    </w:r>
                  </w:p>
                </w:txbxContent>
              </v:textbox>
              <w10:wrap type="through"/>
            </v:shape>
          </w:pict>
        </mc:Fallback>
      </mc:AlternateContent>
    </w:r>
    <w:r>
      <w:rPr>
        <w:rFonts w:ascii="仿宋_GB2312" w:hAnsi="仿宋_GB2312" w:eastAsia="仿宋_GB2312" w:cs="仿宋_GB2312"/>
        <w:sz w:val="21"/>
        <w:szCs w:val="21"/>
        <w:lang w:eastAsia="zh-CN"/>
      </w:rPr>
      <w:drawing>
        <wp:anchor distT="0" distB="0" distL="114300" distR="114300" simplePos="0" relativeHeight="251762688"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38"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电话：（0531）86113158  86113168  传真：86113008</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240" w:lineRule="auto"/>
      <w:ind w:firstLine="10500" w:firstLineChars="5000"/>
      <w:rPr>
        <w:rFonts w:ascii="楷体_GB2312" w:hAnsi="楷体_GB2312" w:eastAsia="楷体_GB2312" w:cs="楷体_GB2312"/>
        <w:color w:val="000000"/>
        <w:sz w:val="21"/>
        <w:szCs w:val="21"/>
        <w:lang w:eastAsia="zh-CN"/>
      </w:rPr>
    </w:pPr>
    <w:r>
      <w:rPr>
        <w:rFonts w:hint="eastAsia" w:ascii="楷体_GB2312" w:hAnsi="楷体_GB2312" w:eastAsia="楷体_GB2312" w:cs="楷体_GB2312"/>
        <w:sz w:val="21"/>
        <w:szCs w:val="21"/>
        <w:lang w:eastAsia="zh-CN"/>
      </w:rPr>
      <mc:AlternateContent>
        <mc:Choice Requires="wps">
          <w:drawing>
            <wp:anchor distT="0" distB="0" distL="114300" distR="114300" simplePos="0" relativeHeight="251759616" behindDoc="0" locked="0" layoutInCell="1" allowOverlap="1">
              <wp:simplePos x="0" y="0"/>
              <wp:positionH relativeFrom="margin">
                <wp:posOffset>-172720</wp:posOffset>
              </wp:positionH>
              <wp:positionV relativeFrom="paragraph">
                <wp:posOffset>-28575</wp:posOffset>
              </wp:positionV>
              <wp:extent cx="528955" cy="446405"/>
              <wp:effectExtent l="0" t="0" r="0" b="0"/>
              <wp:wrapNone/>
              <wp:docPr id="34" name="文本框 101"/>
              <wp:cNvGraphicFramePr/>
              <a:graphic xmlns:a="http://schemas.openxmlformats.org/drawingml/2006/main">
                <a:graphicData uri="http://schemas.microsoft.com/office/word/2010/wordprocessingShape">
                  <wps:wsp>
                    <wps:cNvSpPr txBox="1"/>
                    <wps:spPr>
                      <a:xfrm flipH="1">
                        <a:off x="0" y="0"/>
                        <a:ext cx="528955" cy="446405"/>
                      </a:xfrm>
                      <a:prstGeom prst="rect">
                        <a:avLst/>
                      </a:prstGeom>
                      <a:noFill/>
                      <a:ln>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82</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101" o:spid="_x0000_s1026" o:spt="202" type="#_x0000_t202" style="position:absolute;left:0pt;flip:x;margin-left:-13.6pt;margin-top:-2.25pt;height:35.15pt;width:41.65pt;mso-position-horizontal-relative:margin;z-index:251759616;mso-width-relative:page;mso-height-relative:page;" filled="f" stroked="f" coordsize="21600,21600" o:gfxdata="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bF/yhNgAAAAI&#10;AQAADwAAAAAAAAABACAAAAAiAAAAZHJzL2Rvd25yZXYueG1sUEsBAhQAFAAAAAgAh07iQEELeOrj&#10;AQAAsQMAAA4AAAAAAAAAAQAgAAAAJwEAAGRycy9lMm9Eb2MueG1sUEsFBgAAAAAGAAYAWQEAAHwF&#10;AAAAAA==&#10;">
              <v:fill on="f" focussize="0,0"/>
              <v:stroke on="f"/>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82</w:t>
                    </w:r>
                    <w:r>
                      <w:rPr>
                        <w:sz w:val="21"/>
                        <w:szCs w:val="21"/>
                        <w:lang w:eastAsia="zh-CN"/>
                      </w:rPr>
                      <w:fldChar w:fldCharType="end"/>
                    </w:r>
                  </w:p>
                </w:txbxContent>
              </v:textbox>
            </v:shape>
          </w:pict>
        </mc:Fallback>
      </mc:AlternateContent>
    </w:r>
    <w:r>
      <w:rPr>
        <w:rFonts w:hint="eastAsia" w:ascii="楷体_GB2312" w:hAnsi="楷体_GB2312" w:eastAsia="楷体_GB2312" w:cs="楷体_GB2312"/>
        <w:sz w:val="21"/>
        <w:szCs w:val="21"/>
        <w:lang w:eastAsia="zh-CN"/>
      </w:rPr>
      <w:drawing>
        <wp:anchor distT="0" distB="0" distL="114300" distR="114300" simplePos="0" relativeHeight="251760640" behindDoc="0" locked="0" layoutInCell="1" allowOverlap="0">
          <wp:simplePos x="0" y="0"/>
          <wp:positionH relativeFrom="column">
            <wp:posOffset>8619490</wp:posOffset>
          </wp:positionH>
          <wp:positionV relativeFrom="paragraph">
            <wp:posOffset>0</wp:posOffset>
          </wp:positionV>
          <wp:extent cx="360045" cy="360045"/>
          <wp:effectExtent l="0" t="0" r="1905" b="1905"/>
          <wp:wrapNone/>
          <wp:docPr id="36"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楷体_GB2312" w:hAnsi="楷体_GB2312" w:eastAsia="楷体_GB2312" w:cs="楷体_GB2312"/>
        <w:color w:val="000000"/>
        <w:sz w:val="21"/>
        <w:szCs w:val="21"/>
        <w:lang w:eastAsia="zh-CN"/>
      </w:rPr>
      <w:t>济南浩宏伟业技术咨询有限公司</w:t>
    </w:r>
  </w:p>
  <w:p>
    <w:pPr>
      <w:spacing w:line="240" w:lineRule="auto"/>
      <w:ind w:firstLine="9030" w:firstLineChars="4300"/>
      <w:rPr>
        <w:rFonts w:ascii="仿宋_GB2312" w:hAnsi="仿宋_GB2312" w:eastAsia="仿宋_GB2312" w:cs="仿宋_GB2312"/>
        <w:sz w:val="21"/>
        <w:szCs w:val="21"/>
      </w:rPr>
    </w:pPr>
    <w:r>
      <w:rPr>
        <w:rFonts w:hint="eastAsia" w:ascii="楷体_GB2312" w:hAnsi="楷体_GB2312" w:eastAsia="楷体_GB2312" w:cs="楷体_GB2312"/>
        <w:sz w:val="21"/>
        <w:szCs w:val="21"/>
      </w:rPr>
      <w:t>电话:(0531)86113158  86113168传真:86113008</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仿宋_GB2312" w:hAnsi="仿宋_GB2312" w:eastAsia="仿宋_GB2312" w:cs="仿宋_GB2312"/>
        <w:color w:val="000000"/>
        <w:spacing w:val="20"/>
        <w:sz w:val="21"/>
        <w:szCs w:val="21"/>
        <w:lang w:eastAsia="zh-CN"/>
      </w:rPr>
    </w:pPr>
    <w:r>
      <w:rPr>
        <w:rFonts w:ascii="仿宋_GB2312" w:hAnsi="仿宋_GB2312" w:eastAsia="仿宋_GB2312" w:cs="仿宋_GB2312"/>
        <w:sz w:val="21"/>
        <w:szCs w:val="21"/>
        <w:lang w:eastAsia="zh-CN"/>
      </w:rPr>
      <mc:AlternateContent>
        <mc:Choice Requires="wps">
          <w:drawing>
            <wp:anchor distT="0" distB="0" distL="114300" distR="114300" simplePos="0" relativeHeight="251700224" behindDoc="0" locked="0" layoutInCell="1" allowOverlap="1">
              <wp:simplePos x="0" y="0"/>
              <wp:positionH relativeFrom="margin">
                <wp:posOffset>5434330</wp:posOffset>
              </wp:positionH>
              <wp:positionV relativeFrom="paragraph">
                <wp:posOffset>-23495</wp:posOffset>
              </wp:positionV>
              <wp:extent cx="565785" cy="334010"/>
              <wp:effectExtent l="0" t="0" r="0" b="0"/>
              <wp:wrapNone/>
              <wp:docPr id="7" name="文本框 99"/>
              <wp:cNvGraphicFramePr/>
              <a:graphic xmlns:a="http://schemas.openxmlformats.org/drawingml/2006/main">
                <a:graphicData uri="http://schemas.microsoft.com/office/word/2010/wordprocessingShape">
                  <wps:wsp>
                    <wps:cNvSpPr txBox="1"/>
                    <wps:spPr>
                      <a:xfrm>
                        <a:off x="0" y="0"/>
                        <a:ext cx="565785" cy="334010"/>
                      </a:xfrm>
                      <a:prstGeom prst="rect">
                        <a:avLst/>
                      </a:prstGeom>
                      <a:noFill/>
                      <a:ln w="6350">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103</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99" o:spid="_x0000_s1026" o:spt="202" type="#_x0000_t202" style="position:absolute;left:0pt;margin-left:427.9pt;margin-top:-1.85pt;height:26.3pt;width:44.55pt;mso-position-horizontal-relative:margin;z-index:251700224;mso-width-relative:page;mso-height-relative:page;" filled="f" stroked="f" coordsize="21600,21600" o:gfxdata="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4s/kNkAAAAJ&#10;AQAADwAAAAAAAAABACAAAAAiAAAAZHJzL2Rvd25yZXYueG1sUEsBAhQAFAAAAAgAh07iQKg2V5zi&#10;AQAArgMAAA4AAAAAAAAAAQAgAAAAKAEAAGRycy9lMm9Eb2MueG1sUEsFBgAAAAAGAAYAWQEAAHwF&#10;AAAAAA==&#10;">
              <v:fill on="f" focussize="0,0"/>
              <v:stroke on="f" weight="0.5pt"/>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103</w:t>
                    </w:r>
                    <w:r>
                      <w:rPr>
                        <w:sz w:val="21"/>
                        <w:szCs w:val="21"/>
                        <w:lang w:eastAsia="zh-CN"/>
                      </w:rPr>
                      <w:fldChar w:fldCharType="end"/>
                    </w:r>
                  </w:p>
                </w:txbxContent>
              </v:textbox>
            </v:shape>
          </w:pict>
        </mc:Fallback>
      </mc:AlternateContent>
    </w:r>
    <w:r>
      <w:rPr>
        <w:rFonts w:ascii="仿宋_GB2312" w:hAnsi="仿宋_GB2312" w:eastAsia="仿宋_GB2312" w:cs="仿宋_GB2312"/>
        <w:sz w:val="21"/>
        <w:szCs w:val="21"/>
        <w:lang w:eastAsia="zh-CN"/>
      </w:rPr>
      <w:drawing>
        <wp:anchor distT="0" distB="0" distL="114300" distR="114300" simplePos="0" relativeHeight="251701248"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9"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电话：（0531）86113158  86113168  传真：86113008</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880" w:firstLineChars="2800"/>
      <w:rPr>
        <w:rFonts w:ascii="仿宋_GB2312" w:hAnsi="仿宋_GB2312" w:eastAsia="仿宋_GB2312" w:cs="仿宋_GB2312"/>
        <w:color w:val="000000"/>
        <w:sz w:val="21"/>
        <w:szCs w:val="21"/>
        <w:lang w:eastAsia="zh-CN"/>
      </w:rPr>
    </w:pPr>
    <w:r>
      <w:rPr>
        <w:rFonts w:hint="eastAsia" w:ascii="仿宋_GB2312" w:hAnsi="仿宋_GB2312" w:eastAsia="仿宋_GB2312" w:cs="仿宋_GB2312"/>
        <w:sz w:val="21"/>
        <w:szCs w:val="21"/>
        <w:lang w:eastAsia="zh-CN"/>
      </w:rPr>
      <mc:AlternateContent>
        <mc:Choice Requires="wps">
          <w:drawing>
            <wp:anchor distT="0" distB="0" distL="114300" distR="114300" simplePos="0" relativeHeight="251702272" behindDoc="0" locked="0" layoutInCell="1" allowOverlap="1">
              <wp:simplePos x="0" y="0"/>
              <wp:positionH relativeFrom="margin">
                <wp:posOffset>-220345</wp:posOffset>
              </wp:positionH>
              <wp:positionV relativeFrom="paragraph">
                <wp:posOffset>0</wp:posOffset>
              </wp:positionV>
              <wp:extent cx="527685" cy="417830"/>
              <wp:effectExtent l="0" t="0" r="0" b="0"/>
              <wp:wrapNone/>
              <wp:docPr id="10" name="文本框 101"/>
              <wp:cNvGraphicFramePr/>
              <a:graphic xmlns:a="http://schemas.openxmlformats.org/drawingml/2006/main">
                <a:graphicData uri="http://schemas.microsoft.com/office/word/2010/wordprocessingShape">
                  <wps:wsp>
                    <wps:cNvSpPr txBox="1"/>
                    <wps:spPr>
                      <a:xfrm flipH="1">
                        <a:off x="0" y="0"/>
                        <a:ext cx="527685" cy="417830"/>
                      </a:xfrm>
                      <a:prstGeom prst="rect">
                        <a:avLst/>
                      </a:prstGeom>
                      <a:noFill/>
                      <a:ln>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102</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101" o:spid="_x0000_s1026" o:spt="202" type="#_x0000_t202" style="position:absolute;left:0pt;flip:x;margin-left:-17.35pt;margin-top:0pt;height:32.9pt;width:41.55pt;mso-position-horizontal-relative:margin;z-index:251702272;mso-width-relative:page;mso-height-relative:page;" filled="f" stroked="f" coordsize="21600,21600" o:gfxdata="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7uXfD1QAAAAYBAAAP&#10;AAAAAAAAAAEAIAAAACIAAABkcnMvZG93bnJldi54bWxQSwECFAAUAAAACACHTuJA7CXmHuIBAACx&#10;AwAADgAAAAAAAAABACAAAAAkAQAAZHJzL2Uyb0RvYy54bWxQSwUGAAAAAAYABgBZAQAAeAUAAAAA&#10;">
              <v:fill on="f" focussize="0,0"/>
              <v:stroke on="f"/>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102</w:t>
                    </w:r>
                    <w:r>
                      <w:rPr>
                        <w:sz w:val="21"/>
                        <w:szCs w:val="21"/>
                        <w:lang w:eastAsia="zh-CN"/>
                      </w:rPr>
                      <w:fldChar w:fldCharType="end"/>
                    </w:r>
                  </w:p>
                </w:txbxContent>
              </v:textbox>
            </v:shape>
          </w:pict>
        </mc:Fallback>
      </mc:AlternateContent>
    </w:r>
    <w:r>
      <w:rPr>
        <w:rFonts w:hint="eastAsia" w:ascii="仿宋_GB2312" w:hAnsi="仿宋_GB2312" w:eastAsia="仿宋_GB2312" w:cs="仿宋_GB2312"/>
        <w:sz w:val="21"/>
        <w:szCs w:val="21"/>
        <w:lang w:eastAsia="zh-CN"/>
      </w:rPr>
      <w:drawing>
        <wp:anchor distT="0" distB="0" distL="114300" distR="114300" simplePos="0" relativeHeight="251703296" behindDoc="1" locked="0" layoutInCell="1" allowOverlap="0">
          <wp:simplePos x="0" y="0"/>
          <wp:positionH relativeFrom="column">
            <wp:posOffset>5579745</wp:posOffset>
          </wp:positionH>
          <wp:positionV relativeFrom="paragraph">
            <wp:posOffset>-3810</wp:posOffset>
          </wp:positionV>
          <wp:extent cx="360045" cy="360045"/>
          <wp:effectExtent l="0" t="0" r="1905" b="1905"/>
          <wp:wrapThrough wrapText="bothSides">
            <wp:wrapPolygon>
              <wp:start x="0" y="0"/>
              <wp:lineTo x="0" y="20571"/>
              <wp:lineTo x="20571" y="20571"/>
              <wp:lineTo x="20571" y="0"/>
              <wp:lineTo x="0" y="0"/>
            </wp:wrapPolygon>
          </wp:wrapThrough>
          <wp:docPr id="11"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仿宋_GB2312" w:hAnsi="仿宋_GB2312" w:eastAsia="仿宋_GB2312" w:cs="仿宋_GB2312"/>
        <w:color w:val="000000"/>
        <w:sz w:val="21"/>
        <w:szCs w:val="21"/>
        <w:lang w:eastAsia="zh-CN"/>
      </w:rPr>
      <w:t>济南浩宏伟业技术咨询有限公司</w:t>
    </w:r>
  </w:p>
  <w:p>
    <w:pPr>
      <w:spacing w:line="300" w:lineRule="exact"/>
      <w:ind w:firstLine="4410" w:firstLineChars="2100"/>
      <w:rPr>
        <w:rFonts w:ascii="仿宋_GB2312" w:hAnsi="仿宋_GB2312" w:eastAsia="仿宋_GB2312" w:cs="仿宋_GB2312"/>
        <w:sz w:val="21"/>
        <w:szCs w:val="21"/>
      </w:rPr>
    </w:pPr>
    <w:r>
      <w:rPr>
        <w:rFonts w:hint="eastAsia" w:ascii="仿宋_GB2312" w:hAnsi="仿宋_GB2312" w:eastAsia="仿宋_GB2312" w:cs="仿宋_GB2312"/>
        <w:sz w:val="21"/>
        <w:szCs w:val="21"/>
      </w:rPr>
      <w:t>电话:(0531)86113158  86113168传真:86113008</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9660" w:firstLineChars="4600"/>
      <w:rPr>
        <w:rFonts w:ascii="仿宋_GB2312" w:hAnsi="仿宋_GB2312" w:eastAsia="仿宋_GB2312" w:cs="仿宋_GB2312"/>
        <w:color w:val="000000"/>
        <w:sz w:val="21"/>
        <w:szCs w:val="21"/>
        <w:lang w:eastAsia="zh-CN"/>
      </w:rPr>
    </w:pPr>
    <w:r>
      <w:rPr>
        <w:rFonts w:hint="eastAsia" w:ascii="仿宋_GB2312" w:hAnsi="仿宋_GB2312" w:eastAsia="仿宋_GB2312" w:cs="仿宋_GB2312"/>
        <w:sz w:val="21"/>
        <w:szCs w:val="21"/>
        <w:lang w:eastAsia="zh-CN"/>
      </w:rPr>
      <w:drawing>
        <wp:anchor distT="0" distB="0" distL="114300" distR="114300" simplePos="0" relativeHeight="251794432" behindDoc="1" locked="0" layoutInCell="1" allowOverlap="0">
          <wp:simplePos x="0" y="0"/>
          <wp:positionH relativeFrom="column">
            <wp:posOffset>8066405</wp:posOffset>
          </wp:positionH>
          <wp:positionV relativeFrom="paragraph">
            <wp:posOffset>-35560</wp:posOffset>
          </wp:positionV>
          <wp:extent cx="360045" cy="360045"/>
          <wp:effectExtent l="0" t="0" r="1905" b="1905"/>
          <wp:wrapThrough wrapText="bothSides">
            <wp:wrapPolygon>
              <wp:start x="0" y="0"/>
              <wp:lineTo x="0" y="20571"/>
              <wp:lineTo x="20571" y="20571"/>
              <wp:lineTo x="20571" y="0"/>
              <wp:lineTo x="0" y="0"/>
            </wp:wrapPolygon>
          </wp:wrapThrough>
          <wp:docPr id="28"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仿宋_GB2312" w:hAnsi="仿宋_GB2312" w:eastAsia="仿宋_GB2312" w:cs="仿宋_GB2312"/>
        <w:sz w:val="21"/>
        <w:szCs w:val="21"/>
        <w:lang w:eastAsia="zh-CN"/>
      </w:rPr>
      <mc:AlternateContent>
        <mc:Choice Requires="wps">
          <w:drawing>
            <wp:anchor distT="0" distB="0" distL="114300" distR="114300" simplePos="0" relativeHeight="251793408" behindDoc="0" locked="0" layoutInCell="1" allowOverlap="1">
              <wp:simplePos x="0" y="0"/>
              <wp:positionH relativeFrom="margin">
                <wp:posOffset>-220345</wp:posOffset>
              </wp:positionH>
              <wp:positionV relativeFrom="paragraph">
                <wp:posOffset>0</wp:posOffset>
              </wp:positionV>
              <wp:extent cx="527685" cy="417830"/>
              <wp:effectExtent l="0" t="0" r="0" b="0"/>
              <wp:wrapNone/>
              <wp:docPr id="26" name="文本框 101"/>
              <wp:cNvGraphicFramePr/>
              <a:graphic xmlns:a="http://schemas.openxmlformats.org/drawingml/2006/main">
                <a:graphicData uri="http://schemas.microsoft.com/office/word/2010/wordprocessingShape">
                  <wps:wsp>
                    <wps:cNvSpPr txBox="1"/>
                    <wps:spPr>
                      <a:xfrm flipH="1">
                        <a:off x="0" y="0"/>
                        <a:ext cx="527685" cy="417830"/>
                      </a:xfrm>
                      <a:prstGeom prst="rect">
                        <a:avLst/>
                      </a:prstGeom>
                      <a:noFill/>
                      <a:ln>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102</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101" o:spid="_x0000_s1026" o:spt="202" type="#_x0000_t202" style="position:absolute;left:0pt;flip:x;margin-left:-17.35pt;margin-top:0pt;height:32.9pt;width:41.55pt;mso-position-horizontal-relative:margin;z-index:251793408;mso-width-relative:page;mso-height-relative:page;" filled="f" stroked="f" coordsize="21600,21600" o:gfxdata="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7l3w9UAAAAGAQAA&#10;DwAAAAAAAAABACAAAAAiAAAAZHJzL2Rvd25yZXYueG1sUEsBAhQAFAAAAAgAh07iQG/hq6zjAQAA&#10;sQMAAA4AAAAAAAAAAQAgAAAAJAEAAGRycy9lMm9Eb2MueG1sUEsFBgAAAAAGAAYAWQEAAHkFAAAA&#10;AA==&#10;">
              <v:fill on="f" focussize="0,0"/>
              <v:stroke on="f"/>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102</w:t>
                    </w:r>
                    <w:r>
                      <w:rPr>
                        <w:sz w:val="21"/>
                        <w:szCs w:val="21"/>
                        <w:lang w:eastAsia="zh-CN"/>
                      </w:rPr>
                      <w:fldChar w:fldCharType="end"/>
                    </w:r>
                  </w:p>
                </w:txbxContent>
              </v:textbox>
            </v:shape>
          </w:pict>
        </mc:Fallback>
      </mc:AlternateContent>
    </w:r>
    <w:r>
      <w:rPr>
        <w:rFonts w:hint="eastAsia" w:ascii="仿宋_GB2312" w:hAnsi="仿宋_GB2312" w:eastAsia="仿宋_GB2312" w:cs="仿宋_GB2312"/>
        <w:color w:val="000000"/>
        <w:sz w:val="21"/>
        <w:szCs w:val="21"/>
        <w:lang w:eastAsia="zh-CN"/>
      </w:rPr>
      <w:t>济南浩宏伟业技术咨询有限公司</w:t>
    </w:r>
  </w:p>
  <w:p>
    <w:pPr>
      <w:spacing w:line="300" w:lineRule="exact"/>
      <w:ind w:firstLine="8190" w:firstLineChars="3900"/>
      <w:rPr>
        <w:rFonts w:ascii="仿宋_GB2312" w:hAnsi="仿宋_GB2312" w:eastAsia="仿宋_GB2312" w:cs="仿宋_GB2312"/>
        <w:sz w:val="21"/>
        <w:szCs w:val="21"/>
      </w:rPr>
    </w:pPr>
    <w:r>
      <w:rPr>
        <w:rFonts w:hint="eastAsia" w:ascii="仿宋_GB2312" w:hAnsi="仿宋_GB2312" w:eastAsia="仿宋_GB2312" w:cs="仿宋_GB2312"/>
        <w:sz w:val="21"/>
        <w:szCs w:val="21"/>
      </w:rPr>
      <w:t>电话:(0531)86113158  86113168传真:86113008</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4560" w:firstLineChars="1900"/>
      <w:rPr>
        <w:rFonts w:ascii="楷体_GB2312" w:hAnsi="楷体_GB2312" w:eastAsia="楷体_GB2312" w:cs="楷体_GB2312"/>
      </w:rPr>
    </w:pPr>
    <w:r>
      <w:rPr>
        <w:sz w:val="24"/>
      </w:rPr>
      <mc:AlternateContent>
        <mc:Choice Requires="wps">
          <w:drawing>
            <wp:anchor distT="0" distB="0" distL="114300" distR="114300" simplePos="0" relativeHeight="251805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5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FZI8z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FZI8zAgAAYw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II</w:t>
                    </w:r>
                    <w:r>
                      <w:fldChar w:fldCharType="end"/>
                    </w:r>
                  </w:p>
                </w:txbxContent>
              </v:textbox>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000000" w:sz="12" w:space="0"/>
      </w:pBdr>
      <w:spacing w:line="240" w:lineRule="auto"/>
      <w:ind w:firstLine="630" w:firstLineChars="300"/>
      <w:rPr>
        <w:rFonts w:ascii="仿宋_GB2312" w:hAnsi="仿宋_GB2312" w:eastAsia="仿宋_GB2312" w:cs="仿宋_GB2312"/>
        <w:color w:val="000000"/>
        <w:spacing w:val="20"/>
        <w:sz w:val="21"/>
        <w:szCs w:val="21"/>
        <w:lang w:eastAsia="zh-CN"/>
      </w:rPr>
    </w:pPr>
    <w:r>
      <w:rPr>
        <w:rFonts w:ascii="仿宋_GB2312" w:hAnsi="仿宋_GB2312" w:eastAsia="仿宋_GB2312" w:cs="仿宋_GB2312"/>
        <w:sz w:val="21"/>
        <w:szCs w:val="21"/>
        <w:lang w:eastAsia="zh-CN"/>
      </w:rPr>
      <mc:AlternateContent>
        <mc:Choice Requires="wps">
          <w:drawing>
            <wp:anchor distT="0" distB="0" distL="114300" distR="114300" simplePos="0" relativeHeight="251795456" behindDoc="0" locked="0" layoutInCell="1" allowOverlap="1">
              <wp:simplePos x="0" y="0"/>
              <wp:positionH relativeFrom="margin">
                <wp:posOffset>5434330</wp:posOffset>
              </wp:positionH>
              <wp:positionV relativeFrom="paragraph">
                <wp:posOffset>-23495</wp:posOffset>
              </wp:positionV>
              <wp:extent cx="565785" cy="334010"/>
              <wp:effectExtent l="0" t="0" r="0" b="0"/>
              <wp:wrapNone/>
              <wp:docPr id="29" name="文本框 99"/>
              <wp:cNvGraphicFramePr/>
              <a:graphic xmlns:a="http://schemas.openxmlformats.org/drawingml/2006/main">
                <a:graphicData uri="http://schemas.microsoft.com/office/word/2010/wordprocessingShape">
                  <wps:wsp>
                    <wps:cNvSpPr txBox="1"/>
                    <wps:spPr>
                      <a:xfrm>
                        <a:off x="0" y="0"/>
                        <a:ext cx="565785" cy="334010"/>
                      </a:xfrm>
                      <a:prstGeom prst="rect">
                        <a:avLst/>
                      </a:prstGeom>
                      <a:noFill/>
                      <a:ln w="6350">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103</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99" o:spid="_x0000_s1026" o:spt="202" type="#_x0000_t202" style="position:absolute;left:0pt;margin-left:427.9pt;margin-top:-1.85pt;height:26.3pt;width:44.55pt;mso-position-horizontal-relative:margin;z-index:251795456;mso-width-relative:page;mso-height-relative:page;" filled="f" stroked="f" coordsize="21600,21600" o:gfxdata="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4s/kNkAAAAJ&#10;AQAADwAAAAAAAAABACAAAAAiAAAAZHJzL2Rvd25yZXYueG1sUEsBAhQAFAAAAAgAh07iQCbxTY7i&#10;AQAArwMAAA4AAAAAAAAAAQAgAAAAKAEAAGRycy9lMm9Eb2MueG1sUEsFBgAAAAAGAAYAWQEAAHwF&#10;AAAAAA==&#10;">
              <v:fill on="f" focussize="0,0"/>
              <v:stroke on="f" weight="0.5pt"/>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103</w:t>
                    </w:r>
                    <w:r>
                      <w:rPr>
                        <w:sz w:val="21"/>
                        <w:szCs w:val="21"/>
                        <w:lang w:eastAsia="zh-CN"/>
                      </w:rPr>
                      <w:fldChar w:fldCharType="end"/>
                    </w:r>
                  </w:p>
                </w:txbxContent>
              </v:textbox>
            </v:shape>
          </w:pict>
        </mc:Fallback>
      </mc:AlternateContent>
    </w:r>
    <w:r>
      <w:rPr>
        <w:rFonts w:ascii="仿宋_GB2312" w:hAnsi="仿宋_GB2312" w:eastAsia="仿宋_GB2312" w:cs="仿宋_GB2312"/>
        <w:sz w:val="21"/>
        <w:szCs w:val="21"/>
        <w:lang w:eastAsia="zh-CN"/>
      </w:rPr>
      <w:drawing>
        <wp:anchor distT="0" distB="0" distL="114300" distR="114300" simplePos="0" relativeHeight="251796480" behindDoc="0" locked="0" layoutInCell="1" allowOverlap="1">
          <wp:simplePos x="0" y="0"/>
          <wp:positionH relativeFrom="column">
            <wp:posOffset>-5715</wp:posOffset>
          </wp:positionH>
          <wp:positionV relativeFrom="paragraph">
            <wp:posOffset>27940</wp:posOffset>
          </wp:positionV>
          <wp:extent cx="381000" cy="381000"/>
          <wp:effectExtent l="0" t="0" r="0" b="0"/>
          <wp:wrapSquare wrapText="bothSides"/>
          <wp:docPr id="30"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color w:val="000000"/>
        <w:spacing w:val="20"/>
        <w:sz w:val="21"/>
        <w:szCs w:val="21"/>
        <w:lang w:eastAsia="zh-CN"/>
      </w:rPr>
      <w:t>济南浩宏伟业技术咨询有限公司</w:t>
    </w:r>
  </w:p>
  <w:p>
    <w:pPr>
      <w:pBdr>
        <w:top w:val="thinThickSmallGap" w:color="000000" w:sz="12" w:space="0"/>
      </w:pBdr>
      <w:spacing w:line="240" w:lineRule="auto"/>
      <w:ind w:firstLine="630" w:firstLineChars="300"/>
      <w:rPr>
        <w:rFonts w:ascii="仿宋_GB2312" w:hAnsi="仿宋_GB2312" w:eastAsia="仿宋_GB2312" w:cs="仿宋_GB2312"/>
        <w:sz w:val="21"/>
        <w:szCs w:val="21"/>
      </w:rPr>
    </w:pPr>
    <w:r>
      <w:rPr>
        <w:rFonts w:hint="eastAsia" w:ascii="仿宋_GB2312" w:hAnsi="仿宋_GB2312" w:eastAsia="仿宋_GB2312" w:cs="仿宋_GB2312"/>
        <w:color w:val="000000"/>
        <w:sz w:val="21"/>
        <w:szCs w:val="21"/>
      </w:rPr>
      <w:t>电话：（0531）86113158  86113168  传真：86113008</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thinThickSmallGap" w:color="auto" w:sz="12" w:space="1"/>
      </w:pBdr>
      <w:spacing w:line="300" w:lineRule="exact"/>
      <w:ind w:firstLine="5880" w:firstLineChars="2800"/>
      <w:rPr>
        <w:rFonts w:ascii="仿宋_GB2312" w:hAnsi="仿宋_GB2312" w:eastAsia="仿宋_GB2312" w:cs="仿宋_GB2312"/>
        <w:color w:val="000000"/>
        <w:sz w:val="21"/>
        <w:szCs w:val="21"/>
        <w:lang w:eastAsia="zh-CN"/>
      </w:rPr>
    </w:pPr>
    <w:r>
      <w:rPr>
        <w:rFonts w:hint="eastAsia" w:ascii="仿宋_GB2312" w:hAnsi="仿宋_GB2312" w:eastAsia="仿宋_GB2312" w:cs="仿宋_GB2312"/>
        <w:sz w:val="21"/>
        <w:szCs w:val="21"/>
        <w:lang w:eastAsia="zh-CN"/>
      </w:rPr>
      <mc:AlternateContent>
        <mc:Choice Requires="wps">
          <w:drawing>
            <wp:anchor distT="0" distB="0" distL="114300" distR="114300" simplePos="0" relativeHeight="251797504" behindDoc="0" locked="0" layoutInCell="1" allowOverlap="1">
              <wp:simplePos x="0" y="0"/>
              <wp:positionH relativeFrom="margin">
                <wp:posOffset>-220345</wp:posOffset>
              </wp:positionH>
              <wp:positionV relativeFrom="paragraph">
                <wp:posOffset>0</wp:posOffset>
              </wp:positionV>
              <wp:extent cx="527685" cy="417830"/>
              <wp:effectExtent l="0" t="0" r="0" b="0"/>
              <wp:wrapNone/>
              <wp:docPr id="32" name="文本框 101"/>
              <wp:cNvGraphicFramePr/>
              <a:graphic xmlns:a="http://schemas.openxmlformats.org/drawingml/2006/main">
                <a:graphicData uri="http://schemas.microsoft.com/office/word/2010/wordprocessingShape">
                  <wps:wsp>
                    <wps:cNvSpPr txBox="1"/>
                    <wps:spPr>
                      <a:xfrm flipH="1">
                        <a:off x="0" y="0"/>
                        <a:ext cx="527685" cy="417830"/>
                      </a:xfrm>
                      <a:prstGeom prst="rect">
                        <a:avLst/>
                      </a:prstGeom>
                      <a:noFill/>
                      <a:ln>
                        <a:noFill/>
                      </a:ln>
                    </wps:spPr>
                    <wps:txbx>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102</w:t>
                          </w:r>
                          <w:r>
                            <w:rPr>
                              <w:sz w:val="21"/>
                              <w:szCs w:val="21"/>
                              <w:lang w:eastAsia="zh-CN"/>
                            </w:rPr>
                            <w:fldChar w:fldCharType="end"/>
                          </w:r>
                        </w:p>
                      </w:txbxContent>
                    </wps:txbx>
                    <wps:bodyPr vert="horz" wrap="square" lIns="0" tIns="0" rIns="0" bIns="0" anchor="t" anchorCtr="0" upright="1"/>
                  </wps:wsp>
                </a:graphicData>
              </a:graphic>
            </wp:anchor>
          </w:drawing>
        </mc:Choice>
        <mc:Fallback>
          <w:pict>
            <v:shape id="文本框 101" o:spid="_x0000_s1026" o:spt="202" type="#_x0000_t202" style="position:absolute;left:0pt;flip:x;margin-left:-17.35pt;margin-top:0pt;height:32.9pt;width:41.55pt;mso-position-horizontal-relative:margin;z-index:251797504;mso-width-relative:page;mso-height-relative:page;" filled="f" stroked="f" coordsize="21600,21600" o:gfxdata="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u7l3w9UAAAAGAQAA&#10;DwAAAAAAAAABACAAAAAiAAAAZHJzL2Rvd25yZXYueG1sUEsBAhQAFAAAAAgAh07iQGDeSJjjAQAA&#10;sQMAAA4AAAAAAAAAAQAgAAAAJAEAAGRycy9lMm9Eb2MueG1sUEsFBgAAAAAGAAYAWQEAAHkFAAAA&#10;AA==&#10;">
              <v:fill on="f" focussize="0,0"/>
              <v:stroke on="f"/>
              <v:imagedata o:title=""/>
              <o:lock v:ext="edit" aspectratio="f"/>
              <v:textbox inset="0mm,0mm,0mm,0mm">
                <w:txbxContent>
                  <w:p>
                    <w:pPr>
                      <w:tabs>
                        <w:tab w:val="center" w:pos="4153"/>
                        <w:tab w:val="right" w:pos="8306"/>
                      </w:tabs>
                      <w:ind w:firstLine="420"/>
                      <w:rPr>
                        <w:sz w:val="21"/>
                        <w:szCs w:val="21"/>
                        <w:lang w:eastAsia="zh-CN"/>
                      </w:rPr>
                    </w:pPr>
                    <w:r>
                      <w:rPr>
                        <w:sz w:val="21"/>
                        <w:szCs w:val="21"/>
                        <w:lang w:eastAsia="zh-CN"/>
                      </w:rPr>
                      <w:fldChar w:fldCharType="begin"/>
                    </w:r>
                    <w:r>
                      <w:rPr>
                        <w:sz w:val="21"/>
                        <w:szCs w:val="21"/>
                        <w:lang w:eastAsia="zh-CN"/>
                      </w:rPr>
                      <w:instrText xml:space="preserve"> PAGE  \* MERGEFORMAT </w:instrText>
                    </w:r>
                    <w:r>
                      <w:rPr>
                        <w:sz w:val="21"/>
                        <w:szCs w:val="21"/>
                        <w:lang w:eastAsia="zh-CN"/>
                      </w:rPr>
                      <w:fldChar w:fldCharType="separate"/>
                    </w:r>
                    <w:r>
                      <w:rPr>
                        <w:sz w:val="21"/>
                        <w:szCs w:val="21"/>
                        <w:lang w:eastAsia="zh-CN"/>
                      </w:rPr>
                      <w:t>102</w:t>
                    </w:r>
                    <w:r>
                      <w:rPr>
                        <w:sz w:val="21"/>
                        <w:szCs w:val="21"/>
                        <w:lang w:eastAsia="zh-CN"/>
                      </w:rPr>
                      <w:fldChar w:fldCharType="end"/>
                    </w:r>
                  </w:p>
                </w:txbxContent>
              </v:textbox>
            </v:shape>
          </w:pict>
        </mc:Fallback>
      </mc:AlternateContent>
    </w:r>
    <w:r>
      <w:rPr>
        <w:rFonts w:hint="eastAsia" w:ascii="仿宋_GB2312" w:hAnsi="仿宋_GB2312" w:eastAsia="仿宋_GB2312" w:cs="仿宋_GB2312"/>
        <w:sz w:val="21"/>
        <w:szCs w:val="21"/>
        <w:lang w:eastAsia="zh-CN"/>
      </w:rPr>
      <w:drawing>
        <wp:anchor distT="0" distB="0" distL="114300" distR="114300" simplePos="0" relativeHeight="251798528" behindDoc="1" locked="0" layoutInCell="1" allowOverlap="0">
          <wp:simplePos x="0" y="0"/>
          <wp:positionH relativeFrom="column">
            <wp:posOffset>5579745</wp:posOffset>
          </wp:positionH>
          <wp:positionV relativeFrom="paragraph">
            <wp:posOffset>-3810</wp:posOffset>
          </wp:positionV>
          <wp:extent cx="360045" cy="360045"/>
          <wp:effectExtent l="0" t="0" r="1905" b="1905"/>
          <wp:wrapThrough wrapText="bothSides">
            <wp:wrapPolygon>
              <wp:start x="0" y="0"/>
              <wp:lineTo x="0" y="20571"/>
              <wp:lineTo x="20571" y="20571"/>
              <wp:lineTo x="20571" y="0"/>
              <wp:lineTo x="0" y="0"/>
            </wp:wrapPolygon>
          </wp:wrapThrough>
          <wp:docPr id="33" name="图片 8" descr="浩宏(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8" descr="浩宏(黑白)"/>
                  <pic:cNvPicPr>
                    <a:picLocks noChangeAspect="1"/>
                  </pic:cNvPicPr>
                </pic:nvPicPr>
                <pic:blipFill>
                  <a:blip r:embed="rId1"/>
                  <a:stretch>
                    <a:fillRect/>
                  </a:stretch>
                </pic:blipFill>
                <pic:spPr>
                  <a:xfrm>
                    <a:off x="0" y="0"/>
                    <a:ext cx="360045" cy="360045"/>
                  </a:xfrm>
                  <a:prstGeom prst="rect">
                    <a:avLst/>
                  </a:prstGeom>
                  <a:noFill/>
                  <a:ln>
                    <a:noFill/>
                  </a:ln>
                </pic:spPr>
              </pic:pic>
            </a:graphicData>
          </a:graphic>
        </wp:anchor>
      </w:drawing>
    </w:r>
    <w:r>
      <w:rPr>
        <w:rFonts w:hint="eastAsia" w:ascii="仿宋_GB2312" w:hAnsi="仿宋_GB2312" w:eastAsia="仿宋_GB2312" w:cs="仿宋_GB2312"/>
        <w:color w:val="000000"/>
        <w:sz w:val="21"/>
        <w:szCs w:val="21"/>
        <w:lang w:eastAsia="zh-CN"/>
      </w:rPr>
      <w:t>济南浩宏伟业技术咨询有限公司</w:t>
    </w:r>
  </w:p>
  <w:p>
    <w:pPr>
      <w:spacing w:line="300" w:lineRule="exact"/>
      <w:ind w:firstLine="4410" w:firstLineChars="2100"/>
      <w:rPr>
        <w:rFonts w:ascii="仿宋_GB2312" w:hAnsi="仿宋_GB2312" w:eastAsia="仿宋_GB2312" w:cs="仿宋_GB2312"/>
        <w:sz w:val="21"/>
        <w:szCs w:val="21"/>
      </w:rPr>
    </w:pPr>
    <w:r>
      <w:rPr>
        <w:rFonts w:hint="eastAsia" w:ascii="仿宋_GB2312" w:hAnsi="仿宋_GB2312" w:eastAsia="仿宋_GB2312" w:cs="仿宋_GB2312"/>
        <w:sz w:val="21"/>
        <w:szCs w:val="21"/>
      </w:rPr>
      <w:t>电话:(0531)86113158  86113168传真:86113008</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579" w:tblpY="15603"/>
      <w:tblOverlap w:val="never"/>
      <w:tblW w:w="0" w:type="auto"/>
      <w:tblInd w:w="0" w:type="dxa"/>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楷体_GB2312" w:hAnsi="楷体_GB2312" w:eastAsia="楷体_GB2312" w:cs="楷体_GB2312"/>
              <w:kern w:val="2"/>
              <w:sz w:val="21"/>
              <w:szCs w:val="21"/>
              <w:lang w:eastAsia="zh-CN"/>
            </w:rPr>
          </w:pPr>
          <w:r>
            <w:rPr>
              <w:rFonts w:hint="eastAsia" w:ascii="楷体_GB2312" w:hAnsi="楷体_GB2312" w:eastAsia="楷体_GB2312" w:cs="楷体_GB2312"/>
              <w:kern w:val="2"/>
              <w:sz w:val="21"/>
              <w:szCs w:val="21"/>
              <w:lang w:eastAsia="zh-CN"/>
            </w:rPr>
            <w:drawing>
              <wp:anchor distT="0" distB="0" distL="114300" distR="114300" simplePos="0" relativeHeight="251779072" behindDoc="0" locked="0" layoutInCell="1" allowOverlap="1">
                <wp:simplePos x="0" y="0"/>
                <wp:positionH relativeFrom="column">
                  <wp:posOffset>-78740</wp:posOffset>
                </wp:positionH>
                <wp:positionV relativeFrom="paragraph">
                  <wp:posOffset>19050</wp:posOffset>
                </wp:positionV>
                <wp:extent cx="381000" cy="381000"/>
                <wp:effectExtent l="0" t="0" r="0" b="0"/>
                <wp:wrapSquare wrapText="bothSides"/>
                <wp:docPr id="296"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楷体_GB2312" w:hAnsi="楷体_GB2312" w:eastAsia="楷体_GB2312" w:cs="楷体_GB2312"/>
              <w:kern w:val="2"/>
              <w:sz w:val="21"/>
              <w:szCs w:val="21"/>
              <w:lang w:eastAsia="zh-CN"/>
            </w:rPr>
            <mc:AlternateContent>
              <mc:Choice Requires="wps">
                <w:drawing>
                  <wp:anchor distT="0" distB="0" distL="114300" distR="114300" simplePos="0" relativeHeight="251778048" behindDoc="0" locked="0" layoutInCell="1" allowOverlap="1">
                    <wp:simplePos x="0" y="0"/>
                    <wp:positionH relativeFrom="margin">
                      <wp:posOffset>5438140</wp:posOffset>
                    </wp:positionH>
                    <wp:positionV relativeFrom="paragraph">
                      <wp:posOffset>-32385</wp:posOffset>
                    </wp:positionV>
                    <wp:extent cx="445135" cy="316865"/>
                    <wp:effectExtent l="0" t="0" r="0" b="0"/>
                    <wp:wrapNone/>
                    <wp:docPr id="295" name="文本框 295"/>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spacing w:before="240" w:beforeLines="100" w:line="480" w:lineRule="auto"/>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119</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8.2pt;margin-top:-2.55pt;height:24.95pt;width:35.05pt;mso-position-horizontal-relative:margin;z-index:251778048;mso-width-relative:page;mso-height-relative:page;" filled="f" stroked="f" coordsize="21600,21600" o:gfxdata="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hye8XZAAAACQEAAA8AAAAAAAAAAQAgAAAAIgAAAGRycy9kb3du&#10;cmV2LnhtbFBLAQIUABQAAAAIAIdO4kBtltlKNwIAAGcEAAAOAAAAAAAAAAEAIAAAACgBAABkcnMv&#10;ZTJvRG9jLnhtbFBLBQYAAAAABgAGAFkBAADRBQAAAAA=&#10;">
                    <v:fill on="f" focussize="0,0"/>
                    <v:stroke on="f" weight="0.5pt"/>
                    <v:imagedata o:title=""/>
                    <o:lock v:ext="edit" aspectratio="f"/>
                    <v:textbox inset="0mm,0mm,0mm,0mm">
                      <w:txbxContent>
                        <w:p>
                          <w:pPr>
                            <w:snapToGrid w:val="0"/>
                            <w:spacing w:before="240" w:beforeLines="100" w:line="480" w:lineRule="auto"/>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119</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楷体_GB2312" w:hAnsi="楷体_GB2312" w:eastAsia="楷体_GB2312" w:cs="楷体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Calibri" w:hAnsi="Calibri" w:cs="Times New Roman"/>
              <w:kern w:val="2"/>
              <w:sz w:val="21"/>
              <w:szCs w:val="21"/>
              <w:lang w:eastAsia="zh-CN"/>
            </w:rPr>
          </w:pPr>
          <w:r>
            <w:rPr>
              <w:rFonts w:hint="eastAsia" w:ascii="楷体_GB2312" w:hAnsi="楷体_GB2312" w:eastAsia="楷体_GB2312" w:cs="楷体_GB2312"/>
              <w:kern w:val="2"/>
              <w:sz w:val="21"/>
              <w:szCs w:val="21"/>
              <w:lang w:eastAsia="zh-CN"/>
            </w:rPr>
            <w:t>电话：（0531）86113158  86113168  传真：86113008</w:t>
          </w:r>
        </w:p>
      </w:tc>
    </w:tr>
  </w:tbl>
  <w:p>
    <w:pPr>
      <w:autoSpaceDE/>
      <w:autoSpaceDN/>
      <w:snapToGrid w:val="0"/>
      <w:spacing w:line="240" w:lineRule="auto"/>
      <w:ind w:firstLine="0" w:firstLineChars="0"/>
      <w:rPr>
        <w:rFonts w:ascii="Calibri" w:hAnsi="Calibri" w:cs="Times New Roman"/>
        <w:kern w:val="2"/>
        <w:sz w:val="21"/>
        <w:szCs w:val="21"/>
        <w:lang w:eastAsia="zh-CN"/>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445" w:tblpY="15583"/>
      <w:tblOverlap w:val="never"/>
      <w:tblW w:w="0" w:type="auto"/>
      <w:tblInd w:w="0" w:type="dxa"/>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5460" w:firstLineChars="2600"/>
            <w:jc w:val="both"/>
            <w:rPr>
              <w:rFonts w:hint="default" w:ascii="楷体_GB2312" w:hAnsi="楷体_GB2312" w:eastAsia="楷体_GB2312" w:cs="楷体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22752" behindDoc="0" locked="0" layoutInCell="1" allowOverlap="1">
                    <wp:simplePos x="0" y="0"/>
                    <wp:positionH relativeFrom="margin">
                      <wp:posOffset>-82550</wp:posOffset>
                    </wp:positionH>
                    <wp:positionV relativeFrom="paragraph">
                      <wp:posOffset>11430</wp:posOffset>
                    </wp:positionV>
                    <wp:extent cx="445135" cy="316865"/>
                    <wp:effectExtent l="0" t="0" r="0" b="0"/>
                    <wp:wrapNone/>
                    <wp:docPr id="294" name="文本框 294"/>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118</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5pt;margin-top:0.9pt;height:24.95pt;width:35.05pt;mso-position-horizontal-relative:margin;z-index:251722752;mso-width-relative:page;mso-height-relative:page;" filled="f" stroked="f" coordsize="21600,21600" o:gfxdata="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Y6CZLVAAAABwEAAA8AAAAAAAAAAQAgAAAAIgAAAGRycy9kb3ducmV2&#10;LnhtbFBLAQIUABQAAAAIAIdO4kA4RwcOOAIAAGcEAAAOAAAAAAAAAAEAIAAAACQBAABkcnMvZTJv&#10;RG9jLnhtbFBLBQYAAAAABgAGAFkBAADOBQAAAAA=&#10;">
                    <v:fill on="f" focussize="0,0"/>
                    <v:stroke on="f" weight="0.5pt"/>
                    <v:imagedata o:title=""/>
                    <o:lock v:ext="edit" aspectratio="f"/>
                    <v:textbox inset="0mm,0mm,0mm,0mm">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118</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楷体_GB2312" w:hAnsi="楷体_GB2312" w:eastAsia="楷体_GB2312" w:cs="楷体_GB2312"/>
              <w:kern w:val="2"/>
              <w:sz w:val="21"/>
              <w:szCs w:val="21"/>
              <w:lang w:eastAsia="zh-CN"/>
            </w:rPr>
            <w:drawing>
              <wp:anchor distT="0" distB="0" distL="114300" distR="114300" simplePos="0" relativeHeight="251780096" behindDoc="0" locked="0" layoutInCell="1" allowOverlap="1">
                <wp:simplePos x="0" y="0"/>
                <wp:positionH relativeFrom="column">
                  <wp:posOffset>5462905</wp:posOffset>
                </wp:positionH>
                <wp:positionV relativeFrom="paragraph">
                  <wp:posOffset>-24765</wp:posOffset>
                </wp:positionV>
                <wp:extent cx="381000" cy="381000"/>
                <wp:effectExtent l="0" t="0" r="0" b="0"/>
                <wp:wrapSquare wrapText="bothSides"/>
                <wp:docPr id="293" name="图片 3"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3"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楷体_GB2312" w:hAnsi="楷体_GB2312" w:eastAsia="楷体_GB2312" w:cs="楷体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3780" w:firstLineChars="1800"/>
            <w:jc w:val="both"/>
            <w:rPr>
              <w:rFonts w:hint="default" w:ascii="仿宋_GB2312" w:hAnsi="仿宋_GB2312" w:eastAsia="仿宋_GB2312" w:cs="仿宋_GB2312"/>
              <w:kern w:val="2"/>
              <w:sz w:val="21"/>
              <w:szCs w:val="21"/>
              <w:lang w:eastAsia="zh-CN"/>
            </w:rPr>
          </w:pPr>
          <w:r>
            <w:rPr>
              <w:rFonts w:hint="eastAsia" w:ascii="楷体_GB2312" w:hAnsi="楷体_GB2312" w:eastAsia="楷体_GB2312" w:cs="楷体_GB2312"/>
              <w:kern w:val="2"/>
              <w:sz w:val="21"/>
              <w:szCs w:val="21"/>
              <w:lang w:eastAsia="zh-CN"/>
            </w:rPr>
            <w:t>电话：（0531）86113158  86113168  传真：8611300</w:t>
          </w:r>
        </w:p>
      </w:tc>
    </w:tr>
  </w:tbl>
  <w:p>
    <w:pPr>
      <w:autoSpaceDE/>
      <w:autoSpaceDN/>
      <w:snapToGrid w:val="0"/>
      <w:spacing w:line="240" w:lineRule="auto"/>
      <w:ind w:firstLine="0" w:firstLineChars="0"/>
      <w:rPr>
        <w:rFonts w:ascii="仿宋_GB2312" w:hAnsi="仿宋_GB2312" w:eastAsia="仿宋_GB2312" w:cs="仿宋_GB2312"/>
        <w:kern w:val="2"/>
        <w:sz w:val="21"/>
        <w:szCs w:val="21"/>
        <w:lang w:eastAsia="zh-CN"/>
      </w:rP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595" w:tblpY="15614"/>
      <w:tblOverlap w:val="never"/>
      <w:tblW w:w="0" w:type="auto"/>
      <w:tblInd w:w="0" w:type="dxa"/>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29920" behindDoc="0" locked="0" layoutInCell="1" allowOverlap="1">
                    <wp:simplePos x="0" y="0"/>
                    <wp:positionH relativeFrom="margin">
                      <wp:posOffset>5379085</wp:posOffset>
                    </wp:positionH>
                    <wp:positionV relativeFrom="paragraph">
                      <wp:posOffset>6985</wp:posOffset>
                    </wp:positionV>
                    <wp:extent cx="445135" cy="307975"/>
                    <wp:effectExtent l="0" t="0" r="0" b="0"/>
                    <wp:wrapNone/>
                    <wp:docPr id="339" name="文本框 339"/>
                    <wp:cNvGraphicFramePr/>
                    <a:graphic xmlns:a="http://schemas.openxmlformats.org/drawingml/2006/main">
                      <a:graphicData uri="http://schemas.microsoft.com/office/word/2010/wordprocessingShape">
                        <wps:wsp>
                          <wps:cNvSpPr txBox="1"/>
                          <wps:spPr>
                            <a:xfrm>
                              <a:off x="0" y="0"/>
                              <a:ext cx="488950" cy="307975"/>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line="240" w:lineRule="auto"/>
                                  <w:ind w:firstLine="210" w:firstLineChars="100"/>
                                  <w:textAlignment w:val="auto"/>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131</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3.55pt;margin-top:0.55pt;height:24.25pt;width:35.05pt;mso-position-horizontal-relative:margin;z-index:251729920;mso-width-relative:page;mso-height-relative:page;" filled="f" stroked="f" coordsize="21600,21600" o:gfxdata="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LXsRQnXAAAACAEAAA8AAAAAAAAAAQAgAAAAIgAAAGRycy9kb3du&#10;cmV2LnhtbFBLAQIUABQAAAAIAIdO4kBm2KDoOQIAAGcEAAAOAAAAAAAAAAEAIAAAACYBAABkcnMv&#10;ZTJvRG9jLnhtbFBLBQYAAAAABgAGAFkBAADRBQAAAAA=&#10;">
                    <v:fill on="f" focussize="0,0"/>
                    <v:stroke on="f" weight="0.5pt"/>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line="240" w:lineRule="auto"/>
                            <w:ind w:firstLine="210" w:firstLineChars="100"/>
                            <w:textAlignment w:val="auto"/>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131</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81120" behindDoc="0" locked="0" layoutInCell="1" allowOverlap="1">
                <wp:simplePos x="0" y="0"/>
                <wp:positionH relativeFrom="column">
                  <wp:posOffset>28575</wp:posOffset>
                </wp:positionH>
                <wp:positionV relativeFrom="paragraph">
                  <wp:posOffset>19050</wp:posOffset>
                </wp:positionV>
                <wp:extent cx="381000" cy="381000"/>
                <wp:effectExtent l="0" t="0" r="0" b="0"/>
                <wp:wrapSquare wrapText="bothSides"/>
                <wp:docPr id="340"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Calibri" w:hAnsi="Calibri" w:cs="Times New Roman"/>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传真：86113008</w:t>
          </w:r>
        </w:p>
      </w:tc>
    </w:tr>
  </w:tbl>
  <w:p>
    <w:pPr>
      <w:autoSpaceDE/>
      <w:autoSpaceDN/>
      <w:snapToGrid w:val="0"/>
      <w:spacing w:line="240" w:lineRule="auto"/>
      <w:ind w:firstLine="0" w:firstLineChars="0"/>
      <w:rPr>
        <w:rFonts w:ascii="Calibri" w:hAnsi="Calibri" w:cs="Times New Roman"/>
        <w:kern w:val="2"/>
        <w:sz w:val="21"/>
        <w:szCs w:val="21"/>
        <w:lang w:eastAsia="zh-CN"/>
      </w:rPr>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362" w:tblpY="15601"/>
      <w:tblOverlap w:val="never"/>
      <w:tblW w:w="0" w:type="auto"/>
      <w:tblInd w:w="0" w:type="dxa"/>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5460" w:firstLineChars="26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27872" behindDoc="0" locked="0" layoutInCell="1" allowOverlap="1">
                    <wp:simplePos x="0" y="0"/>
                    <wp:positionH relativeFrom="margin">
                      <wp:posOffset>-41275</wp:posOffset>
                    </wp:positionH>
                    <wp:positionV relativeFrom="paragraph">
                      <wp:posOffset>21590</wp:posOffset>
                    </wp:positionV>
                    <wp:extent cx="445135" cy="316865"/>
                    <wp:effectExtent l="0" t="0" r="0" b="0"/>
                    <wp:wrapNone/>
                    <wp:docPr id="337" name="文本框 337"/>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132</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25pt;margin-top:1.7pt;height:24.95pt;width:35.05pt;mso-position-horizontal-relative:margin;z-index:251727872;mso-width-relative:page;mso-height-relative:page;" filled="f" stroked="f" coordsize="21600,21600" o:gfxdata="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ZmmB9UAAAAGAQAADwAAAAAAAAABACAAAAAiAAAAZHJzL2Rvd25yZXYu&#10;eG1sUEsBAhQAFAAAAAgAh07iQE4R3Rk3AgAAZwQAAA4AAAAAAAAAAQAgAAAAJAEAAGRycy9lMm9E&#10;b2MueG1sUEsFBgAAAAAGAAYAWQEAAM0FAAAAAA==&#10;">
                    <v:fill on="f" focussize="0,0"/>
                    <v:stroke on="f" weight="0.5pt"/>
                    <v:imagedata o:title=""/>
                    <o:lock v:ext="edit" aspectratio="f"/>
                    <v:textbox inset="0mm,0mm,0mm,0mm">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132</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28896" behindDoc="0" locked="0" layoutInCell="1" allowOverlap="1">
                <wp:simplePos x="0" y="0"/>
                <wp:positionH relativeFrom="column">
                  <wp:posOffset>5462905</wp:posOffset>
                </wp:positionH>
                <wp:positionV relativeFrom="paragraph">
                  <wp:posOffset>-24765</wp:posOffset>
                </wp:positionV>
                <wp:extent cx="381000" cy="381000"/>
                <wp:effectExtent l="0" t="0" r="0" b="0"/>
                <wp:wrapSquare wrapText="bothSides"/>
                <wp:docPr id="335" name="图片 3"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图片 3"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3780" w:firstLineChars="18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w:t>
          </w:r>
        </w:p>
      </w:tc>
    </w:tr>
  </w:tbl>
  <w:p>
    <w:pPr>
      <w:autoSpaceDE/>
      <w:autoSpaceDN/>
      <w:snapToGrid w:val="0"/>
      <w:spacing w:line="240" w:lineRule="auto"/>
      <w:ind w:firstLine="0" w:firstLineChars="0"/>
      <w:rPr>
        <w:rFonts w:ascii="仿宋_GB2312" w:hAnsi="仿宋_GB2312" w:eastAsia="仿宋_GB2312" w:cs="仿宋_GB2312"/>
        <w:kern w:val="2"/>
        <w:sz w:val="21"/>
        <w:szCs w:val="21"/>
        <w:lang w:eastAsia="zh-CN"/>
      </w:rP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343" w:tblpY="10709"/>
      <w:tblOverlap w:val="never"/>
      <w:tblW w:w="14191" w:type="dxa"/>
      <w:tblInd w:w="0" w:type="dxa"/>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191"/>
    </w:tblGrid>
    <w:tr>
      <w:tblPrEx>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191"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71904" behindDoc="0" locked="0" layoutInCell="1" allowOverlap="1">
                    <wp:simplePos x="0" y="0"/>
                    <wp:positionH relativeFrom="margin">
                      <wp:posOffset>8340725</wp:posOffset>
                    </wp:positionH>
                    <wp:positionV relativeFrom="paragraph">
                      <wp:posOffset>15875</wp:posOffset>
                    </wp:positionV>
                    <wp:extent cx="589915" cy="327025"/>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89915" cy="327025"/>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line="240" w:lineRule="auto"/>
                                  <w:ind w:firstLine="420"/>
                                  <w:textAlignment w:val="auto"/>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137</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56.75pt;margin-top:1.25pt;height:25.75pt;width:46.45pt;mso-position-horizontal-relative:margin;z-index:251771904;mso-width-relative:page;mso-height-relative:page;" filled="f" stroked="f" coordsize="21600,21600" o:gfxdata="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AigaHNgAAAAKAQAADwAAAAAAAAABACAAAAAiAAAAZHJzL2Rv&#10;d25yZXYueG1sUEsBAhQAFAAAAAgAh07iQMGtD7g6AgAAZQQAAA4AAAAAAAAAAQAgAAAAJwEAAGRy&#10;cy9lMm9Eb2MueG1sUEsFBgAAAAAGAAYAWQEAANMFAAAAAA==&#10;">
                    <v:fill on="f" focussize="0,0"/>
                    <v:stroke on="f" weight="0.5pt"/>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line="240" w:lineRule="auto"/>
                            <w:ind w:firstLine="420"/>
                            <w:textAlignment w:val="auto"/>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137</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72928" behindDoc="0" locked="0" layoutInCell="1" allowOverlap="1">
                <wp:simplePos x="0" y="0"/>
                <wp:positionH relativeFrom="column">
                  <wp:posOffset>28575</wp:posOffset>
                </wp:positionH>
                <wp:positionV relativeFrom="paragraph">
                  <wp:posOffset>19050</wp:posOffset>
                </wp:positionV>
                <wp:extent cx="381000" cy="381000"/>
                <wp:effectExtent l="0" t="0" r="0" b="0"/>
                <wp:wrapSquare wrapText="bothSides"/>
                <wp:docPr id="40"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Calibri" w:hAnsi="Calibri" w:cs="Times New Roman"/>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传真：86113008</w:t>
          </w:r>
        </w:p>
      </w:tc>
    </w:tr>
  </w:tbl>
  <w:p>
    <w:pPr>
      <w:autoSpaceDE/>
      <w:autoSpaceDN/>
      <w:snapToGrid w:val="0"/>
      <w:spacing w:line="240" w:lineRule="auto"/>
      <w:ind w:firstLine="0" w:firstLineChars="0"/>
      <w:rPr>
        <w:rFonts w:ascii="Calibri" w:hAnsi="Calibri" w:cs="Times New Roman"/>
        <w:kern w:val="2"/>
        <w:sz w:val="21"/>
        <w:szCs w:val="21"/>
        <w:lang w:eastAsia="zh-CN"/>
      </w:rP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327" w:tblpY="10712"/>
      <w:tblOverlap w:val="never"/>
      <w:tblW w:w="14174" w:type="dxa"/>
      <w:tblInd w:w="0" w:type="dxa"/>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174"/>
    </w:tblGrid>
    <w:tr>
      <w:tblPrEx>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174"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10290" w:firstLineChars="49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69856" behindDoc="0" locked="0" layoutInCell="1" allowOverlap="1">
                    <wp:simplePos x="0" y="0"/>
                    <wp:positionH relativeFrom="margin">
                      <wp:posOffset>-45720</wp:posOffset>
                    </wp:positionH>
                    <wp:positionV relativeFrom="paragraph">
                      <wp:posOffset>7620</wp:posOffset>
                    </wp:positionV>
                    <wp:extent cx="552450" cy="316865"/>
                    <wp:effectExtent l="0" t="0" r="0" b="0"/>
                    <wp:wrapNone/>
                    <wp:docPr id="2" name="文本框 2"/>
                    <wp:cNvGraphicFramePr/>
                    <a:graphic xmlns:a="http://schemas.openxmlformats.org/drawingml/2006/main">
                      <a:graphicData uri="http://schemas.microsoft.com/office/word/2010/wordprocessingShape">
                        <wps:wsp>
                          <wps:cNvSpPr txBox="1"/>
                          <wps:spPr>
                            <a:xfrm>
                              <a:off x="0" y="0"/>
                              <a:ext cx="552450" cy="334010"/>
                            </a:xfrm>
                            <a:prstGeom prst="rect">
                              <a:avLst/>
                            </a:prstGeom>
                            <a:noFill/>
                            <a:ln w="6350">
                              <a:noFill/>
                            </a:ln>
                            <a:effectLst/>
                          </wps:spPr>
                          <wps:txbx>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138</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3.6pt;margin-top:0.6pt;height:24.95pt;width:43.5pt;mso-position-horizontal-relative:margin;z-index:251769856;mso-width-relative:page;mso-height-relative:page;" filled="f" stroked="f" coordsize="21600,21600" o:gfxdata="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MgY3gHVAAAABgEAAA8AAAAAAAAAAQAgAAAAIgAAAGRycy9kb3ducmV2Lnht&#10;bFBLAQIUABQAAAAIAIdO4kAL5MZnNQIAAGMEAAAOAAAAAAAAAAEAIAAAACQBAABkcnMvZTJvRG9j&#10;LnhtbFBLBQYAAAAABgAGAFkBAADLBQAAAAA=&#10;">
                    <v:fill on="f" focussize="0,0"/>
                    <v:stroke on="f" weight="0.5pt"/>
                    <v:imagedata o:title=""/>
                    <o:lock v:ext="edit" aspectratio="f"/>
                    <v:textbox inset="0mm,0mm,0mm,0mm">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138</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70880" behindDoc="0" locked="0" layoutInCell="1" allowOverlap="1">
                <wp:simplePos x="0" y="0"/>
                <wp:positionH relativeFrom="column">
                  <wp:posOffset>8523605</wp:posOffset>
                </wp:positionH>
                <wp:positionV relativeFrom="paragraph">
                  <wp:posOffset>-3175</wp:posOffset>
                </wp:positionV>
                <wp:extent cx="381000" cy="381000"/>
                <wp:effectExtent l="0" t="0" r="0" b="0"/>
                <wp:wrapSquare wrapText="bothSides"/>
                <wp:docPr id="1" name="图片 3"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8400" w:firstLineChars="40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w:t>
          </w:r>
        </w:p>
      </w:tc>
    </w:tr>
  </w:tbl>
  <w:p>
    <w:pPr>
      <w:autoSpaceDE/>
      <w:autoSpaceDN/>
      <w:snapToGrid w:val="0"/>
      <w:spacing w:line="240" w:lineRule="auto"/>
      <w:ind w:firstLine="0" w:firstLineChars="0"/>
      <w:rPr>
        <w:rFonts w:ascii="仿宋_GB2312" w:hAnsi="仿宋_GB2312" w:eastAsia="仿宋_GB2312" w:cs="仿宋_GB2312"/>
        <w:kern w:val="2"/>
        <w:sz w:val="21"/>
        <w:szCs w:val="21"/>
        <w:lang w:eastAsia="zh-CN"/>
      </w:rPr>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579" w:tblpY="15585"/>
      <w:tblOverlap w:val="never"/>
      <w:tblW w:w="0" w:type="auto"/>
      <w:tblInd w:w="0" w:type="dxa"/>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30944" behindDoc="0" locked="0" layoutInCell="1" allowOverlap="1">
                    <wp:simplePos x="0" y="0"/>
                    <wp:positionH relativeFrom="margin">
                      <wp:posOffset>5399405</wp:posOffset>
                    </wp:positionH>
                    <wp:positionV relativeFrom="paragraph">
                      <wp:posOffset>3810</wp:posOffset>
                    </wp:positionV>
                    <wp:extent cx="445135" cy="316865"/>
                    <wp:effectExtent l="0" t="0" r="0" b="0"/>
                    <wp:wrapNone/>
                    <wp:docPr id="349" name="文本框 349"/>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line="480" w:lineRule="auto"/>
                                  <w:ind w:firstLine="210" w:firstLineChars="100"/>
                                  <w:textAlignment w:val="auto"/>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179</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5.15pt;margin-top:0.3pt;height:24.95pt;width:35.05pt;mso-position-horizontal-relative:margin;z-index:251730944;mso-width-relative:page;mso-height-relative:page;" filled="f" stroked="f" coordsize="21600,21600" o:gfxdata="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Gl6yXjWAAAABwEAAA8AAAAAAAAAAQAgAAAAIgAAAGRycy9kb3ducmV2&#10;LnhtbFBLAQIUABQAAAAIAIdO4kDMEtVTNwIAAGcEAAAOAAAAAAAAAAEAIAAAACUBAABkcnMvZTJv&#10;RG9jLnhtbFBLBQYAAAAABgAGAFkBAADOBQAAAAA=&#10;">
                    <v:fill on="f" focussize="0,0"/>
                    <v:stroke on="f" weight="0.5pt"/>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line="480" w:lineRule="auto"/>
                            <w:ind w:firstLine="210" w:firstLineChars="100"/>
                            <w:textAlignment w:val="auto"/>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179</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31968" behindDoc="0" locked="0" layoutInCell="1" allowOverlap="1">
                <wp:simplePos x="0" y="0"/>
                <wp:positionH relativeFrom="column">
                  <wp:posOffset>28575</wp:posOffset>
                </wp:positionH>
                <wp:positionV relativeFrom="paragraph">
                  <wp:posOffset>19050</wp:posOffset>
                </wp:positionV>
                <wp:extent cx="381000" cy="381000"/>
                <wp:effectExtent l="0" t="0" r="0" b="0"/>
                <wp:wrapSquare wrapText="bothSides"/>
                <wp:docPr id="350"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Calibri" w:hAnsi="Calibri" w:cs="Times New Roman"/>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传真：86113008</w:t>
          </w:r>
        </w:p>
      </w:tc>
    </w:tr>
  </w:tbl>
  <w:p>
    <w:pPr>
      <w:autoSpaceDE/>
      <w:autoSpaceDN/>
      <w:snapToGrid w:val="0"/>
      <w:spacing w:line="240" w:lineRule="auto"/>
      <w:ind w:firstLine="0" w:firstLineChars="0"/>
      <w:rPr>
        <w:rFonts w:ascii="Calibri" w:hAnsi="Calibri" w:cs="Times New Roman"/>
        <w:kern w:val="2"/>
        <w:sz w:val="21"/>
        <w:szCs w:val="21"/>
        <w:lang w:eastAsia="zh-CN"/>
      </w:rP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412" w:tblpY="15572"/>
      <w:tblOverlap w:val="never"/>
      <w:tblW w:w="0" w:type="auto"/>
      <w:tblInd w:w="0" w:type="dxa"/>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5460" w:firstLineChars="26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32992" behindDoc="0" locked="0" layoutInCell="1" allowOverlap="1">
                    <wp:simplePos x="0" y="0"/>
                    <wp:positionH relativeFrom="margin">
                      <wp:posOffset>-52070</wp:posOffset>
                    </wp:positionH>
                    <wp:positionV relativeFrom="paragraph">
                      <wp:posOffset>-13335</wp:posOffset>
                    </wp:positionV>
                    <wp:extent cx="445135" cy="316865"/>
                    <wp:effectExtent l="0" t="0" r="0" b="0"/>
                    <wp:wrapNone/>
                    <wp:docPr id="352" name="文本框 352"/>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178</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1pt;margin-top:-1.05pt;height:24.95pt;width:35.05pt;mso-position-horizontal-relative:margin;z-index:251732992;mso-width-relative:page;mso-height-relative:page;" filled="f" stroked="f" coordsize="21600,21600" o:gfxdata="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AXFYyL1gAAAAcBAAAPAAAAAAAAAAEAIAAAACIAAABkcnMvZG93bnJl&#10;di54bWxQSwECFAAUAAAACACHTuJA8pqWzjgCAABnBAAADgAAAAAAAAABACAAAAAlAQAAZHJzL2Uy&#10;b0RvYy54bWxQSwUGAAAAAAYABgBZAQAAzwUAAAAA&#10;">
                    <v:fill on="f" focussize="0,0"/>
                    <v:stroke on="f" weight="0.5pt"/>
                    <v:imagedata o:title=""/>
                    <o:lock v:ext="edit" aspectratio="f"/>
                    <v:textbox inset="0mm,0mm,0mm,0mm">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178</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34016" behindDoc="0" locked="0" layoutInCell="1" allowOverlap="1">
                <wp:simplePos x="0" y="0"/>
                <wp:positionH relativeFrom="column">
                  <wp:posOffset>5462905</wp:posOffset>
                </wp:positionH>
                <wp:positionV relativeFrom="paragraph">
                  <wp:posOffset>-24765</wp:posOffset>
                </wp:positionV>
                <wp:extent cx="381000" cy="381000"/>
                <wp:effectExtent l="0" t="0" r="0" b="0"/>
                <wp:wrapSquare wrapText="bothSides"/>
                <wp:docPr id="351" name="图片 3"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3780" w:firstLineChars="18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w:t>
          </w:r>
        </w:p>
      </w:tc>
    </w:tr>
  </w:tbl>
  <w:p>
    <w:pPr>
      <w:autoSpaceDE/>
      <w:autoSpaceDN/>
      <w:snapToGrid w:val="0"/>
      <w:spacing w:line="240" w:lineRule="auto"/>
      <w:ind w:firstLine="0" w:firstLineChars="0"/>
      <w:rPr>
        <w:rFonts w:ascii="仿宋_GB2312" w:hAnsi="仿宋_GB2312" w:eastAsia="仿宋_GB2312" w:cs="仿宋_GB2312"/>
        <w:kern w:val="2"/>
        <w:sz w:val="21"/>
        <w:szCs w:val="21"/>
        <w:lang w:eastAsia="zh-C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sz w:val="18"/>
      </w:rPr>
      <mc:AlternateContent>
        <mc:Choice Requires="wps">
          <w:drawing>
            <wp:anchor distT="0" distB="0" distL="114300" distR="114300" simplePos="0" relativeHeight="251810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0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T1uUEzICAABlBAAADgAAAAAAAAABACAAAAAfAQAAZHJzL2Uyb0RvYy54bWxQSwUG&#10;AAAAAAYABgBZAQAAwwU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VII</w:t>
                    </w:r>
                    <w:r>
                      <w:fldChar w:fldCharType="end"/>
                    </w:r>
                  </w:p>
                </w:txbxContent>
              </v:textbox>
            </v:shape>
          </w:pict>
        </mc:Fallback>
      </mc:AlternateContent>
    </w:r>
    <w:r>
      <w:rPr>
        <w:lang w:eastAsia="zh-CN"/>
      </w:rPr>
      <mc:AlternateContent>
        <mc:Choice Requires="wps">
          <w:drawing>
            <wp:anchor distT="0" distB="0" distL="114300" distR="114300" simplePos="0" relativeHeight="251800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5" name="文本框 8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0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kDKzo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Z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kDKzotAgAAVwQAAA4AAAAAAAAAAQAgAAAAHwEAAGRycy9lMm9Eb2MueG1sUEsFBgAAAAAG&#10;AAYAWQEAAL4FAAAAAA==&#10;">
              <v:fill on="f" focussize="0,0"/>
              <v:stroke on="f" weight="0.5pt"/>
              <v:imagedata o:title=""/>
              <o:lock v:ext="edit" aspectratio="f"/>
              <v:textbox inset="0mm,0mm,0mm,0mm" style="mso-fit-shape-to-text:t;">
                <w:txbxContent>
                  <w:p>
                    <w:pPr>
                      <w:pStyle w:val="18"/>
                      <w:ind w:firstLine="360"/>
                    </w:pPr>
                  </w:p>
                </w:txbxContent>
              </v:textbox>
            </v:shape>
          </w:pict>
        </mc:Fallback>
      </mc:AlternateConten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545" w:tblpY="15606"/>
      <w:tblOverlap w:val="never"/>
      <w:tblW w:w="0" w:type="auto"/>
      <w:tblInd w:w="0" w:type="dxa"/>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63712" behindDoc="0" locked="0" layoutInCell="1" allowOverlap="1">
                    <wp:simplePos x="0" y="0"/>
                    <wp:positionH relativeFrom="margin">
                      <wp:posOffset>5452110</wp:posOffset>
                    </wp:positionH>
                    <wp:positionV relativeFrom="paragraph">
                      <wp:posOffset>-8890</wp:posOffset>
                    </wp:positionV>
                    <wp:extent cx="445135" cy="31686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spacing w:before="240" w:beforeLines="100" w:line="480" w:lineRule="auto"/>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189</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9.3pt;margin-top:-0.7pt;height:24.95pt;width:35.05pt;mso-position-horizontal-relative:margin;z-index:251763712;mso-width-relative:page;mso-height-relative:page;" filled="f" stroked="f" coordsize="21600,21600" o:gfxdata="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bAk+ANkAAAAJAQAADwAAAAAAAAABACAAAAAiAAAAZHJzL2Rvd25y&#10;ZXYueG1sUEsBAhQAFAAAAAgAh07iQCtiXDQ2AgAAZQQAAA4AAAAAAAAAAQAgAAAAKAEAAGRycy9l&#10;Mm9Eb2MueG1sUEsFBgAAAAAGAAYAWQEAANAFAAAAAA==&#10;">
                    <v:fill on="f" focussize="0,0"/>
                    <v:stroke on="f" weight="0.5pt"/>
                    <v:imagedata o:title=""/>
                    <o:lock v:ext="edit" aspectratio="f"/>
                    <v:textbox inset="0mm,0mm,0mm,0mm">
                      <w:txbxContent>
                        <w:p>
                          <w:pPr>
                            <w:snapToGrid w:val="0"/>
                            <w:spacing w:before="240" w:beforeLines="100" w:line="480" w:lineRule="auto"/>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189</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64736" behindDoc="0" locked="0" layoutInCell="1" allowOverlap="1">
                <wp:simplePos x="0" y="0"/>
                <wp:positionH relativeFrom="column">
                  <wp:posOffset>-48895</wp:posOffset>
                </wp:positionH>
                <wp:positionV relativeFrom="paragraph">
                  <wp:posOffset>-635</wp:posOffset>
                </wp:positionV>
                <wp:extent cx="381000" cy="381000"/>
                <wp:effectExtent l="0" t="0" r="0" b="0"/>
                <wp:wrapSquare wrapText="bothSides"/>
                <wp:docPr id="53"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Calibri" w:hAnsi="Calibri" w:cs="Times New Roman"/>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传真：86113008</w:t>
          </w:r>
        </w:p>
      </w:tc>
    </w:tr>
  </w:tbl>
  <w:p>
    <w:pPr>
      <w:autoSpaceDE/>
      <w:autoSpaceDN/>
      <w:snapToGrid w:val="0"/>
      <w:spacing w:line="240" w:lineRule="auto"/>
      <w:ind w:firstLine="0" w:firstLineChars="0"/>
      <w:rPr>
        <w:rFonts w:ascii="Calibri" w:hAnsi="Calibri" w:cs="Times New Roman"/>
        <w:kern w:val="2"/>
        <w:sz w:val="21"/>
        <w:szCs w:val="21"/>
        <w:lang w:eastAsia="zh-CN"/>
      </w:rP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529" w:tblpY="15592"/>
      <w:tblOverlap w:val="never"/>
      <w:tblW w:w="0" w:type="auto"/>
      <w:tblInd w:w="0" w:type="dxa"/>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5460" w:firstLineChars="26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82144" behindDoc="0" locked="0" layoutInCell="1" allowOverlap="1">
                    <wp:simplePos x="0" y="0"/>
                    <wp:positionH relativeFrom="margin">
                      <wp:posOffset>-62865</wp:posOffset>
                    </wp:positionH>
                    <wp:positionV relativeFrom="paragraph">
                      <wp:posOffset>14605</wp:posOffset>
                    </wp:positionV>
                    <wp:extent cx="445135" cy="2540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488950" cy="254000"/>
                            </a:xfrm>
                            <a:prstGeom prst="rect">
                              <a:avLst/>
                            </a:prstGeom>
                            <a:noFill/>
                            <a:ln w="6350">
                              <a:noFill/>
                            </a:ln>
                            <a:effectLst/>
                          </wps:spPr>
                          <wps:txbx>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190</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95pt;margin-top:1.15pt;height:20pt;width:35.05pt;mso-position-horizontal-relative:margin;z-index:251782144;mso-width-relative:page;mso-height-relative:page;" filled="f" stroked="f" coordsize="21600,21600" o:gfxdata="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GolWz1AAAAAYBAAAPAAAAAAAAAAEAIAAAACIAAABkcnMvZG93bnJldi54&#10;bWxQSwECFAAUAAAACACHTuJAg9skSTcCAABlBAAADgAAAAAAAAABACAAAAAjAQAAZHJzL2Uyb0Rv&#10;Yy54bWxQSwUGAAAAAAYABgBZAQAAzAUAAAAA&#10;">
                    <v:fill on="f" focussize="0,0"/>
                    <v:stroke on="f" weight="0.5pt"/>
                    <v:imagedata o:title=""/>
                    <o:lock v:ext="edit" aspectratio="f"/>
                    <v:textbox inset="0mm,0mm,0mm,0mm">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190</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83168" behindDoc="0" locked="0" layoutInCell="1" allowOverlap="1">
                <wp:simplePos x="0" y="0"/>
                <wp:positionH relativeFrom="column">
                  <wp:posOffset>5462905</wp:posOffset>
                </wp:positionH>
                <wp:positionV relativeFrom="paragraph">
                  <wp:posOffset>-24765</wp:posOffset>
                </wp:positionV>
                <wp:extent cx="381000" cy="381000"/>
                <wp:effectExtent l="0" t="0" r="0" b="0"/>
                <wp:wrapSquare wrapText="bothSides"/>
                <wp:docPr id="50" name="图片 3"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3780" w:firstLineChars="18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w:t>
          </w:r>
        </w:p>
      </w:tc>
    </w:tr>
  </w:tbl>
  <w:p>
    <w:pPr>
      <w:autoSpaceDE/>
      <w:autoSpaceDN/>
      <w:snapToGrid w:val="0"/>
      <w:spacing w:line="240" w:lineRule="auto"/>
      <w:ind w:firstLine="0" w:firstLineChars="0"/>
      <w:rPr>
        <w:rFonts w:ascii="仿宋_GB2312" w:hAnsi="仿宋_GB2312" w:eastAsia="仿宋_GB2312" w:cs="仿宋_GB2312"/>
        <w:kern w:val="2"/>
        <w:sz w:val="21"/>
        <w:szCs w:val="21"/>
        <w:lang w:eastAsia="zh-CN"/>
      </w:rP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493" w:tblpY="10637"/>
      <w:tblOverlap w:val="never"/>
      <w:tblW w:w="14031" w:type="dxa"/>
      <w:tblInd w:w="0" w:type="dxa"/>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031"/>
    </w:tblGrid>
    <w:tr>
      <w:tblPrEx>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031"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drawing>
              <wp:anchor distT="0" distB="0" distL="114300" distR="114300" simplePos="0" relativeHeight="251768832" behindDoc="0" locked="0" layoutInCell="1" allowOverlap="1">
                <wp:simplePos x="0" y="0"/>
                <wp:positionH relativeFrom="column">
                  <wp:posOffset>-619760</wp:posOffset>
                </wp:positionH>
                <wp:positionV relativeFrom="paragraph">
                  <wp:posOffset>19050</wp:posOffset>
                </wp:positionV>
                <wp:extent cx="381000" cy="381000"/>
                <wp:effectExtent l="0" t="0" r="0" b="0"/>
                <wp:wrapSquare wrapText="bothSides"/>
                <wp:docPr id="54"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67808" behindDoc="1" locked="0" layoutInCell="1" allowOverlap="1">
                    <wp:simplePos x="0" y="0"/>
                    <wp:positionH relativeFrom="margin">
                      <wp:posOffset>8310245</wp:posOffset>
                    </wp:positionH>
                    <wp:positionV relativeFrom="paragraph">
                      <wp:posOffset>64135</wp:posOffset>
                    </wp:positionV>
                    <wp:extent cx="445135" cy="316865"/>
                    <wp:effectExtent l="0" t="0" r="0" b="0"/>
                    <wp:wrapThrough wrapText="bothSides">
                      <wp:wrapPolygon>
                        <wp:start x="154" y="216"/>
                        <wp:lineTo x="21446" y="216"/>
                        <wp:lineTo x="21446" y="21384"/>
                        <wp:lineTo x="154" y="21384"/>
                        <wp:lineTo x="154" y="216"/>
                      </wp:wrapPolygon>
                    </wp:wrapThrough>
                    <wp:docPr id="45" name="文本框 45"/>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spacing w:before="240" w:beforeLines="100" w:line="480" w:lineRule="auto"/>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193</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654.35pt;margin-top:5.05pt;height:24.95pt;width:35.05pt;mso-position-horizontal-relative:margin;mso-wrap-distance-left:9pt;mso-wrap-distance-right:9pt;z-index:-251548672;mso-width-relative:page;mso-height-relative:page;" filled="f" stroked="f" coordsize="21600,21600" wrapcoords="154 216 21446 216 21446 21384 154 21384 154 216" o:gfxdata="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f6LhzXAAAACwEAAA8AAAAAAAAAAQAgAAAAIgAAAGRycy9kb3ducmV2&#10;LnhtbFBLAQIUABQAAAAIAIdO4kAaljsINgIAAGUEAAAOAAAAAAAAAAEAIAAAACYBAABkcnMvZTJv&#10;RG9jLnhtbFBLBQYAAAAABgAGAFkBAADOBQAAAAA=&#10;">
                    <v:fill on="f" focussize="0,0"/>
                    <v:stroke on="f" weight="0.5pt"/>
                    <v:imagedata o:title=""/>
                    <o:lock v:ext="edit" aspectratio="f"/>
                    <v:textbox inset="0mm,0mm,0mm,0mm">
                      <w:txbxContent>
                        <w:p>
                          <w:pPr>
                            <w:snapToGrid w:val="0"/>
                            <w:spacing w:before="240" w:beforeLines="100" w:line="480" w:lineRule="auto"/>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193</w:t>
                          </w:r>
                          <w:r>
                            <w:rPr>
                              <w:rFonts w:ascii="Times New Roman" w:hAnsi="Times New Roman" w:cs="Times New Roman"/>
                              <w:kern w:val="2"/>
                              <w:sz w:val="21"/>
                              <w:szCs w:val="21"/>
                              <w:lang w:eastAsia="zh-CN"/>
                            </w:rPr>
                            <w:fldChar w:fldCharType="end"/>
                          </w:r>
                        </w:p>
                      </w:txbxContent>
                    </v:textbox>
                    <w10:wrap type="through"/>
                  </v:shape>
                </w:pict>
              </mc:Fallback>
            </mc:AlternateContent>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Calibri" w:hAnsi="Calibri" w:cs="Times New Roman"/>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传真：86113008</w:t>
          </w:r>
        </w:p>
      </w:tc>
    </w:tr>
  </w:tbl>
  <w:p>
    <w:pPr>
      <w:autoSpaceDE/>
      <w:autoSpaceDN/>
      <w:snapToGrid w:val="0"/>
      <w:spacing w:line="240" w:lineRule="auto"/>
      <w:ind w:firstLine="0" w:firstLineChars="0"/>
      <w:rPr>
        <w:rFonts w:ascii="Calibri" w:hAnsi="Calibri" w:cs="Times New Roman"/>
        <w:kern w:val="2"/>
        <w:sz w:val="21"/>
        <w:szCs w:val="21"/>
        <w:lang w:eastAsia="zh-CN"/>
      </w:rP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477" w:tblpY="10622"/>
      <w:tblOverlap w:val="never"/>
      <w:tblW w:w="14075" w:type="dxa"/>
      <w:tblInd w:w="0" w:type="dxa"/>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4075"/>
    </w:tblGrid>
    <w:tr>
      <w:tblPrEx>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4075"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10080" w:firstLineChars="48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65760" behindDoc="0" locked="0" layoutInCell="1" allowOverlap="1">
                    <wp:simplePos x="0" y="0"/>
                    <wp:positionH relativeFrom="margin">
                      <wp:posOffset>-119380</wp:posOffset>
                    </wp:positionH>
                    <wp:positionV relativeFrom="paragraph">
                      <wp:posOffset>4445</wp:posOffset>
                    </wp:positionV>
                    <wp:extent cx="445135" cy="316865"/>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194</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9.4pt;margin-top:0.35pt;height:24.95pt;width:35.05pt;mso-position-horizontal-relative:margin;z-index:251765760;mso-width-relative:page;mso-height-relative:page;" filled="f" stroked="f" coordsize="21600,21600" o:gfxdata="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5nRth1QAAAAYBAAAPAAAAAAAAAAEAIAAAACIAAABkcnMvZG93bnJldi54&#10;bWxQSwECFAAUAAAACACHTuJApuK1VTYCAABlBAAADgAAAAAAAAABACAAAAAkAQAAZHJzL2Uyb0Rv&#10;Yy54bWxQSwUGAAAAAAYABgBZAQAAzAUAAAAA&#10;">
                    <v:fill on="f" focussize="0,0"/>
                    <v:stroke on="f" weight="0.5pt"/>
                    <v:imagedata o:title=""/>
                    <o:lock v:ext="edit" aspectratio="f"/>
                    <v:textbox inset="0mm,0mm,0mm,0mm">
                      <w:txbxContent>
                        <w:p>
                          <w:pPr>
                            <w:snapToGrid w:val="0"/>
                            <w:ind w:firstLine="0" w:firstLineChars="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194</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66784" behindDoc="0" locked="0" layoutInCell="1" allowOverlap="1">
                <wp:simplePos x="0" y="0"/>
                <wp:positionH relativeFrom="column">
                  <wp:posOffset>8453120</wp:posOffset>
                </wp:positionH>
                <wp:positionV relativeFrom="paragraph">
                  <wp:posOffset>-24765</wp:posOffset>
                </wp:positionV>
                <wp:extent cx="381000" cy="381000"/>
                <wp:effectExtent l="0" t="0" r="0" b="0"/>
                <wp:wrapSquare wrapText="bothSides"/>
                <wp:docPr id="41" name="图片 3"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8190" w:firstLineChars="39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w:t>
          </w:r>
        </w:p>
      </w:tc>
    </w:tr>
  </w:tbl>
  <w:p>
    <w:pPr>
      <w:autoSpaceDE/>
      <w:autoSpaceDN/>
      <w:snapToGrid w:val="0"/>
      <w:spacing w:line="240" w:lineRule="auto"/>
      <w:ind w:firstLine="0" w:firstLineChars="0"/>
      <w:rPr>
        <w:rFonts w:ascii="仿宋_GB2312" w:hAnsi="仿宋_GB2312" w:eastAsia="仿宋_GB2312" w:cs="仿宋_GB2312"/>
        <w:kern w:val="2"/>
        <w:sz w:val="21"/>
        <w:szCs w:val="21"/>
        <w:lang w:eastAsia="zh-CN"/>
      </w:rPr>
    </w:pP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512" w:tblpY="15589"/>
      <w:tblOverlap w:val="never"/>
      <w:tblW w:w="0" w:type="auto"/>
      <w:tblInd w:w="0" w:type="dxa"/>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2"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25824" behindDoc="0" locked="0" layoutInCell="1" allowOverlap="1">
                    <wp:simplePos x="0" y="0"/>
                    <wp:positionH relativeFrom="margin">
                      <wp:posOffset>5438140</wp:posOffset>
                    </wp:positionH>
                    <wp:positionV relativeFrom="paragraph">
                      <wp:posOffset>-32385</wp:posOffset>
                    </wp:positionV>
                    <wp:extent cx="445135" cy="316865"/>
                    <wp:effectExtent l="0" t="0" r="0" b="0"/>
                    <wp:wrapNone/>
                    <wp:docPr id="312" name="文本框 312"/>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spacing w:before="240" w:beforeLines="100" w:line="480" w:lineRule="auto"/>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301</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28.2pt;margin-top:-2.55pt;height:24.95pt;width:35.05pt;mso-position-horizontal-relative:margin;z-index:251725824;mso-width-relative:page;mso-height-relative:page;" filled="f" stroked="f" coordsize="21600,21600" o:gfxdata="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hye8XZAAAACQEAAA8AAAAAAAAAAQAgAAAAIgAAAGRycy9kb3du&#10;cmV2LnhtbFBLAQIUABQAAAAIAIdO4kBadIOjNwIAAGcEAAAOAAAAAAAAAAEAIAAAACgBAABkcnMv&#10;ZTJvRG9jLnhtbFBLBQYAAAAABgAGAFkBAADRBQAAAAA=&#10;">
                    <v:fill on="f" focussize="0,0"/>
                    <v:stroke on="f" weight="0.5pt"/>
                    <v:imagedata o:title=""/>
                    <o:lock v:ext="edit" aspectratio="f"/>
                    <v:textbox inset="0mm,0mm,0mm,0mm">
                      <w:txbxContent>
                        <w:p>
                          <w:pPr>
                            <w:snapToGrid w:val="0"/>
                            <w:spacing w:before="240" w:beforeLines="100" w:line="480" w:lineRule="auto"/>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301</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26848" behindDoc="0" locked="0" layoutInCell="1" allowOverlap="1">
                <wp:simplePos x="0" y="0"/>
                <wp:positionH relativeFrom="column">
                  <wp:posOffset>28575</wp:posOffset>
                </wp:positionH>
                <wp:positionV relativeFrom="paragraph">
                  <wp:posOffset>19050</wp:posOffset>
                </wp:positionV>
                <wp:extent cx="381000" cy="381000"/>
                <wp:effectExtent l="0" t="0" r="0" b="0"/>
                <wp:wrapSquare wrapText="bothSides"/>
                <wp:docPr id="313" name="图片 17"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17"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0" w:firstLineChars="0"/>
            <w:jc w:val="both"/>
            <w:rPr>
              <w:rFonts w:hint="default" w:ascii="Calibri" w:hAnsi="Calibri" w:cs="Times New Roman"/>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传真：86113008</w:t>
          </w:r>
        </w:p>
      </w:tc>
    </w:tr>
  </w:tbl>
  <w:p>
    <w:pPr>
      <w:autoSpaceDE/>
      <w:autoSpaceDN/>
      <w:snapToGrid w:val="0"/>
      <w:spacing w:line="240" w:lineRule="auto"/>
      <w:ind w:firstLine="0" w:firstLineChars="0"/>
      <w:rPr>
        <w:rFonts w:ascii="Calibri" w:hAnsi="Calibri" w:cs="Times New Roman"/>
        <w:kern w:val="2"/>
        <w:sz w:val="21"/>
        <w:szCs w:val="21"/>
        <w:lang w:eastAsia="zh-CN"/>
      </w:rP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5"/>
      <w:tblpPr w:leftFromText="180" w:rightFromText="180" w:vertAnchor="page" w:horzAnchor="page" w:tblpX="1379" w:tblpY="15601"/>
      <w:tblOverlap w:val="never"/>
      <w:tblW w:w="0" w:type="auto"/>
      <w:tblInd w:w="0" w:type="dxa"/>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9288"/>
    </w:tblGrid>
    <w:tr>
      <w:tblPrEx>
        <w:tblBorders>
          <w:top w:val="thinThickSmallGap" w:color="auto" w:sz="18"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9288" w:type="dxa"/>
          <w:tcBorders>
            <w:tl2br w:val="nil"/>
            <w:tr2bl w:val="nil"/>
          </w:tcBorders>
        </w:tcPr>
        <w:p>
          <w:pPr>
            <w:keepNext w:val="0"/>
            <w:keepLines w:val="0"/>
            <w:suppressLineNumbers w:val="0"/>
            <w:autoSpaceDE/>
            <w:autoSpaceDN/>
            <w:snapToGrid w:val="0"/>
            <w:spacing w:before="0" w:beforeAutospacing="0" w:after="0" w:afterAutospacing="0" w:line="240" w:lineRule="auto"/>
            <w:ind w:left="0" w:right="0" w:firstLine="5460" w:firstLineChars="26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mc:AlternateContent>
              <mc:Choice Requires="wps">
                <w:drawing>
                  <wp:anchor distT="0" distB="0" distL="114300" distR="114300" simplePos="0" relativeHeight="251723776" behindDoc="0" locked="0" layoutInCell="1" allowOverlap="1">
                    <wp:simplePos x="0" y="0"/>
                    <wp:positionH relativeFrom="margin">
                      <wp:posOffset>-93980</wp:posOffset>
                    </wp:positionH>
                    <wp:positionV relativeFrom="paragraph">
                      <wp:posOffset>32385</wp:posOffset>
                    </wp:positionV>
                    <wp:extent cx="445135" cy="316865"/>
                    <wp:effectExtent l="0" t="0" r="0" b="0"/>
                    <wp:wrapNone/>
                    <wp:docPr id="315" name="文本框 315"/>
                    <wp:cNvGraphicFramePr/>
                    <a:graphic xmlns:a="http://schemas.openxmlformats.org/drawingml/2006/main">
                      <a:graphicData uri="http://schemas.microsoft.com/office/word/2010/wordprocessingShape">
                        <wps:wsp>
                          <wps:cNvSpPr txBox="1"/>
                          <wps:spPr>
                            <a:xfrm>
                              <a:off x="0" y="0"/>
                              <a:ext cx="488950" cy="334010"/>
                            </a:xfrm>
                            <a:prstGeom prst="rect">
                              <a:avLst/>
                            </a:prstGeom>
                            <a:noFill/>
                            <a:ln w="6350">
                              <a:noFill/>
                            </a:ln>
                            <a:effectLst/>
                          </wps:spPr>
                          <wps:txbx>
                            <w:txbxContent>
                              <w:p>
                                <w:pPr>
                                  <w:snapToGrid w:val="0"/>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300</w:t>
                                </w:r>
                                <w:r>
                                  <w:rPr>
                                    <w:rFonts w:ascii="Times New Roman" w:hAnsi="Times New Roman" w:cs="Times New Roman"/>
                                    <w:kern w:val="2"/>
                                    <w:sz w:val="21"/>
                                    <w:szCs w:val="21"/>
                                    <w:lang w:eastAsia="zh-CN"/>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7.4pt;margin-top:2.55pt;height:24.95pt;width:35.05pt;mso-position-horizontal-relative:margin;z-index:251723776;mso-width-relative:page;mso-height-relative:page;" filled="f" stroked="f" coordsize="21600,21600" o:gfxdata="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GKs3LWAAAABwEAAA8AAAAAAAAAAQAgAAAAIgAAAGRycy9kb3ducmV2&#10;LnhtbFBLAQIUABQAAAAIAIdO4kCwROqmNwIAAGcEAAAOAAAAAAAAAAEAIAAAACUBAABkcnMvZTJv&#10;RG9jLnhtbFBLBQYAAAAABgAGAFkBAADOBQAAAAA=&#10;">
                    <v:fill on="f" focussize="0,0"/>
                    <v:stroke on="f" weight="0.5pt"/>
                    <v:imagedata o:title=""/>
                    <o:lock v:ext="edit" aspectratio="f"/>
                    <v:textbox inset="0mm,0mm,0mm,0mm">
                      <w:txbxContent>
                        <w:p>
                          <w:pPr>
                            <w:snapToGrid w:val="0"/>
                            <w:ind w:firstLine="210" w:firstLineChars="100"/>
                            <w:rPr>
                              <w:rFonts w:ascii="Times New Roman" w:hAnsi="Times New Roman" w:cs="Times New Roman"/>
                              <w:kern w:val="2"/>
                              <w:sz w:val="21"/>
                              <w:szCs w:val="21"/>
                              <w:lang w:eastAsia="zh-CN"/>
                            </w:rPr>
                          </w:pPr>
                          <w:r>
                            <w:rPr>
                              <w:rFonts w:ascii="Times New Roman" w:hAnsi="Times New Roman" w:cs="Times New Roman"/>
                              <w:kern w:val="2"/>
                              <w:sz w:val="21"/>
                              <w:szCs w:val="21"/>
                              <w:lang w:eastAsia="zh-CN"/>
                            </w:rPr>
                            <w:fldChar w:fldCharType="begin"/>
                          </w:r>
                          <w:r>
                            <w:rPr>
                              <w:rFonts w:ascii="Times New Roman" w:hAnsi="Times New Roman" w:cs="Times New Roman"/>
                              <w:kern w:val="2"/>
                              <w:sz w:val="21"/>
                              <w:szCs w:val="21"/>
                              <w:lang w:eastAsia="zh-CN"/>
                            </w:rPr>
                            <w:instrText xml:space="preserve"> PAGE  \* MERGEFORMAT </w:instrText>
                          </w:r>
                          <w:r>
                            <w:rPr>
                              <w:rFonts w:ascii="Times New Roman" w:hAnsi="Times New Roman" w:cs="Times New Roman"/>
                              <w:kern w:val="2"/>
                              <w:sz w:val="21"/>
                              <w:szCs w:val="21"/>
                              <w:lang w:eastAsia="zh-CN"/>
                            </w:rPr>
                            <w:fldChar w:fldCharType="separate"/>
                          </w:r>
                          <w:r>
                            <w:rPr>
                              <w:rFonts w:ascii="Times New Roman" w:hAnsi="Times New Roman" w:cs="Times New Roman"/>
                              <w:kern w:val="2"/>
                              <w:sz w:val="21"/>
                              <w:szCs w:val="21"/>
                              <w:lang w:eastAsia="zh-CN"/>
                            </w:rPr>
                            <w:t>300</w:t>
                          </w:r>
                          <w:r>
                            <w:rPr>
                              <w:rFonts w:ascii="Times New Roman" w:hAnsi="Times New Roman" w:cs="Times New Roman"/>
                              <w:kern w:val="2"/>
                              <w:sz w:val="21"/>
                              <w:szCs w:val="21"/>
                              <w:lang w:eastAsia="zh-CN"/>
                            </w:rPr>
                            <w:fldChar w:fldCharType="end"/>
                          </w:r>
                        </w:p>
                      </w:txbxContent>
                    </v:textbox>
                  </v:shape>
                </w:pict>
              </mc:Fallback>
            </mc:AlternateContent>
          </w:r>
          <w:r>
            <w:rPr>
              <w:rFonts w:hint="eastAsia" w:ascii="仿宋_GB2312" w:hAnsi="仿宋_GB2312" w:eastAsia="仿宋_GB2312" w:cs="仿宋_GB2312"/>
              <w:kern w:val="2"/>
              <w:sz w:val="21"/>
              <w:szCs w:val="21"/>
              <w:lang w:eastAsia="zh-CN"/>
            </w:rPr>
            <w:drawing>
              <wp:anchor distT="0" distB="0" distL="114300" distR="114300" simplePos="0" relativeHeight="251724800" behindDoc="0" locked="0" layoutInCell="1" allowOverlap="1">
                <wp:simplePos x="0" y="0"/>
                <wp:positionH relativeFrom="column">
                  <wp:posOffset>5448300</wp:posOffset>
                </wp:positionH>
                <wp:positionV relativeFrom="paragraph">
                  <wp:posOffset>11430</wp:posOffset>
                </wp:positionV>
                <wp:extent cx="381000" cy="381000"/>
                <wp:effectExtent l="0" t="0" r="0" b="0"/>
                <wp:wrapSquare wrapText="bothSides"/>
                <wp:docPr id="314" name="图片 3" descr="复件 黑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 descr="复件 黑白"/>
                        <pic:cNvPicPr>
                          <a:picLocks noChangeAspect="1"/>
                        </pic:cNvPicPr>
                      </pic:nvPicPr>
                      <pic:blipFill>
                        <a:blip r:embed="rId1"/>
                        <a:stretch>
                          <a:fillRect/>
                        </a:stretch>
                      </pic:blipFill>
                      <pic:spPr>
                        <a:xfrm>
                          <a:off x="0" y="0"/>
                          <a:ext cx="381000" cy="381000"/>
                        </a:xfrm>
                        <a:prstGeom prst="rect">
                          <a:avLst/>
                        </a:prstGeom>
                        <a:noFill/>
                        <a:ln>
                          <a:noFill/>
                        </a:ln>
                      </pic:spPr>
                    </pic:pic>
                  </a:graphicData>
                </a:graphic>
              </wp:anchor>
            </w:drawing>
          </w:r>
          <w:r>
            <w:rPr>
              <w:rFonts w:hint="eastAsia" w:ascii="仿宋_GB2312" w:hAnsi="仿宋_GB2312" w:eastAsia="仿宋_GB2312" w:cs="仿宋_GB2312"/>
              <w:kern w:val="2"/>
              <w:sz w:val="21"/>
              <w:szCs w:val="21"/>
              <w:lang w:eastAsia="zh-CN"/>
            </w:rPr>
            <w:t>济南浩宏伟业技术咨询有限公司</w:t>
          </w:r>
        </w:p>
        <w:p>
          <w:pPr>
            <w:keepNext w:val="0"/>
            <w:keepLines w:val="0"/>
            <w:suppressLineNumbers w:val="0"/>
            <w:autoSpaceDE/>
            <w:autoSpaceDN/>
            <w:snapToGrid w:val="0"/>
            <w:spacing w:before="0" w:beforeAutospacing="0" w:after="0" w:afterAutospacing="0" w:line="240" w:lineRule="auto"/>
            <w:ind w:left="0" w:right="0" w:firstLine="3780" w:firstLineChars="1800"/>
            <w:jc w:val="both"/>
            <w:rPr>
              <w:rFonts w:hint="default"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电话：（0531）86113158  86113168  传真：8611300</w:t>
          </w:r>
        </w:p>
      </w:tc>
    </w:tr>
  </w:tbl>
  <w:p>
    <w:pPr>
      <w:autoSpaceDE/>
      <w:autoSpaceDN/>
      <w:snapToGrid w:val="0"/>
      <w:spacing w:line="240" w:lineRule="auto"/>
      <w:ind w:firstLine="0" w:firstLineChars="0"/>
      <w:rPr>
        <w:rFonts w:ascii="仿宋_GB2312" w:hAnsi="仿宋_GB2312" w:eastAsia="仿宋_GB2312" w:cs="仿宋_GB2312"/>
        <w:kern w:val="2"/>
        <w:sz w:val="21"/>
        <w:szCs w:val="21"/>
        <w:lang w:eastAsia="zh-C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300" w:lineRule="exact"/>
      <w:ind w:firstLine="4560" w:firstLineChars="1900"/>
      <w:rPr>
        <w:rFonts w:ascii="楷体_GB2312" w:hAnsi="楷体_GB2312" w:eastAsia="楷体_GB2312" w:cs="楷体_GB2312"/>
      </w:rPr>
    </w:pPr>
    <w:r>
      <w:rPr>
        <w:lang w:eastAsia="zh-CN"/>
      </w:rPr>
      <mc:AlternateContent>
        <mc:Choice Requires="wps">
          <w:drawing>
            <wp:anchor distT="0" distB="0" distL="114300" distR="114300" simplePos="0" relativeHeight="251802624" behindDoc="0" locked="0" layoutInCell="1" allowOverlap="1">
              <wp:simplePos x="0" y="0"/>
              <wp:positionH relativeFrom="margin">
                <wp:align>center</wp:align>
              </wp:positionH>
              <wp:positionV relativeFrom="paragraph">
                <wp:posOffset>0</wp:posOffset>
              </wp:positionV>
              <wp:extent cx="454660" cy="182880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45466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r>
                            <w:fldChar w:fldCharType="begin"/>
                          </w:r>
                          <w:r>
                            <w:instrText xml:space="preserve"> PAGE  \* MERGEFORMAT </w:instrText>
                          </w:r>
                          <w:r>
                            <w:fldChar w:fldCharType="separate"/>
                          </w:r>
                          <w:r>
                            <w:t>IV</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35.8pt;mso-position-horizontal:center;mso-position-horizontal-relative:margin;z-index:251802624;mso-width-relative:page;mso-height-relative:page;" filled="f" stroked="f" coordsize="21600,21600" o:gfxdata="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ZfAwm0wAAAAQBAAAPAAAAAAAAAAEAIAAAACIAAABkcnMvZG93bnJldi54bWxQSwEC&#10;FAAUAAAACACHTuJAU4p9+zICAABYBAAADgAAAAAAAAABACAAAAAiAQAAZHJzL2Uyb0RvYy54bWxQ&#10;SwUGAAAAAAYABgBZAQAAxgUAAAAA&#10;">
              <v:fill on="f" focussize="0,0"/>
              <v:stroke on="f" weight="0.5pt"/>
              <v:imagedata o:title=""/>
              <o:lock v:ext="edit" aspectratio="f"/>
              <v:textbox inset="0mm,0mm,0mm,0mm" style="mso-fit-shape-to-text:t;">
                <w:txbxContent>
                  <w:p>
                    <w:pPr>
                      <w:pStyle w:val="18"/>
                      <w:ind w:firstLine="360"/>
                    </w:pPr>
                    <w:r>
                      <w:fldChar w:fldCharType="begin"/>
                    </w:r>
                    <w:r>
                      <w:instrText xml:space="preserve"> PAGE  \* MERGEFORMAT </w:instrText>
                    </w:r>
                    <w:r>
                      <w:fldChar w:fldCharType="separate"/>
                    </w:r>
                    <w:r>
                      <w:t>IV</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sz w:val="18"/>
      </w:rPr>
      <mc:AlternateContent>
        <mc:Choice Requires="wps">
          <w:drawing>
            <wp:anchor distT="0" distB="0" distL="114300" distR="114300" simplePos="0" relativeHeight="251811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1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OZRm0zAgAAZ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PQwbpmX/cX0HuW&#10;hY3eWh7TRCG9XR4CxEwaR4F6VS66oftSlS6TEtv7z32Kevw7LH4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OZRm0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w:t>
                    </w:r>
                    <w:r>
                      <w:fldChar w:fldCharType="end"/>
                    </w:r>
                  </w:p>
                </w:txbxContent>
              </v:textbox>
            </v:shape>
          </w:pict>
        </mc:Fallback>
      </mc:AlternateContent>
    </w:r>
    <w:r>
      <w:rPr>
        <w:lang w:eastAsia="zh-CN"/>
      </w:rPr>
      <mc:AlternateContent>
        <mc:Choice Requires="wps">
          <w:drawing>
            <wp:anchor distT="0" distB="0" distL="114300" distR="114300" simplePos="0" relativeHeight="251807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93" name="文本框 9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7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L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LgtAgAAVwQAAA4AAAAAAAAAAQAgAAAAHwEAAGRycy9lMm9Eb2MueG1sUEsFBgAAAAAG&#10;AAYAWQEAAL4FAAAAAA==&#10;">
              <v:fill on="f" focussize="0,0"/>
              <v:stroke on="f" weight="0.5pt"/>
              <v:imagedata o:title=""/>
              <o:lock v:ext="edit" aspectratio="f"/>
              <v:textbox inset="0mm,0mm,0mm,0mm" style="mso-fit-shape-to-text:t;">
                <w:txbxContent>
                  <w:p>
                    <w:pPr>
                      <w:pStyle w:val="18"/>
                      <w:ind w:firstLine="360"/>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4400"/>
      </w:tabs>
      <w:spacing w:line="300" w:lineRule="exact"/>
      <w:ind w:firstLine="4560" w:firstLineChars="1900"/>
      <w:rPr>
        <w:rFonts w:hint="eastAsia" w:ascii="楷体_GB2312" w:hAnsi="楷体_GB2312" w:eastAsia="楷体_GB2312" w:cs="楷体_GB2312"/>
        <w:lang w:eastAsia="zh-CN"/>
      </w:rPr>
    </w:pPr>
    <w:r>
      <w:rPr>
        <w:sz w:val="24"/>
      </w:rPr>
      <mc:AlternateContent>
        <mc:Choice Requires="wps">
          <w:drawing>
            <wp:anchor distT="0" distB="0" distL="114300" distR="114300" simplePos="0" relativeHeight="251812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2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YJdjxNAIAAGUEAAAOAAAAAAAAAAEAIAAAAB8BAABkcnMvZTJvRG9jLnhtbFBL&#10;BQYAAAAABgAGAFkBAADFBQ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II</w:t>
                    </w:r>
                    <w:r>
                      <w:fldChar w:fldCharType="end"/>
                    </w:r>
                  </w:p>
                </w:txbxContent>
              </v:textbox>
            </v:shape>
          </w:pict>
        </mc:Fallback>
      </mc:AlternateContent>
    </w:r>
    <w:r>
      <w:rPr>
        <w:rFonts w:hint="eastAsia" w:ascii="楷体_GB2312" w:hAnsi="楷体_GB2312" w:eastAsia="楷体_GB2312" w:cs="楷体_GB2312"/>
        <w:lang w:eastAsia="zh-CN"/>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r>
      <w:rPr>
        <w:sz w:val="18"/>
      </w:rPr>
      <mc:AlternateContent>
        <mc:Choice Requires="wps">
          <w:drawing>
            <wp:anchor distT="0" distB="0" distL="114300" distR="114300" simplePos="0" relativeHeight="2518138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138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sc45AzAgAAZQ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sc45AzAgAAZQQAAA4AAAAAAAAAAQAgAAAAHwEAAGRycy9lMm9Eb2MueG1sUEsF&#10;BgAAAAAGAAYAWQEAAMQFAAAAAA==&#10;">
              <v:fill on="f" focussize="0,0"/>
              <v:stroke on="f" weight="0.5pt"/>
              <v:imagedata o:title=""/>
              <o:lock v:ext="edit" aspectratio="f"/>
              <v:textbox inset="0mm,0mm,0mm,0mm" style="mso-fit-shape-to-text:t;">
                <w:txbxContent>
                  <w:p>
                    <w:pPr>
                      <w:pStyle w:val="18"/>
                    </w:pPr>
                    <w:r>
                      <w:fldChar w:fldCharType="begin"/>
                    </w:r>
                    <w:r>
                      <w:instrText xml:space="preserve"> PAGE  \* MERGEFORMAT </w:instrText>
                    </w:r>
                    <w:r>
                      <w:fldChar w:fldCharType="separate"/>
                    </w:r>
                    <w:r>
                      <w:t>III</w:t>
                    </w:r>
                    <w:r>
                      <w:fldChar w:fldCharType="end"/>
                    </w:r>
                  </w:p>
                </w:txbxContent>
              </v:textbox>
            </v:shape>
          </w:pict>
        </mc:Fallback>
      </mc:AlternateContent>
    </w:r>
    <w:r>
      <w:rPr>
        <w:lang w:eastAsia="zh-CN"/>
      </w:rPr>
      <mc:AlternateContent>
        <mc:Choice Requires="wps">
          <w:drawing>
            <wp:anchor distT="0" distB="0" distL="114300" distR="114300" simplePos="0" relativeHeight="251806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8"/>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806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9LWjgsAgAAVwQAAA4AAABkcnMvZTJvRG9jLnhtbK1UzY7TMBC+I/EO&#10;lu80aRGrUj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LdjSjRT6Pjpx/fT&#10;z4fTr28EZxCotX6GuHuLyNC9Mx3GZjj3OIy8u8qp+AUjAj/kPV7kFV0gPF6aTqbTHC4O37ABfvZ4&#10;3Tof3gujSDQK6tC/JCs7bHzoQ4eQmE2bdSNl6qHUpC3o1es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0taOCwCAABXBAAADgAAAAAAAAABACAAAAAfAQAAZHJzL2Uyb0RvYy54bWxQSwUGAAAAAAYA&#10;BgBZAQAAvQUAAAAA&#10;">
              <v:fill on="f" focussize="0,0"/>
              <v:stroke on="f" weight="0.5pt"/>
              <v:imagedata o:title=""/>
              <o:lock v:ext="edit" aspectratio="f"/>
              <v:textbox inset="0mm,0mm,0mm,0mm" style="mso-fit-shape-to-text:t;">
                <w:txbxContent>
                  <w:p>
                    <w:pPr>
                      <w:pStyle w:val="18"/>
                      <w:ind w:firstLine="360"/>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480"/>
      </w:pPr>
      <w:r>
        <w:separator/>
      </w:r>
    </w:p>
  </w:footnote>
  <w:footnote w:type="continuationSeparator" w:id="1">
    <w:p>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MediumGap" w:color="auto" w:sz="18" w:space="1"/>
      </w:pBdr>
      <w:ind w:firstLine="360"/>
      <w:jc w:val="center"/>
      <w:rPr>
        <w:szCs w:val="18"/>
        <w:lang w:eastAsia="zh-CN"/>
      </w:rPr>
    </w:pPr>
    <w:r>
      <w:rPr>
        <w:szCs w:val="18"/>
        <w:lang w:eastAsia="zh-CN"/>
      </w:rPr>
      <w:t>莱钢集团鲁南矿业有限公司露天转地下开采工程项目（二期/扩界）环境影响报告书</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bottom w:val="thickThinSmallGap" w:color="auto" w:sz="12" w:space="0"/>
      </w:pBdr>
      <w:spacing w:line="240" w:lineRule="auto"/>
      <w:ind w:firstLine="0" w:firstLineChars="0"/>
      <w:jc w:val="center"/>
      <w:rPr>
        <w:rFonts w:ascii="楷体_GB2312" w:hAnsi="楷体_GB2312" w:eastAsia="楷体_GB2312" w:cs="楷体_GB2312"/>
        <w:sz w:val="21"/>
        <w:szCs w:val="21"/>
        <w:lang w:eastAsia="zh-CN"/>
      </w:rPr>
    </w:pPr>
    <w:r>
      <w:rPr>
        <w:rFonts w:hint="eastAsia" w:ascii="楷体_GB2312" w:hAnsi="楷体_GB2312" w:eastAsia="楷体_GB2312" w:cs="楷体_GB2312"/>
        <w:color w:val="000000"/>
        <w:sz w:val="21"/>
        <w:szCs w:val="21"/>
        <w:lang w:eastAsia="zh-CN"/>
      </w:rPr>
      <w:t>莱钢集团鲁南矿业有限公司露天转地下开采工程（二期/扩界）项目环境影响报告书</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MediumGap" w:color="auto" w:sz="18" w:space="1"/>
      </w:pBdr>
      <w:ind w:firstLine="420"/>
      <w:jc w:val="center"/>
      <w:rPr>
        <w:rFonts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莱钢集团鲁南矿业有限公司露天转地下开采工程项目（二期/扩界）环境影响报告书</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ckThinSmallGap" w:color="auto" w:sz="12" w:space="0"/>
      </w:pBdr>
      <w:spacing w:line="240" w:lineRule="auto"/>
      <w:ind w:firstLine="0" w:firstLineChars="0"/>
      <w:jc w:val="center"/>
      <w:rPr>
        <w:rFonts w:ascii="楷体_GB2312" w:hAnsi="楷体_GB2312" w:eastAsia="楷体_GB2312" w:cs="楷体_GB2312"/>
        <w:sz w:val="21"/>
        <w:szCs w:val="21"/>
        <w:lang w:eastAsia="zh-CN"/>
      </w:rPr>
    </w:pPr>
    <w:r>
      <w:rPr>
        <w:rFonts w:hint="eastAsia" w:ascii="楷体_GB2312" w:hAnsi="楷体_GB2312" w:eastAsia="楷体_GB2312" w:cs="楷体_GB2312"/>
        <w:color w:val="000000"/>
        <w:sz w:val="21"/>
        <w:szCs w:val="21"/>
        <w:lang w:eastAsia="zh-CN"/>
      </w:rPr>
      <w:t>莱钢集团鲁南矿业有限公司露天转地下开采工程（二期/扩界）项目环境影响报告书</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MediumGap" w:color="auto" w:sz="18" w:space="1"/>
      </w:pBdr>
      <w:ind w:firstLine="420"/>
      <w:jc w:val="center"/>
      <w:rPr>
        <w:rFonts w:ascii="仿宋_GB2312" w:hAnsi="仿宋_GB2312" w:eastAsia="仿宋_GB2312" w:cs="仿宋_GB2312"/>
        <w:sz w:val="21"/>
        <w:szCs w:val="21"/>
        <w:lang w:eastAsia="zh-CN"/>
      </w:rPr>
    </w:pPr>
    <w:r>
      <w:rPr>
        <w:rFonts w:hint="eastAsia" w:ascii="仿宋_GB2312" w:hAnsi="仿宋_GB2312" w:eastAsia="仿宋_GB2312" w:cs="仿宋_GB2312"/>
        <w:sz w:val="21"/>
        <w:szCs w:val="21"/>
        <w:lang w:eastAsia="zh-CN"/>
      </w:rPr>
      <w:t>莱钢集团鲁南矿业有限公司露天转地下开采工程项目（二期/扩界）环境影响报告书</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thickThinLargeGap" w:color="auto" w:sz="4" w:space="1"/>
        <w:right w:val="none" w:color="auto" w:sz="0" w:space="4"/>
      </w:pBdr>
      <w:snapToGrid w:val="0"/>
      <w:spacing w:line="240" w:lineRule="auto"/>
      <w:ind w:firstLine="0" w:firstLineChars="0"/>
      <w:jc w:val="center"/>
      <w:rPr>
        <w:rFonts w:ascii="楷体_GB2312" w:hAnsi="楷体_GB2312" w:eastAsia="楷体_GB2312" w:cs="楷体_GB2312"/>
        <w:kern w:val="2"/>
        <w:sz w:val="21"/>
        <w:szCs w:val="21"/>
        <w:lang w:eastAsia="zh-CN"/>
      </w:rPr>
    </w:pPr>
    <w:r>
      <w:rPr>
        <w:rFonts w:hint="eastAsia" w:ascii="楷体_GB2312" w:hAnsi="楷体_GB2312" w:eastAsia="楷体_GB2312" w:cs="楷体_GB2312"/>
        <w:kern w:val="2"/>
        <w:sz w:val="21"/>
        <w:szCs w:val="21"/>
        <w:lang w:eastAsia="zh-CN"/>
      </w:rPr>
      <w:t>莱钢集团鲁南矿业有限公司露天转地下开采工程（二期/扩界）项目环境影响报告书</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thickThinLargeGap" w:color="auto" w:sz="4" w:space="1"/>
        <w:right w:val="none" w:color="auto" w:sz="0" w:space="4"/>
      </w:pBdr>
      <w:snapToGrid w:val="0"/>
      <w:spacing w:line="240" w:lineRule="auto"/>
      <w:ind w:firstLine="0" w:firstLineChars="0"/>
      <w:jc w:val="center"/>
      <w:rPr>
        <w:rFonts w:ascii="楷体_GB2312" w:hAnsi="楷体_GB2312" w:eastAsia="楷体_GB2312" w:cs="楷体_GB2312"/>
        <w:kern w:val="2"/>
        <w:sz w:val="21"/>
        <w:szCs w:val="21"/>
        <w:lang w:eastAsia="zh-CN"/>
      </w:rPr>
    </w:pPr>
    <w:r>
      <w:rPr>
        <w:rFonts w:hint="eastAsia" w:ascii="楷体_GB2312" w:hAnsi="楷体_GB2312" w:eastAsia="楷体_GB2312" w:cs="楷体_GB2312"/>
        <w:kern w:val="2"/>
        <w:sz w:val="21"/>
        <w:szCs w:val="21"/>
        <w:lang w:eastAsia="zh-CN"/>
      </w:rPr>
      <w:t>莱钢集团鲁南矿业有限公司露天转地下开采工程（二期/扩界）项目环境影响报告书</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thickThinLargeGap" w:color="auto" w:sz="4" w:space="1"/>
        <w:right w:val="none" w:color="auto" w:sz="0" w:space="4"/>
      </w:pBdr>
      <w:snapToGrid w:val="0"/>
      <w:spacing w:line="240" w:lineRule="auto"/>
      <w:ind w:firstLine="0" w:firstLineChars="0"/>
      <w:jc w:val="center"/>
      <w:rPr>
        <w:rFonts w:ascii="楷体_GB2312" w:hAnsi="楷体_GB2312" w:eastAsia="楷体_GB2312" w:cs="楷体_GB2312"/>
        <w:kern w:val="2"/>
        <w:sz w:val="21"/>
        <w:szCs w:val="21"/>
        <w:lang w:eastAsia="zh-CN"/>
      </w:rPr>
    </w:pPr>
    <w:r>
      <w:rPr>
        <w:rFonts w:hint="eastAsia" w:ascii="楷体_GB2312" w:hAnsi="楷体_GB2312" w:eastAsia="楷体_GB2312" w:cs="楷体_GB2312"/>
        <w:kern w:val="2"/>
        <w:sz w:val="21"/>
        <w:szCs w:val="21"/>
        <w:lang w:eastAsia="zh-CN"/>
      </w:rPr>
      <w:t>莱钢集团鲁南矿业有限公司露天转地下开采工程（二期/扩界）项目环境影响报告书</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thickThinLargeGap" w:color="auto" w:sz="4" w:space="1"/>
        <w:right w:val="none" w:color="auto" w:sz="0" w:space="4"/>
      </w:pBdr>
      <w:snapToGrid w:val="0"/>
      <w:spacing w:line="240" w:lineRule="auto"/>
      <w:ind w:firstLine="0" w:firstLineChars="0"/>
      <w:jc w:val="center"/>
      <w:rPr>
        <w:rFonts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莱钢集团鲁南矿业有限公司露天转地下开采工程（二期/扩界）项目环境影响报告书</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thickThinLargeGap" w:color="auto" w:sz="4" w:space="1"/>
        <w:right w:val="none" w:color="auto" w:sz="0" w:space="4"/>
      </w:pBdr>
      <w:snapToGrid w:val="0"/>
      <w:spacing w:line="240" w:lineRule="auto"/>
      <w:ind w:firstLine="0" w:firstLineChars="0"/>
      <w:jc w:val="center"/>
      <w:rPr>
        <w:rFonts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莱钢集团鲁南矿业有限公司露天转地下开采工程（二期/扩界）项目环境影响报告书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thickThinLargeGap" w:color="auto" w:sz="4" w:space="1"/>
        <w:right w:val="none" w:color="auto" w:sz="0" w:space="4"/>
      </w:pBdr>
      <w:snapToGrid w:val="0"/>
      <w:spacing w:line="240" w:lineRule="auto"/>
      <w:ind w:firstLine="0" w:firstLineChars="0"/>
      <w:jc w:val="center"/>
      <w:rPr>
        <w:rFonts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莱钢集团鲁南矿业有限公司露天转地下开采工程（二期/扩界）项目环境影响报告书</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left w:val="none" w:color="auto" w:sz="0" w:space="4"/>
        <w:bottom w:val="thickThinLargeGap" w:color="auto" w:sz="4" w:space="1"/>
        <w:right w:val="none" w:color="auto" w:sz="0" w:space="4"/>
      </w:pBdr>
      <w:snapToGrid w:val="0"/>
      <w:spacing w:line="240" w:lineRule="auto"/>
      <w:ind w:firstLine="0" w:firstLineChars="0"/>
      <w:jc w:val="center"/>
      <w:rPr>
        <w:rFonts w:ascii="仿宋_GB2312" w:hAnsi="仿宋_GB2312" w:eastAsia="仿宋_GB2312" w:cs="仿宋_GB2312"/>
        <w:kern w:val="2"/>
        <w:sz w:val="21"/>
        <w:szCs w:val="21"/>
        <w:lang w:eastAsia="zh-CN"/>
      </w:rPr>
    </w:pPr>
    <w:r>
      <w:rPr>
        <w:rFonts w:hint="eastAsia" w:ascii="仿宋_GB2312" w:hAnsi="仿宋_GB2312" w:eastAsia="仿宋_GB2312" w:cs="仿宋_GB2312"/>
        <w:kern w:val="2"/>
        <w:sz w:val="21"/>
        <w:szCs w:val="21"/>
        <w:lang w:eastAsia="zh-CN"/>
      </w:rPr>
      <w:t>莱钢集团鲁南矿业有限公司露天转地下开采工程（二期/扩界）项目环境影响报告书</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bottom w:val="thickThinSmallGap" w:color="auto" w:sz="12" w:space="0"/>
      </w:pBdr>
      <w:spacing w:line="240" w:lineRule="auto"/>
      <w:ind w:firstLine="0" w:firstLineChars="0"/>
      <w:jc w:val="center"/>
      <w:rPr>
        <w:sz w:val="21"/>
        <w:szCs w:val="21"/>
        <w:lang w:eastAsia="zh-CN"/>
      </w:rPr>
    </w:pPr>
    <w:r>
      <w:rPr>
        <w:rFonts w:hint="eastAsia"/>
        <w:color w:val="000000"/>
        <w:sz w:val="21"/>
        <w:szCs w:val="21"/>
        <w:lang w:eastAsia="zh-CN"/>
      </w:rPr>
      <w:t>莱钢集团鲁南矿业有限公司露天转地下开采工程（二期/扩界）项目环境影响报告书</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bottom w:val="thickThinSmallGap" w:color="auto" w:sz="12" w:space="0"/>
      </w:pBdr>
      <w:spacing w:line="240" w:lineRule="auto"/>
      <w:ind w:firstLine="0" w:firstLineChars="0"/>
      <w:jc w:val="center"/>
      <w:rPr>
        <w:rFonts w:ascii="楷体_GB2312" w:hAnsi="楷体_GB2312" w:eastAsia="楷体_GB2312" w:cs="楷体_GB2312"/>
        <w:sz w:val="21"/>
        <w:szCs w:val="21"/>
        <w:lang w:eastAsia="zh-CN"/>
      </w:rPr>
    </w:pPr>
    <w:r>
      <w:rPr>
        <w:rFonts w:hint="eastAsia" w:ascii="楷体_GB2312" w:hAnsi="楷体_GB2312" w:eastAsia="楷体_GB2312" w:cs="楷体_GB2312"/>
        <w:color w:val="000000"/>
        <w:sz w:val="21"/>
        <w:szCs w:val="21"/>
        <w:lang w:eastAsia="zh-CN"/>
      </w:rPr>
      <w:t>莱钢集团鲁南矿业有限公司露天转地下开采工程（二期/扩界）项目环境影响报告书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MediumGap" w:color="auto" w:sz="18" w:space="1"/>
      </w:pBdr>
      <w:ind w:firstLine="420"/>
      <w:jc w:val="center"/>
      <w:rPr>
        <w:rFonts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莱钢集团鲁南矿业有限公司露天转地下开采工程项目（二期/扩界）环境影响报告书</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top w:val="none" w:color="auto" w:sz="0" w:space="1"/>
        <w:bottom w:val="thickThinSmallGap" w:color="auto" w:sz="12" w:space="0"/>
      </w:pBdr>
      <w:spacing w:line="240" w:lineRule="auto"/>
      <w:ind w:firstLine="0" w:firstLineChars="0"/>
      <w:jc w:val="center"/>
      <w:rPr>
        <w:rFonts w:ascii="楷体" w:hAnsi="楷体" w:eastAsia="楷体" w:cs="楷体"/>
        <w:sz w:val="21"/>
        <w:szCs w:val="21"/>
        <w:lang w:eastAsia="zh-CN"/>
      </w:rPr>
    </w:pPr>
    <w:r>
      <w:rPr>
        <w:rFonts w:hint="eastAsia" w:ascii="仿宋_GB2312" w:hAnsi="仿宋_GB2312" w:eastAsia="仿宋_GB2312" w:cs="仿宋_GB2312"/>
        <w:color w:val="000000"/>
        <w:sz w:val="21"/>
        <w:szCs w:val="21"/>
        <w:lang w:eastAsia="zh-CN"/>
      </w:rPr>
      <w:t>莱钢集团鲁南矿业有限公司露天转地下开采工程（二期/扩界）项目环境影响报告书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MediumGap" w:color="auto" w:sz="18" w:space="1"/>
      </w:pBdr>
      <w:ind w:firstLine="420"/>
      <w:jc w:val="center"/>
      <w:rPr>
        <w:rFonts w:ascii="楷体_GB2312" w:hAnsi="楷体_GB2312" w:eastAsia="楷体_GB2312" w:cs="楷体_GB2312"/>
        <w:sz w:val="21"/>
        <w:szCs w:val="21"/>
        <w:lang w:eastAsia="zh-CN"/>
      </w:rPr>
    </w:pPr>
    <w:r>
      <w:rPr>
        <w:rFonts w:hint="eastAsia" w:ascii="楷体_GB2312" w:hAnsi="楷体_GB2312" w:eastAsia="楷体_GB2312" w:cs="楷体_GB2312"/>
        <w:sz w:val="21"/>
        <w:szCs w:val="21"/>
        <w:lang w:eastAsia="zh-CN"/>
      </w:rPr>
      <w:t>莱钢集团鲁南矿业有限公司露天转地下开采工程项目（扩界）环境影响报告书</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ckThinSmallGap" w:color="auto" w:sz="12" w:space="0"/>
      </w:pBdr>
      <w:spacing w:line="240" w:lineRule="auto"/>
      <w:ind w:firstLine="0" w:firstLineChars="0"/>
      <w:jc w:val="center"/>
      <w:rPr>
        <w:rFonts w:ascii="楷体" w:hAnsi="楷体" w:eastAsia="楷体" w:cs="楷体"/>
        <w:sz w:val="21"/>
        <w:szCs w:val="21"/>
        <w:lang w:eastAsia="zh-CN"/>
      </w:rPr>
    </w:pPr>
    <w:r>
      <w:rPr>
        <w:rFonts w:hint="eastAsia" w:ascii="仿宋_GB2312" w:hAnsi="仿宋_GB2312" w:eastAsia="仿宋_GB2312" w:cs="仿宋_GB2312"/>
        <w:color w:val="000000"/>
        <w:sz w:val="21"/>
        <w:szCs w:val="21"/>
        <w:lang w:eastAsia="zh-CN"/>
      </w:rPr>
      <w:t>莱钢集团鲁南矿业有限公司露天转地下开采工程（二期/扩界）项目环境影响报告书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Bdr>
        <w:bottom w:val="thickThinMediumGap" w:color="auto" w:sz="18" w:space="1"/>
      </w:pBdr>
      <w:ind w:firstLine="360"/>
      <w:jc w:val="center"/>
      <w:rPr>
        <w:szCs w:val="18"/>
        <w:lang w:eastAsia="zh-CN"/>
      </w:rPr>
    </w:pPr>
    <w:r>
      <w:rPr>
        <w:szCs w:val="18"/>
        <w:lang w:eastAsia="zh-CN"/>
      </w:rPr>
      <w:t>莱钢集团鲁南矿业有限公司露天转地下开采工程项目（二期/扩界）环境影响报告书</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thickThinSmallGap" w:color="auto" w:sz="12" w:space="0"/>
      </w:pBdr>
      <w:spacing w:line="240" w:lineRule="auto"/>
      <w:ind w:firstLine="0" w:firstLineChars="0"/>
      <w:jc w:val="center"/>
      <w:rPr>
        <w:rFonts w:ascii="楷体" w:hAnsi="楷体" w:eastAsia="楷体" w:cs="楷体"/>
        <w:sz w:val="21"/>
        <w:szCs w:val="21"/>
        <w:lang w:eastAsia="zh-CN"/>
      </w:rPr>
    </w:pPr>
    <w:r>
      <w:rPr>
        <w:rFonts w:hint="eastAsia" w:ascii="仿宋_GB2312" w:hAnsi="仿宋_GB2312" w:eastAsia="仿宋_GB2312" w:cs="仿宋_GB2312"/>
        <w:color w:val="000000"/>
        <w:sz w:val="21"/>
        <w:szCs w:val="21"/>
        <w:lang w:eastAsia="zh-CN"/>
      </w:rPr>
      <w:t>莱钢集团鲁南矿业有限公司露天转地下开采工程（二期/扩界）项目环境影响报告书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5427FE"/>
    <w:multiLevelType w:val="singleLevel"/>
    <w:tmpl w:val="815427FE"/>
    <w:lvl w:ilvl="0" w:tentative="0">
      <w:start w:val="1"/>
      <w:numFmt w:val="decimal"/>
      <w:lvlText w:val="%1."/>
      <w:lvlJc w:val="left"/>
      <w:pPr>
        <w:ind w:left="425" w:hanging="425"/>
      </w:pPr>
      <w:rPr>
        <w:rFonts w:hint="default"/>
      </w:rPr>
    </w:lvl>
  </w:abstractNum>
  <w:abstractNum w:abstractNumId="1">
    <w:nsid w:val="8300E01D"/>
    <w:multiLevelType w:val="singleLevel"/>
    <w:tmpl w:val="8300E01D"/>
    <w:lvl w:ilvl="0" w:tentative="0">
      <w:start w:val="1"/>
      <w:numFmt w:val="decimal"/>
      <w:lvlText w:val="%1."/>
      <w:lvlJc w:val="left"/>
      <w:pPr>
        <w:ind w:left="425" w:hanging="425"/>
      </w:pPr>
      <w:rPr>
        <w:rFonts w:hint="default"/>
      </w:rPr>
    </w:lvl>
  </w:abstractNum>
  <w:abstractNum w:abstractNumId="2">
    <w:nsid w:val="877CCE88"/>
    <w:multiLevelType w:val="singleLevel"/>
    <w:tmpl w:val="877CCE88"/>
    <w:lvl w:ilvl="0" w:tentative="0">
      <w:start w:val="1"/>
      <w:numFmt w:val="decimal"/>
      <w:suff w:val="nothing"/>
      <w:lvlText w:val="(%1)"/>
      <w:lvlJc w:val="left"/>
      <w:pPr>
        <w:tabs>
          <w:tab w:val="left" w:pos="0"/>
        </w:tabs>
        <w:ind w:left="420" w:hanging="420"/>
      </w:pPr>
      <w:rPr>
        <w:rFonts w:hint="default"/>
      </w:rPr>
    </w:lvl>
  </w:abstractNum>
  <w:abstractNum w:abstractNumId="3">
    <w:nsid w:val="87A5E168"/>
    <w:multiLevelType w:val="singleLevel"/>
    <w:tmpl w:val="87A5E168"/>
    <w:lvl w:ilvl="0" w:tentative="0">
      <w:start w:val="1"/>
      <w:numFmt w:val="decimal"/>
      <w:suff w:val="nothing"/>
      <w:lvlText w:val="(%1)"/>
      <w:lvlJc w:val="left"/>
      <w:pPr>
        <w:tabs>
          <w:tab w:val="left" w:pos="0"/>
        </w:tabs>
        <w:ind w:left="420" w:hanging="420"/>
      </w:pPr>
      <w:rPr>
        <w:rFonts w:hint="default"/>
      </w:rPr>
    </w:lvl>
  </w:abstractNum>
  <w:abstractNum w:abstractNumId="4">
    <w:nsid w:val="8B6CE060"/>
    <w:multiLevelType w:val="singleLevel"/>
    <w:tmpl w:val="8B6CE060"/>
    <w:lvl w:ilvl="0" w:tentative="0">
      <w:start w:val="1"/>
      <w:numFmt w:val="decimal"/>
      <w:suff w:val="nothing"/>
      <w:lvlText w:val="（%1）"/>
      <w:lvlJc w:val="left"/>
    </w:lvl>
  </w:abstractNum>
  <w:abstractNum w:abstractNumId="5">
    <w:nsid w:val="8D78921E"/>
    <w:multiLevelType w:val="singleLevel"/>
    <w:tmpl w:val="8D78921E"/>
    <w:lvl w:ilvl="0" w:tentative="0">
      <w:start w:val="1"/>
      <w:numFmt w:val="decimal"/>
      <w:lvlText w:val="%1."/>
      <w:lvlJc w:val="left"/>
      <w:pPr>
        <w:ind w:left="425" w:hanging="425"/>
      </w:pPr>
      <w:rPr>
        <w:rFonts w:hint="default"/>
      </w:rPr>
    </w:lvl>
  </w:abstractNum>
  <w:abstractNum w:abstractNumId="6">
    <w:nsid w:val="911F134C"/>
    <w:multiLevelType w:val="singleLevel"/>
    <w:tmpl w:val="911F134C"/>
    <w:lvl w:ilvl="0" w:tentative="0">
      <w:start w:val="1"/>
      <w:numFmt w:val="decimal"/>
      <w:suff w:val="nothing"/>
      <w:lvlText w:val="（%1）"/>
      <w:lvlJc w:val="left"/>
      <w:pPr>
        <w:ind w:left="197"/>
      </w:pPr>
    </w:lvl>
  </w:abstractNum>
  <w:abstractNum w:abstractNumId="7">
    <w:nsid w:val="9C064BEA"/>
    <w:multiLevelType w:val="singleLevel"/>
    <w:tmpl w:val="9C064BEA"/>
    <w:lvl w:ilvl="0" w:tentative="0">
      <w:start w:val="1"/>
      <w:numFmt w:val="decimal"/>
      <w:suff w:val="nothing"/>
      <w:lvlText w:val="%1）"/>
      <w:lvlJc w:val="left"/>
    </w:lvl>
  </w:abstractNum>
  <w:abstractNum w:abstractNumId="8">
    <w:nsid w:val="A1AF418A"/>
    <w:multiLevelType w:val="singleLevel"/>
    <w:tmpl w:val="A1AF418A"/>
    <w:lvl w:ilvl="0" w:tentative="0">
      <w:start w:val="2"/>
      <w:numFmt w:val="decimal"/>
      <w:suff w:val="nothing"/>
      <w:lvlText w:val="%1、"/>
      <w:lvlJc w:val="left"/>
    </w:lvl>
  </w:abstractNum>
  <w:abstractNum w:abstractNumId="9">
    <w:nsid w:val="A41773B8"/>
    <w:multiLevelType w:val="singleLevel"/>
    <w:tmpl w:val="A41773B8"/>
    <w:lvl w:ilvl="0" w:tentative="0">
      <w:start w:val="7"/>
      <w:numFmt w:val="chineseCounting"/>
      <w:suff w:val="space"/>
      <w:lvlText w:val="第%1章"/>
      <w:lvlJc w:val="left"/>
      <w:rPr>
        <w:rFonts w:hint="eastAsia"/>
      </w:rPr>
    </w:lvl>
  </w:abstractNum>
  <w:abstractNum w:abstractNumId="10">
    <w:nsid w:val="A84AB4AE"/>
    <w:multiLevelType w:val="singleLevel"/>
    <w:tmpl w:val="A84AB4AE"/>
    <w:lvl w:ilvl="0" w:tentative="0">
      <w:start w:val="2"/>
      <w:numFmt w:val="decimal"/>
      <w:lvlText w:val="%1."/>
      <w:lvlJc w:val="left"/>
      <w:pPr>
        <w:tabs>
          <w:tab w:val="left" w:pos="312"/>
        </w:tabs>
        <w:ind w:left="140"/>
      </w:pPr>
    </w:lvl>
  </w:abstractNum>
  <w:abstractNum w:abstractNumId="11">
    <w:nsid w:val="B3F312DE"/>
    <w:multiLevelType w:val="singleLevel"/>
    <w:tmpl w:val="B3F312DE"/>
    <w:lvl w:ilvl="0" w:tentative="0">
      <w:start w:val="1"/>
      <w:numFmt w:val="decimal"/>
      <w:suff w:val="nothing"/>
      <w:lvlText w:val="%1、"/>
      <w:lvlJc w:val="left"/>
    </w:lvl>
  </w:abstractNum>
  <w:abstractNum w:abstractNumId="12">
    <w:nsid w:val="B4DDBD20"/>
    <w:multiLevelType w:val="singleLevel"/>
    <w:tmpl w:val="B4DDBD20"/>
    <w:lvl w:ilvl="0" w:tentative="0">
      <w:start w:val="13"/>
      <w:numFmt w:val="chineseCounting"/>
      <w:suff w:val="space"/>
      <w:lvlText w:val="第%1章"/>
      <w:lvlJc w:val="left"/>
      <w:rPr>
        <w:rFonts w:hint="eastAsia"/>
      </w:rPr>
    </w:lvl>
  </w:abstractNum>
  <w:abstractNum w:abstractNumId="13">
    <w:nsid w:val="B5A074A7"/>
    <w:multiLevelType w:val="singleLevel"/>
    <w:tmpl w:val="B5A074A7"/>
    <w:lvl w:ilvl="0" w:tentative="0">
      <w:start w:val="1"/>
      <w:numFmt w:val="decimal"/>
      <w:suff w:val="nothing"/>
      <w:lvlText w:val="%1、"/>
      <w:lvlJc w:val="left"/>
      <w:pPr>
        <w:ind w:left="-282"/>
      </w:pPr>
    </w:lvl>
  </w:abstractNum>
  <w:abstractNum w:abstractNumId="14">
    <w:nsid w:val="C32515C4"/>
    <w:multiLevelType w:val="singleLevel"/>
    <w:tmpl w:val="C32515C4"/>
    <w:lvl w:ilvl="0" w:tentative="0">
      <w:start w:val="2"/>
      <w:numFmt w:val="chineseCounting"/>
      <w:suff w:val="nothing"/>
      <w:lvlText w:val="（%1）"/>
      <w:lvlJc w:val="left"/>
      <w:rPr>
        <w:rFonts w:hint="eastAsia"/>
      </w:rPr>
    </w:lvl>
  </w:abstractNum>
  <w:abstractNum w:abstractNumId="15">
    <w:nsid w:val="CEF56128"/>
    <w:multiLevelType w:val="singleLevel"/>
    <w:tmpl w:val="CEF56128"/>
    <w:lvl w:ilvl="0" w:tentative="0">
      <w:start w:val="1"/>
      <w:numFmt w:val="decimal"/>
      <w:suff w:val="nothing"/>
      <w:lvlText w:val="(%1)"/>
      <w:lvlJc w:val="left"/>
      <w:pPr>
        <w:tabs>
          <w:tab w:val="left" w:pos="0"/>
        </w:tabs>
        <w:ind w:left="454" w:hanging="454"/>
      </w:pPr>
      <w:rPr>
        <w:rFonts w:hint="default"/>
      </w:rPr>
    </w:lvl>
  </w:abstractNum>
  <w:abstractNum w:abstractNumId="16">
    <w:nsid w:val="D0DC5D77"/>
    <w:multiLevelType w:val="singleLevel"/>
    <w:tmpl w:val="D0DC5D77"/>
    <w:lvl w:ilvl="0" w:tentative="0">
      <w:start w:val="1"/>
      <w:numFmt w:val="decimal"/>
      <w:lvlText w:val="%1."/>
      <w:lvlJc w:val="left"/>
      <w:pPr>
        <w:ind w:left="425" w:hanging="425"/>
      </w:pPr>
      <w:rPr>
        <w:rFonts w:hint="default"/>
      </w:rPr>
    </w:lvl>
  </w:abstractNum>
  <w:abstractNum w:abstractNumId="17">
    <w:nsid w:val="D2B81C8B"/>
    <w:multiLevelType w:val="singleLevel"/>
    <w:tmpl w:val="D2B81C8B"/>
    <w:lvl w:ilvl="0" w:tentative="0">
      <w:start w:val="1"/>
      <w:numFmt w:val="decimal"/>
      <w:suff w:val="nothing"/>
      <w:lvlText w:val="(%1)"/>
      <w:lvlJc w:val="left"/>
      <w:pPr>
        <w:tabs>
          <w:tab w:val="left" w:pos="0"/>
        </w:tabs>
        <w:ind w:left="454" w:hanging="454"/>
      </w:pPr>
      <w:rPr>
        <w:rFonts w:hint="default"/>
      </w:rPr>
    </w:lvl>
  </w:abstractNum>
  <w:abstractNum w:abstractNumId="18">
    <w:nsid w:val="E527702E"/>
    <w:multiLevelType w:val="multilevel"/>
    <w:tmpl w:val="E527702E"/>
    <w:lvl w:ilvl="0" w:tentative="0">
      <w:start w:val="1"/>
      <w:numFmt w:val="decimal"/>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9">
    <w:nsid w:val="F11115AA"/>
    <w:multiLevelType w:val="singleLevel"/>
    <w:tmpl w:val="F11115AA"/>
    <w:lvl w:ilvl="0" w:tentative="0">
      <w:start w:val="2"/>
      <w:numFmt w:val="decimal"/>
      <w:suff w:val="nothing"/>
      <w:lvlText w:val="%1、"/>
      <w:lvlJc w:val="left"/>
    </w:lvl>
  </w:abstractNum>
  <w:abstractNum w:abstractNumId="20">
    <w:nsid w:val="FB2CB928"/>
    <w:multiLevelType w:val="singleLevel"/>
    <w:tmpl w:val="FB2CB928"/>
    <w:lvl w:ilvl="0" w:tentative="0">
      <w:start w:val="3"/>
      <w:numFmt w:val="decimal"/>
      <w:suff w:val="nothing"/>
      <w:lvlText w:val="%1、"/>
      <w:lvlJc w:val="left"/>
    </w:lvl>
  </w:abstractNum>
  <w:abstractNum w:abstractNumId="21">
    <w:nsid w:val="FB68CD4E"/>
    <w:multiLevelType w:val="singleLevel"/>
    <w:tmpl w:val="FB68CD4E"/>
    <w:lvl w:ilvl="0" w:tentative="0">
      <w:start w:val="1"/>
      <w:numFmt w:val="decimal"/>
      <w:suff w:val="nothing"/>
      <w:lvlText w:val="（%1）"/>
      <w:lvlJc w:val="left"/>
    </w:lvl>
  </w:abstractNum>
  <w:abstractNum w:abstractNumId="22">
    <w:nsid w:val="FF675E31"/>
    <w:multiLevelType w:val="singleLevel"/>
    <w:tmpl w:val="FF675E31"/>
    <w:lvl w:ilvl="0" w:tentative="0">
      <w:start w:val="1"/>
      <w:numFmt w:val="decimal"/>
      <w:suff w:val="nothing"/>
      <w:lvlText w:val="（%1）"/>
      <w:lvlJc w:val="left"/>
      <w:pPr>
        <w:ind w:left="-83"/>
      </w:pPr>
    </w:lvl>
  </w:abstractNum>
  <w:abstractNum w:abstractNumId="23">
    <w:nsid w:val="0CA25467"/>
    <w:multiLevelType w:val="singleLevel"/>
    <w:tmpl w:val="0CA25467"/>
    <w:lvl w:ilvl="0" w:tentative="0">
      <w:start w:val="2"/>
      <w:numFmt w:val="decimal"/>
      <w:suff w:val="nothing"/>
      <w:lvlText w:val="（%1）"/>
      <w:lvlJc w:val="left"/>
      <w:pPr>
        <w:ind w:left="-163"/>
      </w:pPr>
    </w:lvl>
  </w:abstractNum>
  <w:abstractNum w:abstractNumId="24">
    <w:nsid w:val="1B205E77"/>
    <w:multiLevelType w:val="singleLevel"/>
    <w:tmpl w:val="1B205E77"/>
    <w:lvl w:ilvl="0" w:tentative="0">
      <w:start w:val="2"/>
      <w:numFmt w:val="decimal"/>
      <w:suff w:val="nothing"/>
      <w:lvlText w:val="%1、"/>
      <w:lvlJc w:val="left"/>
    </w:lvl>
  </w:abstractNum>
  <w:abstractNum w:abstractNumId="25">
    <w:nsid w:val="2263EFB1"/>
    <w:multiLevelType w:val="singleLevel"/>
    <w:tmpl w:val="2263EFB1"/>
    <w:lvl w:ilvl="0" w:tentative="0">
      <w:start w:val="1"/>
      <w:numFmt w:val="decimal"/>
      <w:suff w:val="nothing"/>
      <w:lvlText w:val="（%1）"/>
      <w:lvlJc w:val="left"/>
      <w:pPr>
        <w:ind w:left="0"/>
      </w:pPr>
    </w:lvl>
  </w:abstractNum>
  <w:abstractNum w:abstractNumId="26">
    <w:nsid w:val="25ED4122"/>
    <w:multiLevelType w:val="singleLevel"/>
    <w:tmpl w:val="25ED4122"/>
    <w:lvl w:ilvl="0" w:tentative="0">
      <w:start w:val="1"/>
      <w:numFmt w:val="decimal"/>
      <w:lvlText w:val="%1."/>
      <w:lvlJc w:val="left"/>
      <w:pPr>
        <w:ind w:left="425" w:hanging="425"/>
      </w:pPr>
      <w:rPr>
        <w:rFonts w:hint="default"/>
      </w:rPr>
    </w:lvl>
  </w:abstractNum>
  <w:abstractNum w:abstractNumId="27">
    <w:nsid w:val="28EEBF08"/>
    <w:multiLevelType w:val="singleLevel"/>
    <w:tmpl w:val="28EEBF08"/>
    <w:lvl w:ilvl="0" w:tentative="0">
      <w:start w:val="1"/>
      <w:numFmt w:val="decimal"/>
      <w:lvlText w:val="%1."/>
      <w:lvlJc w:val="left"/>
      <w:pPr>
        <w:ind w:left="425" w:hanging="425"/>
      </w:pPr>
      <w:rPr>
        <w:rFonts w:hint="default"/>
      </w:rPr>
    </w:lvl>
  </w:abstractNum>
  <w:abstractNum w:abstractNumId="28">
    <w:nsid w:val="6535679B"/>
    <w:multiLevelType w:val="singleLevel"/>
    <w:tmpl w:val="6535679B"/>
    <w:lvl w:ilvl="0" w:tentative="0">
      <w:start w:val="1"/>
      <w:numFmt w:val="decimal"/>
      <w:suff w:val="nothing"/>
      <w:lvlText w:val="%1）"/>
      <w:lvlJc w:val="left"/>
    </w:lvl>
  </w:abstractNum>
  <w:abstractNum w:abstractNumId="29">
    <w:nsid w:val="6F1FDEDD"/>
    <w:multiLevelType w:val="singleLevel"/>
    <w:tmpl w:val="6F1FDEDD"/>
    <w:lvl w:ilvl="0" w:tentative="0">
      <w:start w:val="2"/>
      <w:numFmt w:val="decimal"/>
      <w:suff w:val="nothing"/>
      <w:lvlText w:val="%1、"/>
      <w:lvlJc w:val="left"/>
    </w:lvl>
  </w:abstractNum>
  <w:abstractNum w:abstractNumId="30">
    <w:nsid w:val="728AB798"/>
    <w:multiLevelType w:val="singleLevel"/>
    <w:tmpl w:val="728AB798"/>
    <w:lvl w:ilvl="0" w:tentative="0">
      <w:start w:val="1"/>
      <w:numFmt w:val="decimal"/>
      <w:suff w:val="nothing"/>
      <w:lvlText w:val="(%1)"/>
      <w:lvlJc w:val="left"/>
      <w:pPr>
        <w:tabs>
          <w:tab w:val="left" w:pos="0"/>
        </w:tabs>
        <w:ind w:left="454" w:hanging="454"/>
      </w:pPr>
      <w:rPr>
        <w:rFonts w:hint="default"/>
      </w:rPr>
    </w:lvl>
  </w:abstractNum>
  <w:abstractNum w:abstractNumId="31">
    <w:nsid w:val="75BEC2F3"/>
    <w:multiLevelType w:val="singleLevel"/>
    <w:tmpl w:val="75BEC2F3"/>
    <w:lvl w:ilvl="0" w:tentative="0">
      <w:start w:val="1"/>
      <w:numFmt w:val="chineseCounting"/>
      <w:suff w:val="nothing"/>
      <w:lvlText w:val="%1、"/>
      <w:lvlJc w:val="left"/>
      <w:rPr>
        <w:rFonts w:hint="eastAsia"/>
      </w:rPr>
    </w:lvl>
  </w:abstractNum>
  <w:num w:numId="1">
    <w:abstractNumId w:val="31"/>
  </w:num>
  <w:num w:numId="2">
    <w:abstractNumId w:val="14"/>
  </w:num>
  <w:num w:numId="3">
    <w:abstractNumId w:val="17"/>
  </w:num>
  <w:num w:numId="4">
    <w:abstractNumId w:val="30"/>
  </w:num>
  <w:num w:numId="5">
    <w:abstractNumId w:val="3"/>
  </w:num>
  <w:num w:numId="6">
    <w:abstractNumId w:val="15"/>
  </w:num>
  <w:num w:numId="7">
    <w:abstractNumId w:val="2"/>
  </w:num>
  <w:num w:numId="8">
    <w:abstractNumId w:val="27"/>
  </w:num>
  <w:num w:numId="9">
    <w:abstractNumId w:val="23"/>
  </w:num>
  <w:num w:numId="10">
    <w:abstractNumId w:val="29"/>
  </w:num>
  <w:num w:numId="11">
    <w:abstractNumId w:val="4"/>
  </w:num>
  <w:num w:numId="12">
    <w:abstractNumId w:val="6"/>
  </w:num>
  <w:num w:numId="13">
    <w:abstractNumId w:val="18"/>
  </w:num>
  <w:num w:numId="14">
    <w:abstractNumId w:val="22"/>
  </w:num>
  <w:num w:numId="15">
    <w:abstractNumId w:val="25"/>
  </w:num>
  <w:num w:numId="16">
    <w:abstractNumId w:val="19"/>
  </w:num>
  <w:num w:numId="17">
    <w:abstractNumId w:val="24"/>
  </w:num>
  <w:num w:numId="18">
    <w:abstractNumId w:val="0"/>
  </w:num>
  <w:num w:numId="19">
    <w:abstractNumId w:val="26"/>
  </w:num>
  <w:num w:numId="20">
    <w:abstractNumId w:val="5"/>
  </w:num>
  <w:num w:numId="21">
    <w:abstractNumId w:val="16"/>
  </w:num>
  <w:num w:numId="22">
    <w:abstractNumId w:val="1"/>
  </w:num>
  <w:num w:numId="23">
    <w:abstractNumId w:val="13"/>
  </w:num>
  <w:num w:numId="24">
    <w:abstractNumId w:val="10"/>
  </w:num>
  <w:num w:numId="25">
    <w:abstractNumId w:val="9"/>
  </w:num>
  <w:num w:numId="26">
    <w:abstractNumId w:val="7"/>
  </w:num>
  <w:num w:numId="27">
    <w:abstractNumId w:val="28"/>
  </w:num>
  <w:num w:numId="28">
    <w:abstractNumId w:val="11"/>
  </w:num>
  <w:num w:numId="29">
    <w:abstractNumId w:val="20"/>
  </w:num>
  <w:num w:numId="30">
    <w:abstractNumId w:val="8"/>
  </w:num>
  <w:num w:numId="31">
    <w:abstractNumId w:val="12"/>
  </w:num>
  <w:num w:numId="32">
    <w:abstractNumId w:val="2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evenAndOddHeaders w:val="1"/>
  <w:drawingGridHorizontalSpacing w:val="280"/>
  <w:drawingGridVerticalSpacing w:val="191"/>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AxM2RiMGM1YTE2NzAzMTA1NTUxNjVkZGNkOTA2OGEifQ=="/>
  </w:docVars>
  <w:rsids>
    <w:rsidRoot w:val="00172A27"/>
    <w:rsid w:val="00037959"/>
    <w:rsid w:val="000400E2"/>
    <w:rsid w:val="00077A79"/>
    <w:rsid w:val="000853A4"/>
    <w:rsid w:val="000A09AC"/>
    <w:rsid w:val="000C3139"/>
    <w:rsid w:val="000E6599"/>
    <w:rsid w:val="0013794B"/>
    <w:rsid w:val="00172A27"/>
    <w:rsid w:val="00221272"/>
    <w:rsid w:val="00221FB8"/>
    <w:rsid w:val="002347DE"/>
    <w:rsid w:val="00276110"/>
    <w:rsid w:val="00294D98"/>
    <w:rsid w:val="002D77FB"/>
    <w:rsid w:val="00381A2A"/>
    <w:rsid w:val="0038437C"/>
    <w:rsid w:val="0040440C"/>
    <w:rsid w:val="004765F9"/>
    <w:rsid w:val="0049589A"/>
    <w:rsid w:val="004A27C1"/>
    <w:rsid w:val="004C56EB"/>
    <w:rsid w:val="00580C93"/>
    <w:rsid w:val="0059685F"/>
    <w:rsid w:val="005D7A26"/>
    <w:rsid w:val="005E12CC"/>
    <w:rsid w:val="00657613"/>
    <w:rsid w:val="006F530F"/>
    <w:rsid w:val="008C7193"/>
    <w:rsid w:val="00983977"/>
    <w:rsid w:val="0098412E"/>
    <w:rsid w:val="009F0BB5"/>
    <w:rsid w:val="00A625CA"/>
    <w:rsid w:val="00A87C8E"/>
    <w:rsid w:val="00B11063"/>
    <w:rsid w:val="00B112A0"/>
    <w:rsid w:val="00B43A8C"/>
    <w:rsid w:val="00B472A3"/>
    <w:rsid w:val="00B84CEF"/>
    <w:rsid w:val="00BB34EF"/>
    <w:rsid w:val="00C17504"/>
    <w:rsid w:val="00C324C5"/>
    <w:rsid w:val="00CD381A"/>
    <w:rsid w:val="00CF607C"/>
    <w:rsid w:val="00D17CA7"/>
    <w:rsid w:val="00D3043F"/>
    <w:rsid w:val="00D44AA9"/>
    <w:rsid w:val="00D66366"/>
    <w:rsid w:val="00DA7724"/>
    <w:rsid w:val="00DB49B4"/>
    <w:rsid w:val="00DB5712"/>
    <w:rsid w:val="00E10AFA"/>
    <w:rsid w:val="00E24A3D"/>
    <w:rsid w:val="00E26C89"/>
    <w:rsid w:val="00E447CC"/>
    <w:rsid w:val="00E65FDE"/>
    <w:rsid w:val="00E81C2D"/>
    <w:rsid w:val="00EA12F0"/>
    <w:rsid w:val="00EB6D74"/>
    <w:rsid w:val="00ED6388"/>
    <w:rsid w:val="00EE4EBC"/>
    <w:rsid w:val="00EE6758"/>
    <w:rsid w:val="00F21E68"/>
    <w:rsid w:val="00F63F66"/>
    <w:rsid w:val="00FA539C"/>
    <w:rsid w:val="00FD5DA5"/>
    <w:rsid w:val="01000AC4"/>
    <w:rsid w:val="011777FA"/>
    <w:rsid w:val="012417AA"/>
    <w:rsid w:val="01580FBC"/>
    <w:rsid w:val="017B35C4"/>
    <w:rsid w:val="017C690D"/>
    <w:rsid w:val="0187795E"/>
    <w:rsid w:val="01924235"/>
    <w:rsid w:val="01A1047B"/>
    <w:rsid w:val="01A52FE5"/>
    <w:rsid w:val="01B536BB"/>
    <w:rsid w:val="01B57E66"/>
    <w:rsid w:val="01BA1F05"/>
    <w:rsid w:val="01BE7690"/>
    <w:rsid w:val="01C619FC"/>
    <w:rsid w:val="01ED38C6"/>
    <w:rsid w:val="01FE2FB6"/>
    <w:rsid w:val="020221B6"/>
    <w:rsid w:val="020E6719"/>
    <w:rsid w:val="023401E1"/>
    <w:rsid w:val="023E3EF4"/>
    <w:rsid w:val="02411B34"/>
    <w:rsid w:val="02496B5C"/>
    <w:rsid w:val="02661ED7"/>
    <w:rsid w:val="02806AFC"/>
    <w:rsid w:val="028B115B"/>
    <w:rsid w:val="02A36483"/>
    <w:rsid w:val="02A52C29"/>
    <w:rsid w:val="02A67D36"/>
    <w:rsid w:val="02AA7880"/>
    <w:rsid w:val="02AB339F"/>
    <w:rsid w:val="02AD4E22"/>
    <w:rsid w:val="02DA1AE0"/>
    <w:rsid w:val="02EB2E44"/>
    <w:rsid w:val="02ED4539"/>
    <w:rsid w:val="02F71A99"/>
    <w:rsid w:val="03081D30"/>
    <w:rsid w:val="03155F7F"/>
    <w:rsid w:val="033F77C6"/>
    <w:rsid w:val="03432D9A"/>
    <w:rsid w:val="034446C1"/>
    <w:rsid w:val="03652E31"/>
    <w:rsid w:val="03874395"/>
    <w:rsid w:val="03977439"/>
    <w:rsid w:val="03A52AC9"/>
    <w:rsid w:val="03B716AB"/>
    <w:rsid w:val="03D72106"/>
    <w:rsid w:val="03DE598B"/>
    <w:rsid w:val="03E02676"/>
    <w:rsid w:val="03EE02F4"/>
    <w:rsid w:val="03F21F6C"/>
    <w:rsid w:val="03F80019"/>
    <w:rsid w:val="03F87C54"/>
    <w:rsid w:val="04131F7D"/>
    <w:rsid w:val="04213D85"/>
    <w:rsid w:val="042F0EAF"/>
    <w:rsid w:val="0437235A"/>
    <w:rsid w:val="043B416E"/>
    <w:rsid w:val="044955DB"/>
    <w:rsid w:val="044F1618"/>
    <w:rsid w:val="04641B61"/>
    <w:rsid w:val="0475316D"/>
    <w:rsid w:val="04802B9E"/>
    <w:rsid w:val="04934AC9"/>
    <w:rsid w:val="04A75EC5"/>
    <w:rsid w:val="04C76F69"/>
    <w:rsid w:val="04E358C4"/>
    <w:rsid w:val="04F55EE6"/>
    <w:rsid w:val="04FB3CF7"/>
    <w:rsid w:val="05007351"/>
    <w:rsid w:val="05047A45"/>
    <w:rsid w:val="05091336"/>
    <w:rsid w:val="05117190"/>
    <w:rsid w:val="051B1ADB"/>
    <w:rsid w:val="05670A0B"/>
    <w:rsid w:val="056C145F"/>
    <w:rsid w:val="057F1A7D"/>
    <w:rsid w:val="05942BFF"/>
    <w:rsid w:val="05977423"/>
    <w:rsid w:val="059940B0"/>
    <w:rsid w:val="059B0D46"/>
    <w:rsid w:val="05A662D6"/>
    <w:rsid w:val="05C82318"/>
    <w:rsid w:val="05EB17DD"/>
    <w:rsid w:val="05EF6472"/>
    <w:rsid w:val="05FE6FEF"/>
    <w:rsid w:val="060D26F6"/>
    <w:rsid w:val="064456D4"/>
    <w:rsid w:val="06536BA8"/>
    <w:rsid w:val="065D2765"/>
    <w:rsid w:val="067121AA"/>
    <w:rsid w:val="06790090"/>
    <w:rsid w:val="068D2FDA"/>
    <w:rsid w:val="068E5267"/>
    <w:rsid w:val="06A354A7"/>
    <w:rsid w:val="06A52EFD"/>
    <w:rsid w:val="06AF7847"/>
    <w:rsid w:val="06CA4CD6"/>
    <w:rsid w:val="06CB75CC"/>
    <w:rsid w:val="06D9594E"/>
    <w:rsid w:val="06DA47C1"/>
    <w:rsid w:val="06E1438E"/>
    <w:rsid w:val="06EF30A8"/>
    <w:rsid w:val="06FA0364"/>
    <w:rsid w:val="070561E2"/>
    <w:rsid w:val="071B3E29"/>
    <w:rsid w:val="072167DA"/>
    <w:rsid w:val="07241EC1"/>
    <w:rsid w:val="072F6239"/>
    <w:rsid w:val="07321FC1"/>
    <w:rsid w:val="07454D2F"/>
    <w:rsid w:val="07616E04"/>
    <w:rsid w:val="07674C12"/>
    <w:rsid w:val="076854BF"/>
    <w:rsid w:val="079542E1"/>
    <w:rsid w:val="07A36242"/>
    <w:rsid w:val="07B65C66"/>
    <w:rsid w:val="07BA0888"/>
    <w:rsid w:val="07BD06BD"/>
    <w:rsid w:val="07D71C8E"/>
    <w:rsid w:val="08120E1C"/>
    <w:rsid w:val="084F70D7"/>
    <w:rsid w:val="086169CD"/>
    <w:rsid w:val="08653F27"/>
    <w:rsid w:val="08747CD7"/>
    <w:rsid w:val="087878D7"/>
    <w:rsid w:val="089610E3"/>
    <w:rsid w:val="089C33A0"/>
    <w:rsid w:val="089F4C01"/>
    <w:rsid w:val="08A56282"/>
    <w:rsid w:val="08A921B6"/>
    <w:rsid w:val="08C45ACA"/>
    <w:rsid w:val="08CC196F"/>
    <w:rsid w:val="08D34DF0"/>
    <w:rsid w:val="08E35A39"/>
    <w:rsid w:val="08F64CFD"/>
    <w:rsid w:val="090D0100"/>
    <w:rsid w:val="092F42C3"/>
    <w:rsid w:val="094954D1"/>
    <w:rsid w:val="097E3C8E"/>
    <w:rsid w:val="099600D3"/>
    <w:rsid w:val="099975FA"/>
    <w:rsid w:val="09B03DC4"/>
    <w:rsid w:val="09B05D08"/>
    <w:rsid w:val="09C1607D"/>
    <w:rsid w:val="09D1447A"/>
    <w:rsid w:val="09F10D6F"/>
    <w:rsid w:val="09FB73B2"/>
    <w:rsid w:val="0A03113D"/>
    <w:rsid w:val="0A0965B8"/>
    <w:rsid w:val="0A2B4AB6"/>
    <w:rsid w:val="0A2B68F7"/>
    <w:rsid w:val="0A4074A0"/>
    <w:rsid w:val="0A5A42D5"/>
    <w:rsid w:val="0A630FC1"/>
    <w:rsid w:val="0A765394"/>
    <w:rsid w:val="0A7C0D38"/>
    <w:rsid w:val="0A7C3C94"/>
    <w:rsid w:val="0A9B7E74"/>
    <w:rsid w:val="0A9D5715"/>
    <w:rsid w:val="0AA44355"/>
    <w:rsid w:val="0AA87C94"/>
    <w:rsid w:val="0AAA5509"/>
    <w:rsid w:val="0AAE506F"/>
    <w:rsid w:val="0ABA7149"/>
    <w:rsid w:val="0AC02539"/>
    <w:rsid w:val="0AC402C1"/>
    <w:rsid w:val="0ACC6B71"/>
    <w:rsid w:val="0AD524B7"/>
    <w:rsid w:val="0AD7227D"/>
    <w:rsid w:val="0AF43C85"/>
    <w:rsid w:val="0AF57082"/>
    <w:rsid w:val="0B037476"/>
    <w:rsid w:val="0B127DDC"/>
    <w:rsid w:val="0B211B0B"/>
    <w:rsid w:val="0B347EF0"/>
    <w:rsid w:val="0B3A29FD"/>
    <w:rsid w:val="0B466A7C"/>
    <w:rsid w:val="0B4949A5"/>
    <w:rsid w:val="0B5A7A1E"/>
    <w:rsid w:val="0B6A6810"/>
    <w:rsid w:val="0B6C04B9"/>
    <w:rsid w:val="0B6C760B"/>
    <w:rsid w:val="0B710252"/>
    <w:rsid w:val="0BA74F5D"/>
    <w:rsid w:val="0BB74165"/>
    <w:rsid w:val="0BBA284A"/>
    <w:rsid w:val="0BD750D7"/>
    <w:rsid w:val="0BF24D5E"/>
    <w:rsid w:val="0C0436F9"/>
    <w:rsid w:val="0C066AAB"/>
    <w:rsid w:val="0C165EF3"/>
    <w:rsid w:val="0C2079DA"/>
    <w:rsid w:val="0C212F37"/>
    <w:rsid w:val="0C404FFF"/>
    <w:rsid w:val="0C437E12"/>
    <w:rsid w:val="0C5D07F6"/>
    <w:rsid w:val="0C641E5E"/>
    <w:rsid w:val="0C6C3C12"/>
    <w:rsid w:val="0C98193E"/>
    <w:rsid w:val="0CAB5251"/>
    <w:rsid w:val="0CC51E92"/>
    <w:rsid w:val="0CF74BD5"/>
    <w:rsid w:val="0D026D7C"/>
    <w:rsid w:val="0D1116D9"/>
    <w:rsid w:val="0D145648"/>
    <w:rsid w:val="0D2043FD"/>
    <w:rsid w:val="0D88340C"/>
    <w:rsid w:val="0D8C1C97"/>
    <w:rsid w:val="0D9E61E0"/>
    <w:rsid w:val="0DB23D7D"/>
    <w:rsid w:val="0DB83C65"/>
    <w:rsid w:val="0DB84B33"/>
    <w:rsid w:val="0DBD392E"/>
    <w:rsid w:val="0DC66172"/>
    <w:rsid w:val="0DD915E1"/>
    <w:rsid w:val="0DF917C6"/>
    <w:rsid w:val="0E124719"/>
    <w:rsid w:val="0E222DEC"/>
    <w:rsid w:val="0E266104"/>
    <w:rsid w:val="0E300163"/>
    <w:rsid w:val="0E3430F7"/>
    <w:rsid w:val="0E463E47"/>
    <w:rsid w:val="0E5E2F32"/>
    <w:rsid w:val="0E645C09"/>
    <w:rsid w:val="0E7F6329"/>
    <w:rsid w:val="0E870726"/>
    <w:rsid w:val="0EA81727"/>
    <w:rsid w:val="0EB7649B"/>
    <w:rsid w:val="0EB9535A"/>
    <w:rsid w:val="0ED12914"/>
    <w:rsid w:val="0ED3434A"/>
    <w:rsid w:val="0EDD2701"/>
    <w:rsid w:val="0F115667"/>
    <w:rsid w:val="0F190917"/>
    <w:rsid w:val="0F256C96"/>
    <w:rsid w:val="0F29682B"/>
    <w:rsid w:val="0F2B6D0F"/>
    <w:rsid w:val="0F561866"/>
    <w:rsid w:val="0F5B0106"/>
    <w:rsid w:val="0F6546BA"/>
    <w:rsid w:val="0F6B3E7A"/>
    <w:rsid w:val="0F8933AC"/>
    <w:rsid w:val="0FB769C9"/>
    <w:rsid w:val="0FB937C5"/>
    <w:rsid w:val="0FD5762E"/>
    <w:rsid w:val="0FDF248E"/>
    <w:rsid w:val="0FE92B05"/>
    <w:rsid w:val="100703AF"/>
    <w:rsid w:val="101456B9"/>
    <w:rsid w:val="101E2F44"/>
    <w:rsid w:val="102A225C"/>
    <w:rsid w:val="103E200D"/>
    <w:rsid w:val="105367C6"/>
    <w:rsid w:val="105C01CF"/>
    <w:rsid w:val="106555AD"/>
    <w:rsid w:val="106C051C"/>
    <w:rsid w:val="109A612F"/>
    <w:rsid w:val="10A83A91"/>
    <w:rsid w:val="10B00DD3"/>
    <w:rsid w:val="10BA66A9"/>
    <w:rsid w:val="10D57829"/>
    <w:rsid w:val="10ED4027"/>
    <w:rsid w:val="11285E02"/>
    <w:rsid w:val="113A10A2"/>
    <w:rsid w:val="11446C8A"/>
    <w:rsid w:val="11465000"/>
    <w:rsid w:val="115D3335"/>
    <w:rsid w:val="116276C6"/>
    <w:rsid w:val="117C5E3D"/>
    <w:rsid w:val="118F7521"/>
    <w:rsid w:val="11A26602"/>
    <w:rsid w:val="11F90E4F"/>
    <w:rsid w:val="120A1D96"/>
    <w:rsid w:val="121F3785"/>
    <w:rsid w:val="121F6948"/>
    <w:rsid w:val="122A6265"/>
    <w:rsid w:val="122F0242"/>
    <w:rsid w:val="124B481F"/>
    <w:rsid w:val="125A2CB6"/>
    <w:rsid w:val="125B36C6"/>
    <w:rsid w:val="125C3ABC"/>
    <w:rsid w:val="125E575C"/>
    <w:rsid w:val="1262637B"/>
    <w:rsid w:val="12715D26"/>
    <w:rsid w:val="129D4892"/>
    <w:rsid w:val="12A27511"/>
    <w:rsid w:val="12B17C25"/>
    <w:rsid w:val="12C0230D"/>
    <w:rsid w:val="12D90536"/>
    <w:rsid w:val="12E07D97"/>
    <w:rsid w:val="12F438BF"/>
    <w:rsid w:val="13001867"/>
    <w:rsid w:val="132267A5"/>
    <w:rsid w:val="133777B6"/>
    <w:rsid w:val="134F5555"/>
    <w:rsid w:val="13534EE6"/>
    <w:rsid w:val="13583CE5"/>
    <w:rsid w:val="1360212F"/>
    <w:rsid w:val="136447EC"/>
    <w:rsid w:val="13742D90"/>
    <w:rsid w:val="13955B6D"/>
    <w:rsid w:val="139624FA"/>
    <w:rsid w:val="139B4F21"/>
    <w:rsid w:val="13AD0DDE"/>
    <w:rsid w:val="13BF30A3"/>
    <w:rsid w:val="13E30F8F"/>
    <w:rsid w:val="13E97F4A"/>
    <w:rsid w:val="14067091"/>
    <w:rsid w:val="14107FE9"/>
    <w:rsid w:val="141D38EE"/>
    <w:rsid w:val="142F2CBB"/>
    <w:rsid w:val="14361E99"/>
    <w:rsid w:val="144F2F01"/>
    <w:rsid w:val="1455583C"/>
    <w:rsid w:val="145B7C25"/>
    <w:rsid w:val="1468250B"/>
    <w:rsid w:val="1485450A"/>
    <w:rsid w:val="148F0904"/>
    <w:rsid w:val="14AF2852"/>
    <w:rsid w:val="14B65F7E"/>
    <w:rsid w:val="14C56E6F"/>
    <w:rsid w:val="14D972E2"/>
    <w:rsid w:val="150C1D94"/>
    <w:rsid w:val="151155B7"/>
    <w:rsid w:val="15157F60"/>
    <w:rsid w:val="15166BAF"/>
    <w:rsid w:val="1523589B"/>
    <w:rsid w:val="152405E6"/>
    <w:rsid w:val="152F68FC"/>
    <w:rsid w:val="152F778F"/>
    <w:rsid w:val="154100FF"/>
    <w:rsid w:val="156C1709"/>
    <w:rsid w:val="157240FB"/>
    <w:rsid w:val="157C6C1D"/>
    <w:rsid w:val="15805BFE"/>
    <w:rsid w:val="15B374BF"/>
    <w:rsid w:val="15C31E08"/>
    <w:rsid w:val="15C845A5"/>
    <w:rsid w:val="15C90D7A"/>
    <w:rsid w:val="15CD13AF"/>
    <w:rsid w:val="15FC13A4"/>
    <w:rsid w:val="160E7967"/>
    <w:rsid w:val="16112032"/>
    <w:rsid w:val="16132A54"/>
    <w:rsid w:val="16166308"/>
    <w:rsid w:val="1618672C"/>
    <w:rsid w:val="16186CB4"/>
    <w:rsid w:val="16230AD2"/>
    <w:rsid w:val="163D4A08"/>
    <w:rsid w:val="163E53CC"/>
    <w:rsid w:val="16505C56"/>
    <w:rsid w:val="167206CF"/>
    <w:rsid w:val="167C7F2F"/>
    <w:rsid w:val="16832B85"/>
    <w:rsid w:val="16927D36"/>
    <w:rsid w:val="169D3460"/>
    <w:rsid w:val="169E0E17"/>
    <w:rsid w:val="16A12BBF"/>
    <w:rsid w:val="16A202CF"/>
    <w:rsid w:val="16CA0381"/>
    <w:rsid w:val="16D415EA"/>
    <w:rsid w:val="16DE0A0B"/>
    <w:rsid w:val="16EB1DC3"/>
    <w:rsid w:val="171529A2"/>
    <w:rsid w:val="172608B0"/>
    <w:rsid w:val="172E32B3"/>
    <w:rsid w:val="173E6998"/>
    <w:rsid w:val="17435D3A"/>
    <w:rsid w:val="175A236A"/>
    <w:rsid w:val="17631347"/>
    <w:rsid w:val="17694BB3"/>
    <w:rsid w:val="17881702"/>
    <w:rsid w:val="178A0647"/>
    <w:rsid w:val="17902C9D"/>
    <w:rsid w:val="17A00B7C"/>
    <w:rsid w:val="17AC0826"/>
    <w:rsid w:val="17B640AB"/>
    <w:rsid w:val="17D07603"/>
    <w:rsid w:val="17F4726E"/>
    <w:rsid w:val="180B2D27"/>
    <w:rsid w:val="18125F5B"/>
    <w:rsid w:val="18354B3E"/>
    <w:rsid w:val="18363CED"/>
    <w:rsid w:val="18525219"/>
    <w:rsid w:val="18674304"/>
    <w:rsid w:val="18730606"/>
    <w:rsid w:val="189A22F2"/>
    <w:rsid w:val="18A25EBE"/>
    <w:rsid w:val="18AA2296"/>
    <w:rsid w:val="18B02710"/>
    <w:rsid w:val="18B71D0C"/>
    <w:rsid w:val="18BF3192"/>
    <w:rsid w:val="18EB008C"/>
    <w:rsid w:val="18F27594"/>
    <w:rsid w:val="18F40C30"/>
    <w:rsid w:val="18F95684"/>
    <w:rsid w:val="19020B6E"/>
    <w:rsid w:val="1907094F"/>
    <w:rsid w:val="19080FC6"/>
    <w:rsid w:val="190A7028"/>
    <w:rsid w:val="19194CDE"/>
    <w:rsid w:val="19233B97"/>
    <w:rsid w:val="19646E9B"/>
    <w:rsid w:val="19666391"/>
    <w:rsid w:val="19683A17"/>
    <w:rsid w:val="197110EF"/>
    <w:rsid w:val="197747FB"/>
    <w:rsid w:val="197E4143"/>
    <w:rsid w:val="198C060D"/>
    <w:rsid w:val="19974800"/>
    <w:rsid w:val="19A060A4"/>
    <w:rsid w:val="19A54BDE"/>
    <w:rsid w:val="19AE1AD3"/>
    <w:rsid w:val="19B25A0C"/>
    <w:rsid w:val="19B9499C"/>
    <w:rsid w:val="19CB2249"/>
    <w:rsid w:val="19D864C5"/>
    <w:rsid w:val="19D940E8"/>
    <w:rsid w:val="19DE3DB1"/>
    <w:rsid w:val="19EC3C8A"/>
    <w:rsid w:val="1A1E0DC0"/>
    <w:rsid w:val="1A2C3E71"/>
    <w:rsid w:val="1A4910A2"/>
    <w:rsid w:val="1A557260"/>
    <w:rsid w:val="1A5A0780"/>
    <w:rsid w:val="1A5E6681"/>
    <w:rsid w:val="1A730CCA"/>
    <w:rsid w:val="1A9151F4"/>
    <w:rsid w:val="1AC4180B"/>
    <w:rsid w:val="1AE77E35"/>
    <w:rsid w:val="1B026474"/>
    <w:rsid w:val="1B344B17"/>
    <w:rsid w:val="1B595A55"/>
    <w:rsid w:val="1B615C5D"/>
    <w:rsid w:val="1B627804"/>
    <w:rsid w:val="1B6C607B"/>
    <w:rsid w:val="1B760999"/>
    <w:rsid w:val="1B865D23"/>
    <w:rsid w:val="1B867BD4"/>
    <w:rsid w:val="1B9E659F"/>
    <w:rsid w:val="1BAA2763"/>
    <w:rsid w:val="1BAE2148"/>
    <w:rsid w:val="1BC82652"/>
    <w:rsid w:val="1BDA2DAD"/>
    <w:rsid w:val="1BDA5D43"/>
    <w:rsid w:val="1BE114CC"/>
    <w:rsid w:val="1BF2187E"/>
    <w:rsid w:val="1C0941D2"/>
    <w:rsid w:val="1C131C1D"/>
    <w:rsid w:val="1C2F0891"/>
    <w:rsid w:val="1C3C6783"/>
    <w:rsid w:val="1C4E3750"/>
    <w:rsid w:val="1C4F6159"/>
    <w:rsid w:val="1C641B6B"/>
    <w:rsid w:val="1C771DE3"/>
    <w:rsid w:val="1C8C1F09"/>
    <w:rsid w:val="1C963295"/>
    <w:rsid w:val="1CA3357F"/>
    <w:rsid w:val="1CAC2F6B"/>
    <w:rsid w:val="1CB9281E"/>
    <w:rsid w:val="1CC16F31"/>
    <w:rsid w:val="1CCC3BA9"/>
    <w:rsid w:val="1CFA4FCB"/>
    <w:rsid w:val="1D131459"/>
    <w:rsid w:val="1D26649E"/>
    <w:rsid w:val="1D310F90"/>
    <w:rsid w:val="1D3D24CB"/>
    <w:rsid w:val="1D645CC5"/>
    <w:rsid w:val="1D697866"/>
    <w:rsid w:val="1D744513"/>
    <w:rsid w:val="1DA3368C"/>
    <w:rsid w:val="1DA55B88"/>
    <w:rsid w:val="1DAD729A"/>
    <w:rsid w:val="1DCB6952"/>
    <w:rsid w:val="1DCD240D"/>
    <w:rsid w:val="1DD1122E"/>
    <w:rsid w:val="1DE83B39"/>
    <w:rsid w:val="1E153AC8"/>
    <w:rsid w:val="1E281962"/>
    <w:rsid w:val="1E3203CC"/>
    <w:rsid w:val="1E327803"/>
    <w:rsid w:val="1E331402"/>
    <w:rsid w:val="1E396207"/>
    <w:rsid w:val="1E434022"/>
    <w:rsid w:val="1E552C5E"/>
    <w:rsid w:val="1E557975"/>
    <w:rsid w:val="1E633865"/>
    <w:rsid w:val="1E665D6B"/>
    <w:rsid w:val="1E86520B"/>
    <w:rsid w:val="1E8F7005"/>
    <w:rsid w:val="1E92282B"/>
    <w:rsid w:val="1EA27CCF"/>
    <w:rsid w:val="1EBA0845"/>
    <w:rsid w:val="1F1B5A72"/>
    <w:rsid w:val="1F2B44C3"/>
    <w:rsid w:val="1F3B2FCB"/>
    <w:rsid w:val="1F3B37F8"/>
    <w:rsid w:val="1F4517C9"/>
    <w:rsid w:val="1F4A3F88"/>
    <w:rsid w:val="1F5D7EAF"/>
    <w:rsid w:val="1F6D4C05"/>
    <w:rsid w:val="1F762366"/>
    <w:rsid w:val="1F983ACB"/>
    <w:rsid w:val="1F9B0DF0"/>
    <w:rsid w:val="1FC60370"/>
    <w:rsid w:val="1FCD5DC0"/>
    <w:rsid w:val="1FD60592"/>
    <w:rsid w:val="1FEC4E48"/>
    <w:rsid w:val="1FF72B7A"/>
    <w:rsid w:val="2000658C"/>
    <w:rsid w:val="200D1873"/>
    <w:rsid w:val="202A05D2"/>
    <w:rsid w:val="202C5741"/>
    <w:rsid w:val="20445787"/>
    <w:rsid w:val="20502ED0"/>
    <w:rsid w:val="206248C4"/>
    <w:rsid w:val="207960AD"/>
    <w:rsid w:val="20AE49DE"/>
    <w:rsid w:val="20C53DE1"/>
    <w:rsid w:val="20C80B18"/>
    <w:rsid w:val="20C939FF"/>
    <w:rsid w:val="20D054D5"/>
    <w:rsid w:val="20D21633"/>
    <w:rsid w:val="20DC4E24"/>
    <w:rsid w:val="20E046DB"/>
    <w:rsid w:val="20EF0E5E"/>
    <w:rsid w:val="210C4297"/>
    <w:rsid w:val="211865F2"/>
    <w:rsid w:val="2123004E"/>
    <w:rsid w:val="2132107A"/>
    <w:rsid w:val="213565B4"/>
    <w:rsid w:val="213704D5"/>
    <w:rsid w:val="21394412"/>
    <w:rsid w:val="213B4945"/>
    <w:rsid w:val="21406848"/>
    <w:rsid w:val="21565967"/>
    <w:rsid w:val="216254D1"/>
    <w:rsid w:val="2168430D"/>
    <w:rsid w:val="21887BDA"/>
    <w:rsid w:val="218D234E"/>
    <w:rsid w:val="21930686"/>
    <w:rsid w:val="219C7A3B"/>
    <w:rsid w:val="21AE769E"/>
    <w:rsid w:val="21B054C3"/>
    <w:rsid w:val="21B625EE"/>
    <w:rsid w:val="21BA2EAF"/>
    <w:rsid w:val="21BA6B63"/>
    <w:rsid w:val="21BC6F66"/>
    <w:rsid w:val="21BE5651"/>
    <w:rsid w:val="21CC7BDA"/>
    <w:rsid w:val="21D23D19"/>
    <w:rsid w:val="21DE3D74"/>
    <w:rsid w:val="21E92740"/>
    <w:rsid w:val="21FD7657"/>
    <w:rsid w:val="22061F8E"/>
    <w:rsid w:val="220B2DB1"/>
    <w:rsid w:val="22137DF0"/>
    <w:rsid w:val="221617F2"/>
    <w:rsid w:val="222309C4"/>
    <w:rsid w:val="22420269"/>
    <w:rsid w:val="22420C4E"/>
    <w:rsid w:val="22490851"/>
    <w:rsid w:val="226F4F26"/>
    <w:rsid w:val="227765CD"/>
    <w:rsid w:val="228B681D"/>
    <w:rsid w:val="22A22F69"/>
    <w:rsid w:val="22A800F9"/>
    <w:rsid w:val="22AE5A25"/>
    <w:rsid w:val="22D61B05"/>
    <w:rsid w:val="22DA6C98"/>
    <w:rsid w:val="22DE31E3"/>
    <w:rsid w:val="22EA726C"/>
    <w:rsid w:val="231D4B99"/>
    <w:rsid w:val="231F205F"/>
    <w:rsid w:val="23276EFA"/>
    <w:rsid w:val="233D4BE9"/>
    <w:rsid w:val="234D3797"/>
    <w:rsid w:val="23754C45"/>
    <w:rsid w:val="237C2891"/>
    <w:rsid w:val="238A4A88"/>
    <w:rsid w:val="239B6587"/>
    <w:rsid w:val="23A31FBD"/>
    <w:rsid w:val="23A71B3C"/>
    <w:rsid w:val="23CE2D11"/>
    <w:rsid w:val="23D4478E"/>
    <w:rsid w:val="24186A41"/>
    <w:rsid w:val="241A480D"/>
    <w:rsid w:val="24243FBB"/>
    <w:rsid w:val="24285E5F"/>
    <w:rsid w:val="242F5629"/>
    <w:rsid w:val="243738EB"/>
    <w:rsid w:val="245212F2"/>
    <w:rsid w:val="245241E5"/>
    <w:rsid w:val="24786871"/>
    <w:rsid w:val="247B699D"/>
    <w:rsid w:val="2498525E"/>
    <w:rsid w:val="24AE5A31"/>
    <w:rsid w:val="24E27DD3"/>
    <w:rsid w:val="251B7D31"/>
    <w:rsid w:val="25412ECE"/>
    <w:rsid w:val="25434F47"/>
    <w:rsid w:val="25447077"/>
    <w:rsid w:val="25586418"/>
    <w:rsid w:val="2559113F"/>
    <w:rsid w:val="255D0071"/>
    <w:rsid w:val="256C5391"/>
    <w:rsid w:val="257F7606"/>
    <w:rsid w:val="2582522F"/>
    <w:rsid w:val="258D11AD"/>
    <w:rsid w:val="25A95D46"/>
    <w:rsid w:val="25B0444B"/>
    <w:rsid w:val="25BF0B97"/>
    <w:rsid w:val="25DF025A"/>
    <w:rsid w:val="25F0446C"/>
    <w:rsid w:val="26040A8D"/>
    <w:rsid w:val="260C7592"/>
    <w:rsid w:val="261463F6"/>
    <w:rsid w:val="261919A5"/>
    <w:rsid w:val="262B5C6F"/>
    <w:rsid w:val="265A0ACA"/>
    <w:rsid w:val="267C48D9"/>
    <w:rsid w:val="26822203"/>
    <w:rsid w:val="268D0915"/>
    <w:rsid w:val="26936D6F"/>
    <w:rsid w:val="26987941"/>
    <w:rsid w:val="26AE7AD3"/>
    <w:rsid w:val="26C201D3"/>
    <w:rsid w:val="26D717F9"/>
    <w:rsid w:val="26E937E9"/>
    <w:rsid w:val="26FB450E"/>
    <w:rsid w:val="27135677"/>
    <w:rsid w:val="271E5C13"/>
    <w:rsid w:val="27465940"/>
    <w:rsid w:val="276A5082"/>
    <w:rsid w:val="277665B9"/>
    <w:rsid w:val="278C6151"/>
    <w:rsid w:val="27B5109F"/>
    <w:rsid w:val="27BC3C32"/>
    <w:rsid w:val="27CE4FB5"/>
    <w:rsid w:val="27D5414B"/>
    <w:rsid w:val="27EF4261"/>
    <w:rsid w:val="27F94EE5"/>
    <w:rsid w:val="28071597"/>
    <w:rsid w:val="280C0653"/>
    <w:rsid w:val="281227C1"/>
    <w:rsid w:val="282C6BD3"/>
    <w:rsid w:val="2839666E"/>
    <w:rsid w:val="285A5FF6"/>
    <w:rsid w:val="288455D6"/>
    <w:rsid w:val="28917C59"/>
    <w:rsid w:val="28A17025"/>
    <w:rsid w:val="28C4336E"/>
    <w:rsid w:val="28C65D20"/>
    <w:rsid w:val="28D32F1A"/>
    <w:rsid w:val="28DC3632"/>
    <w:rsid w:val="28DF7554"/>
    <w:rsid w:val="28E766F9"/>
    <w:rsid w:val="28F31C98"/>
    <w:rsid w:val="28FC41B6"/>
    <w:rsid w:val="29034798"/>
    <w:rsid w:val="29090FA0"/>
    <w:rsid w:val="290F74CE"/>
    <w:rsid w:val="29252656"/>
    <w:rsid w:val="292707F5"/>
    <w:rsid w:val="293C4B92"/>
    <w:rsid w:val="29534096"/>
    <w:rsid w:val="296B4AE8"/>
    <w:rsid w:val="297D75E2"/>
    <w:rsid w:val="298421D5"/>
    <w:rsid w:val="298547F2"/>
    <w:rsid w:val="298F379E"/>
    <w:rsid w:val="29A17622"/>
    <w:rsid w:val="29B34785"/>
    <w:rsid w:val="29CD0084"/>
    <w:rsid w:val="29D14F10"/>
    <w:rsid w:val="29D65CD4"/>
    <w:rsid w:val="29E57BF7"/>
    <w:rsid w:val="29E7335A"/>
    <w:rsid w:val="29EE6779"/>
    <w:rsid w:val="29F63E18"/>
    <w:rsid w:val="2A1D3168"/>
    <w:rsid w:val="2A1E776F"/>
    <w:rsid w:val="2A2710F6"/>
    <w:rsid w:val="2A27790B"/>
    <w:rsid w:val="2A2A71F3"/>
    <w:rsid w:val="2A2D52B8"/>
    <w:rsid w:val="2A4260AA"/>
    <w:rsid w:val="2A5135A3"/>
    <w:rsid w:val="2A5712B4"/>
    <w:rsid w:val="2A700803"/>
    <w:rsid w:val="2A706125"/>
    <w:rsid w:val="2A921D54"/>
    <w:rsid w:val="2AB94199"/>
    <w:rsid w:val="2AC92F0A"/>
    <w:rsid w:val="2AEA4E51"/>
    <w:rsid w:val="2AEE5D85"/>
    <w:rsid w:val="2B0F5EFD"/>
    <w:rsid w:val="2B101DBD"/>
    <w:rsid w:val="2B182C5F"/>
    <w:rsid w:val="2B1A460A"/>
    <w:rsid w:val="2B261416"/>
    <w:rsid w:val="2B341B22"/>
    <w:rsid w:val="2B3A6EDD"/>
    <w:rsid w:val="2B5920C2"/>
    <w:rsid w:val="2B613CAB"/>
    <w:rsid w:val="2B6C1037"/>
    <w:rsid w:val="2B752493"/>
    <w:rsid w:val="2B773BC3"/>
    <w:rsid w:val="2B8865EE"/>
    <w:rsid w:val="2B9B4C64"/>
    <w:rsid w:val="2B9D7123"/>
    <w:rsid w:val="2BBB2E2B"/>
    <w:rsid w:val="2BC1274C"/>
    <w:rsid w:val="2BD65B28"/>
    <w:rsid w:val="2BDF1894"/>
    <w:rsid w:val="2BEB4A55"/>
    <w:rsid w:val="2BF35EB2"/>
    <w:rsid w:val="2BF6139C"/>
    <w:rsid w:val="2BFD1514"/>
    <w:rsid w:val="2C006312"/>
    <w:rsid w:val="2C0463F1"/>
    <w:rsid w:val="2C0F1178"/>
    <w:rsid w:val="2C2E6FEF"/>
    <w:rsid w:val="2C757569"/>
    <w:rsid w:val="2C7D0874"/>
    <w:rsid w:val="2C8A664E"/>
    <w:rsid w:val="2CBA7CE9"/>
    <w:rsid w:val="2CD211E5"/>
    <w:rsid w:val="2CF2588D"/>
    <w:rsid w:val="2D1E7883"/>
    <w:rsid w:val="2D315DF3"/>
    <w:rsid w:val="2D43654A"/>
    <w:rsid w:val="2D462E6A"/>
    <w:rsid w:val="2D4C5132"/>
    <w:rsid w:val="2D4E45BF"/>
    <w:rsid w:val="2D57384C"/>
    <w:rsid w:val="2D7E091E"/>
    <w:rsid w:val="2D90568B"/>
    <w:rsid w:val="2DC00BC2"/>
    <w:rsid w:val="2DD1390B"/>
    <w:rsid w:val="2DDC5602"/>
    <w:rsid w:val="2DE02B9A"/>
    <w:rsid w:val="2DF813B4"/>
    <w:rsid w:val="2E0553ED"/>
    <w:rsid w:val="2E0718E2"/>
    <w:rsid w:val="2E1051DA"/>
    <w:rsid w:val="2E4D3F9C"/>
    <w:rsid w:val="2E6269BF"/>
    <w:rsid w:val="2E69460F"/>
    <w:rsid w:val="2E722698"/>
    <w:rsid w:val="2E7F288E"/>
    <w:rsid w:val="2E823DEF"/>
    <w:rsid w:val="2E8804B4"/>
    <w:rsid w:val="2EA80406"/>
    <w:rsid w:val="2EB44FA0"/>
    <w:rsid w:val="2EE37AC3"/>
    <w:rsid w:val="2EF128A4"/>
    <w:rsid w:val="2F215813"/>
    <w:rsid w:val="2F222058"/>
    <w:rsid w:val="2F2B18F2"/>
    <w:rsid w:val="2F3B3202"/>
    <w:rsid w:val="2F3B69CE"/>
    <w:rsid w:val="2F5577DE"/>
    <w:rsid w:val="2F680361"/>
    <w:rsid w:val="2F6F48C7"/>
    <w:rsid w:val="2F9A73A6"/>
    <w:rsid w:val="2FA01C2C"/>
    <w:rsid w:val="2FBE109D"/>
    <w:rsid w:val="2FC04F3E"/>
    <w:rsid w:val="2FE049AE"/>
    <w:rsid w:val="2FF50EC6"/>
    <w:rsid w:val="2FF5619C"/>
    <w:rsid w:val="2FFA3929"/>
    <w:rsid w:val="300E31A4"/>
    <w:rsid w:val="30261A86"/>
    <w:rsid w:val="302803CF"/>
    <w:rsid w:val="302B21C0"/>
    <w:rsid w:val="303F154A"/>
    <w:rsid w:val="304E54ED"/>
    <w:rsid w:val="307538CB"/>
    <w:rsid w:val="307658AE"/>
    <w:rsid w:val="30855F2B"/>
    <w:rsid w:val="308A30F0"/>
    <w:rsid w:val="308F41E4"/>
    <w:rsid w:val="30954AA0"/>
    <w:rsid w:val="30A5165D"/>
    <w:rsid w:val="30AB366C"/>
    <w:rsid w:val="30C20796"/>
    <w:rsid w:val="30C519B1"/>
    <w:rsid w:val="30DD4084"/>
    <w:rsid w:val="30E6511E"/>
    <w:rsid w:val="30EA35C8"/>
    <w:rsid w:val="30FE2BBB"/>
    <w:rsid w:val="3100238A"/>
    <w:rsid w:val="3101378E"/>
    <w:rsid w:val="310311FE"/>
    <w:rsid w:val="31090AFE"/>
    <w:rsid w:val="310B4A43"/>
    <w:rsid w:val="311B3132"/>
    <w:rsid w:val="3137441D"/>
    <w:rsid w:val="31511455"/>
    <w:rsid w:val="31542432"/>
    <w:rsid w:val="318336BA"/>
    <w:rsid w:val="319521B0"/>
    <w:rsid w:val="319835A3"/>
    <w:rsid w:val="31A06D81"/>
    <w:rsid w:val="31B15A3D"/>
    <w:rsid w:val="31DF0273"/>
    <w:rsid w:val="31ED0E5B"/>
    <w:rsid w:val="31FB46CD"/>
    <w:rsid w:val="320007B3"/>
    <w:rsid w:val="321434FF"/>
    <w:rsid w:val="32284CD6"/>
    <w:rsid w:val="32293534"/>
    <w:rsid w:val="32483282"/>
    <w:rsid w:val="324929A6"/>
    <w:rsid w:val="325B25E0"/>
    <w:rsid w:val="32602A15"/>
    <w:rsid w:val="32671FAA"/>
    <w:rsid w:val="326E7CDF"/>
    <w:rsid w:val="32714DB2"/>
    <w:rsid w:val="32817CD0"/>
    <w:rsid w:val="32906508"/>
    <w:rsid w:val="32A73C13"/>
    <w:rsid w:val="32AD0896"/>
    <w:rsid w:val="32B1541D"/>
    <w:rsid w:val="32B946C0"/>
    <w:rsid w:val="32C10081"/>
    <w:rsid w:val="32C57C00"/>
    <w:rsid w:val="32DF7AC0"/>
    <w:rsid w:val="32E46D0A"/>
    <w:rsid w:val="32EB7071"/>
    <w:rsid w:val="32ED7C5C"/>
    <w:rsid w:val="32F05EB8"/>
    <w:rsid w:val="32F4119E"/>
    <w:rsid w:val="32FB224D"/>
    <w:rsid w:val="32FB7502"/>
    <w:rsid w:val="330A4B30"/>
    <w:rsid w:val="3310279D"/>
    <w:rsid w:val="331C470D"/>
    <w:rsid w:val="332F4E81"/>
    <w:rsid w:val="333E30F7"/>
    <w:rsid w:val="33511F34"/>
    <w:rsid w:val="336E4C86"/>
    <w:rsid w:val="338277A9"/>
    <w:rsid w:val="33B313AB"/>
    <w:rsid w:val="33BB05F1"/>
    <w:rsid w:val="33D473AF"/>
    <w:rsid w:val="33DB670E"/>
    <w:rsid w:val="33E03F7A"/>
    <w:rsid w:val="33ED2017"/>
    <w:rsid w:val="340660E2"/>
    <w:rsid w:val="340D4AC9"/>
    <w:rsid w:val="341E0347"/>
    <w:rsid w:val="34273EBE"/>
    <w:rsid w:val="34290140"/>
    <w:rsid w:val="345B6F90"/>
    <w:rsid w:val="345D1413"/>
    <w:rsid w:val="346151B3"/>
    <w:rsid w:val="34624A5B"/>
    <w:rsid w:val="34643DAE"/>
    <w:rsid w:val="34912637"/>
    <w:rsid w:val="34AF3BA6"/>
    <w:rsid w:val="34B3609D"/>
    <w:rsid w:val="34B6711A"/>
    <w:rsid w:val="34CC4395"/>
    <w:rsid w:val="34E4695E"/>
    <w:rsid w:val="34F53FE5"/>
    <w:rsid w:val="34FE5720"/>
    <w:rsid w:val="3524268B"/>
    <w:rsid w:val="354130CC"/>
    <w:rsid w:val="355D4B71"/>
    <w:rsid w:val="35634BF1"/>
    <w:rsid w:val="35775FEE"/>
    <w:rsid w:val="3598509B"/>
    <w:rsid w:val="359966E8"/>
    <w:rsid w:val="359B0342"/>
    <w:rsid w:val="35D52EF9"/>
    <w:rsid w:val="35D9501D"/>
    <w:rsid w:val="35E778F2"/>
    <w:rsid w:val="35FD05F1"/>
    <w:rsid w:val="360E43E2"/>
    <w:rsid w:val="361D0350"/>
    <w:rsid w:val="361D53E0"/>
    <w:rsid w:val="361E5E63"/>
    <w:rsid w:val="36344DC1"/>
    <w:rsid w:val="36376A77"/>
    <w:rsid w:val="369817F2"/>
    <w:rsid w:val="36B43FD0"/>
    <w:rsid w:val="36DE7F3D"/>
    <w:rsid w:val="36EB5489"/>
    <w:rsid w:val="36EE3959"/>
    <w:rsid w:val="36FC493A"/>
    <w:rsid w:val="37082EEC"/>
    <w:rsid w:val="37281B14"/>
    <w:rsid w:val="372C0D61"/>
    <w:rsid w:val="374B6CAE"/>
    <w:rsid w:val="378F0C0E"/>
    <w:rsid w:val="37914C9F"/>
    <w:rsid w:val="37A65937"/>
    <w:rsid w:val="37A95782"/>
    <w:rsid w:val="37B747FF"/>
    <w:rsid w:val="37C50193"/>
    <w:rsid w:val="37D84F63"/>
    <w:rsid w:val="37DA2FC4"/>
    <w:rsid w:val="37F96FC6"/>
    <w:rsid w:val="37F970D4"/>
    <w:rsid w:val="37FC3BFC"/>
    <w:rsid w:val="37FE632D"/>
    <w:rsid w:val="38282654"/>
    <w:rsid w:val="383C64BF"/>
    <w:rsid w:val="385B6D68"/>
    <w:rsid w:val="38811B38"/>
    <w:rsid w:val="38933D0E"/>
    <w:rsid w:val="38A3527B"/>
    <w:rsid w:val="38A52257"/>
    <w:rsid w:val="38B87C84"/>
    <w:rsid w:val="38DA647E"/>
    <w:rsid w:val="38F257ED"/>
    <w:rsid w:val="3900682A"/>
    <w:rsid w:val="39024A01"/>
    <w:rsid w:val="39175714"/>
    <w:rsid w:val="3920799E"/>
    <w:rsid w:val="39271408"/>
    <w:rsid w:val="39387156"/>
    <w:rsid w:val="3944485E"/>
    <w:rsid w:val="395C4006"/>
    <w:rsid w:val="39772D14"/>
    <w:rsid w:val="39784C1F"/>
    <w:rsid w:val="397B6038"/>
    <w:rsid w:val="397E2B95"/>
    <w:rsid w:val="39833B31"/>
    <w:rsid w:val="398745CC"/>
    <w:rsid w:val="39C17EB7"/>
    <w:rsid w:val="39D21F62"/>
    <w:rsid w:val="39E065DF"/>
    <w:rsid w:val="39FF7A85"/>
    <w:rsid w:val="3A150FB2"/>
    <w:rsid w:val="3A22434E"/>
    <w:rsid w:val="3A2319B5"/>
    <w:rsid w:val="3A380A10"/>
    <w:rsid w:val="3A6D6A91"/>
    <w:rsid w:val="3A77081C"/>
    <w:rsid w:val="3A856964"/>
    <w:rsid w:val="3AAB728A"/>
    <w:rsid w:val="3ACE5617"/>
    <w:rsid w:val="3B1543E7"/>
    <w:rsid w:val="3B1E4C23"/>
    <w:rsid w:val="3B266FFD"/>
    <w:rsid w:val="3B3C1F88"/>
    <w:rsid w:val="3B3F53C3"/>
    <w:rsid w:val="3B430206"/>
    <w:rsid w:val="3B4617A9"/>
    <w:rsid w:val="3B482904"/>
    <w:rsid w:val="3B4A1E0B"/>
    <w:rsid w:val="3B531832"/>
    <w:rsid w:val="3B8E591C"/>
    <w:rsid w:val="3B92155D"/>
    <w:rsid w:val="3BCF4283"/>
    <w:rsid w:val="3BDC64DE"/>
    <w:rsid w:val="3BEA522C"/>
    <w:rsid w:val="3C09686E"/>
    <w:rsid w:val="3C185D7B"/>
    <w:rsid w:val="3C186DFD"/>
    <w:rsid w:val="3C1A7A28"/>
    <w:rsid w:val="3C21053E"/>
    <w:rsid w:val="3C503D7C"/>
    <w:rsid w:val="3C8104AF"/>
    <w:rsid w:val="3CB06764"/>
    <w:rsid w:val="3CC01CC0"/>
    <w:rsid w:val="3CC72A29"/>
    <w:rsid w:val="3CDC21E4"/>
    <w:rsid w:val="3CDF3E30"/>
    <w:rsid w:val="3CF27684"/>
    <w:rsid w:val="3D056C79"/>
    <w:rsid w:val="3D1F34EE"/>
    <w:rsid w:val="3D2A2FCF"/>
    <w:rsid w:val="3D2F3B32"/>
    <w:rsid w:val="3D483951"/>
    <w:rsid w:val="3D5806F0"/>
    <w:rsid w:val="3D663097"/>
    <w:rsid w:val="3D7F201F"/>
    <w:rsid w:val="3D8A2DEC"/>
    <w:rsid w:val="3D932F1D"/>
    <w:rsid w:val="3D9E449C"/>
    <w:rsid w:val="3DA54775"/>
    <w:rsid w:val="3DD04D49"/>
    <w:rsid w:val="3E1652AC"/>
    <w:rsid w:val="3E196B9F"/>
    <w:rsid w:val="3E267E9C"/>
    <w:rsid w:val="3E2B50A9"/>
    <w:rsid w:val="3E487F93"/>
    <w:rsid w:val="3E51055B"/>
    <w:rsid w:val="3E602D83"/>
    <w:rsid w:val="3E853211"/>
    <w:rsid w:val="3E89142B"/>
    <w:rsid w:val="3E905F66"/>
    <w:rsid w:val="3E9924B0"/>
    <w:rsid w:val="3EA529D6"/>
    <w:rsid w:val="3EB33586"/>
    <w:rsid w:val="3EDA3836"/>
    <w:rsid w:val="3EE04B46"/>
    <w:rsid w:val="3EE2374D"/>
    <w:rsid w:val="3EEC2BE2"/>
    <w:rsid w:val="3F0D6B41"/>
    <w:rsid w:val="3F115B7E"/>
    <w:rsid w:val="3F2E6BD7"/>
    <w:rsid w:val="3F42712F"/>
    <w:rsid w:val="3F5466E9"/>
    <w:rsid w:val="3F55143D"/>
    <w:rsid w:val="3F592EBC"/>
    <w:rsid w:val="3F651660"/>
    <w:rsid w:val="3F6C19AB"/>
    <w:rsid w:val="3F7D1226"/>
    <w:rsid w:val="3F9170E9"/>
    <w:rsid w:val="3FA026A0"/>
    <w:rsid w:val="3FA25150"/>
    <w:rsid w:val="3FBF39B9"/>
    <w:rsid w:val="3FC76367"/>
    <w:rsid w:val="3FD7723B"/>
    <w:rsid w:val="3FDD4D21"/>
    <w:rsid w:val="3FDF7F72"/>
    <w:rsid w:val="3FED3CBC"/>
    <w:rsid w:val="3FF60692"/>
    <w:rsid w:val="402E7453"/>
    <w:rsid w:val="405A6E72"/>
    <w:rsid w:val="40671E32"/>
    <w:rsid w:val="40700AA8"/>
    <w:rsid w:val="407F6B4A"/>
    <w:rsid w:val="40A02633"/>
    <w:rsid w:val="40B43FB8"/>
    <w:rsid w:val="40CA0441"/>
    <w:rsid w:val="40E475A2"/>
    <w:rsid w:val="40EB4188"/>
    <w:rsid w:val="40F576FC"/>
    <w:rsid w:val="41081CBA"/>
    <w:rsid w:val="411012E1"/>
    <w:rsid w:val="4123711F"/>
    <w:rsid w:val="412E4A3A"/>
    <w:rsid w:val="41325B50"/>
    <w:rsid w:val="415A0E7A"/>
    <w:rsid w:val="41606626"/>
    <w:rsid w:val="416A5174"/>
    <w:rsid w:val="417105E9"/>
    <w:rsid w:val="417E5FA4"/>
    <w:rsid w:val="41804428"/>
    <w:rsid w:val="41A0197A"/>
    <w:rsid w:val="41C100AD"/>
    <w:rsid w:val="41C43E72"/>
    <w:rsid w:val="41CE528B"/>
    <w:rsid w:val="41FE4C11"/>
    <w:rsid w:val="42245B86"/>
    <w:rsid w:val="423F75BE"/>
    <w:rsid w:val="42663ECB"/>
    <w:rsid w:val="429B41D8"/>
    <w:rsid w:val="42B75051"/>
    <w:rsid w:val="42BC7F2A"/>
    <w:rsid w:val="42E14E97"/>
    <w:rsid w:val="42EA6045"/>
    <w:rsid w:val="42F54B20"/>
    <w:rsid w:val="430A03A1"/>
    <w:rsid w:val="430A79E9"/>
    <w:rsid w:val="43160AE9"/>
    <w:rsid w:val="43164751"/>
    <w:rsid w:val="43182DBD"/>
    <w:rsid w:val="4318724D"/>
    <w:rsid w:val="431D4A2D"/>
    <w:rsid w:val="432E43F5"/>
    <w:rsid w:val="433D3E1D"/>
    <w:rsid w:val="434B28C1"/>
    <w:rsid w:val="43572ABA"/>
    <w:rsid w:val="43632E41"/>
    <w:rsid w:val="43733967"/>
    <w:rsid w:val="43861F9D"/>
    <w:rsid w:val="4395126E"/>
    <w:rsid w:val="43A179E3"/>
    <w:rsid w:val="43DD3867"/>
    <w:rsid w:val="43ED4592"/>
    <w:rsid w:val="43F06E5F"/>
    <w:rsid w:val="44052AC3"/>
    <w:rsid w:val="440B47D3"/>
    <w:rsid w:val="441D6B27"/>
    <w:rsid w:val="441E37E1"/>
    <w:rsid w:val="44394F2A"/>
    <w:rsid w:val="445205DE"/>
    <w:rsid w:val="446D73D5"/>
    <w:rsid w:val="44802E67"/>
    <w:rsid w:val="44A400F4"/>
    <w:rsid w:val="44A51D58"/>
    <w:rsid w:val="44A62B60"/>
    <w:rsid w:val="44B5586A"/>
    <w:rsid w:val="44C83AD6"/>
    <w:rsid w:val="44DB545F"/>
    <w:rsid w:val="44E55A92"/>
    <w:rsid w:val="44F30F3C"/>
    <w:rsid w:val="450C563B"/>
    <w:rsid w:val="45106356"/>
    <w:rsid w:val="451740EE"/>
    <w:rsid w:val="45257071"/>
    <w:rsid w:val="453A5564"/>
    <w:rsid w:val="4551269B"/>
    <w:rsid w:val="455D2022"/>
    <w:rsid w:val="457D5EF5"/>
    <w:rsid w:val="45A257A5"/>
    <w:rsid w:val="45A62153"/>
    <w:rsid w:val="45C73200"/>
    <w:rsid w:val="45CC317C"/>
    <w:rsid w:val="45D77E37"/>
    <w:rsid w:val="45DC7AC7"/>
    <w:rsid w:val="45DD3574"/>
    <w:rsid w:val="45F84400"/>
    <w:rsid w:val="4618022B"/>
    <w:rsid w:val="461C458B"/>
    <w:rsid w:val="46302037"/>
    <w:rsid w:val="463E19F6"/>
    <w:rsid w:val="46421B57"/>
    <w:rsid w:val="466D5490"/>
    <w:rsid w:val="46816349"/>
    <w:rsid w:val="468C4B33"/>
    <w:rsid w:val="469831BA"/>
    <w:rsid w:val="469E49F9"/>
    <w:rsid w:val="46A65264"/>
    <w:rsid w:val="46CA4668"/>
    <w:rsid w:val="46E429D2"/>
    <w:rsid w:val="46E61E1E"/>
    <w:rsid w:val="47003797"/>
    <w:rsid w:val="47085EAC"/>
    <w:rsid w:val="47140AC5"/>
    <w:rsid w:val="47165E41"/>
    <w:rsid w:val="471752BE"/>
    <w:rsid w:val="4739308B"/>
    <w:rsid w:val="473E04AE"/>
    <w:rsid w:val="47420B20"/>
    <w:rsid w:val="475B2B47"/>
    <w:rsid w:val="47633710"/>
    <w:rsid w:val="478F3631"/>
    <w:rsid w:val="47BE4984"/>
    <w:rsid w:val="47C43008"/>
    <w:rsid w:val="47FE05AC"/>
    <w:rsid w:val="48145497"/>
    <w:rsid w:val="484A7C8B"/>
    <w:rsid w:val="485D2C17"/>
    <w:rsid w:val="485D6563"/>
    <w:rsid w:val="486B4A17"/>
    <w:rsid w:val="487315AE"/>
    <w:rsid w:val="487420A1"/>
    <w:rsid w:val="48A73C78"/>
    <w:rsid w:val="48AB6A30"/>
    <w:rsid w:val="48CB28C6"/>
    <w:rsid w:val="48CE41C1"/>
    <w:rsid w:val="48D26AD2"/>
    <w:rsid w:val="48DF235D"/>
    <w:rsid w:val="48F16957"/>
    <w:rsid w:val="48FC0F6F"/>
    <w:rsid w:val="48FC6D2C"/>
    <w:rsid w:val="492721CE"/>
    <w:rsid w:val="493C6AED"/>
    <w:rsid w:val="497A57CD"/>
    <w:rsid w:val="497A7292"/>
    <w:rsid w:val="49993B0E"/>
    <w:rsid w:val="49AE71F3"/>
    <w:rsid w:val="49B27C46"/>
    <w:rsid w:val="49B5134B"/>
    <w:rsid w:val="49BF21BC"/>
    <w:rsid w:val="49C540CA"/>
    <w:rsid w:val="49CB577A"/>
    <w:rsid w:val="49D06374"/>
    <w:rsid w:val="49D947C3"/>
    <w:rsid w:val="49DB71EF"/>
    <w:rsid w:val="4A1A56E0"/>
    <w:rsid w:val="4A1F5C3B"/>
    <w:rsid w:val="4A234E34"/>
    <w:rsid w:val="4A3F1B56"/>
    <w:rsid w:val="4A61638E"/>
    <w:rsid w:val="4A6B109B"/>
    <w:rsid w:val="4A7739FE"/>
    <w:rsid w:val="4A7C395C"/>
    <w:rsid w:val="4A8A5395"/>
    <w:rsid w:val="4A986E76"/>
    <w:rsid w:val="4A9F11A2"/>
    <w:rsid w:val="4AA15C70"/>
    <w:rsid w:val="4ABB2F47"/>
    <w:rsid w:val="4ABE6B20"/>
    <w:rsid w:val="4AC57507"/>
    <w:rsid w:val="4ACB005F"/>
    <w:rsid w:val="4ACD2AF3"/>
    <w:rsid w:val="4AD8274A"/>
    <w:rsid w:val="4AE847A4"/>
    <w:rsid w:val="4AF2124D"/>
    <w:rsid w:val="4B164286"/>
    <w:rsid w:val="4B195BD9"/>
    <w:rsid w:val="4B61702F"/>
    <w:rsid w:val="4B6A128A"/>
    <w:rsid w:val="4B783077"/>
    <w:rsid w:val="4B816DA0"/>
    <w:rsid w:val="4B8A4390"/>
    <w:rsid w:val="4B8B2B57"/>
    <w:rsid w:val="4BA12D8B"/>
    <w:rsid w:val="4BAE116D"/>
    <w:rsid w:val="4BE317F2"/>
    <w:rsid w:val="4BE516B6"/>
    <w:rsid w:val="4BF26B11"/>
    <w:rsid w:val="4BF5580F"/>
    <w:rsid w:val="4C250607"/>
    <w:rsid w:val="4C3E15C8"/>
    <w:rsid w:val="4C4026AF"/>
    <w:rsid w:val="4C6474D4"/>
    <w:rsid w:val="4C664BE3"/>
    <w:rsid w:val="4C6E4A93"/>
    <w:rsid w:val="4C7837A9"/>
    <w:rsid w:val="4C87177E"/>
    <w:rsid w:val="4C944051"/>
    <w:rsid w:val="4CA2049E"/>
    <w:rsid w:val="4CAB4E45"/>
    <w:rsid w:val="4CB13013"/>
    <w:rsid w:val="4CB5711E"/>
    <w:rsid w:val="4CC209E3"/>
    <w:rsid w:val="4CC900C2"/>
    <w:rsid w:val="4CC95FA5"/>
    <w:rsid w:val="4CD73405"/>
    <w:rsid w:val="4CE7416C"/>
    <w:rsid w:val="4CF66168"/>
    <w:rsid w:val="4CFD32C7"/>
    <w:rsid w:val="4D010A68"/>
    <w:rsid w:val="4D051684"/>
    <w:rsid w:val="4D1C08F3"/>
    <w:rsid w:val="4D664C78"/>
    <w:rsid w:val="4D8C7C0B"/>
    <w:rsid w:val="4DA77056"/>
    <w:rsid w:val="4DA8348F"/>
    <w:rsid w:val="4DB923AC"/>
    <w:rsid w:val="4DD67B19"/>
    <w:rsid w:val="4DD81249"/>
    <w:rsid w:val="4DE16C69"/>
    <w:rsid w:val="4DE567B3"/>
    <w:rsid w:val="4DE92714"/>
    <w:rsid w:val="4DEB5C0C"/>
    <w:rsid w:val="4E261EC7"/>
    <w:rsid w:val="4E4661C8"/>
    <w:rsid w:val="4E4E4E74"/>
    <w:rsid w:val="4E5D1CBA"/>
    <w:rsid w:val="4E7142BB"/>
    <w:rsid w:val="4E86239C"/>
    <w:rsid w:val="4EBD5BFA"/>
    <w:rsid w:val="4ECC091D"/>
    <w:rsid w:val="4EE66A74"/>
    <w:rsid w:val="4F1C305B"/>
    <w:rsid w:val="4F315E12"/>
    <w:rsid w:val="4F422D9F"/>
    <w:rsid w:val="4F93007F"/>
    <w:rsid w:val="4FC56C17"/>
    <w:rsid w:val="4FC80B26"/>
    <w:rsid w:val="4FE03A6B"/>
    <w:rsid w:val="500504DE"/>
    <w:rsid w:val="501B0F03"/>
    <w:rsid w:val="501E7ED9"/>
    <w:rsid w:val="505D3D01"/>
    <w:rsid w:val="50611D1F"/>
    <w:rsid w:val="506F714B"/>
    <w:rsid w:val="509237C9"/>
    <w:rsid w:val="50A75FAA"/>
    <w:rsid w:val="50CA50F4"/>
    <w:rsid w:val="50CC6260"/>
    <w:rsid w:val="50D57D2F"/>
    <w:rsid w:val="50DD70CD"/>
    <w:rsid w:val="50EF538D"/>
    <w:rsid w:val="50F030D1"/>
    <w:rsid w:val="50FA03C9"/>
    <w:rsid w:val="50FE1D2E"/>
    <w:rsid w:val="510A3663"/>
    <w:rsid w:val="513302E3"/>
    <w:rsid w:val="513E6DD0"/>
    <w:rsid w:val="5151549C"/>
    <w:rsid w:val="517053C8"/>
    <w:rsid w:val="51791563"/>
    <w:rsid w:val="51852795"/>
    <w:rsid w:val="518769A4"/>
    <w:rsid w:val="518B119E"/>
    <w:rsid w:val="51AC2172"/>
    <w:rsid w:val="51AE686F"/>
    <w:rsid w:val="51BF3FB8"/>
    <w:rsid w:val="51C422B4"/>
    <w:rsid w:val="51D840A3"/>
    <w:rsid w:val="51DD76F7"/>
    <w:rsid w:val="51E12D9E"/>
    <w:rsid w:val="51F23EF2"/>
    <w:rsid w:val="51F440AC"/>
    <w:rsid w:val="51FC7068"/>
    <w:rsid w:val="52022E2E"/>
    <w:rsid w:val="5203558F"/>
    <w:rsid w:val="52110C3F"/>
    <w:rsid w:val="521A2A1F"/>
    <w:rsid w:val="521B5D9D"/>
    <w:rsid w:val="521D1C55"/>
    <w:rsid w:val="522A4CB6"/>
    <w:rsid w:val="52317088"/>
    <w:rsid w:val="524F57FC"/>
    <w:rsid w:val="525646A5"/>
    <w:rsid w:val="52653250"/>
    <w:rsid w:val="526B0E3C"/>
    <w:rsid w:val="526C18B9"/>
    <w:rsid w:val="52712991"/>
    <w:rsid w:val="52766B08"/>
    <w:rsid w:val="52801C20"/>
    <w:rsid w:val="5290120D"/>
    <w:rsid w:val="529617CD"/>
    <w:rsid w:val="5296724D"/>
    <w:rsid w:val="52A55E5B"/>
    <w:rsid w:val="52C342CF"/>
    <w:rsid w:val="52CA0E8D"/>
    <w:rsid w:val="52F60430"/>
    <w:rsid w:val="52FB1776"/>
    <w:rsid w:val="53137EB9"/>
    <w:rsid w:val="536B49EE"/>
    <w:rsid w:val="53700926"/>
    <w:rsid w:val="53773308"/>
    <w:rsid w:val="537910F0"/>
    <w:rsid w:val="53941EE8"/>
    <w:rsid w:val="53A14071"/>
    <w:rsid w:val="53A85AD3"/>
    <w:rsid w:val="53E538AE"/>
    <w:rsid w:val="53E92B18"/>
    <w:rsid w:val="53FA6E20"/>
    <w:rsid w:val="53FB37A8"/>
    <w:rsid w:val="5417257C"/>
    <w:rsid w:val="542B6D50"/>
    <w:rsid w:val="544213BE"/>
    <w:rsid w:val="544C3828"/>
    <w:rsid w:val="546114D7"/>
    <w:rsid w:val="547777BE"/>
    <w:rsid w:val="54916993"/>
    <w:rsid w:val="54AC2C3C"/>
    <w:rsid w:val="54AC2EEF"/>
    <w:rsid w:val="54B4737F"/>
    <w:rsid w:val="54C6374E"/>
    <w:rsid w:val="54D92C5F"/>
    <w:rsid w:val="54E32701"/>
    <w:rsid w:val="54EE2FB2"/>
    <w:rsid w:val="54F814C1"/>
    <w:rsid w:val="55173B39"/>
    <w:rsid w:val="55515BB8"/>
    <w:rsid w:val="55795032"/>
    <w:rsid w:val="557C1EFB"/>
    <w:rsid w:val="5584531E"/>
    <w:rsid w:val="55AA7DD7"/>
    <w:rsid w:val="55C31BFB"/>
    <w:rsid w:val="55D02C93"/>
    <w:rsid w:val="5633317A"/>
    <w:rsid w:val="563463A6"/>
    <w:rsid w:val="563D0DD4"/>
    <w:rsid w:val="564044FA"/>
    <w:rsid w:val="56896C31"/>
    <w:rsid w:val="56952C21"/>
    <w:rsid w:val="569720B9"/>
    <w:rsid w:val="569B579D"/>
    <w:rsid w:val="56B1385A"/>
    <w:rsid w:val="56C77116"/>
    <w:rsid w:val="56DA268B"/>
    <w:rsid w:val="56EC2641"/>
    <w:rsid w:val="56FE259E"/>
    <w:rsid w:val="5734363E"/>
    <w:rsid w:val="57394FBC"/>
    <w:rsid w:val="573E6FD3"/>
    <w:rsid w:val="576927F7"/>
    <w:rsid w:val="57694E36"/>
    <w:rsid w:val="576E5745"/>
    <w:rsid w:val="57787B59"/>
    <w:rsid w:val="5779143B"/>
    <w:rsid w:val="57B220C1"/>
    <w:rsid w:val="57B861FA"/>
    <w:rsid w:val="57C26392"/>
    <w:rsid w:val="57C9358B"/>
    <w:rsid w:val="57DA4298"/>
    <w:rsid w:val="57E4069F"/>
    <w:rsid w:val="57EE1D3B"/>
    <w:rsid w:val="57F56365"/>
    <w:rsid w:val="583B7EFF"/>
    <w:rsid w:val="58442620"/>
    <w:rsid w:val="58614C2E"/>
    <w:rsid w:val="586D5DCC"/>
    <w:rsid w:val="587035BA"/>
    <w:rsid w:val="587B4474"/>
    <w:rsid w:val="588E7E96"/>
    <w:rsid w:val="589557DB"/>
    <w:rsid w:val="58AE0CA5"/>
    <w:rsid w:val="58B21140"/>
    <w:rsid w:val="58B93C93"/>
    <w:rsid w:val="58C47D91"/>
    <w:rsid w:val="58E14C2F"/>
    <w:rsid w:val="58E62FEF"/>
    <w:rsid w:val="58FA1788"/>
    <w:rsid w:val="59026335"/>
    <w:rsid w:val="591116F4"/>
    <w:rsid w:val="5919093A"/>
    <w:rsid w:val="594668E0"/>
    <w:rsid w:val="59763534"/>
    <w:rsid w:val="598212F1"/>
    <w:rsid w:val="598869B4"/>
    <w:rsid w:val="598E516F"/>
    <w:rsid w:val="59B43CFE"/>
    <w:rsid w:val="59C34DBA"/>
    <w:rsid w:val="59ED51D4"/>
    <w:rsid w:val="59F80C73"/>
    <w:rsid w:val="5A2E5919"/>
    <w:rsid w:val="5A497F97"/>
    <w:rsid w:val="5A50320D"/>
    <w:rsid w:val="5A7E43FF"/>
    <w:rsid w:val="5A8B1B77"/>
    <w:rsid w:val="5A8E4E4B"/>
    <w:rsid w:val="5AA73C2C"/>
    <w:rsid w:val="5AAC2F05"/>
    <w:rsid w:val="5ABB748C"/>
    <w:rsid w:val="5ABD7134"/>
    <w:rsid w:val="5B096BFE"/>
    <w:rsid w:val="5B2C0268"/>
    <w:rsid w:val="5B580F67"/>
    <w:rsid w:val="5B710F75"/>
    <w:rsid w:val="5B7E7B99"/>
    <w:rsid w:val="5B967B3C"/>
    <w:rsid w:val="5BB01694"/>
    <w:rsid w:val="5BBE259C"/>
    <w:rsid w:val="5BE1337A"/>
    <w:rsid w:val="5BE33321"/>
    <w:rsid w:val="5BE7324B"/>
    <w:rsid w:val="5C1045F3"/>
    <w:rsid w:val="5C470CE0"/>
    <w:rsid w:val="5C473EF8"/>
    <w:rsid w:val="5C786097"/>
    <w:rsid w:val="5C9053CD"/>
    <w:rsid w:val="5C906EE5"/>
    <w:rsid w:val="5C9F16DA"/>
    <w:rsid w:val="5CC276DC"/>
    <w:rsid w:val="5CC301DB"/>
    <w:rsid w:val="5CCD5247"/>
    <w:rsid w:val="5CD314B5"/>
    <w:rsid w:val="5CE96EBA"/>
    <w:rsid w:val="5CF1014B"/>
    <w:rsid w:val="5D043F19"/>
    <w:rsid w:val="5D2661F3"/>
    <w:rsid w:val="5D361473"/>
    <w:rsid w:val="5D47385B"/>
    <w:rsid w:val="5D49658B"/>
    <w:rsid w:val="5D4B5547"/>
    <w:rsid w:val="5D4C5386"/>
    <w:rsid w:val="5D5F3A8F"/>
    <w:rsid w:val="5D7330CA"/>
    <w:rsid w:val="5D7E1A99"/>
    <w:rsid w:val="5D7F7A21"/>
    <w:rsid w:val="5D851A9B"/>
    <w:rsid w:val="5D934899"/>
    <w:rsid w:val="5D985EFE"/>
    <w:rsid w:val="5D996D3D"/>
    <w:rsid w:val="5D9E5BC7"/>
    <w:rsid w:val="5DAD66E3"/>
    <w:rsid w:val="5DB84A93"/>
    <w:rsid w:val="5DBA651D"/>
    <w:rsid w:val="5DC06B3B"/>
    <w:rsid w:val="5DD102A9"/>
    <w:rsid w:val="5DE46A31"/>
    <w:rsid w:val="5E2619D5"/>
    <w:rsid w:val="5E49488D"/>
    <w:rsid w:val="5E5474BF"/>
    <w:rsid w:val="5E594C52"/>
    <w:rsid w:val="5E672D66"/>
    <w:rsid w:val="5E7E2823"/>
    <w:rsid w:val="5E8F3222"/>
    <w:rsid w:val="5E9C2E1E"/>
    <w:rsid w:val="5EA901E9"/>
    <w:rsid w:val="5EAC6579"/>
    <w:rsid w:val="5EC743C6"/>
    <w:rsid w:val="5ECB7E53"/>
    <w:rsid w:val="5EEF5016"/>
    <w:rsid w:val="5EFE3AA9"/>
    <w:rsid w:val="5F011D40"/>
    <w:rsid w:val="5F084A8D"/>
    <w:rsid w:val="5F150473"/>
    <w:rsid w:val="5F241803"/>
    <w:rsid w:val="5F3A7694"/>
    <w:rsid w:val="5F531DD6"/>
    <w:rsid w:val="5F5550A0"/>
    <w:rsid w:val="5F723E1C"/>
    <w:rsid w:val="5F825A3E"/>
    <w:rsid w:val="5F853379"/>
    <w:rsid w:val="5F9D42D2"/>
    <w:rsid w:val="5FA835C3"/>
    <w:rsid w:val="5FAF06D8"/>
    <w:rsid w:val="5FB202CE"/>
    <w:rsid w:val="5FBA2339"/>
    <w:rsid w:val="5FF22DDC"/>
    <w:rsid w:val="5FFF79D2"/>
    <w:rsid w:val="60061440"/>
    <w:rsid w:val="6006221B"/>
    <w:rsid w:val="60100914"/>
    <w:rsid w:val="60183EA8"/>
    <w:rsid w:val="601A24FE"/>
    <w:rsid w:val="60245DB2"/>
    <w:rsid w:val="60303DB3"/>
    <w:rsid w:val="60367386"/>
    <w:rsid w:val="60566FA9"/>
    <w:rsid w:val="608372C1"/>
    <w:rsid w:val="608D7711"/>
    <w:rsid w:val="60A41F8E"/>
    <w:rsid w:val="60B218F6"/>
    <w:rsid w:val="60BB446E"/>
    <w:rsid w:val="60ED30C6"/>
    <w:rsid w:val="610412F1"/>
    <w:rsid w:val="6104483F"/>
    <w:rsid w:val="611675F5"/>
    <w:rsid w:val="611E0268"/>
    <w:rsid w:val="6120761A"/>
    <w:rsid w:val="61227D11"/>
    <w:rsid w:val="61245F7F"/>
    <w:rsid w:val="61255371"/>
    <w:rsid w:val="61642667"/>
    <w:rsid w:val="616B0267"/>
    <w:rsid w:val="617B446A"/>
    <w:rsid w:val="617C24E7"/>
    <w:rsid w:val="618458B2"/>
    <w:rsid w:val="61997A15"/>
    <w:rsid w:val="61A91BB6"/>
    <w:rsid w:val="61B504F7"/>
    <w:rsid w:val="61B9201A"/>
    <w:rsid w:val="61C27398"/>
    <w:rsid w:val="61C625E0"/>
    <w:rsid w:val="61C93A76"/>
    <w:rsid w:val="61E65654"/>
    <w:rsid w:val="61EA2658"/>
    <w:rsid w:val="61F90222"/>
    <w:rsid w:val="6202124A"/>
    <w:rsid w:val="62055283"/>
    <w:rsid w:val="620631BA"/>
    <w:rsid w:val="62150F86"/>
    <w:rsid w:val="62192347"/>
    <w:rsid w:val="621A4967"/>
    <w:rsid w:val="62385C34"/>
    <w:rsid w:val="623E0B76"/>
    <w:rsid w:val="62437CA4"/>
    <w:rsid w:val="625E0A22"/>
    <w:rsid w:val="626C208E"/>
    <w:rsid w:val="62A16010"/>
    <w:rsid w:val="62AE6D55"/>
    <w:rsid w:val="62B14C8F"/>
    <w:rsid w:val="62CD3BA0"/>
    <w:rsid w:val="62F3040B"/>
    <w:rsid w:val="62F74F73"/>
    <w:rsid w:val="630424BB"/>
    <w:rsid w:val="63051C70"/>
    <w:rsid w:val="63243364"/>
    <w:rsid w:val="634F337E"/>
    <w:rsid w:val="635A7933"/>
    <w:rsid w:val="635D148E"/>
    <w:rsid w:val="6388599E"/>
    <w:rsid w:val="639C21FF"/>
    <w:rsid w:val="63CB35F9"/>
    <w:rsid w:val="63EA4555"/>
    <w:rsid w:val="63EB4E08"/>
    <w:rsid w:val="63F537FF"/>
    <w:rsid w:val="63F70B22"/>
    <w:rsid w:val="641E5B43"/>
    <w:rsid w:val="64312CF0"/>
    <w:rsid w:val="64611EB0"/>
    <w:rsid w:val="646245CC"/>
    <w:rsid w:val="6467668F"/>
    <w:rsid w:val="648D3AEB"/>
    <w:rsid w:val="649B05CC"/>
    <w:rsid w:val="649F313E"/>
    <w:rsid w:val="64BE307C"/>
    <w:rsid w:val="64E924A5"/>
    <w:rsid w:val="64F61879"/>
    <w:rsid w:val="650746FF"/>
    <w:rsid w:val="65166FBD"/>
    <w:rsid w:val="651A6E2C"/>
    <w:rsid w:val="652F4922"/>
    <w:rsid w:val="653018D9"/>
    <w:rsid w:val="65443F5D"/>
    <w:rsid w:val="656D018D"/>
    <w:rsid w:val="65721B13"/>
    <w:rsid w:val="658326AF"/>
    <w:rsid w:val="65947346"/>
    <w:rsid w:val="65982BE1"/>
    <w:rsid w:val="65B865E4"/>
    <w:rsid w:val="65D9065E"/>
    <w:rsid w:val="65D96E07"/>
    <w:rsid w:val="65D9760B"/>
    <w:rsid w:val="65DD1E56"/>
    <w:rsid w:val="65E06E37"/>
    <w:rsid w:val="65F0069A"/>
    <w:rsid w:val="65F179B5"/>
    <w:rsid w:val="65F83119"/>
    <w:rsid w:val="65FA7671"/>
    <w:rsid w:val="66392536"/>
    <w:rsid w:val="66433262"/>
    <w:rsid w:val="66467171"/>
    <w:rsid w:val="665E63DF"/>
    <w:rsid w:val="667F1DD4"/>
    <w:rsid w:val="668C5B2B"/>
    <w:rsid w:val="669C6501"/>
    <w:rsid w:val="66AC2C1A"/>
    <w:rsid w:val="66B97D1D"/>
    <w:rsid w:val="66D47A79"/>
    <w:rsid w:val="66F80679"/>
    <w:rsid w:val="67204C70"/>
    <w:rsid w:val="675702BA"/>
    <w:rsid w:val="675C4D1B"/>
    <w:rsid w:val="676B2111"/>
    <w:rsid w:val="67702890"/>
    <w:rsid w:val="67851364"/>
    <w:rsid w:val="67924F46"/>
    <w:rsid w:val="67952EBF"/>
    <w:rsid w:val="67955EB2"/>
    <w:rsid w:val="67963221"/>
    <w:rsid w:val="67B95F8C"/>
    <w:rsid w:val="67BB144D"/>
    <w:rsid w:val="67BC2D2A"/>
    <w:rsid w:val="67BD094F"/>
    <w:rsid w:val="67D121DE"/>
    <w:rsid w:val="67E81691"/>
    <w:rsid w:val="67ED0813"/>
    <w:rsid w:val="680033E8"/>
    <w:rsid w:val="680F1F28"/>
    <w:rsid w:val="68126E05"/>
    <w:rsid w:val="68365B92"/>
    <w:rsid w:val="684D7A54"/>
    <w:rsid w:val="684E07C8"/>
    <w:rsid w:val="685379A5"/>
    <w:rsid w:val="685961F9"/>
    <w:rsid w:val="68804AB1"/>
    <w:rsid w:val="68A82FE7"/>
    <w:rsid w:val="68BA790A"/>
    <w:rsid w:val="68C016B6"/>
    <w:rsid w:val="68E36BD0"/>
    <w:rsid w:val="68F51F05"/>
    <w:rsid w:val="69025367"/>
    <w:rsid w:val="691D2562"/>
    <w:rsid w:val="69343445"/>
    <w:rsid w:val="69343AD0"/>
    <w:rsid w:val="69836941"/>
    <w:rsid w:val="69983BB8"/>
    <w:rsid w:val="69A5658F"/>
    <w:rsid w:val="69C70968"/>
    <w:rsid w:val="69CB3E6D"/>
    <w:rsid w:val="69D637CD"/>
    <w:rsid w:val="69F527C1"/>
    <w:rsid w:val="6A012E6A"/>
    <w:rsid w:val="6A0B1A78"/>
    <w:rsid w:val="6A311145"/>
    <w:rsid w:val="6A3729FF"/>
    <w:rsid w:val="6A4A5A22"/>
    <w:rsid w:val="6A5461F1"/>
    <w:rsid w:val="6A6555E8"/>
    <w:rsid w:val="6A680A1A"/>
    <w:rsid w:val="6A970360"/>
    <w:rsid w:val="6AB46754"/>
    <w:rsid w:val="6AB51D02"/>
    <w:rsid w:val="6ABD72F9"/>
    <w:rsid w:val="6AC05E3E"/>
    <w:rsid w:val="6AC56F80"/>
    <w:rsid w:val="6ACD7633"/>
    <w:rsid w:val="6AD7164E"/>
    <w:rsid w:val="6AD96FAF"/>
    <w:rsid w:val="6AF24E96"/>
    <w:rsid w:val="6AF3411C"/>
    <w:rsid w:val="6B397F1A"/>
    <w:rsid w:val="6B844143"/>
    <w:rsid w:val="6B8500AE"/>
    <w:rsid w:val="6B870952"/>
    <w:rsid w:val="6BA858B7"/>
    <w:rsid w:val="6BA94C3A"/>
    <w:rsid w:val="6BC202CD"/>
    <w:rsid w:val="6BDD05BF"/>
    <w:rsid w:val="6BDD43E9"/>
    <w:rsid w:val="6BDF5F0C"/>
    <w:rsid w:val="6BEE4090"/>
    <w:rsid w:val="6BF105F7"/>
    <w:rsid w:val="6BF870B7"/>
    <w:rsid w:val="6C074892"/>
    <w:rsid w:val="6C1F4D29"/>
    <w:rsid w:val="6C403D09"/>
    <w:rsid w:val="6C49043D"/>
    <w:rsid w:val="6C4D468F"/>
    <w:rsid w:val="6C513BE5"/>
    <w:rsid w:val="6C7A235D"/>
    <w:rsid w:val="6C7F6ED3"/>
    <w:rsid w:val="6C86252D"/>
    <w:rsid w:val="6CAC09F0"/>
    <w:rsid w:val="6CAD4B0C"/>
    <w:rsid w:val="6CB8230F"/>
    <w:rsid w:val="6CD20193"/>
    <w:rsid w:val="6D224419"/>
    <w:rsid w:val="6D365711"/>
    <w:rsid w:val="6D4632E8"/>
    <w:rsid w:val="6D53406D"/>
    <w:rsid w:val="6D566A63"/>
    <w:rsid w:val="6D7D1921"/>
    <w:rsid w:val="6D88230A"/>
    <w:rsid w:val="6D982D1B"/>
    <w:rsid w:val="6DA24693"/>
    <w:rsid w:val="6DBF150B"/>
    <w:rsid w:val="6DC243A4"/>
    <w:rsid w:val="6DCD3B23"/>
    <w:rsid w:val="6DDF337F"/>
    <w:rsid w:val="6E00668B"/>
    <w:rsid w:val="6E0A0D75"/>
    <w:rsid w:val="6E0E5160"/>
    <w:rsid w:val="6E155748"/>
    <w:rsid w:val="6E335BB9"/>
    <w:rsid w:val="6E583B4C"/>
    <w:rsid w:val="6E6357DF"/>
    <w:rsid w:val="6E673C75"/>
    <w:rsid w:val="6E9E25E0"/>
    <w:rsid w:val="6EB603C5"/>
    <w:rsid w:val="6F074C6B"/>
    <w:rsid w:val="6F1314B1"/>
    <w:rsid w:val="6F295EF6"/>
    <w:rsid w:val="6F2B0751"/>
    <w:rsid w:val="6F671AB1"/>
    <w:rsid w:val="6F7A3756"/>
    <w:rsid w:val="6F8D5F9A"/>
    <w:rsid w:val="6FBF3E57"/>
    <w:rsid w:val="6FEC133C"/>
    <w:rsid w:val="6FF519DC"/>
    <w:rsid w:val="6FF72909"/>
    <w:rsid w:val="70093F38"/>
    <w:rsid w:val="70114553"/>
    <w:rsid w:val="702C0D44"/>
    <w:rsid w:val="70511C90"/>
    <w:rsid w:val="70613C61"/>
    <w:rsid w:val="70733972"/>
    <w:rsid w:val="70737728"/>
    <w:rsid w:val="707C7C0A"/>
    <w:rsid w:val="70816E0B"/>
    <w:rsid w:val="70850A4B"/>
    <w:rsid w:val="708B0E4D"/>
    <w:rsid w:val="70CE73F0"/>
    <w:rsid w:val="70D07614"/>
    <w:rsid w:val="70D26DE0"/>
    <w:rsid w:val="7108793B"/>
    <w:rsid w:val="711E10A8"/>
    <w:rsid w:val="71287996"/>
    <w:rsid w:val="71322033"/>
    <w:rsid w:val="713239BC"/>
    <w:rsid w:val="71406271"/>
    <w:rsid w:val="71534F94"/>
    <w:rsid w:val="715A309E"/>
    <w:rsid w:val="7174179A"/>
    <w:rsid w:val="71A25001"/>
    <w:rsid w:val="71AC6A55"/>
    <w:rsid w:val="71C275AA"/>
    <w:rsid w:val="71C75D15"/>
    <w:rsid w:val="71C847F4"/>
    <w:rsid w:val="71E863C3"/>
    <w:rsid w:val="72066170"/>
    <w:rsid w:val="721A5A85"/>
    <w:rsid w:val="721B1BC4"/>
    <w:rsid w:val="72212D30"/>
    <w:rsid w:val="72261D9E"/>
    <w:rsid w:val="72267D8A"/>
    <w:rsid w:val="724B3764"/>
    <w:rsid w:val="72535E95"/>
    <w:rsid w:val="725D1DE0"/>
    <w:rsid w:val="728609E2"/>
    <w:rsid w:val="728B2CD5"/>
    <w:rsid w:val="72C435D7"/>
    <w:rsid w:val="72D35783"/>
    <w:rsid w:val="72D872A4"/>
    <w:rsid w:val="72DD5C35"/>
    <w:rsid w:val="72F03455"/>
    <w:rsid w:val="72FD2D29"/>
    <w:rsid w:val="73266E1D"/>
    <w:rsid w:val="73284CC8"/>
    <w:rsid w:val="732D7B49"/>
    <w:rsid w:val="733239F5"/>
    <w:rsid w:val="738F7DF5"/>
    <w:rsid w:val="73922987"/>
    <w:rsid w:val="73B470F2"/>
    <w:rsid w:val="73BB51CE"/>
    <w:rsid w:val="73C711AD"/>
    <w:rsid w:val="73CB02B7"/>
    <w:rsid w:val="73CB0D15"/>
    <w:rsid w:val="73D64C00"/>
    <w:rsid w:val="741675CE"/>
    <w:rsid w:val="741E19C9"/>
    <w:rsid w:val="742757A7"/>
    <w:rsid w:val="743379F7"/>
    <w:rsid w:val="74381D02"/>
    <w:rsid w:val="74410B6E"/>
    <w:rsid w:val="744262F5"/>
    <w:rsid w:val="744B2EEF"/>
    <w:rsid w:val="748208F7"/>
    <w:rsid w:val="7483678B"/>
    <w:rsid w:val="74846C41"/>
    <w:rsid w:val="748919EF"/>
    <w:rsid w:val="748927C6"/>
    <w:rsid w:val="74941EE8"/>
    <w:rsid w:val="74943742"/>
    <w:rsid w:val="74A60D4D"/>
    <w:rsid w:val="74C5436F"/>
    <w:rsid w:val="74F14AC8"/>
    <w:rsid w:val="7512506A"/>
    <w:rsid w:val="75245941"/>
    <w:rsid w:val="75383176"/>
    <w:rsid w:val="755A3E86"/>
    <w:rsid w:val="755C539C"/>
    <w:rsid w:val="756334DC"/>
    <w:rsid w:val="7567618D"/>
    <w:rsid w:val="75782D64"/>
    <w:rsid w:val="75796584"/>
    <w:rsid w:val="75C15518"/>
    <w:rsid w:val="760D2BC5"/>
    <w:rsid w:val="7616229D"/>
    <w:rsid w:val="76300B4E"/>
    <w:rsid w:val="76367BF1"/>
    <w:rsid w:val="76384A4F"/>
    <w:rsid w:val="763A77E0"/>
    <w:rsid w:val="76542512"/>
    <w:rsid w:val="76567FE2"/>
    <w:rsid w:val="767B5D1F"/>
    <w:rsid w:val="768C1A3D"/>
    <w:rsid w:val="76BD5ED4"/>
    <w:rsid w:val="77003FBD"/>
    <w:rsid w:val="77033C20"/>
    <w:rsid w:val="771A4C14"/>
    <w:rsid w:val="77295705"/>
    <w:rsid w:val="773101A8"/>
    <w:rsid w:val="77326152"/>
    <w:rsid w:val="773425A2"/>
    <w:rsid w:val="774F59C0"/>
    <w:rsid w:val="776476EC"/>
    <w:rsid w:val="778A4855"/>
    <w:rsid w:val="778A5CF5"/>
    <w:rsid w:val="77A1144F"/>
    <w:rsid w:val="77A3321D"/>
    <w:rsid w:val="77A754C0"/>
    <w:rsid w:val="77B4497D"/>
    <w:rsid w:val="77C54B37"/>
    <w:rsid w:val="77DA60D1"/>
    <w:rsid w:val="77E7500C"/>
    <w:rsid w:val="77F52460"/>
    <w:rsid w:val="77F728C9"/>
    <w:rsid w:val="785B4E17"/>
    <w:rsid w:val="78702A7A"/>
    <w:rsid w:val="788D1C54"/>
    <w:rsid w:val="7891534A"/>
    <w:rsid w:val="789F41B1"/>
    <w:rsid w:val="78A27104"/>
    <w:rsid w:val="78A44A10"/>
    <w:rsid w:val="78AB19F3"/>
    <w:rsid w:val="78B46204"/>
    <w:rsid w:val="78CE35D8"/>
    <w:rsid w:val="78DD2371"/>
    <w:rsid w:val="78E658BA"/>
    <w:rsid w:val="78EB263E"/>
    <w:rsid w:val="79002F2B"/>
    <w:rsid w:val="79073E33"/>
    <w:rsid w:val="791A0371"/>
    <w:rsid w:val="792E23A9"/>
    <w:rsid w:val="792F071C"/>
    <w:rsid w:val="793669D3"/>
    <w:rsid w:val="793817E8"/>
    <w:rsid w:val="796C1534"/>
    <w:rsid w:val="797A3737"/>
    <w:rsid w:val="79802640"/>
    <w:rsid w:val="79821E67"/>
    <w:rsid w:val="7993678B"/>
    <w:rsid w:val="79AD10DF"/>
    <w:rsid w:val="79C72BE0"/>
    <w:rsid w:val="7A035BFF"/>
    <w:rsid w:val="7A223500"/>
    <w:rsid w:val="7A2B3EB4"/>
    <w:rsid w:val="7A350EB0"/>
    <w:rsid w:val="7A3C33DB"/>
    <w:rsid w:val="7A475EB3"/>
    <w:rsid w:val="7A5C76AA"/>
    <w:rsid w:val="7A82432D"/>
    <w:rsid w:val="7A9A33B4"/>
    <w:rsid w:val="7A9C6C64"/>
    <w:rsid w:val="7AC00A66"/>
    <w:rsid w:val="7AC40DE5"/>
    <w:rsid w:val="7AC64DD2"/>
    <w:rsid w:val="7AD6054D"/>
    <w:rsid w:val="7AD711F1"/>
    <w:rsid w:val="7B0E53E0"/>
    <w:rsid w:val="7B376737"/>
    <w:rsid w:val="7B420654"/>
    <w:rsid w:val="7B4C52AD"/>
    <w:rsid w:val="7B5C7C6F"/>
    <w:rsid w:val="7B5F07DF"/>
    <w:rsid w:val="7B603BC0"/>
    <w:rsid w:val="7B6A3993"/>
    <w:rsid w:val="7B6F3959"/>
    <w:rsid w:val="7B973F24"/>
    <w:rsid w:val="7BB2446D"/>
    <w:rsid w:val="7BD578EB"/>
    <w:rsid w:val="7BFC125C"/>
    <w:rsid w:val="7C0147AA"/>
    <w:rsid w:val="7C073D56"/>
    <w:rsid w:val="7C1328A8"/>
    <w:rsid w:val="7C260F49"/>
    <w:rsid w:val="7C5347F3"/>
    <w:rsid w:val="7C723F18"/>
    <w:rsid w:val="7C810691"/>
    <w:rsid w:val="7CB03CCF"/>
    <w:rsid w:val="7CC72BE2"/>
    <w:rsid w:val="7CCD4031"/>
    <w:rsid w:val="7CD20E1D"/>
    <w:rsid w:val="7CE2414E"/>
    <w:rsid w:val="7CEB673C"/>
    <w:rsid w:val="7CFF227C"/>
    <w:rsid w:val="7D112605"/>
    <w:rsid w:val="7D171DAA"/>
    <w:rsid w:val="7D1C12E0"/>
    <w:rsid w:val="7D265B80"/>
    <w:rsid w:val="7D2C09C5"/>
    <w:rsid w:val="7D2D451F"/>
    <w:rsid w:val="7D3A0719"/>
    <w:rsid w:val="7D3B119F"/>
    <w:rsid w:val="7D3C546D"/>
    <w:rsid w:val="7D3D0DA2"/>
    <w:rsid w:val="7D4D5048"/>
    <w:rsid w:val="7D9A08F3"/>
    <w:rsid w:val="7D9C3B98"/>
    <w:rsid w:val="7DA07A49"/>
    <w:rsid w:val="7DA30F16"/>
    <w:rsid w:val="7DAD113C"/>
    <w:rsid w:val="7DB051E5"/>
    <w:rsid w:val="7DB66238"/>
    <w:rsid w:val="7DBB5030"/>
    <w:rsid w:val="7DE7573C"/>
    <w:rsid w:val="7DE82954"/>
    <w:rsid w:val="7E09392E"/>
    <w:rsid w:val="7E17115A"/>
    <w:rsid w:val="7E2C4585"/>
    <w:rsid w:val="7E592FE0"/>
    <w:rsid w:val="7E653B82"/>
    <w:rsid w:val="7E6E72F2"/>
    <w:rsid w:val="7E783B59"/>
    <w:rsid w:val="7E790242"/>
    <w:rsid w:val="7E7A3D04"/>
    <w:rsid w:val="7E7E101D"/>
    <w:rsid w:val="7E831DC4"/>
    <w:rsid w:val="7E846771"/>
    <w:rsid w:val="7E8B196F"/>
    <w:rsid w:val="7E9F6C13"/>
    <w:rsid w:val="7EA11E9F"/>
    <w:rsid w:val="7EB869C9"/>
    <w:rsid w:val="7ECE5307"/>
    <w:rsid w:val="7EE82B5A"/>
    <w:rsid w:val="7EF04778"/>
    <w:rsid w:val="7EF12797"/>
    <w:rsid w:val="7EFB4203"/>
    <w:rsid w:val="7F026F63"/>
    <w:rsid w:val="7F144BCC"/>
    <w:rsid w:val="7F1720B6"/>
    <w:rsid w:val="7F256877"/>
    <w:rsid w:val="7F3D4DEA"/>
    <w:rsid w:val="7F597982"/>
    <w:rsid w:val="7F6418C6"/>
    <w:rsid w:val="7F6526AF"/>
    <w:rsid w:val="7F72364D"/>
    <w:rsid w:val="7F7C7BAE"/>
    <w:rsid w:val="7F9B4DE1"/>
    <w:rsid w:val="7FA62A6A"/>
    <w:rsid w:val="7FB44AD1"/>
    <w:rsid w:val="7FD16A23"/>
    <w:rsid w:val="7FDF484C"/>
    <w:rsid w:val="7FE117CD"/>
    <w:rsid w:val="7FFA69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nhideWhenUsed="0" w:uiPriority="0" w:semiHidden="0" w:name="heading 5"/>
    <w:lsdException w:qFormat="1" w:unhideWhenUsed="0" w:uiPriority="0" w:semiHidden="0" w:name="heading 6"/>
    <w:lsdException w:qFormat="1"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line="520" w:lineRule="exact"/>
      <w:ind w:firstLine="643" w:firstLineChars="200"/>
    </w:pPr>
    <w:rPr>
      <w:rFonts w:ascii="宋体" w:hAnsi="宋体" w:eastAsia="宋体" w:cs="宋体"/>
      <w:sz w:val="24"/>
      <w:szCs w:val="24"/>
      <w:lang w:val="en-US" w:eastAsia="en-US" w:bidi="ar-SA"/>
    </w:rPr>
  </w:style>
  <w:style w:type="paragraph" w:styleId="5">
    <w:name w:val="heading 1"/>
    <w:basedOn w:val="1"/>
    <w:next w:val="1"/>
    <w:link w:val="64"/>
    <w:qFormat/>
    <w:uiPriority w:val="1"/>
    <w:pPr>
      <w:spacing w:before="50" w:beforeLines="50" w:after="50" w:afterLines="50"/>
      <w:ind w:firstLine="0" w:firstLineChars="0"/>
      <w:jc w:val="center"/>
      <w:outlineLvl w:val="0"/>
    </w:pPr>
    <w:rPr>
      <w:rFonts w:ascii="黑体" w:hAnsi="黑体" w:eastAsia="黑体" w:cs="黑体"/>
      <w:b/>
      <w:bCs/>
      <w:sz w:val="36"/>
      <w:szCs w:val="32"/>
    </w:rPr>
  </w:style>
  <w:style w:type="paragraph" w:styleId="6">
    <w:name w:val="heading 2"/>
    <w:basedOn w:val="1"/>
    <w:next w:val="1"/>
    <w:qFormat/>
    <w:uiPriority w:val="1"/>
    <w:pPr>
      <w:ind w:firstLine="0" w:firstLineChars="0"/>
      <w:outlineLvl w:val="1"/>
    </w:pPr>
    <w:rPr>
      <w:rFonts w:ascii="楷体" w:hAnsi="楷体" w:eastAsia="黑体" w:cs="楷体"/>
      <w:b/>
      <w:bCs/>
      <w:sz w:val="28"/>
      <w:szCs w:val="30"/>
    </w:rPr>
  </w:style>
  <w:style w:type="paragraph" w:styleId="7">
    <w:name w:val="heading 3"/>
    <w:basedOn w:val="1"/>
    <w:next w:val="1"/>
    <w:link w:val="38"/>
    <w:qFormat/>
    <w:uiPriority w:val="1"/>
    <w:pPr>
      <w:ind w:firstLine="0" w:firstLineChars="0"/>
      <w:outlineLvl w:val="2"/>
    </w:pPr>
    <w:rPr>
      <w:rFonts w:ascii="楷体" w:hAnsi="楷体" w:eastAsia="黑体" w:cs="楷体"/>
      <w:b/>
      <w:bCs/>
      <w:sz w:val="24"/>
      <w:szCs w:val="28"/>
    </w:rPr>
  </w:style>
  <w:style w:type="paragraph" w:styleId="8">
    <w:name w:val="heading 4"/>
    <w:basedOn w:val="1"/>
    <w:next w:val="1"/>
    <w:qFormat/>
    <w:uiPriority w:val="1"/>
    <w:pPr>
      <w:ind w:firstLine="0" w:firstLineChars="0"/>
      <w:outlineLvl w:val="3"/>
    </w:pPr>
    <w:rPr>
      <w:rFonts w:eastAsia="黑体"/>
      <w:b/>
      <w:bCs/>
    </w:rPr>
  </w:style>
  <w:style w:type="paragraph" w:styleId="9">
    <w:name w:val="heading 5"/>
    <w:basedOn w:val="1"/>
    <w:next w:val="1"/>
    <w:qFormat/>
    <w:uiPriority w:val="0"/>
    <w:pPr>
      <w:keepNext/>
      <w:keepLines/>
      <w:ind w:firstLine="0" w:firstLineChars="0"/>
      <w:outlineLvl w:val="4"/>
    </w:pPr>
    <w:rPr>
      <w:b/>
      <w:bCs/>
      <w:szCs w:val="28"/>
    </w:rPr>
  </w:style>
  <w:style w:type="paragraph" w:styleId="10">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11">
    <w:name w:val="heading 7"/>
    <w:basedOn w:val="1"/>
    <w:next w:val="1"/>
    <w:unhideWhenUsed/>
    <w:qFormat/>
    <w:uiPriority w:val="0"/>
    <w:pPr>
      <w:keepNext/>
      <w:keepLines/>
      <w:spacing w:before="240" w:after="64" w:line="317" w:lineRule="auto"/>
      <w:outlineLvl w:val="6"/>
    </w:pPr>
    <w:rPr>
      <w:b/>
      <w:sz w:val="24"/>
    </w:rPr>
  </w:style>
  <w:style w:type="character" w:default="1" w:styleId="26">
    <w:name w:val="Default Paragraph Font"/>
    <w:semiHidden/>
    <w:unhideWhenUsed/>
    <w:qFormat/>
    <w:uiPriority w:val="1"/>
  </w:style>
  <w:style w:type="table" w:default="1" w:styleId="2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basedOn w:val="3"/>
    <w:next w:val="1"/>
    <w:qFormat/>
    <w:uiPriority w:val="0"/>
    <w:pPr>
      <w:ind w:left="0" w:leftChars="0" w:firstLine="420"/>
    </w:pPr>
  </w:style>
  <w:style w:type="paragraph" w:styleId="3">
    <w:name w:val="Body Text Indent"/>
    <w:basedOn w:val="1"/>
    <w:next w:val="4"/>
    <w:qFormat/>
    <w:uiPriority w:val="0"/>
    <w:pPr>
      <w:spacing w:after="120"/>
      <w:ind w:left="420" w:leftChars="200"/>
    </w:pPr>
  </w:style>
  <w:style w:type="paragraph" w:customStyle="1" w:styleId="4">
    <w:name w:val="样式 正文文本缩进 + 行距: 1.5 倍行距"/>
    <w:basedOn w:val="1"/>
    <w:qFormat/>
    <w:uiPriority w:val="0"/>
    <w:pPr>
      <w:spacing w:after="120" w:line="360" w:lineRule="auto"/>
      <w:ind w:left="90" w:leftChars="32" w:firstLine="560"/>
    </w:pPr>
  </w:style>
  <w:style w:type="paragraph" w:styleId="12">
    <w:name w:val="caption"/>
    <w:basedOn w:val="1"/>
    <w:next w:val="1"/>
    <w:qFormat/>
    <w:uiPriority w:val="0"/>
    <w:rPr>
      <w:rFonts w:ascii="Arial" w:hAnsi="Arial" w:eastAsia="黑体"/>
      <w:sz w:val="20"/>
      <w:szCs w:val="20"/>
    </w:rPr>
  </w:style>
  <w:style w:type="paragraph" w:styleId="13">
    <w:name w:val="annotation text"/>
    <w:basedOn w:val="1"/>
    <w:link w:val="66"/>
    <w:qFormat/>
    <w:uiPriority w:val="0"/>
  </w:style>
  <w:style w:type="paragraph" w:styleId="14">
    <w:name w:val="Body Text"/>
    <w:basedOn w:val="1"/>
    <w:qFormat/>
    <w:uiPriority w:val="1"/>
  </w:style>
  <w:style w:type="paragraph" w:styleId="15">
    <w:name w:val="Plain Text"/>
    <w:basedOn w:val="1"/>
    <w:qFormat/>
    <w:uiPriority w:val="0"/>
    <w:rPr>
      <w:rFonts w:eastAsia="方正书宋简体" w:cs="Courier New"/>
      <w:szCs w:val="28"/>
    </w:rPr>
  </w:style>
  <w:style w:type="paragraph" w:styleId="16">
    <w:name w:val="Body Text Indent 2"/>
    <w:basedOn w:val="1"/>
    <w:qFormat/>
    <w:uiPriority w:val="0"/>
    <w:pPr>
      <w:ind w:firstLine="420"/>
    </w:pPr>
    <w:rPr>
      <w:rFonts w:ascii="Calibri" w:hAnsi="Calibri" w:eastAsia="宋体" w:cs="Times New Roman"/>
      <w:kern w:val="2"/>
      <w:lang w:eastAsia="zh-CN"/>
    </w:rPr>
  </w:style>
  <w:style w:type="paragraph" w:styleId="17">
    <w:name w:val="Balloon Text"/>
    <w:basedOn w:val="1"/>
    <w:link w:val="65"/>
    <w:qFormat/>
    <w:uiPriority w:val="0"/>
    <w:pPr>
      <w:spacing w:line="240" w:lineRule="auto"/>
    </w:pPr>
    <w:rPr>
      <w:sz w:val="18"/>
      <w:szCs w:val="18"/>
    </w:rPr>
  </w:style>
  <w:style w:type="paragraph" w:styleId="18">
    <w:name w:val="footer"/>
    <w:basedOn w:val="1"/>
    <w:qFormat/>
    <w:uiPriority w:val="0"/>
    <w:pPr>
      <w:tabs>
        <w:tab w:val="center" w:pos="4153"/>
        <w:tab w:val="right" w:pos="8306"/>
      </w:tabs>
      <w:snapToGrid w:val="0"/>
    </w:pPr>
    <w:rPr>
      <w:sz w:val="18"/>
    </w:rPr>
  </w:style>
  <w:style w:type="paragraph" w:styleId="1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pPr>
    <w:rPr>
      <w:sz w:val="18"/>
    </w:rPr>
  </w:style>
  <w:style w:type="paragraph" w:styleId="20">
    <w:name w:val="toc 4"/>
    <w:basedOn w:val="1"/>
    <w:next w:val="1"/>
    <w:qFormat/>
    <w:uiPriority w:val="0"/>
    <w:pPr>
      <w:ind w:left="1260" w:leftChars="600"/>
    </w:pPr>
  </w:style>
  <w:style w:type="paragraph" w:styleId="21">
    <w:name w:val="Normal (Web)"/>
    <w:basedOn w:val="1"/>
    <w:qFormat/>
    <w:uiPriority w:val="0"/>
    <w:pPr>
      <w:spacing w:beforeAutospacing="1" w:afterAutospacing="1"/>
    </w:pPr>
    <w:rPr>
      <w:rFonts w:cs="Times New Roman"/>
      <w:sz w:val="24"/>
      <w:lang w:eastAsia="zh-CN"/>
    </w:rPr>
  </w:style>
  <w:style w:type="paragraph" w:styleId="22">
    <w:name w:val="annotation subject"/>
    <w:basedOn w:val="13"/>
    <w:next w:val="13"/>
    <w:link w:val="67"/>
    <w:qFormat/>
    <w:uiPriority w:val="0"/>
    <w:rPr>
      <w:b/>
      <w:bCs/>
    </w:rPr>
  </w:style>
  <w:style w:type="paragraph" w:styleId="23">
    <w:name w:val="Body Text First Indent"/>
    <w:basedOn w:val="14"/>
    <w:qFormat/>
    <w:uiPriority w:val="0"/>
    <w:pPr>
      <w:spacing w:line="360" w:lineRule="auto"/>
      <w:ind w:firstLine="420" w:firstLineChars="100"/>
    </w:pPr>
    <w:rPr>
      <w:sz w:val="24"/>
      <w:lang w:eastAsia="zh-CN"/>
    </w:r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7">
    <w:name w:val="Strong"/>
    <w:basedOn w:val="26"/>
    <w:qFormat/>
    <w:uiPriority w:val="0"/>
    <w:rPr>
      <w:b/>
    </w:rPr>
  </w:style>
  <w:style w:type="character" w:styleId="28">
    <w:name w:val="page number"/>
    <w:basedOn w:val="26"/>
    <w:qFormat/>
    <w:uiPriority w:val="0"/>
  </w:style>
  <w:style w:type="character" w:styleId="29">
    <w:name w:val="Hyperlink"/>
    <w:basedOn w:val="26"/>
    <w:unhideWhenUsed/>
    <w:qFormat/>
    <w:uiPriority w:val="99"/>
    <w:rPr>
      <w:color w:val="0000FF"/>
      <w:u w:val="single"/>
    </w:rPr>
  </w:style>
  <w:style w:type="character" w:styleId="30">
    <w:name w:val="annotation reference"/>
    <w:basedOn w:val="26"/>
    <w:qFormat/>
    <w:uiPriority w:val="0"/>
    <w:rPr>
      <w:sz w:val="21"/>
      <w:szCs w:val="21"/>
    </w:rPr>
  </w:style>
  <w:style w:type="character" w:customStyle="1" w:styleId="31">
    <w:name w:val="font21"/>
    <w:basedOn w:val="26"/>
    <w:qFormat/>
    <w:uiPriority w:val="0"/>
    <w:rPr>
      <w:rFonts w:hint="eastAsia" w:ascii="宋体" w:hAnsi="宋体" w:eastAsia="宋体" w:cs="宋体"/>
      <w:color w:val="000000"/>
      <w:sz w:val="21"/>
      <w:szCs w:val="21"/>
      <w:u w:val="none"/>
    </w:rPr>
  </w:style>
  <w:style w:type="paragraph" w:customStyle="1" w:styleId="32">
    <w:name w:val="Table Paragraph"/>
    <w:basedOn w:val="1"/>
    <w:qFormat/>
    <w:uiPriority w:val="1"/>
    <w:pPr>
      <w:jc w:val="center"/>
    </w:pPr>
  </w:style>
  <w:style w:type="character" w:customStyle="1" w:styleId="33">
    <w:name w:val="font51"/>
    <w:basedOn w:val="26"/>
    <w:qFormat/>
    <w:uiPriority w:val="0"/>
    <w:rPr>
      <w:rFonts w:hint="default" w:ascii="Times New Roman" w:hAnsi="Times New Roman" w:cs="Times New Roman"/>
      <w:color w:val="000000"/>
      <w:sz w:val="21"/>
      <w:szCs w:val="21"/>
      <w:u w:val="none"/>
    </w:rPr>
  </w:style>
  <w:style w:type="character" w:customStyle="1" w:styleId="34">
    <w:name w:val="font41"/>
    <w:basedOn w:val="26"/>
    <w:qFormat/>
    <w:uiPriority w:val="0"/>
    <w:rPr>
      <w:rFonts w:hint="eastAsia" w:ascii="宋体" w:hAnsi="宋体" w:eastAsia="宋体" w:cs="宋体"/>
      <w:color w:val="000000"/>
      <w:sz w:val="21"/>
      <w:szCs w:val="21"/>
      <w:u w:val="none"/>
    </w:rPr>
  </w:style>
  <w:style w:type="character" w:customStyle="1" w:styleId="35">
    <w:name w:val="font01"/>
    <w:basedOn w:val="26"/>
    <w:qFormat/>
    <w:uiPriority w:val="0"/>
    <w:rPr>
      <w:rFonts w:hint="eastAsia" w:ascii="宋体" w:hAnsi="宋体" w:eastAsia="宋体" w:cs="宋体"/>
      <w:color w:val="000000"/>
      <w:sz w:val="18"/>
      <w:szCs w:val="18"/>
      <w:u w:val="none"/>
    </w:rPr>
  </w:style>
  <w:style w:type="paragraph" w:styleId="36">
    <w:name w:val="No Spacing"/>
    <w:qFormat/>
    <w:uiPriority w:val="1"/>
    <w:pPr>
      <w:widowControl w:val="0"/>
      <w:spacing w:beforeLines="50"/>
      <w:jc w:val="center"/>
    </w:pPr>
    <w:rPr>
      <w:rFonts w:ascii="Times New Roman" w:hAnsi="Times New Roman" w:eastAsia="仿宋" w:cs="Times New Roman"/>
      <w:b/>
      <w:kern w:val="2"/>
      <w:sz w:val="24"/>
      <w:szCs w:val="24"/>
      <w:lang w:val="en-US" w:eastAsia="zh-CN" w:bidi="ar-SA"/>
    </w:rPr>
  </w:style>
  <w:style w:type="paragraph" w:customStyle="1" w:styleId="37">
    <w:name w:val="表格式"/>
    <w:basedOn w:val="1"/>
    <w:qFormat/>
    <w:uiPriority w:val="0"/>
    <w:pPr>
      <w:spacing w:line="240" w:lineRule="auto"/>
      <w:jc w:val="center"/>
    </w:pPr>
    <w:rPr>
      <w:sz w:val="24"/>
    </w:rPr>
  </w:style>
  <w:style w:type="character" w:customStyle="1" w:styleId="38">
    <w:name w:val="标题 3 Char"/>
    <w:link w:val="7"/>
    <w:qFormat/>
    <w:uiPriority w:val="1"/>
    <w:rPr>
      <w:rFonts w:ascii="楷体" w:hAnsi="楷体" w:eastAsia="黑体" w:cs="楷体"/>
      <w:b/>
      <w:bCs/>
      <w:sz w:val="24"/>
      <w:szCs w:val="28"/>
    </w:rPr>
  </w:style>
  <w:style w:type="character" w:customStyle="1" w:styleId="39">
    <w:name w:val="15"/>
    <w:basedOn w:val="26"/>
    <w:qFormat/>
    <w:uiPriority w:val="0"/>
    <w:rPr>
      <w:rFonts w:hint="eastAsia" w:ascii="楷体" w:hAnsi="楷体" w:eastAsia="黑体" w:cs="楷体"/>
      <w:b/>
      <w:bCs/>
      <w:sz w:val="28"/>
      <w:szCs w:val="28"/>
    </w:rPr>
  </w:style>
  <w:style w:type="paragraph" w:customStyle="1" w:styleId="40">
    <w:name w:val="xl3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pPr>
    <w:rPr>
      <w:sz w:val="16"/>
      <w:szCs w:val="16"/>
    </w:rPr>
  </w:style>
  <w:style w:type="character" w:customStyle="1" w:styleId="41">
    <w:name w:val="font31"/>
    <w:basedOn w:val="26"/>
    <w:qFormat/>
    <w:uiPriority w:val="0"/>
    <w:rPr>
      <w:rFonts w:hint="default" w:ascii="Times New Roman" w:hAnsi="Times New Roman" w:cs="Times New Roman"/>
      <w:color w:val="000000"/>
      <w:sz w:val="21"/>
      <w:szCs w:val="21"/>
      <w:u w:val="none"/>
    </w:rPr>
  </w:style>
  <w:style w:type="paragraph" w:styleId="42">
    <w:name w:val="List Paragraph"/>
    <w:qFormat/>
    <w:uiPriority w:val="1"/>
    <w:pPr>
      <w:widowControl w:val="0"/>
      <w:autoSpaceDE w:val="0"/>
      <w:autoSpaceDN w:val="0"/>
      <w:ind w:left="902" w:hanging="721"/>
    </w:pPr>
    <w:rPr>
      <w:rFonts w:ascii="楷体" w:hAnsi="楷体" w:eastAsia="楷体" w:cs="楷体"/>
      <w:sz w:val="22"/>
      <w:szCs w:val="22"/>
      <w:lang w:val="en-US" w:eastAsia="en-US" w:bidi="ar-SA"/>
    </w:rPr>
  </w:style>
  <w:style w:type="paragraph" w:customStyle="1" w:styleId="43">
    <w:name w:val="样式1"/>
    <w:qFormat/>
    <w:uiPriority w:val="0"/>
    <w:pPr>
      <w:widowControl w:val="0"/>
      <w:autoSpaceDE w:val="0"/>
      <w:autoSpaceDN w:val="0"/>
      <w:jc w:val="center"/>
    </w:pPr>
    <w:rPr>
      <w:rFonts w:ascii="宋体" w:hAnsi="宋体" w:eastAsia="宋体" w:cs="宋体"/>
      <w:sz w:val="21"/>
      <w:szCs w:val="24"/>
      <w:lang w:val="en-US" w:eastAsia="en-US" w:bidi="ar-SA"/>
    </w:rPr>
  </w:style>
  <w:style w:type="character" w:customStyle="1" w:styleId="44">
    <w:name w:val="font61"/>
    <w:basedOn w:val="26"/>
    <w:qFormat/>
    <w:uiPriority w:val="0"/>
    <w:rPr>
      <w:rFonts w:hint="default" w:ascii="Times New Roman" w:hAnsi="Times New Roman" w:cs="Times New Roman"/>
      <w:color w:val="000000"/>
      <w:sz w:val="21"/>
      <w:szCs w:val="21"/>
      <w:u w:val="none"/>
      <w:vertAlign w:val="subscript"/>
    </w:rPr>
  </w:style>
  <w:style w:type="paragraph" w:customStyle="1" w:styleId="45">
    <w:name w:val="表格文字"/>
    <w:basedOn w:val="1"/>
    <w:next w:val="1"/>
    <w:qFormat/>
    <w:uiPriority w:val="0"/>
    <w:pPr>
      <w:spacing w:before="30" w:beforeLines="30" w:after="30" w:afterLines="30"/>
      <w:jc w:val="center"/>
    </w:pPr>
    <w:rPr>
      <w:spacing w:val="10"/>
      <w:szCs w:val="21"/>
    </w:rPr>
  </w:style>
  <w:style w:type="character" w:customStyle="1" w:styleId="46">
    <w:name w:val="font11"/>
    <w:basedOn w:val="26"/>
    <w:qFormat/>
    <w:uiPriority w:val="0"/>
    <w:rPr>
      <w:rFonts w:hint="eastAsia" w:ascii="宋体" w:hAnsi="宋体" w:eastAsia="宋体" w:cs="宋体"/>
      <w:color w:val="000000"/>
      <w:sz w:val="22"/>
      <w:szCs w:val="22"/>
      <w:u w:val="none"/>
      <w:vertAlign w:val="superscript"/>
    </w:rPr>
  </w:style>
  <w:style w:type="character" w:customStyle="1" w:styleId="47">
    <w:name w:val="font112"/>
    <w:basedOn w:val="26"/>
    <w:qFormat/>
    <w:uiPriority w:val="0"/>
    <w:rPr>
      <w:rFonts w:hint="eastAsia" w:ascii="宋体" w:hAnsi="宋体" w:eastAsia="宋体" w:cs="宋体"/>
      <w:color w:val="000000"/>
      <w:sz w:val="24"/>
      <w:szCs w:val="24"/>
      <w:u w:val="none"/>
      <w:vertAlign w:val="superscript"/>
    </w:rPr>
  </w:style>
  <w:style w:type="character" w:customStyle="1" w:styleId="48">
    <w:name w:val="font91"/>
    <w:qFormat/>
    <w:uiPriority w:val="0"/>
    <w:rPr>
      <w:rFonts w:hint="default" w:ascii="Tahoma" w:hAnsi="Tahoma" w:eastAsia="Tahoma" w:cs="Tahoma"/>
      <w:color w:val="000000"/>
      <w:sz w:val="22"/>
      <w:szCs w:val="22"/>
      <w:u w:val="none"/>
    </w:rPr>
  </w:style>
  <w:style w:type="character" w:customStyle="1" w:styleId="49">
    <w:name w:val="font121"/>
    <w:qFormat/>
    <w:uiPriority w:val="0"/>
    <w:rPr>
      <w:rFonts w:hint="default" w:ascii="Tahoma" w:hAnsi="Tahoma" w:eastAsia="Tahoma" w:cs="Tahoma"/>
      <w:color w:val="000000"/>
      <w:sz w:val="22"/>
      <w:szCs w:val="22"/>
      <w:u w:val="none"/>
      <w:vertAlign w:val="superscript"/>
    </w:rPr>
  </w:style>
  <w:style w:type="character" w:customStyle="1" w:styleId="50">
    <w:name w:val="font161"/>
    <w:basedOn w:val="26"/>
    <w:qFormat/>
    <w:uiPriority w:val="0"/>
    <w:rPr>
      <w:rFonts w:hint="eastAsia" w:ascii="宋体" w:hAnsi="宋体" w:eastAsia="宋体" w:cs="宋体"/>
      <w:color w:val="000000"/>
      <w:sz w:val="21"/>
      <w:szCs w:val="21"/>
      <w:u w:val="none"/>
    </w:rPr>
  </w:style>
  <w:style w:type="character" w:customStyle="1" w:styleId="51">
    <w:name w:val="font171"/>
    <w:basedOn w:val="26"/>
    <w:qFormat/>
    <w:uiPriority w:val="0"/>
    <w:rPr>
      <w:rFonts w:hint="default" w:ascii="Times New Roman" w:hAnsi="Times New Roman" w:cs="Times New Roman"/>
      <w:color w:val="000000"/>
      <w:sz w:val="21"/>
      <w:szCs w:val="21"/>
      <w:u w:val="none"/>
      <w:vertAlign w:val="superscript"/>
    </w:rPr>
  </w:style>
  <w:style w:type="character" w:customStyle="1" w:styleId="52">
    <w:name w:val="font181"/>
    <w:basedOn w:val="26"/>
    <w:qFormat/>
    <w:uiPriority w:val="0"/>
    <w:rPr>
      <w:rFonts w:ascii="Arial" w:hAnsi="Arial" w:cs="Arial"/>
      <w:color w:val="000000"/>
      <w:sz w:val="21"/>
      <w:szCs w:val="21"/>
      <w:u w:val="none"/>
    </w:rPr>
  </w:style>
  <w:style w:type="character" w:customStyle="1" w:styleId="53">
    <w:name w:val="font131"/>
    <w:basedOn w:val="26"/>
    <w:qFormat/>
    <w:uiPriority w:val="0"/>
    <w:rPr>
      <w:rFonts w:hint="default" w:ascii="Times New Roman" w:hAnsi="Times New Roman" w:cs="Times New Roman"/>
      <w:b/>
      <w:bCs/>
      <w:color w:val="000000"/>
      <w:sz w:val="21"/>
      <w:szCs w:val="21"/>
      <w:u w:val="none"/>
    </w:rPr>
  </w:style>
  <w:style w:type="character" w:customStyle="1" w:styleId="54">
    <w:name w:val="font122"/>
    <w:basedOn w:val="26"/>
    <w:qFormat/>
    <w:uiPriority w:val="0"/>
    <w:rPr>
      <w:rFonts w:hint="eastAsia" w:ascii="宋体" w:hAnsi="宋体" w:eastAsia="宋体" w:cs="宋体"/>
      <w:b/>
      <w:bCs/>
      <w:color w:val="000000"/>
      <w:sz w:val="21"/>
      <w:szCs w:val="21"/>
      <w:u w:val="none"/>
    </w:rPr>
  </w:style>
  <w:style w:type="character" w:customStyle="1" w:styleId="55">
    <w:name w:val="font81"/>
    <w:basedOn w:val="26"/>
    <w:qFormat/>
    <w:uiPriority w:val="0"/>
    <w:rPr>
      <w:rFonts w:hint="default" w:ascii="Times New Roman" w:hAnsi="Times New Roman" w:cs="Times New Roman"/>
      <w:b/>
      <w:bCs/>
      <w:color w:val="000000"/>
      <w:sz w:val="21"/>
      <w:szCs w:val="21"/>
      <w:u w:val="none"/>
      <w:vertAlign w:val="superscript"/>
    </w:rPr>
  </w:style>
  <w:style w:type="character" w:customStyle="1" w:styleId="56">
    <w:name w:val="font101"/>
    <w:basedOn w:val="26"/>
    <w:qFormat/>
    <w:uiPriority w:val="0"/>
    <w:rPr>
      <w:rFonts w:hint="default" w:ascii="Times New Roman" w:hAnsi="Times New Roman" w:cs="Times New Roman"/>
      <w:color w:val="000000"/>
      <w:sz w:val="28"/>
      <w:szCs w:val="28"/>
      <w:u w:val="none"/>
    </w:rPr>
  </w:style>
  <w:style w:type="character" w:customStyle="1" w:styleId="57">
    <w:name w:val="font71"/>
    <w:basedOn w:val="26"/>
    <w:qFormat/>
    <w:uiPriority w:val="0"/>
    <w:rPr>
      <w:rFonts w:hint="default" w:ascii="Calibri" w:hAnsi="Calibri" w:cs="Calibri"/>
      <w:color w:val="000000"/>
      <w:sz w:val="21"/>
      <w:szCs w:val="21"/>
      <w:u w:val="none"/>
      <w:vertAlign w:val="superscript"/>
    </w:rPr>
  </w:style>
  <w:style w:type="paragraph" w:customStyle="1" w:styleId="58">
    <w:name w:val="Default"/>
    <w:unhideWhenUsed/>
    <w:qFormat/>
    <w:uiPriority w:val="99"/>
    <w:pPr>
      <w:widowControl w:val="0"/>
      <w:autoSpaceDE w:val="0"/>
      <w:autoSpaceDN w:val="0"/>
      <w:adjustRightInd w:val="0"/>
    </w:pPr>
    <w:rPr>
      <w:rFonts w:hint="eastAsia" w:ascii="Times New Roman" w:hAnsi="Times New Roman" w:eastAsia="Times New Roman" w:cs="Times New Roman"/>
      <w:color w:val="000000"/>
      <w:sz w:val="24"/>
      <w:szCs w:val="24"/>
      <w:lang w:val="en-US" w:eastAsia="zh-CN" w:bidi="ar-SA"/>
    </w:rPr>
  </w:style>
  <w:style w:type="paragraph" w:customStyle="1" w:styleId="59">
    <w:name w:val="正文 首缩"/>
    <w:basedOn w:val="1"/>
    <w:qFormat/>
    <w:uiPriority w:val="0"/>
    <w:pPr>
      <w:spacing w:line="360" w:lineRule="auto"/>
      <w:ind w:firstLine="480"/>
    </w:pPr>
    <w:rPr>
      <w:rFonts w:ascii="Calibri" w:hAnsi="Calibri"/>
      <w:sz w:val="24"/>
    </w:rPr>
  </w:style>
  <w:style w:type="table" w:customStyle="1" w:styleId="60">
    <w:name w:val="表格0001"/>
    <w:qFormat/>
    <w:uiPriority w:val="99"/>
    <w:pPr>
      <w:jc w:val="center"/>
    </w:pPr>
    <w:tblP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
    <w:tcPr>
      <w:vAlign w:val="center"/>
    </w:tcPr>
  </w:style>
  <w:style w:type="paragraph" w:customStyle="1" w:styleId="61">
    <w:name w:val="bg-内容"/>
    <w:basedOn w:val="1"/>
    <w:qFormat/>
    <w:uiPriority w:val="0"/>
    <w:pPr>
      <w:adjustRightInd w:val="0"/>
      <w:snapToGrid w:val="0"/>
      <w:jc w:val="center"/>
    </w:pPr>
    <w:rPr>
      <w:sz w:val="24"/>
      <w:szCs w:val="20"/>
    </w:rPr>
  </w:style>
  <w:style w:type="paragraph" w:customStyle="1" w:styleId="62">
    <w:name w:val="WPSOffice手动目录 1"/>
    <w:qFormat/>
    <w:uiPriority w:val="0"/>
    <w:rPr>
      <w:rFonts w:ascii="Times New Roman" w:hAnsi="Times New Roman" w:eastAsia="宋体" w:cs="Times New Roman"/>
      <w:lang w:val="en-US" w:eastAsia="zh-CN" w:bidi="ar-SA"/>
    </w:rPr>
  </w:style>
  <w:style w:type="paragraph" w:customStyle="1" w:styleId="6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64">
    <w:name w:val="标题 1 Char"/>
    <w:link w:val="5"/>
    <w:qFormat/>
    <w:uiPriority w:val="1"/>
    <w:rPr>
      <w:rFonts w:ascii="黑体" w:hAnsi="黑体" w:eastAsia="黑体" w:cs="黑体"/>
      <w:b/>
      <w:bCs/>
      <w:sz w:val="36"/>
      <w:szCs w:val="32"/>
    </w:rPr>
  </w:style>
  <w:style w:type="character" w:customStyle="1" w:styleId="65">
    <w:name w:val="批注框文本 Char"/>
    <w:basedOn w:val="26"/>
    <w:link w:val="17"/>
    <w:qFormat/>
    <w:uiPriority w:val="0"/>
    <w:rPr>
      <w:rFonts w:ascii="宋体" w:hAnsi="宋体" w:cs="宋体"/>
      <w:sz w:val="18"/>
      <w:szCs w:val="18"/>
      <w:lang w:eastAsia="en-US"/>
    </w:rPr>
  </w:style>
  <w:style w:type="character" w:customStyle="1" w:styleId="66">
    <w:name w:val="批注文字 Char"/>
    <w:basedOn w:val="26"/>
    <w:link w:val="13"/>
    <w:qFormat/>
    <w:uiPriority w:val="0"/>
    <w:rPr>
      <w:rFonts w:ascii="宋体" w:hAnsi="宋体" w:cs="宋体"/>
      <w:sz w:val="28"/>
      <w:szCs w:val="24"/>
      <w:lang w:eastAsia="en-US"/>
    </w:rPr>
  </w:style>
  <w:style w:type="character" w:customStyle="1" w:styleId="67">
    <w:name w:val="批注主题 Char"/>
    <w:basedOn w:val="66"/>
    <w:link w:val="22"/>
    <w:qFormat/>
    <w:uiPriority w:val="0"/>
    <w:rPr>
      <w:rFonts w:ascii="宋体" w:hAnsi="宋体" w:cs="宋体"/>
      <w:b/>
      <w:bCs/>
      <w:sz w:val="28"/>
      <w:szCs w:val="24"/>
      <w:lang w:eastAsia="en-US"/>
    </w:rPr>
  </w:style>
  <w:style w:type="character" w:customStyle="1" w:styleId="68">
    <w:name w:val="18"/>
    <w:basedOn w:val="26"/>
    <w:qFormat/>
    <w:uiPriority w:val="0"/>
    <w:rPr>
      <w:rFonts w:hint="default" w:ascii="Times New Roman" w:hAnsi="Times New Roman" w:cs="Times New Roman"/>
    </w:rPr>
  </w:style>
  <w:style w:type="character" w:customStyle="1" w:styleId="69">
    <w:name w:val="10"/>
    <w:basedOn w:val="26"/>
    <w:qFormat/>
    <w:uiPriority w:val="0"/>
    <w:rPr>
      <w:rFonts w:hint="default" w:ascii="Times New Roman" w:hAnsi="Times New Roman" w:cs="Times New Roman"/>
    </w:rPr>
  </w:style>
  <w:style w:type="character" w:customStyle="1" w:styleId="70">
    <w:name w:val="16"/>
    <w:basedOn w:val="26"/>
    <w:qFormat/>
    <w:uiPriority w:val="0"/>
    <w:rPr>
      <w:rFonts w:hint="default" w:ascii="Times New Roman" w:hAnsi="Times New Roman" w:cs="Times New Roman"/>
      <w:b/>
    </w:rPr>
  </w:style>
  <w:style w:type="character" w:customStyle="1" w:styleId="71">
    <w:name w:val="17"/>
    <w:basedOn w:val="26"/>
    <w:qFormat/>
    <w:uiPriority w:val="0"/>
    <w:rPr>
      <w:rFonts w:hint="default" w:ascii="Times New Roman" w:hAnsi="Times New Roman" w:cs="Times New Roman"/>
      <w:color w:val="0000FF"/>
      <w:u w:val="single"/>
    </w:rPr>
  </w:style>
</w:styles>
</file>

<file path=word/_rels/document.xml.rels><?xml version="1.0" encoding="UTF-8" standalone="yes"?>
<Relationships xmlns="http://schemas.openxmlformats.org/package/2006/relationships"><Relationship Id="rId99" Type="http://schemas.openxmlformats.org/officeDocument/2006/relationships/image" Target="media/image17.jpeg"/><Relationship Id="rId98" Type="http://schemas.openxmlformats.org/officeDocument/2006/relationships/image" Target="media/image16.png"/><Relationship Id="rId97" Type="http://schemas.openxmlformats.org/officeDocument/2006/relationships/image" Target="media/image15.png"/><Relationship Id="rId96" Type="http://schemas.openxmlformats.org/officeDocument/2006/relationships/image" Target="media/image14.png"/><Relationship Id="rId95" Type="http://schemas.openxmlformats.org/officeDocument/2006/relationships/image" Target="media/image13.emf"/><Relationship Id="rId94" Type="http://schemas.openxmlformats.org/officeDocument/2006/relationships/oleObject" Target="embeddings/oleObject1.bin"/><Relationship Id="rId93" Type="http://schemas.openxmlformats.org/officeDocument/2006/relationships/image" Target="media/image12.png"/><Relationship Id="rId92" Type="http://schemas.openxmlformats.org/officeDocument/2006/relationships/image" Target="media/image11.png"/><Relationship Id="rId91" Type="http://schemas.openxmlformats.org/officeDocument/2006/relationships/image" Target="media/image10.png"/><Relationship Id="rId90" Type="http://schemas.openxmlformats.org/officeDocument/2006/relationships/image" Target="media/image9.png"/><Relationship Id="rId9" Type="http://schemas.openxmlformats.org/officeDocument/2006/relationships/footer" Target="footer3.xml"/><Relationship Id="rId89" Type="http://schemas.openxmlformats.org/officeDocument/2006/relationships/image" Target="media/image8.png"/><Relationship Id="rId88" Type="http://schemas.openxmlformats.org/officeDocument/2006/relationships/image" Target="media/image7.png"/><Relationship Id="rId87" Type="http://schemas.openxmlformats.org/officeDocument/2006/relationships/image" Target="media/image6.png"/><Relationship Id="rId86" Type="http://schemas.openxmlformats.org/officeDocument/2006/relationships/image" Target="media/image5.png"/><Relationship Id="rId85" Type="http://schemas.openxmlformats.org/officeDocument/2006/relationships/image" Target="media/image4.png"/><Relationship Id="rId84" Type="http://schemas.openxmlformats.org/officeDocument/2006/relationships/image" Target="file:///C:\Users\Administrator\Documents\WXWork\1688851235370746\Cache\Image\2018-05\%2525257B97B9AB73-1806-4E9C-B32A-F193CEC0020E%2525257D.png" TargetMode="External"/><Relationship Id="rId83" Type="http://schemas.openxmlformats.org/officeDocument/2006/relationships/image" Target="media/image3.png"/><Relationship Id="rId82" Type="http://schemas.openxmlformats.org/officeDocument/2006/relationships/theme" Target="theme/theme1.xml"/><Relationship Id="rId81" Type="http://schemas.openxmlformats.org/officeDocument/2006/relationships/header" Target="header22.xml"/><Relationship Id="rId80" Type="http://schemas.openxmlformats.org/officeDocument/2006/relationships/footer" Target="footer55.xml"/><Relationship Id="rId8" Type="http://schemas.openxmlformats.org/officeDocument/2006/relationships/footer" Target="footer2.xml"/><Relationship Id="rId79" Type="http://schemas.openxmlformats.org/officeDocument/2006/relationships/footer" Target="footer54.xml"/><Relationship Id="rId78" Type="http://schemas.openxmlformats.org/officeDocument/2006/relationships/header" Target="header21.xml"/><Relationship Id="rId77" Type="http://schemas.openxmlformats.org/officeDocument/2006/relationships/footer" Target="footer53.xml"/><Relationship Id="rId76" Type="http://schemas.openxmlformats.org/officeDocument/2006/relationships/footer" Target="footer52.xml"/><Relationship Id="rId75" Type="http://schemas.openxmlformats.org/officeDocument/2006/relationships/header" Target="header20.xml"/><Relationship Id="rId74" Type="http://schemas.openxmlformats.org/officeDocument/2006/relationships/footer" Target="footer51.xml"/><Relationship Id="rId73" Type="http://schemas.openxmlformats.org/officeDocument/2006/relationships/footer" Target="footer50.xml"/><Relationship Id="rId72" Type="http://schemas.openxmlformats.org/officeDocument/2006/relationships/footer" Target="footer49.xml"/><Relationship Id="rId71" Type="http://schemas.openxmlformats.org/officeDocument/2006/relationships/footer" Target="footer48.xml"/><Relationship Id="rId70" Type="http://schemas.openxmlformats.org/officeDocument/2006/relationships/header" Target="header19.xml"/><Relationship Id="rId7" Type="http://schemas.openxmlformats.org/officeDocument/2006/relationships/footer" Target="footer1.xml"/><Relationship Id="rId69" Type="http://schemas.openxmlformats.org/officeDocument/2006/relationships/header" Target="header18.xml"/><Relationship Id="rId68" Type="http://schemas.openxmlformats.org/officeDocument/2006/relationships/footer" Target="footer47.xml"/><Relationship Id="rId67" Type="http://schemas.openxmlformats.org/officeDocument/2006/relationships/footer" Target="footer46.xml"/><Relationship Id="rId66" Type="http://schemas.openxmlformats.org/officeDocument/2006/relationships/header" Target="header17.xml"/><Relationship Id="rId65" Type="http://schemas.openxmlformats.org/officeDocument/2006/relationships/footer" Target="footer45.xml"/><Relationship Id="rId64" Type="http://schemas.openxmlformats.org/officeDocument/2006/relationships/footer" Target="footer44.xml"/><Relationship Id="rId63" Type="http://schemas.openxmlformats.org/officeDocument/2006/relationships/footer" Target="footer43.xml"/><Relationship Id="rId62" Type="http://schemas.openxmlformats.org/officeDocument/2006/relationships/footer" Target="footer42.xml"/><Relationship Id="rId61" Type="http://schemas.openxmlformats.org/officeDocument/2006/relationships/header" Target="header16.xml"/><Relationship Id="rId60" Type="http://schemas.openxmlformats.org/officeDocument/2006/relationships/header" Target="header15.xml"/><Relationship Id="rId6" Type="http://schemas.openxmlformats.org/officeDocument/2006/relationships/header" Target="header2.xml"/><Relationship Id="rId59" Type="http://schemas.openxmlformats.org/officeDocument/2006/relationships/footer" Target="footer41.xml"/><Relationship Id="rId58" Type="http://schemas.openxmlformats.org/officeDocument/2006/relationships/footer" Target="footer40.xml"/><Relationship Id="rId57" Type="http://schemas.openxmlformats.org/officeDocument/2006/relationships/footer" Target="footer39.xml"/><Relationship Id="rId56" Type="http://schemas.openxmlformats.org/officeDocument/2006/relationships/footer" Target="footer38.xml"/><Relationship Id="rId55" Type="http://schemas.openxmlformats.org/officeDocument/2006/relationships/footer" Target="footer37.xml"/><Relationship Id="rId54" Type="http://schemas.openxmlformats.org/officeDocument/2006/relationships/footer" Target="footer36.xml"/><Relationship Id="rId53" Type="http://schemas.openxmlformats.org/officeDocument/2006/relationships/footer" Target="footer35.xml"/><Relationship Id="rId52" Type="http://schemas.openxmlformats.org/officeDocument/2006/relationships/footer" Target="footer34.xml"/><Relationship Id="rId51" Type="http://schemas.openxmlformats.org/officeDocument/2006/relationships/footer" Target="footer33.xml"/><Relationship Id="rId50" Type="http://schemas.openxmlformats.org/officeDocument/2006/relationships/header" Target="header14.xml"/><Relationship Id="rId5" Type="http://schemas.openxmlformats.org/officeDocument/2006/relationships/header" Target="header1.xml"/><Relationship Id="rId49" Type="http://schemas.openxmlformats.org/officeDocument/2006/relationships/header" Target="header13.xml"/><Relationship Id="rId48" Type="http://schemas.openxmlformats.org/officeDocument/2006/relationships/footer" Target="footer32.xml"/><Relationship Id="rId47" Type="http://schemas.openxmlformats.org/officeDocument/2006/relationships/footer" Target="footer31.xml"/><Relationship Id="rId46" Type="http://schemas.openxmlformats.org/officeDocument/2006/relationships/footer" Target="footer30.xml"/><Relationship Id="rId45" Type="http://schemas.openxmlformats.org/officeDocument/2006/relationships/footer" Target="footer29.xml"/><Relationship Id="rId44" Type="http://schemas.openxmlformats.org/officeDocument/2006/relationships/header" Target="header12.xml"/><Relationship Id="rId43" Type="http://schemas.openxmlformats.org/officeDocument/2006/relationships/header" Target="header11.xml"/><Relationship Id="rId42" Type="http://schemas.openxmlformats.org/officeDocument/2006/relationships/footer" Target="footer28.xml"/><Relationship Id="rId41" Type="http://schemas.openxmlformats.org/officeDocument/2006/relationships/footer" Target="footer27.xml"/><Relationship Id="rId40" Type="http://schemas.openxmlformats.org/officeDocument/2006/relationships/header" Target="header10.xml"/><Relationship Id="rId4" Type="http://schemas.openxmlformats.org/officeDocument/2006/relationships/endnotes" Target="endnotes.xml"/><Relationship Id="rId39" Type="http://schemas.openxmlformats.org/officeDocument/2006/relationships/header" Target="header9.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header" Target="header6.xml"/><Relationship Id="rId31" Type="http://schemas.openxmlformats.org/officeDocument/2006/relationships/header" Target="header5.xml"/><Relationship Id="rId30" Type="http://schemas.openxmlformats.org/officeDocument/2006/relationships/footer" Target="footer22.xml"/><Relationship Id="rId3" Type="http://schemas.openxmlformats.org/officeDocument/2006/relationships/footnotes" Target="footnotes.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header" Target="header4.xml"/><Relationship Id="rId21" Type="http://schemas.openxmlformats.org/officeDocument/2006/relationships/header" Target="header3.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3" Type="http://schemas.microsoft.com/office/2011/relationships/people" Target="people.xml"/><Relationship Id="rId142" Type="http://schemas.openxmlformats.org/officeDocument/2006/relationships/fontTable" Target="fontTable.xml"/><Relationship Id="rId141" Type="http://schemas.openxmlformats.org/officeDocument/2006/relationships/numbering" Target="numbering.xml"/><Relationship Id="rId140" Type="http://schemas.openxmlformats.org/officeDocument/2006/relationships/customXml" Target="../customXml/item1.xml"/><Relationship Id="rId14" Type="http://schemas.openxmlformats.org/officeDocument/2006/relationships/footer" Target="footer8.xml"/><Relationship Id="rId139" Type="http://schemas.openxmlformats.org/officeDocument/2006/relationships/image" Target="media/image57.png"/><Relationship Id="rId138" Type="http://schemas.openxmlformats.org/officeDocument/2006/relationships/image" Target="media/image56.png"/><Relationship Id="rId137" Type="http://schemas.openxmlformats.org/officeDocument/2006/relationships/image" Target="media/image55.png"/><Relationship Id="rId136" Type="http://schemas.openxmlformats.org/officeDocument/2006/relationships/image" Target="media/image54.png"/><Relationship Id="rId135" Type="http://schemas.openxmlformats.org/officeDocument/2006/relationships/image" Target="media/image53.wmf"/><Relationship Id="rId134" Type="http://schemas.openxmlformats.org/officeDocument/2006/relationships/image" Target="media/image52.wmf"/><Relationship Id="rId133" Type="http://schemas.openxmlformats.org/officeDocument/2006/relationships/image" Target="media/image51.png"/><Relationship Id="rId132" Type="http://schemas.openxmlformats.org/officeDocument/2006/relationships/image" Target="media/image50.png"/><Relationship Id="rId131" Type="http://schemas.openxmlformats.org/officeDocument/2006/relationships/image" Target="media/image49.png"/><Relationship Id="rId130" Type="http://schemas.openxmlformats.org/officeDocument/2006/relationships/image" Target="media/image48.png"/><Relationship Id="rId13" Type="http://schemas.openxmlformats.org/officeDocument/2006/relationships/footer" Target="footer7.xml"/><Relationship Id="rId129" Type="http://schemas.openxmlformats.org/officeDocument/2006/relationships/image" Target="media/image47.png"/><Relationship Id="rId128" Type="http://schemas.openxmlformats.org/officeDocument/2006/relationships/image" Target="media/image46.png"/><Relationship Id="rId127" Type="http://schemas.openxmlformats.org/officeDocument/2006/relationships/image" Target="media/image45.png"/><Relationship Id="rId126" Type="http://schemas.openxmlformats.org/officeDocument/2006/relationships/image" Target="media/image44.png"/><Relationship Id="rId125" Type="http://schemas.openxmlformats.org/officeDocument/2006/relationships/image" Target="media/image43.png"/><Relationship Id="rId124" Type="http://schemas.openxmlformats.org/officeDocument/2006/relationships/image" Target="media/image42.png"/><Relationship Id="rId123" Type="http://schemas.openxmlformats.org/officeDocument/2006/relationships/image" Target="media/image41.png"/><Relationship Id="rId122" Type="http://schemas.openxmlformats.org/officeDocument/2006/relationships/image" Target="media/image40.png"/><Relationship Id="rId121" Type="http://schemas.openxmlformats.org/officeDocument/2006/relationships/image" Target="media/image39.png"/><Relationship Id="rId120" Type="http://schemas.openxmlformats.org/officeDocument/2006/relationships/image" Target="media/image38.png"/><Relationship Id="rId12" Type="http://schemas.openxmlformats.org/officeDocument/2006/relationships/footer" Target="footer6.xml"/><Relationship Id="rId119" Type="http://schemas.openxmlformats.org/officeDocument/2006/relationships/image" Target="media/image37.png"/><Relationship Id="rId118" Type="http://schemas.openxmlformats.org/officeDocument/2006/relationships/image" Target="media/image36.jpeg"/><Relationship Id="rId117" Type="http://schemas.openxmlformats.org/officeDocument/2006/relationships/image" Target="media/image35.jpeg"/><Relationship Id="rId116" Type="http://schemas.openxmlformats.org/officeDocument/2006/relationships/image" Target="media/image34.png"/><Relationship Id="rId115" Type="http://schemas.openxmlformats.org/officeDocument/2006/relationships/image" Target="media/image33.jpeg"/><Relationship Id="rId114" Type="http://schemas.openxmlformats.org/officeDocument/2006/relationships/image" Target="media/image32.jpeg"/><Relationship Id="rId113" Type="http://schemas.openxmlformats.org/officeDocument/2006/relationships/image" Target="media/image31.jpeg"/><Relationship Id="rId112" Type="http://schemas.openxmlformats.org/officeDocument/2006/relationships/image" Target="media/image30.jpeg"/><Relationship Id="rId111" Type="http://schemas.openxmlformats.org/officeDocument/2006/relationships/image" Target="media/image29.jpeg"/><Relationship Id="rId110" Type="http://schemas.openxmlformats.org/officeDocument/2006/relationships/image" Target="media/image28.jpeg"/><Relationship Id="rId11" Type="http://schemas.openxmlformats.org/officeDocument/2006/relationships/footer" Target="footer5.xml"/><Relationship Id="rId109" Type="http://schemas.openxmlformats.org/officeDocument/2006/relationships/image" Target="media/image27.jpeg"/><Relationship Id="rId108" Type="http://schemas.openxmlformats.org/officeDocument/2006/relationships/image" Target="media/image26.jpeg"/><Relationship Id="rId107" Type="http://schemas.openxmlformats.org/officeDocument/2006/relationships/image" Target="media/image25.jpeg"/><Relationship Id="rId106" Type="http://schemas.openxmlformats.org/officeDocument/2006/relationships/image" Target="media/image24.jpeg"/><Relationship Id="rId105" Type="http://schemas.openxmlformats.org/officeDocument/2006/relationships/image" Target="media/image23.jpeg"/><Relationship Id="rId104" Type="http://schemas.openxmlformats.org/officeDocument/2006/relationships/image" Target="media/image22.jpeg"/><Relationship Id="rId103" Type="http://schemas.openxmlformats.org/officeDocument/2006/relationships/image" Target="media/image21.jpeg"/><Relationship Id="rId102" Type="http://schemas.openxmlformats.org/officeDocument/2006/relationships/image" Target="media/image20.jpeg"/><Relationship Id="rId101" Type="http://schemas.openxmlformats.org/officeDocument/2006/relationships/image" Target="media/image19.jpeg"/><Relationship Id="rId100" Type="http://schemas.openxmlformats.org/officeDocument/2006/relationships/image" Target="media/image18.jpeg"/><Relationship Id="rId10" Type="http://schemas.openxmlformats.org/officeDocument/2006/relationships/footer" Target="footer4.xml"/><Relationship Id="rId1" Type="http://schemas.openxmlformats.org/officeDocument/2006/relationships/styles" Target="styles.xml"/></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2.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18.xml.rels><?xml version="1.0" encoding="UTF-8" standalone="yes"?>
<Relationships xmlns="http://schemas.openxmlformats.org/package/2006/relationships"><Relationship Id="rId1" Type="http://schemas.openxmlformats.org/officeDocument/2006/relationships/image" Target="media/image2.jpeg"/></Relationships>
</file>

<file path=word/_rels/footer19.xml.rels><?xml version="1.0" encoding="UTF-8" standalone="yes"?>
<Relationships xmlns="http://schemas.openxmlformats.org/package/2006/relationships"><Relationship Id="rId1" Type="http://schemas.openxmlformats.org/officeDocument/2006/relationships/image" Target="media/image1.jpeg"/></Relationships>
</file>

<file path=word/_rels/footer20.xml.rels><?xml version="1.0" encoding="UTF-8" standalone="yes"?>
<Relationships xmlns="http://schemas.openxmlformats.org/package/2006/relationships"><Relationship Id="rId1" Type="http://schemas.openxmlformats.org/officeDocument/2006/relationships/image" Target="media/image2.jpeg"/></Relationships>
</file>

<file path=word/_rels/footer21.xml.rels><?xml version="1.0" encoding="UTF-8" standalone="yes"?>
<Relationships xmlns="http://schemas.openxmlformats.org/package/2006/relationships"><Relationship Id="rId1" Type="http://schemas.openxmlformats.org/officeDocument/2006/relationships/image" Target="media/image1.jpeg"/></Relationships>
</file>

<file path=word/_rels/footer22.xml.rels><?xml version="1.0" encoding="UTF-8" standalone="yes"?>
<Relationships xmlns="http://schemas.openxmlformats.org/package/2006/relationships"><Relationship Id="rId1" Type="http://schemas.openxmlformats.org/officeDocument/2006/relationships/image" Target="media/image2.jpeg"/></Relationships>
</file>

<file path=word/_rels/footer23.xml.rels><?xml version="1.0" encoding="UTF-8" standalone="yes"?>
<Relationships xmlns="http://schemas.openxmlformats.org/package/2006/relationships"><Relationship Id="rId1" Type="http://schemas.openxmlformats.org/officeDocument/2006/relationships/image" Target="media/image1.jpeg"/></Relationships>
</file>

<file path=word/_rels/footer24.xml.rels><?xml version="1.0" encoding="UTF-8" standalone="yes"?>
<Relationships xmlns="http://schemas.openxmlformats.org/package/2006/relationships"><Relationship Id="rId1" Type="http://schemas.openxmlformats.org/officeDocument/2006/relationships/image" Target="media/image2.jpeg"/></Relationships>
</file>

<file path=word/_rels/footer25.xml.rels><?xml version="1.0" encoding="UTF-8" standalone="yes"?>
<Relationships xmlns="http://schemas.openxmlformats.org/package/2006/relationships"><Relationship Id="rId1" Type="http://schemas.openxmlformats.org/officeDocument/2006/relationships/image" Target="media/image1.jpeg"/></Relationships>
</file>

<file path=word/_rels/footer26.xml.rels><?xml version="1.0" encoding="UTF-8" standalone="yes"?>
<Relationships xmlns="http://schemas.openxmlformats.org/package/2006/relationships"><Relationship Id="rId1" Type="http://schemas.openxmlformats.org/officeDocument/2006/relationships/image" Target="media/image2.jpeg"/></Relationships>
</file>

<file path=word/_rels/footer27.xml.rels><?xml version="1.0" encoding="UTF-8" standalone="yes"?>
<Relationships xmlns="http://schemas.openxmlformats.org/package/2006/relationships"><Relationship Id="rId1" Type="http://schemas.openxmlformats.org/officeDocument/2006/relationships/image" Target="media/image1.jpeg"/></Relationships>
</file>

<file path=word/_rels/footer28.xml.rels><?xml version="1.0" encoding="UTF-8" standalone="yes"?>
<Relationships xmlns="http://schemas.openxmlformats.org/package/2006/relationships"><Relationship Id="rId1" Type="http://schemas.openxmlformats.org/officeDocument/2006/relationships/image" Target="media/image2.jpeg"/></Relationships>
</file>

<file path=word/_rels/footer29.xml.rels><?xml version="1.0" encoding="UTF-8" standalone="yes"?>
<Relationships xmlns="http://schemas.openxmlformats.org/package/2006/relationships"><Relationship Id="rId1" Type="http://schemas.openxmlformats.org/officeDocument/2006/relationships/image" Target="media/image1.jpeg"/></Relationships>
</file>

<file path=word/_rels/footer30.xml.rels><?xml version="1.0" encoding="UTF-8" standalone="yes"?>
<Relationships xmlns="http://schemas.openxmlformats.org/package/2006/relationships"><Relationship Id="rId1" Type="http://schemas.openxmlformats.org/officeDocument/2006/relationships/image" Target="media/image2.jpeg"/></Relationships>
</file>

<file path=word/_rels/footer31.xml.rels><?xml version="1.0" encoding="UTF-8" standalone="yes"?>
<Relationships xmlns="http://schemas.openxmlformats.org/package/2006/relationships"><Relationship Id="rId1" Type="http://schemas.openxmlformats.org/officeDocument/2006/relationships/image" Target="media/image1.jpeg"/></Relationships>
</file>

<file path=word/_rels/footer32.xml.rels><?xml version="1.0" encoding="UTF-8" standalone="yes"?>
<Relationships xmlns="http://schemas.openxmlformats.org/package/2006/relationships"><Relationship Id="rId1" Type="http://schemas.openxmlformats.org/officeDocument/2006/relationships/image" Target="media/image2.jpeg"/></Relationships>
</file>

<file path=word/_rels/footer33.xml.rels><?xml version="1.0" encoding="UTF-8" standalone="yes"?>
<Relationships xmlns="http://schemas.openxmlformats.org/package/2006/relationships"><Relationship Id="rId1" Type="http://schemas.openxmlformats.org/officeDocument/2006/relationships/image" Target="media/image1.jpeg"/></Relationships>
</file>

<file path=word/_rels/footer34.xml.rels><?xml version="1.0" encoding="UTF-8" standalone="yes"?>
<Relationships xmlns="http://schemas.openxmlformats.org/package/2006/relationships"><Relationship Id="rId1" Type="http://schemas.openxmlformats.org/officeDocument/2006/relationships/image" Target="media/image2.jpeg"/></Relationships>
</file>

<file path=word/_rels/footer35.xml.rels><?xml version="1.0" encoding="UTF-8" standalone="yes"?>
<Relationships xmlns="http://schemas.openxmlformats.org/package/2006/relationships"><Relationship Id="rId1" Type="http://schemas.openxmlformats.org/officeDocument/2006/relationships/image" Target="media/image1.jpeg"/></Relationships>
</file>

<file path=word/_rels/footer36.xml.rels><?xml version="1.0" encoding="UTF-8" standalone="yes"?>
<Relationships xmlns="http://schemas.openxmlformats.org/package/2006/relationships"><Relationship Id="rId1" Type="http://schemas.openxmlformats.org/officeDocument/2006/relationships/image" Target="media/image2.jpeg"/></Relationships>
</file>

<file path=word/_rels/footer37.xml.rels><?xml version="1.0" encoding="UTF-8" standalone="yes"?>
<Relationships xmlns="http://schemas.openxmlformats.org/package/2006/relationships"><Relationship Id="rId1" Type="http://schemas.openxmlformats.org/officeDocument/2006/relationships/image" Target="media/image1.jpeg"/></Relationships>
</file>

<file path=word/_rels/footer38.xml.rels><?xml version="1.0" encoding="UTF-8" standalone="yes"?>
<Relationships xmlns="http://schemas.openxmlformats.org/package/2006/relationships"><Relationship Id="rId1" Type="http://schemas.openxmlformats.org/officeDocument/2006/relationships/image" Target="media/image2.jpeg"/></Relationships>
</file>

<file path=word/_rels/footer39.xml.rels><?xml version="1.0" encoding="UTF-8" standalone="yes"?>
<Relationships xmlns="http://schemas.openxmlformats.org/package/2006/relationships"><Relationship Id="rId1" Type="http://schemas.openxmlformats.org/officeDocument/2006/relationships/image" Target="media/image2.jpeg"/></Relationships>
</file>

<file path=word/_rels/footer40.xml.rels><?xml version="1.0" encoding="UTF-8" standalone="yes"?>
<Relationships xmlns="http://schemas.openxmlformats.org/package/2006/relationships"><Relationship Id="rId1" Type="http://schemas.openxmlformats.org/officeDocument/2006/relationships/image" Target="media/image1.jpeg"/></Relationships>
</file>

<file path=word/_rels/footer41.xml.rels><?xml version="1.0" encoding="UTF-8" standalone="yes"?>
<Relationships xmlns="http://schemas.openxmlformats.org/package/2006/relationships"><Relationship Id="rId1" Type="http://schemas.openxmlformats.org/officeDocument/2006/relationships/image" Target="media/image2.jpeg"/></Relationships>
</file>

<file path=word/_rels/footer42.xml.rels><?xml version="1.0" encoding="UTF-8" standalone="yes"?>
<Relationships xmlns="http://schemas.openxmlformats.org/package/2006/relationships"><Relationship Id="rId1" Type="http://schemas.openxmlformats.org/officeDocument/2006/relationships/image" Target="media/image1.jpeg"/></Relationships>
</file>

<file path=word/_rels/footer43.xml.rels><?xml version="1.0" encoding="UTF-8" standalone="yes"?>
<Relationships xmlns="http://schemas.openxmlformats.org/package/2006/relationships"><Relationship Id="rId1" Type="http://schemas.openxmlformats.org/officeDocument/2006/relationships/image" Target="media/image1.jpeg"/></Relationships>
</file>

<file path=word/_rels/footer44.xml.rels><?xml version="1.0" encoding="UTF-8" standalone="yes"?>
<Relationships xmlns="http://schemas.openxmlformats.org/package/2006/relationships"><Relationship Id="rId1" Type="http://schemas.openxmlformats.org/officeDocument/2006/relationships/image" Target="media/image1.jpeg"/></Relationships>
</file>

<file path=word/_rels/footer45.xml.rels><?xml version="1.0" encoding="UTF-8" standalone="yes"?>
<Relationships xmlns="http://schemas.openxmlformats.org/package/2006/relationships"><Relationship Id="rId1" Type="http://schemas.openxmlformats.org/officeDocument/2006/relationships/image" Target="media/image1.jpeg"/></Relationships>
</file>

<file path=word/_rels/footer46.xml.rels><?xml version="1.0" encoding="UTF-8" standalone="yes"?>
<Relationships xmlns="http://schemas.openxmlformats.org/package/2006/relationships"><Relationship Id="rId1" Type="http://schemas.openxmlformats.org/officeDocument/2006/relationships/image" Target="media/image1.jpeg"/></Relationships>
</file>

<file path=word/_rels/footer47.xml.rels><?xml version="1.0" encoding="UTF-8" standalone="yes"?>
<Relationships xmlns="http://schemas.openxmlformats.org/package/2006/relationships"><Relationship Id="rId1" Type="http://schemas.openxmlformats.org/officeDocument/2006/relationships/image" Target="media/image1.jpeg"/></Relationships>
</file>

<file path=word/_rels/footer48.xml.rels><?xml version="1.0" encoding="UTF-8" standalone="yes"?>
<Relationships xmlns="http://schemas.openxmlformats.org/package/2006/relationships"><Relationship Id="rId1" Type="http://schemas.openxmlformats.org/officeDocument/2006/relationships/image" Target="media/image1.jpeg"/></Relationships>
</file>

<file path=word/_rels/footer49.xml.rels><?xml version="1.0" encoding="UTF-8" standalone="yes"?>
<Relationships xmlns="http://schemas.openxmlformats.org/package/2006/relationships"><Relationship Id="rId1" Type="http://schemas.openxmlformats.org/officeDocument/2006/relationships/image" Target="media/image1.jpeg"/></Relationships>
</file>

<file path=word/_rels/footer50.xml.rels><?xml version="1.0" encoding="UTF-8" standalone="yes"?>
<Relationships xmlns="http://schemas.openxmlformats.org/package/2006/relationships"><Relationship Id="rId1" Type="http://schemas.openxmlformats.org/officeDocument/2006/relationships/image" Target="media/image1.jpeg"/></Relationships>
</file>

<file path=word/_rels/footer51.xml.rels><?xml version="1.0" encoding="UTF-8" standalone="yes"?>
<Relationships xmlns="http://schemas.openxmlformats.org/package/2006/relationships"><Relationship Id="rId1" Type="http://schemas.openxmlformats.org/officeDocument/2006/relationships/image" Target="media/image1.jpeg"/></Relationships>
</file>

<file path=word/_rels/footer52.xml.rels><?xml version="1.0" encoding="UTF-8" standalone="yes"?>
<Relationships xmlns="http://schemas.openxmlformats.org/package/2006/relationships"><Relationship Id="rId1" Type="http://schemas.openxmlformats.org/officeDocument/2006/relationships/image" Target="media/image1.jpeg"/></Relationships>
</file>

<file path=word/_rels/footer53.xml.rels><?xml version="1.0" encoding="UTF-8" standalone="yes"?>
<Relationships xmlns="http://schemas.openxmlformats.org/package/2006/relationships"><Relationship Id="rId1" Type="http://schemas.openxmlformats.org/officeDocument/2006/relationships/image" Target="media/image1.jpeg"/></Relationships>
</file>

<file path=word/_rels/footer54.xml.rels><?xml version="1.0" encoding="UTF-8" standalone="yes"?>
<Relationships xmlns="http://schemas.openxmlformats.org/package/2006/relationships"><Relationship Id="rId1" Type="http://schemas.openxmlformats.org/officeDocument/2006/relationships/image" Target="media/image1.jpeg"/></Relationships>
</file>

<file path=word/_rels/footer5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299</Pages>
  <Words>168596</Words>
  <Characters>201430</Characters>
  <Lines>1576</Lines>
  <Paragraphs>443</Paragraphs>
  <TotalTime>2</TotalTime>
  <ScaleCrop>false</ScaleCrop>
  <LinksUpToDate>false</LinksUpToDate>
  <CharactersWithSpaces>203870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2021-09-24T05:40:00Z</dcterms:created>
  <dc:creator>Administrator</dc:creator>
  <cp:lastModifiedBy>白白白白</cp:lastModifiedBy>
  <dcterms:modified xsi:type="dcterms:W3CDTF">2023-04-04T08:07:30Z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CAF83A45294A4F248298EA408227CA49</vt:lpwstr>
  </property>
</Properties>
</file>