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212"/>
        </w:tabs>
        <w:kinsoku/>
        <w:wordWrap/>
        <w:overflowPunct/>
        <w:topLinePunct w:val="0"/>
        <w:autoSpaceDE/>
        <w:autoSpaceDN/>
        <w:bidi w:val="0"/>
        <w:spacing w:line="560" w:lineRule="exact"/>
        <w:jc w:val="both"/>
        <w:textAlignment w:val="auto"/>
        <w:rPr>
          <w:rFonts w:hint="default" w:ascii="Times New Roman" w:hAnsi="Times New Roman" w:eastAsia="楷体_GB2312" w:cs="Times New Roman"/>
          <w:b/>
          <w:bCs w:val="0"/>
          <w:sz w:val="32"/>
          <w:szCs w:val="32"/>
        </w:rPr>
      </w:pPr>
    </w:p>
    <w:p>
      <w:pPr>
        <w:keepNext w:val="0"/>
        <w:keepLines w:val="0"/>
        <w:pageBreakBefore w:val="0"/>
        <w:widowControl w:val="0"/>
        <w:tabs>
          <w:tab w:val="left" w:pos="2212"/>
        </w:tabs>
        <w:kinsoku/>
        <w:wordWrap/>
        <w:overflowPunct/>
        <w:topLinePunct w:val="0"/>
        <w:autoSpaceDE/>
        <w:autoSpaceDN/>
        <w:bidi w:val="0"/>
        <w:spacing w:line="560" w:lineRule="exact"/>
        <w:ind w:left="0" w:leftChars="0" w:firstLine="643" w:firstLineChars="200"/>
        <w:jc w:val="center"/>
        <w:textAlignment w:val="auto"/>
        <w:rPr>
          <w:rFonts w:hint="default" w:ascii="Times New Roman" w:hAnsi="Times New Roman" w:eastAsia="楷体_GB2312" w:cs="Times New Roman"/>
          <w:b/>
          <w:bCs w:val="0"/>
          <w:sz w:val="32"/>
          <w:szCs w:val="32"/>
        </w:rPr>
      </w:pPr>
    </w:p>
    <w:p>
      <w:pPr>
        <w:keepNext w:val="0"/>
        <w:keepLines w:val="0"/>
        <w:pageBreakBefore w:val="0"/>
        <w:widowControl w:val="0"/>
        <w:tabs>
          <w:tab w:val="left" w:pos="2212"/>
        </w:tabs>
        <w:kinsoku/>
        <w:wordWrap/>
        <w:overflowPunct/>
        <w:topLinePunct w:val="0"/>
        <w:autoSpaceDE/>
        <w:autoSpaceDN/>
        <w:bidi w:val="0"/>
        <w:spacing w:line="560" w:lineRule="exact"/>
        <w:ind w:left="0" w:leftChars="0" w:firstLine="643" w:firstLineChars="200"/>
        <w:jc w:val="center"/>
        <w:textAlignment w:val="auto"/>
        <w:rPr>
          <w:rFonts w:hint="default" w:ascii="Times New Roman" w:hAnsi="Times New Roman" w:eastAsia="楷体_GB2312" w:cs="Times New Roman"/>
          <w:b/>
          <w:bCs w:val="0"/>
          <w:sz w:val="32"/>
          <w:szCs w:val="32"/>
        </w:rPr>
      </w:pPr>
    </w:p>
    <w:p>
      <w:pPr>
        <w:keepNext w:val="0"/>
        <w:keepLines w:val="0"/>
        <w:pageBreakBefore w:val="0"/>
        <w:widowControl w:val="0"/>
        <w:tabs>
          <w:tab w:val="left" w:pos="2212"/>
        </w:tabs>
        <w:kinsoku/>
        <w:wordWrap/>
        <w:overflowPunct/>
        <w:topLinePunct w:val="0"/>
        <w:autoSpaceDE/>
        <w:autoSpaceDN/>
        <w:bidi w:val="0"/>
        <w:spacing w:line="560" w:lineRule="exact"/>
        <w:jc w:val="both"/>
        <w:textAlignment w:val="auto"/>
        <w:rPr>
          <w:rFonts w:hint="default" w:ascii="Times New Roman" w:hAnsi="Times New Roman" w:eastAsia="楷体_GB2312" w:cs="Times New Roman"/>
          <w:b/>
          <w:bCs w:val="0"/>
          <w:sz w:val="32"/>
          <w:szCs w:val="32"/>
        </w:rPr>
      </w:pPr>
    </w:p>
    <w:p>
      <w:pPr>
        <w:keepNext w:val="0"/>
        <w:keepLines w:val="0"/>
        <w:pageBreakBefore w:val="0"/>
        <w:widowControl w:val="0"/>
        <w:tabs>
          <w:tab w:val="left" w:pos="2212"/>
        </w:tabs>
        <w:kinsoku/>
        <w:wordWrap/>
        <w:overflowPunct/>
        <w:topLinePunct w:val="0"/>
        <w:autoSpaceDE/>
        <w:autoSpaceDN/>
        <w:bidi w:val="0"/>
        <w:spacing w:line="560" w:lineRule="exact"/>
        <w:ind w:left="0" w:leftChars="0" w:firstLine="643" w:firstLineChars="200"/>
        <w:jc w:val="center"/>
        <w:textAlignment w:val="auto"/>
        <w:rPr>
          <w:rFonts w:hint="default" w:ascii="Times New Roman" w:hAnsi="Times New Roman" w:eastAsia="楷体_GB2312" w:cs="Times New Roman"/>
          <w:b/>
          <w:bCs w:val="0"/>
          <w:sz w:val="32"/>
          <w:szCs w:val="32"/>
        </w:rPr>
      </w:pPr>
    </w:p>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outlineLvl w:val="9"/>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东政发〔2022〕</w:t>
      </w:r>
      <w:r>
        <w:rPr>
          <w:rFonts w:hint="eastAsia" w:eastAsia="楷体_GB2312" w:cs="Times New Roman"/>
          <w:b/>
          <w:bCs w:val="0"/>
          <w:sz w:val="32"/>
          <w:szCs w:val="32"/>
          <w:lang w:val="en-US" w:eastAsia="zh-CN"/>
        </w:rPr>
        <w:t>23</w:t>
      </w:r>
      <w:r>
        <w:rPr>
          <w:rFonts w:hint="default" w:ascii="Times New Roman" w:hAnsi="Times New Roman" w:eastAsia="楷体_GB2312" w:cs="Times New Roman"/>
          <w:b/>
          <w:bCs w:val="0"/>
          <w:sz w:val="32"/>
          <w:szCs w:val="32"/>
          <w:lang w:val="en-US" w:eastAsia="zh-CN"/>
        </w:rPr>
        <w:t>号</w:t>
      </w:r>
    </w:p>
    <w:p>
      <w:pPr>
        <w:keepNext w:val="0"/>
        <w:keepLines w:val="0"/>
        <w:pageBreakBefore w:val="0"/>
        <w:widowControl w:val="0"/>
        <w:tabs>
          <w:tab w:val="left" w:pos="2212"/>
        </w:tabs>
        <w:kinsoku/>
        <w:wordWrap/>
        <w:overflowPunct/>
        <w:topLinePunct w:val="0"/>
        <w:autoSpaceDE/>
        <w:autoSpaceDN/>
        <w:bidi w:val="0"/>
        <w:spacing w:line="560" w:lineRule="exact"/>
        <w:ind w:left="0" w:leftChars="0" w:firstLine="643" w:firstLineChars="200"/>
        <w:jc w:val="center"/>
        <w:textAlignment w:val="auto"/>
        <w:rPr>
          <w:rFonts w:hint="default" w:ascii="Times New Roman" w:hAnsi="Times New Roman" w:eastAsia="楷体_GB2312" w:cs="Times New Roman"/>
          <w:b/>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8" w:firstLineChars="200"/>
        <w:jc w:val="both"/>
        <w:textAlignment w:val="auto"/>
        <w:outlineLvl w:val="9"/>
        <w:rPr>
          <w:rFonts w:hint="default" w:ascii="Times New Roman" w:hAnsi="Times New Roman" w:cs="Times New Roman"/>
          <w:b/>
          <w:bCs w:val="0"/>
          <w:sz w:val="96"/>
          <w:szCs w:val="96"/>
        </w:rPr>
      </w:pPr>
    </w:p>
    <w:p>
      <w:pPr>
        <w:spacing w:line="540" w:lineRule="exact"/>
        <w:jc w:val="center"/>
        <w:rPr>
          <w:rFonts w:hint="eastAsia" w:ascii="Times New Roman" w:hAnsi="Times New Roman" w:eastAsia="方正小标宋简体" w:cs="Times New Roman"/>
          <w:b/>
          <w:bCs/>
          <w:sz w:val="44"/>
          <w:szCs w:val="44"/>
          <w:lang w:eastAsia="zh-CN"/>
        </w:rPr>
      </w:pPr>
      <w:r>
        <w:rPr>
          <w:rFonts w:hint="eastAsia" w:ascii="Times New Roman" w:hAnsi="Times New Roman" w:eastAsia="方正小标宋简体" w:cs="Times New Roman"/>
          <w:b/>
          <w:bCs/>
          <w:sz w:val="44"/>
          <w:szCs w:val="44"/>
          <w:lang w:eastAsia="zh-CN"/>
        </w:rPr>
        <w:t>东里镇人民政府</w:t>
      </w:r>
    </w:p>
    <w:p>
      <w:pPr>
        <w:adjustRightInd w:val="0"/>
        <w:snapToGrid w:val="0"/>
        <w:spacing w:line="540" w:lineRule="exact"/>
        <w:jc w:val="center"/>
        <w:rPr>
          <w:rFonts w:hint="eastAsia" w:ascii="Times New Roman" w:hAnsi="Times New Roman" w:eastAsia="方正小标宋简体" w:cs="Times New Roman"/>
          <w:b/>
          <w:bCs/>
          <w:sz w:val="44"/>
          <w:szCs w:val="44"/>
          <w:lang w:eastAsia="zh-CN"/>
        </w:rPr>
      </w:pPr>
      <w:r>
        <w:rPr>
          <w:rFonts w:hint="eastAsia" w:ascii="Times New Roman" w:hAnsi="Times New Roman" w:eastAsia="方正小标宋简体" w:cs="Times New Roman"/>
          <w:b/>
          <w:bCs/>
          <w:sz w:val="44"/>
          <w:szCs w:val="44"/>
          <w:lang w:eastAsia="zh-CN"/>
        </w:rPr>
        <w:t>关于印发全镇“森林防灭火百日攻坚”专项行动</w:t>
      </w:r>
    </w:p>
    <w:p>
      <w:pPr>
        <w:adjustRightInd w:val="0"/>
        <w:snapToGrid w:val="0"/>
        <w:spacing w:line="540" w:lineRule="exact"/>
        <w:jc w:val="center"/>
        <w:rPr>
          <w:rFonts w:hint="eastAsia" w:ascii="Times New Roman" w:hAnsi="Times New Roman" w:eastAsia="仿宋_GB2312" w:cs="Times New Roman"/>
          <w:b/>
          <w:sz w:val="32"/>
          <w:szCs w:val="32"/>
          <w:lang w:val="en-US" w:eastAsia="zh-CN"/>
        </w:rPr>
      </w:pPr>
      <w:r>
        <w:rPr>
          <w:rFonts w:hint="eastAsia" w:ascii="Times New Roman" w:hAnsi="Times New Roman" w:eastAsia="方正小标宋简体" w:cs="Times New Roman"/>
          <w:b/>
          <w:bCs/>
          <w:sz w:val="44"/>
          <w:szCs w:val="44"/>
          <w:lang w:eastAsia="zh-CN"/>
        </w:rPr>
        <w:t>实施方案的通知</w:t>
      </w:r>
    </w:p>
    <w:p>
      <w:pPr>
        <w:adjustRightInd w:val="0"/>
        <w:snapToGrid w:val="0"/>
        <w:spacing w:line="540" w:lineRule="exact"/>
        <w:rPr>
          <w:rFonts w:hint="eastAsia" w:ascii="Times New Roman" w:hAnsi="Times New Roman" w:eastAsia="仿宋_GB2312" w:cs="Times New Roman"/>
          <w:b/>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Times New Roman" w:hAnsi="Times New Roman" w:eastAsia="仿宋_GB2312" w:cs="Times New Roman"/>
          <w:b/>
          <w:sz w:val="32"/>
          <w:szCs w:val="32"/>
          <w:lang w:val="en-US" w:eastAsia="zh-CN"/>
        </w:rPr>
      </w:pPr>
      <w:r>
        <w:rPr>
          <w:rFonts w:hint="eastAsia" w:ascii="Times New Roman" w:hAnsi="Times New Roman" w:eastAsia="仿宋_GB2312" w:cs="Times New Roman"/>
          <w:b/>
          <w:sz w:val="32"/>
          <w:szCs w:val="32"/>
          <w:lang w:val="en-US" w:eastAsia="zh-CN"/>
        </w:rPr>
        <w:t>办事处、各责任区，各村，各有关单位:</w:t>
      </w:r>
    </w:p>
    <w:p>
      <w:pPr>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Times New Roman" w:hAnsi="Times New Roman" w:eastAsia="仿宋_GB2312" w:cs="Times New Roman"/>
          <w:b/>
          <w:sz w:val="32"/>
          <w:szCs w:val="32"/>
          <w:lang w:val="en-US" w:eastAsia="zh-CN"/>
        </w:rPr>
      </w:pPr>
      <w:r>
        <w:rPr>
          <w:rFonts w:hint="eastAsia" w:ascii="Times New Roman" w:hAnsi="Times New Roman" w:eastAsia="仿宋_GB2312" w:cs="Times New Roman"/>
          <w:b/>
          <w:sz w:val="32"/>
          <w:szCs w:val="32"/>
          <w:lang w:val="en-US" w:eastAsia="zh-CN"/>
        </w:rPr>
        <w:t>当前，春耕生产和春季旅游即将进入旺季，清明、“五一” 将至，农事用火、旅游用火、祭祀用火逐渐进入高峰，森林防灭火工作进入了最紧要时段。为认真贯彻落实党中央、国务院、国家森防指、省森防指和省委省政府、市委市政府和县委县政府领导同志关于森林防灭火的重要指示精神，全面打赢全镇春季森林防灭火攻坚战，根据县森防指《全县“森林防灭火百日攻坚”专项行动实施方案》有关要求，决定从现在开始至6月中旬，在全镇开展“森林防灭火百日攻坚”专项行动，现将专项行动方案印发给你们，请认真组织贯彻落实。各村要辖区情况制定专项行动实施方案，专项行动期间，各村要固定专人，每周报送一次专项行动工作动态信息。</w:t>
      </w:r>
    </w:p>
    <w:p>
      <w:pPr>
        <w:adjustRightInd w:val="0"/>
        <w:snapToGrid w:val="0"/>
        <w:spacing w:line="540" w:lineRule="exact"/>
        <w:ind w:firstLine="6110" w:firstLineChars="1902"/>
        <w:jc w:val="both"/>
        <w:rPr>
          <w:rFonts w:hint="eastAsia" w:ascii="Times New Roman" w:hAnsi="Times New Roman" w:eastAsia="仿宋_GB2312" w:cs="Times New Roman"/>
          <w:b/>
          <w:sz w:val="32"/>
          <w:szCs w:val="32"/>
          <w:lang w:val="en-US" w:eastAsia="zh-CN"/>
        </w:rPr>
      </w:pPr>
      <w:r>
        <w:rPr>
          <w:rFonts w:hint="eastAsia" w:eastAsia="仿宋_GB2312" w:cs="Times New Roman"/>
          <w:b/>
          <w:sz w:val="32"/>
          <w:szCs w:val="32"/>
          <w:lang w:val="en-US" w:eastAsia="zh-CN"/>
        </w:rPr>
        <w:t>东里镇人民政府</w:t>
      </w:r>
    </w:p>
    <w:p>
      <w:pPr>
        <w:adjustRightInd w:val="0"/>
        <w:snapToGrid w:val="0"/>
        <w:spacing w:line="540" w:lineRule="exact"/>
        <w:ind w:firstLine="640"/>
        <w:jc w:val="center"/>
        <w:rPr>
          <w:rFonts w:hint="eastAsia" w:ascii="Times New Roman" w:hAnsi="Times New Roman" w:eastAsia="仿宋_GB2312" w:cs="Times New Roman"/>
          <w:b/>
          <w:sz w:val="32"/>
          <w:szCs w:val="32"/>
          <w:lang w:val="en-US" w:eastAsia="zh-CN"/>
        </w:rPr>
      </w:pPr>
      <w:r>
        <w:rPr>
          <w:rFonts w:hint="eastAsia" w:eastAsia="仿宋_GB2312" w:cs="Times New Roman"/>
          <w:b/>
          <w:sz w:val="32"/>
          <w:szCs w:val="32"/>
          <w:lang w:val="en-US" w:eastAsia="zh-CN"/>
        </w:rPr>
        <w:t xml:space="preserve">                             </w:t>
      </w:r>
      <w:r>
        <w:rPr>
          <w:rFonts w:hint="eastAsia" w:ascii="Times New Roman" w:hAnsi="Times New Roman" w:eastAsia="仿宋_GB2312" w:cs="Times New Roman"/>
          <w:b/>
          <w:sz w:val="32"/>
          <w:szCs w:val="32"/>
          <w:lang w:val="en-US" w:eastAsia="zh-CN"/>
        </w:rPr>
        <w:t>2022年3月18日</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Times New Roman" w:hAnsi="Times New Roman" w:eastAsia="仿宋_GB2312" w:cs="Times New Roman"/>
          <w:b/>
          <w:bCs w:val="0"/>
          <w:sz w:val="32"/>
          <w:szCs w:val="32"/>
          <w:highlight w:val="none"/>
        </w:rPr>
      </w:pPr>
      <w:r>
        <w:rPr>
          <w:rFonts w:hint="default" w:ascii="Times New Roman" w:hAnsi="Times New Roman" w:eastAsia="方正小标宋简体" w:cs="Times New Roman"/>
          <w:b/>
          <w:bCs w:val="0"/>
          <w:kern w:val="0"/>
          <w:sz w:val="44"/>
          <w:szCs w:val="44"/>
          <w:highlight w:val="none"/>
        </w:rPr>
        <w:t>全镇“森林防灭火百日攻坚”专项行动实施方案</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default" w:ascii="Times New Roman" w:hAnsi="Times New Roman" w:eastAsia="仿宋_GB2312" w:cs="Times New Roman"/>
          <w:b/>
          <w:bCs w:val="0"/>
          <w:sz w:val="32"/>
          <w:szCs w:val="32"/>
          <w:highlight w:val="none"/>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3" w:firstLineChars="200"/>
        <w:textAlignment w:val="auto"/>
        <w:rPr>
          <w:rFonts w:hint="default" w:ascii="Times New Roman" w:hAnsi="Times New Roman" w:eastAsia="仿宋_GB2312" w:cs="Times New Roman"/>
          <w:b/>
          <w:bCs w:val="0"/>
          <w:sz w:val="32"/>
          <w:szCs w:val="32"/>
          <w:highlight w:val="none"/>
        </w:rPr>
      </w:pPr>
      <w:r>
        <w:rPr>
          <w:rFonts w:hint="default" w:ascii="Times New Roman" w:hAnsi="Times New Roman" w:eastAsia="仿宋_GB2312" w:cs="Times New Roman"/>
          <w:b/>
          <w:bCs w:val="0"/>
          <w:sz w:val="32"/>
          <w:szCs w:val="32"/>
          <w:highlight w:val="none"/>
        </w:rPr>
        <w:t>从现在开始到6月中旬，我镇将进入每年一度风干物燥、野外用火集中、人员活动频繁的关键时期，做好这一时期的森林防 灭火工作，对于完成全年森林防灭火工作任务目标具有决定意 义。为遏制火灾多发势头，严防重大以上森林火灾发生，夺取春季森林防灭火各项工作的全面胜利，特制定“森林防灭火百日攻坚”专项行动方案。</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3" w:firstLineChars="200"/>
        <w:textAlignment w:val="auto"/>
        <w:rPr>
          <w:rFonts w:hint="default" w:ascii="Times New Roman" w:hAnsi="Times New Roman" w:eastAsia="黑体" w:cs="Times New Roman"/>
          <w:b/>
          <w:bCs w:val="0"/>
          <w:sz w:val="32"/>
          <w:szCs w:val="32"/>
          <w:highlight w:val="none"/>
          <w:lang w:eastAsia="zh-CN"/>
        </w:rPr>
      </w:pPr>
      <w:r>
        <w:rPr>
          <w:rFonts w:hint="default" w:ascii="Times New Roman" w:hAnsi="Times New Roman" w:eastAsia="黑体" w:cs="Times New Roman"/>
          <w:b/>
          <w:bCs w:val="0"/>
          <w:sz w:val="32"/>
          <w:szCs w:val="32"/>
          <w:highlight w:val="none"/>
          <w:lang w:eastAsia="zh-CN"/>
        </w:rPr>
        <w:t>一、指导思想和行动目标</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3" w:firstLineChars="200"/>
        <w:textAlignment w:val="auto"/>
        <w:rPr>
          <w:rFonts w:hint="eastAsia" w:eastAsia="仿宋_GB2312" w:cs="Times New Roman"/>
          <w:b/>
          <w:bCs w:val="0"/>
          <w:sz w:val="32"/>
          <w:szCs w:val="32"/>
          <w:highlight w:val="none"/>
          <w:lang w:val="en-US" w:eastAsia="zh-CN"/>
        </w:rPr>
      </w:pPr>
      <w:r>
        <w:rPr>
          <w:rFonts w:hint="default" w:ascii="Times New Roman" w:hAnsi="Times New Roman" w:eastAsia="仿宋_GB2312" w:cs="Times New Roman"/>
          <w:b/>
          <w:bCs w:val="0"/>
          <w:sz w:val="32"/>
          <w:szCs w:val="32"/>
          <w:highlight w:val="none"/>
          <w:lang w:eastAsia="zh-CN"/>
        </w:rPr>
        <w:t>以习近平新时代中国特色社会主义</w:t>
      </w:r>
      <w:r>
        <w:rPr>
          <w:rFonts w:hint="eastAsia" w:eastAsia="仿宋_GB2312" w:cs="Times New Roman"/>
          <w:b/>
          <w:bCs w:val="0"/>
          <w:sz w:val="32"/>
          <w:szCs w:val="32"/>
          <w:highlight w:val="none"/>
          <w:lang w:val="en-US" w:eastAsia="zh-CN"/>
        </w:rPr>
        <w:t>思想</w:t>
      </w:r>
      <w:bookmarkStart w:id="4" w:name="_GoBack"/>
      <w:bookmarkEnd w:id="4"/>
      <w:r>
        <w:rPr>
          <w:rFonts w:hint="default" w:ascii="Times New Roman" w:hAnsi="Times New Roman" w:eastAsia="仿宋_GB2312" w:cs="Times New Roman"/>
          <w:b/>
          <w:bCs w:val="0"/>
          <w:sz w:val="32"/>
          <w:szCs w:val="32"/>
          <w:highlight w:val="none"/>
          <w:lang w:eastAsia="zh-CN"/>
        </w:rPr>
        <w:t>为指导，认真贯彻落实习近平总书记关于森林防灭火工作的重要论述和对生态文 明保护的要求，坚持“以人为本、生命至上”的原则，认真落实“预 防为主、防抗救结合”的工作方针，紧紧围绕生态建设和森林资源保护这一中心，积极推进责任落实、预警响应、宣传发动、火源管控、隐患排查、依法治火、应急处置和基础保障等关键环节, 减少火情，严防一般森林火灾，杜绝重大以上森林火灾和人员死亡现象发生。</w:t>
      </w:r>
      <w:r>
        <w:rPr>
          <w:rFonts w:hint="eastAsia" w:eastAsia="仿宋_GB2312" w:cs="Times New Roman"/>
          <w:b/>
          <w:bCs w:val="0"/>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3" w:firstLineChars="200"/>
        <w:textAlignment w:val="auto"/>
        <w:rPr>
          <w:rFonts w:hint="default" w:ascii="Times New Roman" w:hAnsi="Times New Roman" w:eastAsia="黑体" w:cs="Times New Roman"/>
          <w:b/>
          <w:bCs w:val="0"/>
          <w:sz w:val="32"/>
          <w:szCs w:val="32"/>
          <w:highlight w:val="none"/>
          <w:lang w:val="en-US" w:eastAsia="zh-CN"/>
        </w:rPr>
      </w:pPr>
      <w:r>
        <w:rPr>
          <w:rFonts w:hint="default" w:ascii="Times New Roman" w:hAnsi="Times New Roman" w:eastAsia="黑体" w:cs="Times New Roman"/>
          <w:b/>
          <w:bCs w:val="0"/>
          <w:sz w:val="32"/>
          <w:szCs w:val="32"/>
          <w:highlight w:val="none"/>
          <w:lang w:val="en-US" w:eastAsia="zh-CN"/>
        </w:rPr>
        <w:t>二、专项行动主要内容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3" w:firstLineChars="200"/>
        <w:textAlignment w:val="auto"/>
        <w:rPr>
          <w:rFonts w:hint="eastAsia" w:ascii="楷体_GB2312" w:hAnsi="楷体_GB2312" w:eastAsia="楷体_GB2312" w:cs="楷体_GB2312"/>
          <w:b/>
          <w:bCs w:val="0"/>
          <w:sz w:val="32"/>
          <w:szCs w:val="32"/>
          <w:highlight w:val="none"/>
          <w:lang w:val="en-US" w:eastAsia="zh-CN"/>
        </w:rPr>
      </w:pPr>
      <w:r>
        <w:rPr>
          <w:rFonts w:hint="eastAsia" w:ascii="楷体_GB2312" w:hAnsi="楷体_GB2312" w:eastAsia="楷体_GB2312" w:cs="楷体_GB2312"/>
          <w:b/>
          <w:bCs w:val="0"/>
          <w:sz w:val="32"/>
          <w:szCs w:val="32"/>
          <w:highlight w:val="none"/>
          <w:lang w:val="en-US" w:eastAsia="zh-CN"/>
        </w:rPr>
        <w:t>（一）层层分解压实，无缝夯实责任</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3" w:firstLineChars="200"/>
        <w:textAlignment w:val="auto"/>
        <w:rPr>
          <w:rFonts w:hint="default" w:ascii="Times New Roman" w:hAnsi="Times New Roman" w:eastAsia="仿宋_GB2312" w:cs="Times New Roman"/>
          <w:b/>
          <w:bCs w:val="0"/>
          <w:sz w:val="32"/>
          <w:szCs w:val="32"/>
          <w:highlight w:val="none"/>
          <w:lang w:val="en-US" w:eastAsia="zh-CN"/>
        </w:rPr>
      </w:pPr>
      <w:r>
        <w:rPr>
          <w:rFonts w:hint="default" w:ascii="Times New Roman" w:hAnsi="Times New Roman" w:eastAsia="仿宋_GB2312" w:cs="Times New Roman"/>
          <w:b/>
          <w:bCs w:val="0"/>
          <w:sz w:val="32"/>
          <w:szCs w:val="32"/>
          <w:highlight w:val="none"/>
          <w:lang w:val="en-US" w:eastAsia="zh-CN"/>
        </w:rPr>
        <w:t>各村、有关单位要严格落实一岗双责、齐抓共管、失职追责责任制。村书记、主任是直接负责人，关键时段要亲自部署、亲自督导检查、亲自组织指挥。派出所协同做好野外火源巡查、火源管控、违法用火打击和火灾案件的查处工作。其他单位密切配合，凝聚资源力量，做到“一盘棋”。</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3" w:firstLineChars="200"/>
        <w:textAlignment w:val="auto"/>
        <w:rPr>
          <w:rFonts w:hint="eastAsia" w:ascii="楷体_GB2312" w:hAnsi="楷体_GB2312" w:eastAsia="楷体_GB2312" w:cs="楷体_GB2312"/>
          <w:b/>
          <w:bCs w:val="0"/>
          <w:sz w:val="32"/>
          <w:szCs w:val="32"/>
          <w:highlight w:val="none"/>
          <w:lang w:val="en-US" w:eastAsia="zh-CN"/>
        </w:rPr>
      </w:pPr>
      <w:r>
        <w:rPr>
          <w:rFonts w:hint="eastAsia" w:ascii="楷体_GB2312" w:hAnsi="楷体_GB2312" w:eastAsia="楷体_GB2312" w:cs="楷体_GB2312"/>
          <w:b/>
          <w:bCs w:val="0"/>
          <w:sz w:val="32"/>
          <w:szCs w:val="32"/>
          <w:highlight w:val="none"/>
          <w:lang w:val="en-US" w:eastAsia="zh-CN"/>
        </w:rPr>
        <w:t>（二）大张旗鼓宣传，营造浓厚氛围</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3" w:firstLineChars="200"/>
        <w:textAlignment w:val="auto"/>
        <w:rPr>
          <w:rFonts w:hint="default" w:ascii="Times New Roman" w:hAnsi="Times New Roman" w:eastAsia="仿宋_GB2312" w:cs="Times New Roman"/>
          <w:b/>
          <w:bCs w:val="0"/>
          <w:sz w:val="32"/>
          <w:szCs w:val="32"/>
          <w:highlight w:val="none"/>
          <w:lang w:val="en-US" w:eastAsia="zh-CN"/>
        </w:rPr>
      </w:pPr>
      <w:r>
        <w:rPr>
          <w:rFonts w:hint="default" w:ascii="Times New Roman" w:hAnsi="Times New Roman" w:eastAsia="仿宋_GB2312" w:cs="Times New Roman"/>
          <w:b/>
          <w:bCs w:val="0"/>
          <w:sz w:val="32"/>
          <w:szCs w:val="32"/>
          <w:highlight w:val="none"/>
          <w:lang w:val="en-US" w:eastAsia="zh-CN"/>
        </w:rPr>
        <w:t>认真开展森林防灭火宣传“五进”活动，把宣传教育作为防灭火工作的第一道防线织密扎牢，重点林区要增加宣传标牌和标语的密度，设置固定防火宣传标牌、粉刷森林防火宣传标语、悬挂森林防火宣传条幅，确保宣传设施外观完好、字迹醒目。在进山主要路口要设置固定醒目的防火宣传牌，悬挂醒目火险等级提示旗帜标识，使宣传覆盖到每一个单位、每一个家庭、每一个公民。</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3" w:firstLineChars="200"/>
        <w:textAlignment w:val="auto"/>
        <w:rPr>
          <w:rFonts w:hint="eastAsia" w:ascii="楷体_GB2312" w:hAnsi="楷体_GB2312" w:eastAsia="楷体_GB2312" w:cs="楷体_GB2312"/>
          <w:b/>
          <w:bCs w:val="0"/>
          <w:sz w:val="32"/>
          <w:szCs w:val="32"/>
          <w:highlight w:val="none"/>
          <w:lang w:val="en-US" w:eastAsia="zh-CN"/>
        </w:rPr>
      </w:pPr>
      <w:r>
        <w:rPr>
          <w:rFonts w:hint="eastAsia" w:ascii="楷体_GB2312" w:hAnsi="楷体_GB2312" w:eastAsia="楷体_GB2312" w:cs="楷体_GB2312"/>
          <w:b/>
          <w:bCs w:val="0"/>
          <w:sz w:val="32"/>
          <w:szCs w:val="32"/>
          <w:highlight w:val="none"/>
          <w:lang w:val="en-US" w:eastAsia="zh-CN"/>
        </w:rPr>
        <w:t>（三）严管严控火源，筑牢防控底线</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3" w:firstLineChars="200"/>
        <w:textAlignment w:val="auto"/>
        <w:rPr>
          <w:rFonts w:hint="default" w:ascii="Times New Roman" w:hAnsi="Times New Roman" w:eastAsia="仿宋_GB2312" w:cs="Times New Roman"/>
          <w:b/>
          <w:bCs w:val="0"/>
          <w:sz w:val="32"/>
          <w:szCs w:val="32"/>
          <w:highlight w:val="none"/>
          <w:lang w:val="en-US" w:eastAsia="zh-CN"/>
        </w:rPr>
      </w:pPr>
      <w:r>
        <w:rPr>
          <w:rFonts w:hint="default" w:ascii="Times New Roman" w:hAnsi="Times New Roman" w:eastAsia="仿宋_GB2312" w:cs="Times New Roman"/>
          <w:b/>
          <w:bCs w:val="0"/>
          <w:sz w:val="32"/>
          <w:szCs w:val="32"/>
          <w:highlight w:val="none"/>
          <w:lang w:val="en-US" w:eastAsia="zh-CN"/>
        </w:rPr>
        <w:t>进山路口、村（居）周边、火情频发易发多发区域等重点部位 增设检查站，派专人值守，及时收缴火种，劝阻和制止用火，把火源堵在山下林外。护林员对管辖区域内焚烧地边地堰、农作物秸秆、农业生产废弃物、焚香烧纸、燃放烟花爆竹和游人在林区内吸烟、野炊、燃放可移动火源等重点火源实施靶向管控。对林内经营人员、病虫害防疫施工人员要采取一对一宣教；对户外运动爱好者、驴友等特殊群体，坚持疏堵结合，加强管理；老人、孩童、智障 人员，确定监护人明确责任，防止出现意外失火。对林区生产作业，监管部门要加强用火审批和监管，坚决杜绝林区高火险天气室外用火和动火作业，按照“谁审批，谁负责”的原则落实预防责任。重点林区采取增人、增哨卡（检查站）、增加巡查时间“三增”措施，必要时实施封山，禁止一切野外用火。</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3" w:firstLineChars="200"/>
        <w:textAlignment w:val="auto"/>
        <w:rPr>
          <w:rFonts w:hint="eastAsia" w:ascii="楷体_GB2312" w:hAnsi="楷体_GB2312" w:eastAsia="楷体_GB2312" w:cs="楷体_GB2312"/>
          <w:b/>
          <w:bCs w:val="0"/>
          <w:sz w:val="32"/>
          <w:szCs w:val="32"/>
          <w:highlight w:val="none"/>
          <w:lang w:val="en-US" w:eastAsia="zh-CN"/>
        </w:rPr>
      </w:pPr>
      <w:r>
        <w:rPr>
          <w:rFonts w:hint="eastAsia" w:ascii="楷体_GB2312" w:hAnsi="楷体_GB2312" w:eastAsia="楷体_GB2312" w:cs="楷体_GB2312"/>
          <w:b/>
          <w:bCs w:val="0"/>
          <w:sz w:val="32"/>
          <w:szCs w:val="32"/>
          <w:highlight w:val="none"/>
          <w:lang w:val="en-US" w:eastAsia="zh-CN"/>
        </w:rPr>
        <w:t>（四）持续排查隐患，消除火灾诱因</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3" w:firstLineChars="200"/>
        <w:textAlignment w:val="auto"/>
        <w:rPr>
          <w:rFonts w:hint="default" w:ascii="Times New Roman" w:hAnsi="Times New Roman" w:eastAsia="仿宋_GB2312" w:cs="Times New Roman"/>
          <w:b/>
          <w:bCs w:val="0"/>
          <w:sz w:val="32"/>
          <w:szCs w:val="32"/>
          <w:highlight w:val="none"/>
          <w:lang w:val="en-US" w:eastAsia="zh-CN"/>
        </w:rPr>
      </w:pPr>
      <w:r>
        <w:rPr>
          <w:rFonts w:hint="default" w:ascii="Times New Roman" w:hAnsi="Times New Roman" w:eastAsia="仿宋_GB2312" w:cs="Times New Roman"/>
          <w:b/>
          <w:bCs w:val="0"/>
          <w:sz w:val="32"/>
          <w:szCs w:val="32"/>
          <w:highlight w:val="none"/>
          <w:lang w:val="en-US" w:eastAsia="zh-CN"/>
        </w:rPr>
        <w:t>加强可燃物清理和林地抚育，对林村结合部、林缘地带、山区道路两侧、重要设施周边等关键重点部位提前采取措施，减少火灾隐患。对林区隐蔽祭祀场所、农家乐等重点区域进行不间断排查，对可能出现野外用火和引发火灾的场所采取强有力的管控。深入组织开展林区输配电设施火灾隐患专项排查治理 工作，消除输配电线路通道安全隐患。</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3" w:firstLineChars="200"/>
        <w:textAlignment w:val="auto"/>
        <w:rPr>
          <w:rFonts w:hint="eastAsia" w:ascii="楷体_GB2312" w:hAnsi="楷体_GB2312" w:eastAsia="楷体_GB2312" w:cs="楷体_GB2312"/>
          <w:b/>
          <w:bCs w:val="0"/>
          <w:sz w:val="32"/>
          <w:szCs w:val="32"/>
          <w:highlight w:val="none"/>
          <w:lang w:val="en-US" w:eastAsia="zh-CN"/>
        </w:rPr>
      </w:pPr>
      <w:r>
        <w:rPr>
          <w:rFonts w:hint="eastAsia" w:ascii="楷体_GB2312" w:hAnsi="楷体_GB2312" w:eastAsia="楷体_GB2312" w:cs="楷体_GB2312"/>
          <w:b/>
          <w:bCs w:val="0"/>
          <w:sz w:val="32"/>
          <w:szCs w:val="32"/>
          <w:highlight w:val="none"/>
          <w:lang w:val="en-US" w:eastAsia="zh-CN"/>
        </w:rPr>
        <w:t>（五）实施联合执法，依法管制用火</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3" w:firstLineChars="200"/>
        <w:textAlignment w:val="auto"/>
        <w:rPr>
          <w:rFonts w:hint="default" w:ascii="Times New Roman" w:hAnsi="Times New Roman" w:eastAsia="仿宋_GB2312" w:cs="Times New Roman"/>
          <w:b/>
          <w:bCs w:val="0"/>
          <w:sz w:val="32"/>
          <w:szCs w:val="32"/>
          <w:highlight w:val="none"/>
          <w:lang w:val="en-US" w:eastAsia="zh-CN"/>
        </w:rPr>
      </w:pPr>
      <w:r>
        <w:rPr>
          <w:rFonts w:hint="default" w:ascii="Times New Roman" w:hAnsi="Times New Roman" w:eastAsia="仿宋_GB2312" w:cs="Times New Roman"/>
          <w:b/>
          <w:bCs w:val="0"/>
          <w:sz w:val="32"/>
          <w:szCs w:val="32"/>
          <w:highlight w:val="none"/>
          <w:lang w:val="en-US" w:eastAsia="zh-CN"/>
        </w:rPr>
        <w:t>派出所、安环办、农综办等部门要加强联合执法，组织开展野外违法违规用火打击专项行动，坚持零容忍，做到“见烟就查、见火就罚、违法就抓”，始终保持对易引发森林火灾行为的高压打击态势。</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3" w:firstLineChars="200"/>
        <w:textAlignment w:val="auto"/>
        <w:rPr>
          <w:rFonts w:hint="eastAsia" w:ascii="楷体_GB2312" w:hAnsi="楷体_GB2312" w:eastAsia="楷体_GB2312" w:cs="楷体_GB2312"/>
          <w:b/>
          <w:bCs w:val="0"/>
          <w:sz w:val="32"/>
          <w:szCs w:val="32"/>
          <w:highlight w:val="none"/>
          <w:lang w:val="en-US" w:eastAsia="zh-CN"/>
        </w:rPr>
      </w:pPr>
      <w:r>
        <w:rPr>
          <w:rFonts w:hint="eastAsia" w:ascii="楷体_GB2312" w:hAnsi="楷体_GB2312" w:eastAsia="楷体_GB2312" w:cs="楷体_GB2312"/>
          <w:b/>
          <w:bCs w:val="0"/>
          <w:sz w:val="32"/>
          <w:szCs w:val="32"/>
          <w:highlight w:val="none"/>
          <w:lang w:val="en-US" w:eastAsia="zh-CN"/>
        </w:rPr>
        <w:t>（六）提前应急准备，强化扑火安全</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3" w:firstLineChars="200"/>
        <w:textAlignment w:val="auto"/>
        <w:rPr>
          <w:rFonts w:hint="default" w:ascii="Times New Roman" w:hAnsi="Times New Roman" w:eastAsia="仿宋_GB2312" w:cs="Times New Roman"/>
          <w:b/>
          <w:bCs w:val="0"/>
          <w:sz w:val="32"/>
          <w:szCs w:val="32"/>
          <w:highlight w:val="none"/>
          <w:lang w:val="en-US" w:eastAsia="zh-CN"/>
        </w:rPr>
      </w:pPr>
      <w:r>
        <w:rPr>
          <w:rFonts w:hint="default" w:ascii="Times New Roman" w:hAnsi="Times New Roman" w:eastAsia="仿宋_GB2312" w:cs="Times New Roman"/>
          <w:b/>
          <w:bCs w:val="0"/>
          <w:sz w:val="32"/>
          <w:szCs w:val="32"/>
          <w:highlight w:val="none"/>
          <w:lang w:val="en-US" w:eastAsia="zh-CN"/>
        </w:rPr>
        <w:t>要强化应急预案、物资装备、救援队伍准备。坚持实战导向，及时组织应急实战演练，加强扑火机具检查、检修，备足车辆和油料，确保随时可用。要强化安全意识和紧急避险知识培训，对战略战术组织磨合演练，对装备机具性能进行全面了解。要提前做好装备、机具和物资准备，规范物资储备管理，加强物资装备检修保养，确保始终保持最佳状态。防火队要24小时备勤，一旦发现火情，要立即组织扑救，牢固树立“以人 为本、安全第一、科学施救”的理念,有力有序有效组织处置火灾 扑救、火场清理等各环节工作。</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3" w:firstLineChars="200"/>
        <w:textAlignment w:val="auto"/>
        <w:rPr>
          <w:rFonts w:hint="default" w:ascii="Times New Roman" w:hAnsi="Times New Roman" w:eastAsia="仿宋_GB2312" w:cs="Times New Roman"/>
          <w:b/>
          <w:bCs w:val="0"/>
          <w:sz w:val="32"/>
          <w:szCs w:val="32"/>
          <w:highlight w:val="none"/>
          <w:lang w:val="en-US" w:eastAsia="zh-CN"/>
        </w:rPr>
      </w:pPr>
      <w:r>
        <w:rPr>
          <w:rFonts w:hint="eastAsia" w:ascii="楷体_GB2312" w:hAnsi="楷体_GB2312" w:eastAsia="楷体_GB2312" w:cs="楷体_GB2312"/>
          <w:b/>
          <w:bCs w:val="0"/>
          <w:sz w:val="32"/>
          <w:szCs w:val="32"/>
          <w:highlight w:val="none"/>
          <w:lang w:val="en-US" w:eastAsia="zh-CN"/>
        </w:rPr>
        <w:t>（七）加强应急值守，规范信息上报</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3" w:firstLineChars="200"/>
        <w:textAlignment w:val="auto"/>
        <w:rPr>
          <w:rFonts w:hint="default" w:ascii="Times New Roman" w:hAnsi="Times New Roman" w:eastAsia="仿宋_GB2312" w:cs="Times New Roman"/>
          <w:b/>
          <w:bCs w:val="0"/>
          <w:sz w:val="32"/>
          <w:szCs w:val="32"/>
          <w:highlight w:val="none"/>
          <w:lang w:val="en-US" w:eastAsia="zh-CN"/>
        </w:rPr>
      </w:pPr>
      <w:r>
        <w:rPr>
          <w:rFonts w:hint="default" w:ascii="Times New Roman" w:hAnsi="Times New Roman" w:eastAsia="仿宋_GB2312" w:cs="Times New Roman"/>
          <w:b/>
          <w:bCs w:val="0"/>
          <w:sz w:val="32"/>
          <w:szCs w:val="32"/>
          <w:highlight w:val="none"/>
          <w:lang w:val="en-US" w:eastAsia="zh-CN"/>
        </w:rPr>
        <w:t>专项行动期间，各村要严格执行24小时值班制度，值班人员要熟练掌握各类火灾报告时限。发生火情,值班人员要全方位掌握火场态势，按规定程序和时限，规范报送信息。</w:t>
      </w:r>
    </w:p>
    <w:p>
      <w:pPr>
        <w:pStyle w:val="12"/>
        <w:keepNext w:val="0"/>
        <w:keepLines w:val="0"/>
        <w:pageBreakBefore w:val="0"/>
        <w:widowControl w:val="0"/>
        <w:shd w:val="clear" w:color="auto" w:fill="auto"/>
        <w:kinsoku/>
        <w:wordWrap/>
        <w:overflowPunct/>
        <w:topLinePunct w:val="0"/>
        <w:bidi w:val="0"/>
        <w:adjustRightInd/>
        <w:snapToGrid/>
        <w:spacing w:before="0" w:after="0" w:line="560" w:lineRule="exact"/>
        <w:ind w:left="0" w:right="0" w:firstLine="660"/>
        <w:jc w:val="both"/>
        <w:textAlignment w:val="auto"/>
        <w:rPr>
          <w:rFonts w:hint="eastAsia" w:ascii="黑体" w:hAnsi="黑体" w:eastAsia="黑体" w:cs="黑体"/>
          <w:b/>
          <w:bCs/>
          <w:sz w:val="32"/>
          <w:szCs w:val="32"/>
        </w:rPr>
      </w:pPr>
      <w:r>
        <w:rPr>
          <w:rFonts w:hint="eastAsia" w:ascii="黑体" w:hAnsi="黑体" w:eastAsia="黑体" w:cs="黑体"/>
          <w:b/>
          <w:bCs/>
          <w:color w:val="000000"/>
          <w:spacing w:val="0"/>
          <w:w w:val="100"/>
          <w:position w:val="0"/>
          <w:sz w:val="32"/>
          <w:szCs w:val="32"/>
        </w:rPr>
        <w:t>三</w:t>
      </w:r>
      <w:r>
        <w:rPr>
          <w:rFonts w:hint="eastAsia" w:ascii="黑体" w:hAnsi="黑体" w:eastAsia="黑体" w:cs="黑体"/>
          <w:b/>
          <w:bCs/>
          <w:color w:val="000000"/>
          <w:spacing w:val="0"/>
          <w:w w:val="100"/>
          <w:position w:val="0"/>
          <w:sz w:val="32"/>
          <w:szCs w:val="32"/>
          <w:lang w:eastAsia="zh-CN"/>
        </w:rPr>
        <w:t>、</w:t>
      </w:r>
      <w:r>
        <w:rPr>
          <w:rFonts w:hint="eastAsia" w:ascii="黑体" w:hAnsi="黑体" w:eastAsia="黑体" w:cs="黑体"/>
          <w:b/>
          <w:bCs/>
          <w:color w:val="000000"/>
          <w:spacing w:val="0"/>
          <w:w w:val="100"/>
          <w:position w:val="0"/>
          <w:sz w:val="32"/>
          <w:szCs w:val="32"/>
        </w:rPr>
        <w:t>时间安排</w:t>
      </w:r>
    </w:p>
    <w:p>
      <w:pPr>
        <w:pStyle w:val="12"/>
        <w:keepNext w:val="0"/>
        <w:keepLines w:val="0"/>
        <w:pageBreakBefore w:val="0"/>
        <w:widowControl w:val="0"/>
        <w:shd w:val="clear" w:color="auto" w:fill="auto"/>
        <w:kinsoku/>
        <w:wordWrap/>
        <w:overflowPunct/>
        <w:topLinePunct w:val="0"/>
        <w:bidi w:val="0"/>
        <w:adjustRightInd/>
        <w:snapToGrid/>
        <w:spacing w:before="0" w:after="0" w:line="560" w:lineRule="exact"/>
        <w:ind w:left="0" w:right="0" w:firstLine="66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即日起至6月10日，共分为</w:t>
      </w:r>
      <w:r>
        <w:rPr>
          <w:rFonts w:hint="eastAsia" w:ascii="仿宋_GB2312" w:hAnsi="仿宋_GB2312" w:eastAsia="仿宋_GB2312" w:cs="仿宋_GB2312"/>
          <w:b/>
          <w:bCs/>
          <w:color w:val="000000"/>
          <w:spacing w:val="0"/>
          <w:w w:val="100"/>
          <w:position w:val="0"/>
          <w:sz w:val="32"/>
          <w:szCs w:val="32"/>
          <w:lang w:eastAsia="zh-CN"/>
        </w:rPr>
        <w:t>二</w:t>
      </w:r>
      <w:r>
        <w:rPr>
          <w:rFonts w:hint="eastAsia" w:ascii="仿宋_GB2312" w:hAnsi="仿宋_GB2312" w:eastAsia="仿宋_GB2312" w:cs="仿宋_GB2312"/>
          <w:b/>
          <w:bCs/>
          <w:color w:val="000000"/>
          <w:spacing w:val="0"/>
          <w:w w:val="100"/>
          <w:position w:val="0"/>
          <w:sz w:val="32"/>
          <w:szCs w:val="32"/>
        </w:rPr>
        <w:t>个阶段</w:t>
      </w:r>
    </w:p>
    <w:p>
      <w:pPr>
        <w:pStyle w:val="12"/>
        <w:keepNext w:val="0"/>
        <w:keepLines w:val="0"/>
        <w:pageBreakBefore w:val="0"/>
        <w:widowControl w:val="0"/>
        <w:shd w:val="clear" w:color="auto" w:fill="auto"/>
        <w:kinsoku/>
        <w:wordWrap/>
        <w:overflowPunct/>
        <w:topLinePunct w:val="0"/>
        <w:bidi w:val="0"/>
        <w:adjustRightInd/>
        <w:snapToGrid/>
        <w:spacing w:before="0" w:after="0" w:line="560" w:lineRule="exact"/>
        <w:ind w:left="0" w:right="0" w:firstLine="66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第一阶段：集中宣传阶段（即日起</w:t>
      </w:r>
      <w:r>
        <w:rPr>
          <w:rFonts w:hint="eastAsia" w:ascii="仿宋_GB2312" w:hAnsi="仿宋_GB2312" w:eastAsia="仿宋_GB2312" w:cs="仿宋_GB2312"/>
          <w:b/>
          <w:bCs/>
          <w:color w:val="000000"/>
          <w:spacing w:val="0"/>
          <w:w w:val="100"/>
          <w:position w:val="0"/>
          <w:sz w:val="32"/>
          <w:szCs w:val="32"/>
          <w:lang w:val="en-US" w:eastAsia="en-US" w:bidi="en-US"/>
        </w:rPr>
        <w:t>一3</w:t>
      </w:r>
      <w:r>
        <w:rPr>
          <w:rFonts w:hint="eastAsia" w:ascii="仿宋_GB2312" w:hAnsi="仿宋_GB2312" w:eastAsia="仿宋_GB2312" w:cs="仿宋_GB2312"/>
          <w:b/>
          <w:bCs/>
          <w:color w:val="000000"/>
          <w:spacing w:val="0"/>
          <w:w w:val="100"/>
          <w:position w:val="0"/>
          <w:sz w:val="32"/>
          <w:szCs w:val="32"/>
        </w:rPr>
        <w:t>月31日）。把3月份 作为森林防火宣传月，之后的每个月第一周作为森林防火宣传周 ,通过多种形式进行宣传活动，在社会上营造浓厚宣传氛围，使森林防火工作家喻户晓、人人皆知。</w:t>
      </w:r>
    </w:p>
    <w:p>
      <w:pPr>
        <w:pStyle w:val="12"/>
        <w:keepNext w:val="0"/>
        <w:keepLines w:val="0"/>
        <w:pageBreakBefore w:val="0"/>
        <w:widowControl w:val="0"/>
        <w:shd w:val="clear" w:color="auto" w:fill="auto"/>
        <w:kinsoku/>
        <w:wordWrap/>
        <w:overflowPunct/>
        <w:topLinePunct w:val="0"/>
        <w:bidi w:val="0"/>
        <w:adjustRightInd/>
        <w:snapToGrid/>
        <w:spacing w:before="0" w:after="0" w:line="560" w:lineRule="exact"/>
        <w:ind w:left="0" w:right="0" w:firstLine="66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第二阶段：重点攻坚阶段（4月1</w:t>
      </w:r>
      <w:r>
        <w:rPr>
          <w:rFonts w:hint="eastAsia" w:ascii="仿宋_GB2312" w:hAnsi="仿宋_GB2312" w:eastAsia="仿宋_GB2312" w:cs="仿宋_GB2312"/>
          <w:b/>
          <w:bCs/>
          <w:color w:val="000000"/>
          <w:spacing w:val="0"/>
          <w:w w:val="100"/>
          <w:position w:val="0"/>
          <w:sz w:val="32"/>
          <w:szCs w:val="32"/>
          <w:lang w:eastAsia="zh-CN"/>
        </w:rPr>
        <w:t>日</w:t>
      </w:r>
      <w:r>
        <w:rPr>
          <w:rFonts w:hint="eastAsia" w:ascii="仿宋_GB2312" w:hAnsi="仿宋_GB2312" w:eastAsia="仿宋_GB2312" w:cs="仿宋_GB2312"/>
          <w:b/>
          <w:bCs/>
          <w:color w:val="000000"/>
          <w:spacing w:val="0"/>
          <w:w w:val="100"/>
          <w:position w:val="0"/>
          <w:sz w:val="32"/>
          <w:szCs w:val="32"/>
          <w:lang w:val="en-US" w:eastAsia="en-US" w:bidi="en-US"/>
        </w:rPr>
        <w:t>-5</w:t>
      </w:r>
      <w:r>
        <w:rPr>
          <w:rFonts w:hint="eastAsia" w:ascii="仿宋_GB2312" w:hAnsi="仿宋_GB2312" w:eastAsia="仿宋_GB2312" w:cs="仿宋_GB2312"/>
          <w:b/>
          <w:bCs/>
          <w:color w:val="000000"/>
          <w:spacing w:val="0"/>
          <w:w w:val="100"/>
          <w:position w:val="0"/>
          <w:sz w:val="32"/>
          <w:szCs w:val="32"/>
        </w:rPr>
        <w:t>月31日</w:t>
      </w:r>
      <w:r>
        <w:rPr>
          <w:rFonts w:hint="eastAsia" w:ascii="仿宋_GB2312" w:hAnsi="仿宋_GB2312" w:eastAsia="仿宋_GB2312" w:cs="仿宋_GB2312"/>
          <w:b/>
          <w:bCs/>
          <w:color w:val="000000"/>
          <w:spacing w:val="0"/>
          <w:w w:val="100"/>
          <w:position w:val="0"/>
          <w:sz w:val="32"/>
          <w:szCs w:val="32"/>
          <w:lang w:eastAsia="zh-CN"/>
        </w:rPr>
        <w:t>）</w:t>
      </w:r>
      <w:r>
        <w:rPr>
          <w:rFonts w:hint="eastAsia" w:ascii="仿宋_GB2312" w:hAnsi="仿宋_GB2312" w:eastAsia="仿宋_GB2312" w:cs="仿宋_GB2312"/>
          <w:b/>
          <w:bCs/>
          <w:color w:val="000000"/>
          <w:spacing w:val="0"/>
          <w:w w:val="100"/>
          <w:position w:val="0"/>
          <w:sz w:val="32"/>
          <w:szCs w:val="32"/>
        </w:rPr>
        <w:t>。聚焦宣传教育、责任落实、隐患排查、问</w:t>
      </w:r>
      <w:r>
        <w:rPr>
          <w:rFonts w:hint="eastAsia" w:ascii="仿宋_GB2312" w:hAnsi="仿宋_GB2312" w:eastAsia="仿宋_GB2312" w:cs="仿宋_GB2312"/>
          <w:b/>
          <w:bCs/>
          <w:color w:val="000000"/>
          <w:spacing w:val="0"/>
          <w:w w:val="100"/>
          <w:position w:val="0"/>
          <w:sz w:val="32"/>
          <w:szCs w:val="32"/>
          <w:lang w:eastAsia="zh-CN"/>
        </w:rPr>
        <w:t>题整</w:t>
      </w:r>
      <w:r>
        <w:rPr>
          <w:rFonts w:hint="eastAsia" w:ascii="仿宋_GB2312" w:hAnsi="仿宋_GB2312" w:eastAsia="仿宋_GB2312" w:cs="仿宋_GB2312"/>
          <w:b/>
          <w:bCs/>
          <w:color w:val="000000"/>
          <w:spacing w:val="0"/>
          <w:w w:val="100"/>
          <w:position w:val="0"/>
          <w:sz w:val="32"/>
          <w:szCs w:val="32"/>
        </w:rPr>
        <w:t>改、火源管控、等方面的重点攻坚任务，集中力量、重点突击，</w:t>
      </w:r>
      <w:r>
        <w:rPr>
          <w:rFonts w:hint="eastAsia" w:ascii="仿宋_GB2312" w:hAnsi="仿宋_GB2312" w:eastAsia="仿宋_GB2312" w:cs="仿宋_GB2312"/>
          <w:b/>
          <w:bCs/>
          <w:color w:val="000000"/>
          <w:spacing w:val="0"/>
          <w:w w:val="100"/>
          <w:position w:val="0"/>
          <w:sz w:val="32"/>
          <w:szCs w:val="32"/>
          <w:lang w:eastAsia="zh-CN"/>
        </w:rPr>
        <w:t>村</w:t>
      </w:r>
      <w:r>
        <w:rPr>
          <w:rFonts w:hint="eastAsia" w:ascii="仿宋_GB2312" w:hAnsi="仿宋_GB2312" w:eastAsia="仿宋_GB2312" w:cs="仿宋_GB2312"/>
          <w:b/>
          <w:bCs/>
          <w:color w:val="000000"/>
          <w:spacing w:val="0"/>
          <w:w w:val="100"/>
          <w:position w:val="0"/>
          <w:sz w:val="32"/>
          <w:szCs w:val="32"/>
        </w:rPr>
        <w:t>主要领导亲自抓，严阵以待，严防死守，坚决打好春季森林防火攻坚战。</w:t>
      </w:r>
    </w:p>
    <w:p>
      <w:pPr>
        <w:pStyle w:val="12"/>
        <w:keepNext w:val="0"/>
        <w:keepLines w:val="0"/>
        <w:pageBreakBefore w:val="0"/>
        <w:widowControl w:val="0"/>
        <w:numPr>
          <w:ilvl w:val="0"/>
          <w:numId w:val="0"/>
        </w:numPr>
        <w:shd w:val="clear" w:color="auto" w:fill="auto"/>
        <w:kinsoku/>
        <w:wordWrap/>
        <w:overflowPunct/>
        <w:topLinePunct w:val="0"/>
        <w:bidi w:val="0"/>
        <w:adjustRightInd/>
        <w:snapToGrid/>
        <w:spacing w:before="0" w:after="0" w:line="560" w:lineRule="exact"/>
        <w:ind w:left="640" w:leftChars="0" w:right="0" w:rightChars="0"/>
        <w:jc w:val="both"/>
        <w:textAlignment w:val="auto"/>
        <w:rPr>
          <w:rFonts w:hint="eastAsia" w:ascii="黑体" w:hAnsi="黑体" w:eastAsia="黑体" w:cs="黑体"/>
          <w:b/>
          <w:bCs/>
          <w:color w:val="000000"/>
          <w:spacing w:val="0"/>
          <w:w w:val="100"/>
          <w:position w:val="0"/>
          <w:sz w:val="32"/>
          <w:szCs w:val="32"/>
        </w:rPr>
      </w:pPr>
      <w:r>
        <w:rPr>
          <w:rFonts w:hint="eastAsia" w:ascii="黑体" w:hAnsi="黑体" w:eastAsia="黑体" w:cs="黑体"/>
          <w:b/>
          <w:bCs/>
          <w:color w:val="000000"/>
          <w:spacing w:val="0"/>
          <w:w w:val="100"/>
          <w:position w:val="0"/>
          <w:sz w:val="32"/>
          <w:szCs w:val="32"/>
          <w:lang w:eastAsia="zh-CN"/>
        </w:rPr>
        <w:t>四、</w:t>
      </w:r>
      <w:r>
        <w:rPr>
          <w:rFonts w:hint="eastAsia" w:ascii="黑体" w:hAnsi="黑体" w:eastAsia="黑体" w:cs="黑体"/>
          <w:b/>
          <w:bCs/>
          <w:color w:val="000000"/>
          <w:spacing w:val="0"/>
          <w:w w:val="100"/>
          <w:position w:val="0"/>
          <w:sz w:val="32"/>
          <w:szCs w:val="32"/>
        </w:rPr>
        <w:t>保障措施</w:t>
      </w:r>
    </w:p>
    <w:p>
      <w:pPr>
        <w:pStyle w:val="12"/>
        <w:keepNext w:val="0"/>
        <w:keepLines w:val="0"/>
        <w:pageBreakBefore w:val="0"/>
        <w:widowControl w:val="0"/>
        <w:numPr>
          <w:ilvl w:val="0"/>
          <w:numId w:val="0"/>
        </w:numPr>
        <w:shd w:val="clear" w:color="auto" w:fill="auto"/>
        <w:kinsoku/>
        <w:wordWrap/>
        <w:overflowPunct/>
        <w:topLinePunct w:val="0"/>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b/>
          <w:bCs/>
          <w:color w:val="000000"/>
          <w:spacing w:val="0"/>
          <w:w w:val="100"/>
          <w:position w:val="0"/>
          <w:sz w:val="32"/>
          <w:szCs w:val="32"/>
        </w:rPr>
        <w:t>（一）加强组织领导。</w:t>
      </w:r>
      <w:r>
        <w:rPr>
          <w:rFonts w:hint="eastAsia" w:ascii="仿宋_GB2312" w:hAnsi="仿宋_GB2312" w:eastAsia="仿宋_GB2312" w:cs="仿宋_GB2312"/>
          <w:b/>
          <w:bCs/>
          <w:color w:val="000000"/>
          <w:spacing w:val="0"/>
          <w:w w:val="100"/>
          <w:position w:val="0"/>
          <w:sz w:val="32"/>
          <w:szCs w:val="32"/>
        </w:rPr>
        <w:t>各</w:t>
      </w:r>
      <w:r>
        <w:rPr>
          <w:rFonts w:hint="eastAsia" w:ascii="仿宋_GB2312" w:hAnsi="仿宋_GB2312" w:eastAsia="仿宋_GB2312" w:cs="仿宋_GB2312"/>
          <w:b/>
          <w:bCs/>
          <w:color w:val="000000"/>
          <w:spacing w:val="0"/>
          <w:w w:val="100"/>
          <w:position w:val="0"/>
          <w:sz w:val="32"/>
          <w:szCs w:val="32"/>
          <w:lang w:eastAsia="zh-CN"/>
        </w:rPr>
        <w:t>村</w:t>
      </w:r>
      <w:r>
        <w:rPr>
          <w:rFonts w:hint="eastAsia" w:ascii="仿宋_GB2312" w:hAnsi="仿宋_GB2312" w:eastAsia="仿宋_GB2312" w:cs="仿宋_GB2312"/>
          <w:b/>
          <w:bCs/>
          <w:color w:val="000000"/>
          <w:spacing w:val="0"/>
          <w:w w:val="100"/>
          <w:position w:val="0"/>
          <w:sz w:val="32"/>
          <w:szCs w:val="32"/>
        </w:rPr>
        <w:t>和有关</w:t>
      </w:r>
      <w:r>
        <w:rPr>
          <w:rFonts w:hint="eastAsia" w:ascii="仿宋_GB2312" w:hAnsi="仿宋_GB2312" w:eastAsia="仿宋_GB2312" w:cs="仿宋_GB2312"/>
          <w:b/>
          <w:bCs/>
          <w:color w:val="000000"/>
          <w:spacing w:val="0"/>
          <w:w w:val="100"/>
          <w:position w:val="0"/>
          <w:sz w:val="32"/>
          <w:szCs w:val="32"/>
          <w:lang w:eastAsia="zh-CN"/>
        </w:rPr>
        <w:t>单位</w:t>
      </w:r>
      <w:r>
        <w:rPr>
          <w:rFonts w:hint="eastAsia" w:ascii="仿宋_GB2312" w:hAnsi="仿宋_GB2312" w:eastAsia="仿宋_GB2312" w:cs="仿宋_GB2312"/>
          <w:b/>
          <w:bCs/>
          <w:color w:val="000000"/>
          <w:spacing w:val="0"/>
          <w:w w:val="100"/>
          <w:position w:val="0"/>
          <w:sz w:val="32"/>
          <w:szCs w:val="32"/>
        </w:rPr>
        <w:t>要提高政治站位，高度重视、精心组织，把开展</w:t>
      </w:r>
      <w:r>
        <w:rPr>
          <w:rFonts w:hint="eastAsia" w:ascii="仿宋_GB2312" w:hAnsi="仿宋_GB2312" w:eastAsia="仿宋_GB2312" w:cs="仿宋_GB2312"/>
          <w:b/>
          <w:bCs/>
          <w:color w:val="000000"/>
          <w:spacing w:val="0"/>
          <w:w w:val="100"/>
          <w:position w:val="0"/>
          <w:sz w:val="32"/>
          <w:szCs w:val="32"/>
          <w:lang w:val="zh-CN" w:eastAsia="zh-CN" w:bidi="zh-CN"/>
        </w:rPr>
        <w:t>“森</w:t>
      </w:r>
      <w:r>
        <w:rPr>
          <w:rFonts w:hint="eastAsia" w:ascii="仿宋_GB2312" w:hAnsi="仿宋_GB2312" w:eastAsia="仿宋_GB2312" w:cs="仿宋_GB2312"/>
          <w:b/>
          <w:bCs/>
          <w:color w:val="000000"/>
          <w:spacing w:val="0"/>
          <w:w w:val="100"/>
          <w:position w:val="0"/>
          <w:sz w:val="32"/>
          <w:szCs w:val="32"/>
        </w:rPr>
        <w:t>林防灭火百日攻坚”专项行 动作为贯彻</w:t>
      </w:r>
      <w:r>
        <w:rPr>
          <w:rFonts w:hint="eastAsia" w:ascii="仿宋_GB2312" w:hAnsi="仿宋_GB2312" w:eastAsia="仿宋_GB2312" w:cs="仿宋_GB2312"/>
          <w:b/>
          <w:bCs/>
          <w:color w:val="000000"/>
          <w:spacing w:val="0"/>
          <w:w w:val="100"/>
          <w:position w:val="0"/>
          <w:sz w:val="32"/>
          <w:szCs w:val="32"/>
          <w:lang w:eastAsia="zh-CN"/>
        </w:rPr>
        <w:t>党委</w:t>
      </w:r>
      <w:r>
        <w:rPr>
          <w:rFonts w:hint="eastAsia" w:ascii="仿宋_GB2312" w:hAnsi="仿宋_GB2312" w:eastAsia="仿宋_GB2312" w:cs="仿宋_GB2312"/>
          <w:b/>
          <w:bCs/>
          <w:color w:val="000000"/>
          <w:spacing w:val="0"/>
          <w:w w:val="100"/>
          <w:position w:val="0"/>
          <w:sz w:val="32"/>
          <w:szCs w:val="32"/>
        </w:rPr>
        <w:t>、政府部署工作的重要举措，摆上突出位置。 主动担当，积极发动，严格落实专项行动工作措施，强化工作落实，确保行动实效。</w:t>
      </w:r>
    </w:p>
    <w:p>
      <w:pPr>
        <w:pStyle w:val="12"/>
        <w:keepNext w:val="0"/>
        <w:keepLines w:val="0"/>
        <w:pageBreakBefore w:val="0"/>
        <w:widowControl w:val="0"/>
        <w:shd w:val="clear" w:color="auto" w:fill="auto"/>
        <w:tabs>
          <w:tab w:val="left" w:pos="1555"/>
        </w:tabs>
        <w:kinsoku/>
        <w:wordWrap/>
        <w:overflowPunct/>
        <w:topLinePunct w:val="0"/>
        <w:bidi w:val="0"/>
        <w:adjustRightInd/>
        <w:snapToGrid/>
        <w:spacing w:before="0" w:after="560" w:line="560" w:lineRule="exact"/>
        <w:ind w:left="0" w:leftChars="0" w:right="0" w:firstLine="643" w:firstLineChars="200"/>
        <w:jc w:val="both"/>
        <w:textAlignment w:val="auto"/>
        <w:rPr>
          <w:rFonts w:hint="eastAsia" w:ascii="仿宋_GB2312" w:hAnsi="仿宋_GB2312" w:eastAsia="仿宋_GB2312" w:cs="仿宋_GB2312"/>
          <w:b/>
          <w:bCs/>
          <w:sz w:val="32"/>
          <w:szCs w:val="32"/>
        </w:rPr>
      </w:pPr>
      <w:bookmarkStart w:id="0" w:name="bookmark15"/>
      <w:r>
        <w:rPr>
          <w:rFonts w:hint="eastAsia" w:ascii="楷体_GB2312" w:hAnsi="楷体_GB2312" w:eastAsia="楷体_GB2312" w:cs="楷体_GB2312"/>
          <w:b/>
          <w:bCs/>
          <w:color w:val="000000"/>
          <w:spacing w:val="0"/>
          <w:w w:val="100"/>
          <w:position w:val="0"/>
          <w:sz w:val="32"/>
          <w:szCs w:val="32"/>
        </w:rPr>
        <w:t>（</w:t>
      </w:r>
      <w:bookmarkEnd w:id="0"/>
      <w:r>
        <w:rPr>
          <w:rFonts w:hint="eastAsia" w:ascii="楷体_GB2312" w:hAnsi="楷体_GB2312" w:eastAsia="楷体_GB2312" w:cs="楷体_GB2312"/>
          <w:b/>
          <w:bCs/>
          <w:color w:val="000000"/>
          <w:spacing w:val="0"/>
          <w:w w:val="100"/>
          <w:position w:val="0"/>
          <w:sz w:val="32"/>
          <w:szCs w:val="32"/>
        </w:rPr>
        <w:t>二）加强督导检查。</w:t>
      </w:r>
      <w:r>
        <w:rPr>
          <w:rFonts w:hint="eastAsia" w:ascii="仿宋_GB2312" w:hAnsi="仿宋_GB2312" w:eastAsia="仿宋_GB2312" w:cs="仿宋_GB2312"/>
          <w:b/>
          <w:bCs/>
          <w:color w:val="000000"/>
          <w:spacing w:val="0"/>
          <w:w w:val="100"/>
          <w:position w:val="0"/>
          <w:sz w:val="32"/>
          <w:szCs w:val="32"/>
          <w:lang w:eastAsia="zh-CN"/>
        </w:rPr>
        <w:t>镇督查室</w:t>
      </w:r>
      <w:r>
        <w:rPr>
          <w:rFonts w:hint="eastAsia" w:ascii="仿宋_GB2312" w:hAnsi="仿宋_GB2312" w:eastAsia="仿宋_GB2312" w:cs="仿宋_GB2312"/>
          <w:b/>
          <w:bCs/>
          <w:color w:val="000000"/>
          <w:spacing w:val="0"/>
          <w:w w:val="100"/>
          <w:position w:val="0"/>
          <w:sz w:val="32"/>
          <w:szCs w:val="32"/>
        </w:rPr>
        <w:t>将对</w:t>
      </w:r>
      <w:r>
        <w:rPr>
          <w:rFonts w:hint="eastAsia" w:ascii="仿宋_GB2312" w:hAnsi="仿宋_GB2312" w:eastAsia="仿宋_GB2312" w:cs="仿宋_GB2312"/>
          <w:b/>
          <w:bCs/>
          <w:color w:val="000000"/>
          <w:spacing w:val="0"/>
          <w:w w:val="100"/>
          <w:position w:val="0"/>
          <w:sz w:val="32"/>
          <w:szCs w:val="32"/>
          <w:lang w:val="zh-CN" w:eastAsia="zh-CN" w:bidi="zh-CN"/>
        </w:rPr>
        <w:t>“森</w:t>
      </w:r>
      <w:r>
        <w:rPr>
          <w:rFonts w:hint="eastAsia" w:ascii="仿宋_GB2312" w:hAnsi="仿宋_GB2312" w:eastAsia="仿宋_GB2312" w:cs="仿宋_GB2312"/>
          <w:b/>
          <w:bCs/>
          <w:color w:val="000000"/>
          <w:spacing w:val="0"/>
          <w:w w:val="100"/>
          <w:position w:val="0"/>
          <w:sz w:val="32"/>
          <w:szCs w:val="32"/>
        </w:rPr>
        <w:t>林防灭火百日攻坚”专项行动开展情况进行督导检查，适时采取明查暗访、专项督导、联合检查等方式，掌握情况、查找问题、确保各项工作落到实处。对因工作不力导致</w:t>
      </w:r>
      <w:r>
        <w:rPr>
          <w:rFonts w:hint="eastAsia" w:ascii="仿宋_GB2312" w:hAnsi="仿宋_GB2312" w:eastAsia="仿宋_GB2312" w:cs="仿宋_GB2312"/>
          <w:b/>
          <w:bCs/>
          <w:color w:val="000000"/>
          <w:spacing w:val="0"/>
          <w:w w:val="100"/>
          <w:position w:val="0"/>
          <w:sz w:val="32"/>
          <w:szCs w:val="32"/>
          <w:lang w:val="zh-CN" w:eastAsia="zh-CN" w:bidi="zh-CN"/>
        </w:rPr>
        <w:t>“森</w:t>
      </w:r>
      <w:r>
        <w:rPr>
          <w:rFonts w:hint="eastAsia" w:ascii="仿宋_GB2312" w:hAnsi="仿宋_GB2312" w:eastAsia="仿宋_GB2312" w:cs="仿宋_GB2312"/>
          <w:b/>
          <w:bCs/>
          <w:color w:val="000000"/>
          <w:spacing w:val="0"/>
          <w:w w:val="100"/>
          <w:position w:val="0"/>
          <w:sz w:val="32"/>
          <w:szCs w:val="32"/>
        </w:rPr>
        <w:t>林防灭火百日攻坚”专项行动进展滞后、责任落实不到位，造成火</w:t>
      </w:r>
      <w:r>
        <w:rPr>
          <w:rFonts w:hint="eastAsia" w:ascii="仿宋_GB2312" w:hAnsi="仿宋_GB2312" w:eastAsia="仿宋_GB2312" w:cs="仿宋_GB2312"/>
          <w:b/>
          <w:bCs/>
          <w:color w:val="000000"/>
          <w:spacing w:val="0"/>
          <w:w w:val="100"/>
          <w:position w:val="0"/>
          <w:sz w:val="32"/>
          <w:szCs w:val="32"/>
          <w:lang w:eastAsia="zh-CN"/>
        </w:rPr>
        <w:t>情</w:t>
      </w:r>
      <w:r>
        <w:rPr>
          <w:rFonts w:hint="eastAsia" w:ascii="仿宋_GB2312" w:hAnsi="仿宋_GB2312" w:eastAsia="仿宋_GB2312" w:cs="仿宋_GB2312"/>
          <w:b/>
          <w:bCs/>
          <w:color w:val="000000"/>
          <w:spacing w:val="0"/>
          <w:w w:val="100"/>
          <w:position w:val="0"/>
          <w:sz w:val="32"/>
          <w:szCs w:val="32"/>
        </w:rPr>
        <w:t>的</w:t>
      </w:r>
      <w:r>
        <w:rPr>
          <w:rFonts w:hint="eastAsia" w:ascii="仿宋_GB2312" w:hAnsi="仿宋_GB2312" w:eastAsia="仿宋_GB2312" w:cs="仿宋_GB2312"/>
          <w:b/>
          <w:bCs/>
          <w:color w:val="000000"/>
          <w:spacing w:val="0"/>
          <w:w w:val="100"/>
          <w:position w:val="0"/>
          <w:sz w:val="32"/>
          <w:szCs w:val="32"/>
          <w:lang w:eastAsia="zh-CN"/>
        </w:rPr>
        <w:t>村</w:t>
      </w:r>
      <w:r>
        <w:rPr>
          <w:rFonts w:hint="eastAsia" w:ascii="仿宋_GB2312" w:hAnsi="仿宋_GB2312" w:eastAsia="仿宋_GB2312" w:cs="仿宋_GB2312"/>
          <w:b/>
          <w:bCs/>
          <w:color w:val="000000"/>
          <w:spacing w:val="0"/>
          <w:w w:val="100"/>
          <w:position w:val="0"/>
          <w:sz w:val="32"/>
          <w:szCs w:val="32"/>
        </w:rPr>
        <w:t>，要严肃问责。对督导检查发现的问题将在全</w:t>
      </w:r>
      <w:r>
        <w:rPr>
          <w:rFonts w:hint="eastAsia" w:ascii="仿宋_GB2312" w:hAnsi="仿宋_GB2312" w:eastAsia="仿宋_GB2312" w:cs="仿宋_GB2312"/>
          <w:b/>
          <w:bCs/>
          <w:color w:val="000000"/>
          <w:spacing w:val="0"/>
          <w:w w:val="100"/>
          <w:position w:val="0"/>
          <w:sz w:val="32"/>
          <w:szCs w:val="32"/>
          <w:lang w:eastAsia="zh-CN"/>
        </w:rPr>
        <w:t>镇</w:t>
      </w:r>
      <w:r>
        <w:rPr>
          <w:rFonts w:hint="eastAsia" w:ascii="仿宋_GB2312" w:hAnsi="仿宋_GB2312" w:eastAsia="仿宋_GB2312" w:cs="仿宋_GB2312"/>
          <w:b/>
          <w:bCs/>
          <w:color w:val="000000"/>
          <w:spacing w:val="0"/>
          <w:w w:val="100"/>
          <w:position w:val="0"/>
          <w:sz w:val="32"/>
          <w:szCs w:val="32"/>
        </w:rPr>
        <w:t>进行通报。</w:t>
      </w:r>
    </w:p>
    <w:p>
      <w:pPr>
        <w:pStyle w:val="12"/>
        <w:keepNext w:val="0"/>
        <w:keepLines w:val="0"/>
        <w:widowControl w:val="0"/>
        <w:shd w:val="clear" w:color="auto" w:fill="auto"/>
        <w:bidi w:val="0"/>
        <w:spacing w:before="0" w:after="0" w:line="565" w:lineRule="exact"/>
        <w:ind w:left="0" w:right="0" w:firstLine="980"/>
        <w:jc w:val="left"/>
        <w:rPr>
          <w:rFonts w:hint="eastAsia" w:ascii="仿宋_GB2312" w:hAnsi="仿宋_GB2312" w:eastAsia="仿宋_GB2312" w:cs="仿宋_GB2312"/>
          <w:b/>
          <w:bCs/>
          <w:sz w:val="32"/>
          <w:szCs w:val="32"/>
        </w:rPr>
        <w:sectPr>
          <w:footerReference r:id="rId3" w:type="default"/>
          <w:footerReference r:id="rId4" w:type="even"/>
          <w:footnotePr>
            <w:numFmt w:val="decimal"/>
          </w:footnotePr>
          <w:pgSz w:w="11900" w:h="16840"/>
          <w:pgMar w:top="1814" w:right="1247" w:bottom="1134" w:left="1417" w:header="0" w:footer="3" w:gutter="0"/>
          <w:pgBorders>
            <w:top w:val="none" w:sz="0" w:space="0"/>
            <w:left w:val="none" w:sz="0" w:space="0"/>
            <w:bottom w:val="none" w:sz="0" w:space="0"/>
            <w:right w:val="none" w:sz="0" w:space="0"/>
          </w:pgBorders>
          <w:cols w:space="720" w:num="1"/>
          <w:rtlGutter w:val="0"/>
          <w:docGrid w:linePitch="360" w:charSpace="0"/>
        </w:sectPr>
      </w:pPr>
      <w:r>
        <w:rPr>
          <w:rFonts w:hint="eastAsia" w:ascii="仿宋_GB2312" w:hAnsi="仿宋_GB2312" w:eastAsia="仿宋_GB2312" w:cs="仿宋_GB2312"/>
          <w:b/>
          <w:bCs/>
          <w:color w:val="000000"/>
          <w:spacing w:val="0"/>
          <w:w w:val="100"/>
          <w:position w:val="0"/>
          <w:sz w:val="32"/>
          <w:szCs w:val="32"/>
        </w:rPr>
        <w:t>附件：</w:t>
      </w:r>
      <w:r>
        <w:rPr>
          <w:rFonts w:hint="eastAsia" w:ascii="仿宋_GB2312" w:hAnsi="仿宋_GB2312" w:eastAsia="仿宋_GB2312" w:cs="仿宋_GB2312"/>
          <w:b/>
          <w:bCs/>
          <w:color w:val="000000"/>
          <w:spacing w:val="0"/>
          <w:w w:val="100"/>
          <w:position w:val="0"/>
          <w:sz w:val="32"/>
          <w:szCs w:val="32"/>
          <w:lang w:val="zh-CN" w:eastAsia="zh-CN" w:bidi="zh-CN"/>
        </w:rPr>
        <w:t>“森</w:t>
      </w:r>
      <w:r>
        <w:rPr>
          <w:rFonts w:hint="eastAsia" w:ascii="仿宋_GB2312" w:hAnsi="仿宋_GB2312" w:eastAsia="仿宋_GB2312" w:cs="仿宋_GB2312"/>
          <w:b/>
          <w:bCs/>
          <w:color w:val="000000"/>
          <w:spacing w:val="0"/>
          <w:w w:val="100"/>
          <w:position w:val="0"/>
          <w:sz w:val="32"/>
          <w:szCs w:val="32"/>
        </w:rPr>
        <w:t>林防灭火百日攻坚”专项行动督查表</w:t>
      </w:r>
    </w:p>
    <w:p>
      <w:pPr>
        <w:pStyle w:val="13"/>
        <w:keepNext w:val="0"/>
        <w:keepLines w:val="0"/>
        <w:widowControl w:val="0"/>
        <w:shd w:val="clear" w:color="auto" w:fill="auto"/>
        <w:bidi w:val="0"/>
        <w:spacing w:before="0" w:line="240" w:lineRule="auto"/>
        <w:ind w:left="0" w:right="0" w:firstLine="1200" w:firstLineChars="300"/>
        <w:jc w:val="left"/>
        <w:rPr>
          <w:sz w:val="40"/>
          <w:szCs w:val="40"/>
        </w:rPr>
      </w:pPr>
      <w:bookmarkStart w:id="1" w:name="bookmark17"/>
      <w:bookmarkStart w:id="2" w:name="bookmark19"/>
      <w:bookmarkStart w:id="3" w:name="bookmark18"/>
      <w:r>
        <w:rPr>
          <w:i w:val="0"/>
          <w:iCs w:val="0"/>
          <w:color w:val="000000"/>
          <w:spacing w:val="0"/>
          <w:w w:val="100"/>
          <w:position w:val="0"/>
          <w:sz w:val="40"/>
          <w:szCs w:val="40"/>
          <w:lang w:val="zh-CN" w:eastAsia="zh-CN" w:bidi="zh-CN"/>
        </w:rPr>
        <w:t>“森</w:t>
      </w:r>
      <w:r>
        <w:rPr>
          <w:i w:val="0"/>
          <w:iCs w:val="0"/>
          <w:color w:val="000000"/>
          <w:spacing w:val="0"/>
          <w:w w:val="100"/>
          <w:position w:val="0"/>
          <w:sz w:val="40"/>
          <w:szCs w:val="40"/>
        </w:rPr>
        <w:t>林防灭火百日攻坚”专项行动督查表</w:t>
      </w:r>
      <w:bookmarkEnd w:id="1"/>
      <w:bookmarkEnd w:id="2"/>
      <w:bookmarkEnd w:id="3"/>
    </w:p>
    <w:tbl>
      <w:tblPr>
        <w:tblStyle w:val="6"/>
        <w:tblW w:w="9585" w:type="dxa"/>
        <w:jc w:val="center"/>
        <w:tblLayout w:type="fixed"/>
        <w:tblCellMar>
          <w:top w:w="0" w:type="dxa"/>
          <w:left w:w="10" w:type="dxa"/>
          <w:bottom w:w="0" w:type="dxa"/>
          <w:right w:w="10" w:type="dxa"/>
        </w:tblCellMar>
      </w:tblPr>
      <w:tblGrid>
        <w:gridCol w:w="623"/>
        <w:gridCol w:w="883"/>
        <w:gridCol w:w="4760"/>
        <w:gridCol w:w="2389"/>
        <w:gridCol w:w="930"/>
      </w:tblGrid>
      <w:tr>
        <w:tblPrEx>
          <w:tblCellMar>
            <w:top w:w="0" w:type="dxa"/>
            <w:left w:w="10" w:type="dxa"/>
            <w:bottom w:w="0" w:type="dxa"/>
            <w:right w:w="10" w:type="dxa"/>
          </w:tblCellMar>
        </w:tblPrEx>
        <w:trPr>
          <w:trHeight w:val="677" w:hRule="exact"/>
          <w:jc w:val="center"/>
        </w:trPr>
        <w:tc>
          <w:tcPr>
            <w:tcW w:w="623"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b/>
                <w:bCs/>
                <w:color w:val="000000"/>
                <w:spacing w:val="0"/>
                <w:w w:val="100"/>
                <w:position w:val="0"/>
                <w:lang w:eastAsia="zh-CN"/>
              </w:rPr>
            </w:pPr>
            <w:r>
              <w:rPr>
                <w:rFonts w:hint="eastAsia"/>
                <w:b/>
                <w:bCs/>
                <w:color w:val="000000"/>
                <w:spacing w:val="0"/>
                <w:w w:val="100"/>
                <w:position w:val="0"/>
                <w:lang w:eastAsia="zh-CN"/>
              </w:rPr>
              <w:t>序号</w:t>
            </w:r>
          </w:p>
        </w:tc>
        <w:tc>
          <w:tcPr>
            <w:tcW w:w="883"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b/>
                <w:bCs/>
                <w:color w:val="000000"/>
                <w:spacing w:val="0"/>
                <w:w w:val="100"/>
                <w:position w:val="0"/>
              </w:rPr>
            </w:pPr>
            <w:r>
              <w:rPr>
                <w:b/>
                <w:bCs/>
                <w:color w:val="000000"/>
                <w:spacing w:val="0"/>
                <w:w w:val="100"/>
                <w:position w:val="0"/>
              </w:rPr>
              <w:t>检查项目</w:t>
            </w:r>
          </w:p>
        </w:tc>
        <w:tc>
          <w:tcPr>
            <w:tcW w:w="4760"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b/>
                <w:bCs/>
                <w:color w:val="000000"/>
                <w:spacing w:val="0"/>
                <w:w w:val="100"/>
                <w:position w:val="0"/>
              </w:rPr>
            </w:pPr>
            <w:r>
              <w:rPr>
                <w:b/>
                <w:bCs/>
                <w:color w:val="000000"/>
                <w:spacing w:val="0"/>
                <w:w w:val="100"/>
                <w:position w:val="0"/>
              </w:rPr>
              <w:t>具体内容</w:t>
            </w:r>
          </w:p>
        </w:tc>
        <w:tc>
          <w:tcPr>
            <w:tcW w:w="2389"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检查情况记录</w:t>
            </w:r>
          </w:p>
        </w:tc>
        <w:tc>
          <w:tcPr>
            <w:tcW w:w="930" w:type="dxa"/>
            <w:tcBorders>
              <w:top w:val="single" w:color="auto" w:sz="4" w:space="0"/>
              <w:left w:val="single" w:color="auto" w:sz="4" w:space="0"/>
              <w:righ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280" w:firstLine="0"/>
              <w:jc w:val="right"/>
            </w:pPr>
            <w:r>
              <w:rPr>
                <w:b/>
                <w:bCs/>
                <w:color w:val="000000"/>
                <w:spacing w:val="0"/>
                <w:w w:val="100"/>
                <w:position w:val="0"/>
              </w:rPr>
              <w:t>备注</w:t>
            </w:r>
          </w:p>
        </w:tc>
      </w:tr>
      <w:tr>
        <w:tblPrEx>
          <w:tblCellMar>
            <w:top w:w="0" w:type="dxa"/>
            <w:left w:w="10" w:type="dxa"/>
            <w:bottom w:w="0" w:type="dxa"/>
            <w:right w:w="10" w:type="dxa"/>
          </w:tblCellMar>
        </w:tblPrEx>
        <w:trPr>
          <w:trHeight w:val="510" w:hRule="exact"/>
          <w:jc w:val="center"/>
        </w:trPr>
        <w:tc>
          <w:tcPr>
            <w:tcW w:w="623" w:type="dxa"/>
            <w:vMerge w:val="restart"/>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120" w:after="0" w:line="240" w:lineRule="auto"/>
              <w:ind w:left="0" w:right="0"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883" w:type="dxa"/>
            <w:vMerge w:val="restart"/>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120" w:after="0" w:line="240" w:lineRule="auto"/>
              <w:ind w:left="0" w:right="0" w:firstLine="0"/>
              <w:jc w:val="left"/>
              <w:rPr>
                <w:rFonts w:hint="eastAsia" w:ascii="仿宋" w:hAnsi="仿宋" w:eastAsia="仿宋" w:cs="仿宋"/>
                <w:color w:val="000000"/>
                <w:spacing w:val="0"/>
                <w:w w:val="100"/>
                <w:position w:val="0"/>
                <w:sz w:val="24"/>
                <w:szCs w:val="24"/>
                <w:lang w:eastAsia="zh-CN"/>
              </w:rPr>
            </w:pPr>
            <w:r>
              <w:rPr>
                <w:rFonts w:hint="eastAsia" w:ascii="仿宋" w:hAnsi="仿宋" w:eastAsia="仿宋" w:cs="仿宋"/>
                <w:color w:val="000000"/>
                <w:spacing w:val="0"/>
                <w:w w:val="100"/>
                <w:position w:val="0"/>
                <w:sz w:val="24"/>
                <w:szCs w:val="24"/>
                <w:lang w:eastAsia="zh-CN"/>
              </w:rPr>
              <w:t>责任落实情况</w:t>
            </w:r>
          </w:p>
        </w:tc>
        <w:tc>
          <w:tcPr>
            <w:tcW w:w="4760"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120" w:after="0" w:line="240" w:lineRule="auto"/>
              <w:ind w:left="0" w:right="0" w:firstLine="0"/>
              <w:jc w:val="left"/>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rPr>
              <w:t>百日攻坚行动落实情况</w:t>
            </w:r>
          </w:p>
        </w:tc>
        <w:tc>
          <w:tcPr>
            <w:tcW w:w="2389" w:type="dxa"/>
            <w:tcBorders>
              <w:top w:val="single" w:color="auto" w:sz="4" w:space="0"/>
              <w:left w:val="single" w:color="auto" w:sz="4" w:space="0"/>
            </w:tcBorders>
            <w:shd w:val="clear" w:color="auto" w:fill="FFFFFF"/>
            <w:vAlign w:val="top"/>
          </w:tcPr>
          <w:p>
            <w:pPr>
              <w:widowControl w:val="0"/>
              <w:jc w:val="both"/>
              <w:rPr>
                <w:rFonts w:hint="eastAsia" w:ascii="仿宋" w:hAnsi="仿宋" w:eastAsia="仿宋" w:cs="仿宋"/>
                <w:sz w:val="24"/>
                <w:szCs w:val="24"/>
              </w:rPr>
            </w:pPr>
          </w:p>
        </w:tc>
        <w:tc>
          <w:tcPr>
            <w:tcW w:w="930"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510" w:hRule="exact"/>
          <w:jc w:val="center"/>
        </w:trPr>
        <w:tc>
          <w:tcPr>
            <w:tcW w:w="623" w:type="dxa"/>
            <w:vMerge w:val="continue"/>
            <w:tcBorders>
              <w:left w:val="single" w:color="auto" w:sz="4" w:space="0"/>
            </w:tcBorders>
            <w:shd w:val="clear" w:color="auto" w:fill="FFFFFF"/>
            <w:vAlign w:val="top"/>
          </w:tcPr>
          <w:p>
            <w:pPr>
              <w:pStyle w:val="14"/>
              <w:keepNext w:val="0"/>
              <w:keepLines w:val="0"/>
              <w:widowControl w:val="0"/>
              <w:shd w:val="clear" w:color="auto" w:fill="auto"/>
              <w:bidi w:val="0"/>
              <w:spacing w:before="120" w:after="0" w:line="240" w:lineRule="auto"/>
              <w:ind w:left="0" w:right="0" w:firstLine="0"/>
              <w:jc w:val="both"/>
              <w:rPr>
                <w:rFonts w:hint="eastAsia" w:ascii="仿宋" w:hAnsi="仿宋" w:eastAsia="仿宋" w:cs="仿宋"/>
                <w:sz w:val="24"/>
                <w:szCs w:val="24"/>
                <w:lang w:val="en-US" w:eastAsia="zh-CN"/>
              </w:rPr>
            </w:pPr>
          </w:p>
        </w:tc>
        <w:tc>
          <w:tcPr>
            <w:tcW w:w="883" w:type="dxa"/>
            <w:vMerge w:val="continue"/>
            <w:tcBorders>
              <w:left w:val="single" w:color="auto" w:sz="4" w:space="0"/>
            </w:tcBorders>
            <w:shd w:val="clear" w:color="auto" w:fill="FFFFFF"/>
            <w:vAlign w:val="top"/>
          </w:tcPr>
          <w:p>
            <w:pPr>
              <w:pStyle w:val="14"/>
              <w:keepNext w:val="0"/>
              <w:keepLines w:val="0"/>
              <w:widowControl w:val="0"/>
              <w:shd w:val="clear" w:color="auto" w:fill="auto"/>
              <w:bidi w:val="0"/>
              <w:spacing w:before="120" w:after="0" w:line="240" w:lineRule="auto"/>
              <w:ind w:left="0" w:right="0" w:firstLine="0"/>
              <w:jc w:val="left"/>
              <w:rPr>
                <w:rFonts w:hint="eastAsia" w:ascii="仿宋" w:hAnsi="仿宋" w:eastAsia="仿宋" w:cs="仿宋"/>
                <w:color w:val="000000"/>
                <w:spacing w:val="0"/>
                <w:w w:val="100"/>
                <w:position w:val="0"/>
                <w:sz w:val="24"/>
                <w:szCs w:val="24"/>
              </w:rPr>
            </w:pPr>
          </w:p>
        </w:tc>
        <w:tc>
          <w:tcPr>
            <w:tcW w:w="4760"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120" w:after="0" w:line="240" w:lineRule="auto"/>
              <w:ind w:left="0" w:right="0" w:firstLine="0"/>
              <w:jc w:val="left"/>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rPr>
              <w:t>开展签订</w:t>
            </w:r>
            <w:r>
              <w:rPr>
                <w:rFonts w:hint="eastAsia" w:ascii="仿宋" w:hAnsi="仿宋" w:eastAsia="仿宋" w:cs="仿宋"/>
                <w:color w:val="000000"/>
                <w:spacing w:val="0"/>
                <w:w w:val="100"/>
                <w:position w:val="0"/>
                <w:sz w:val="24"/>
                <w:szCs w:val="24"/>
                <w:lang w:val="zh-CN" w:eastAsia="zh-CN" w:bidi="zh-CN"/>
              </w:rPr>
              <w:t>“三</w:t>
            </w:r>
            <w:r>
              <w:rPr>
                <w:rFonts w:hint="eastAsia" w:ascii="仿宋" w:hAnsi="仿宋" w:eastAsia="仿宋" w:cs="仿宋"/>
                <w:color w:val="000000"/>
                <w:spacing w:val="0"/>
                <w:w w:val="100"/>
                <w:position w:val="0"/>
                <w:sz w:val="24"/>
                <w:szCs w:val="24"/>
              </w:rPr>
              <w:t>禁”承诺书情况</w:t>
            </w:r>
          </w:p>
        </w:tc>
        <w:tc>
          <w:tcPr>
            <w:tcW w:w="2389" w:type="dxa"/>
            <w:tcBorders>
              <w:top w:val="single" w:color="auto" w:sz="4" w:space="0"/>
              <w:left w:val="single" w:color="auto" w:sz="4" w:space="0"/>
            </w:tcBorders>
            <w:shd w:val="clear" w:color="auto" w:fill="FFFFFF"/>
            <w:vAlign w:val="top"/>
          </w:tcPr>
          <w:p>
            <w:pPr>
              <w:widowControl w:val="0"/>
              <w:jc w:val="both"/>
              <w:rPr>
                <w:rFonts w:hint="eastAsia" w:ascii="仿宋" w:hAnsi="仿宋" w:eastAsia="仿宋" w:cs="仿宋"/>
                <w:sz w:val="24"/>
                <w:szCs w:val="24"/>
              </w:rPr>
            </w:pPr>
          </w:p>
        </w:tc>
        <w:tc>
          <w:tcPr>
            <w:tcW w:w="930"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510" w:hRule="exact"/>
          <w:jc w:val="center"/>
        </w:trPr>
        <w:tc>
          <w:tcPr>
            <w:tcW w:w="623" w:type="dxa"/>
            <w:vMerge w:val="continue"/>
            <w:tcBorders>
              <w:left w:val="single" w:color="auto" w:sz="4" w:space="0"/>
            </w:tcBorders>
            <w:shd w:val="clear" w:color="auto" w:fill="FFFFFF"/>
            <w:vAlign w:val="top"/>
          </w:tcPr>
          <w:p>
            <w:pPr>
              <w:pStyle w:val="14"/>
              <w:keepNext w:val="0"/>
              <w:keepLines w:val="0"/>
              <w:widowControl w:val="0"/>
              <w:shd w:val="clear" w:color="auto" w:fill="auto"/>
              <w:bidi w:val="0"/>
              <w:spacing w:before="120" w:after="0" w:line="240" w:lineRule="auto"/>
              <w:ind w:left="0" w:right="0" w:firstLine="0"/>
              <w:jc w:val="both"/>
              <w:rPr>
                <w:rFonts w:hint="eastAsia" w:ascii="仿宋" w:hAnsi="仿宋" w:eastAsia="仿宋" w:cs="仿宋"/>
                <w:sz w:val="24"/>
                <w:szCs w:val="24"/>
                <w:lang w:val="en-US" w:eastAsia="zh-CN"/>
              </w:rPr>
            </w:pPr>
          </w:p>
        </w:tc>
        <w:tc>
          <w:tcPr>
            <w:tcW w:w="883" w:type="dxa"/>
            <w:vMerge w:val="continue"/>
            <w:tcBorders>
              <w:left w:val="single" w:color="auto" w:sz="4" w:space="0"/>
            </w:tcBorders>
            <w:shd w:val="clear" w:color="auto" w:fill="FFFFFF"/>
            <w:vAlign w:val="top"/>
          </w:tcPr>
          <w:p>
            <w:pPr>
              <w:pStyle w:val="14"/>
              <w:keepNext w:val="0"/>
              <w:keepLines w:val="0"/>
              <w:widowControl w:val="0"/>
              <w:shd w:val="clear" w:color="auto" w:fill="auto"/>
              <w:bidi w:val="0"/>
              <w:spacing w:before="120" w:after="0" w:line="240" w:lineRule="auto"/>
              <w:ind w:left="0" w:right="0" w:firstLine="0"/>
              <w:jc w:val="left"/>
              <w:rPr>
                <w:rFonts w:hint="eastAsia" w:ascii="仿宋" w:hAnsi="仿宋" w:eastAsia="仿宋" w:cs="仿宋"/>
                <w:color w:val="000000"/>
                <w:spacing w:val="0"/>
                <w:w w:val="100"/>
                <w:position w:val="0"/>
                <w:sz w:val="24"/>
                <w:szCs w:val="24"/>
              </w:rPr>
            </w:pPr>
          </w:p>
        </w:tc>
        <w:tc>
          <w:tcPr>
            <w:tcW w:w="4760"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120" w:after="0" w:line="240" w:lineRule="auto"/>
              <w:ind w:left="0" w:right="0" w:firstLine="0"/>
              <w:jc w:val="left"/>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rPr>
              <w:t>责任书的签订情况</w:t>
            </w:r>
          </w:p>
        </w:tc>
        <w:tc>
          <w:tcPr>
            <w:tcW w:w="2389" w:type="dxa"/>
            <w:tcBorders>
              <w:top w:val="single" w:color="auto" w:sz="4" w:space="0"/>
              <w:left w:val="single" w:color="auto" w:sz="4" w:space="0"/>
            </w:tcBorders>
            <w:shd w:val="clear" w:color="auto" w:fill="FFFFFF"/>
            <w:vAlign w:val="top"/>
          </w:tcPr>
          <w:p>
            <w:pPr>
              <w:widowControl w:val="0"/>
              <w:jc w:val="both"/>
              <w:rPr>
                <w:rFonts w:hint="eastAsia" w:ascii="仿宋" w:hAnsi="仿宋" w:eastAsia="仿宋" w:cs="仿宋"/>
                <w:sz w:val="24"/>
                <w:szCs w:val="24"/>
              </w:rPr>
            </w:pPr>
          </w:p>
        </w:tc>
        <w:tc>
          <w:tcPr>
            <w:tcW w:w="930"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510" w:hRule="exact"/>
          <w:jc w:val="center"/>
        </w:trPr>
        <w:tc>
          <w:tcPr>
            <w:tcW w:w="623" w:type="dxa"/>
            <w:vMerge w:val="restart"/>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120" w:after="0" w:line="240" w:lineRule="auto"/>
              <w:ind w:left="0" w:right="0"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883" w:type="dxa"/>
            <w:vMerge w:val="restart"/>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120" w:after="0" w:line="240" w:lineRule="auto"/>
              <w:ind w:left="0" w:right="0" w:firstLine="0"/>
              <w:jc w:val="left"/>
              <w:rPr>
                <w:rFonts w:hint="eastAsia" w:ascii="仿宋" w:hAnsi="仿宋" w:eastAsia="仿宋" w:cs="仿宋"/>
                <w:color w:val="000000"/>
                <w:spacing w:val="0"/>
                <w:w w:val="100"/>
                <w:position w:val="0"/>
                <w:sz w:val="24"/>
                <w:szCs w:val="24"/>
                <w:lang w:eastAsia="zh-CN"/>
              </w:rPr>
            </w:pPr>
            <w:r>
              <w:rPr>
                <w:rFonts w:hint="eastAsia" w:ascii="仿宋" w:hAnsi="仿宋" w:eastAsia="仿宋" w:cs="仿宋"/>
                <w:color w:val="000000"/>
                <w:spacing w:val="0"/>
                <w:w w:val="100"/>
                <w:position w:val="0"/>
                <w:sz w:val="24"/>
                <w:szCs w:val="24"/>
                <w:lang w:eastAsia="zh-CN"/>
              </w:rPr>
              <w:t>宣传工作情况</w:t>
            </w:r>
          </w:p>
        </w:tc>
        <w:tc>
          <w:tcPr>
            <w:tcW w:w="4760"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120" w:after="0" w:line="240" w:lineRule="auto"/>
              <w:ind w:left="0" w:right="0" w:firstLine="0"/>
              <w:jc w:val="left"/>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rPr>
              <w:t>总体宣传工作</w:t>
            </w:r>
          </w:p>
        </w:tc>
        <w:tc>
          <w:tcPr>
            <w:tcW w:w="2389" w:type="dxa"/>
            <w:tcBorders>
              <w:top w:val="single" w:color="auto" w:sz="4" w:space="0"/>
              <w:left w:val="single" w:color="auto" w:sz="4" w:space="0"/>
            </w:tcBorders>
            <w:shd w:val="clear" w:color="auto" w:fill="FFFFFF"/>
            <w:vAlign w:val="top"/>
          </w:tcPr>
          <w:p>
            <w:pPr>
              <w:widowControl w:val="0"/>
              <w:jc w:val="both"/>
              <w:rPr>
                <w:rFonts w:hint="eastAsia" w:ascii="仿宋" w:hAnsi="仿宋" w:eastAsia="仿宋" w:cs="仿宋"/>
                <w:sz w:val="24"/>
                <w:szCs w:val="24"/>
              </w:rPr>
            </w:pPr>
          </w:p>
        </w:tc>
        <w:tc>
          <w:tcPr>
            <w:tcW w:w="930"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510" w:hRule="exact"/>
          <w:jc w:val="center"/>
        </w:trPr>
        <w:tc>
          <w:tcPr>
            <w:tcW w:w="623" w:type="dxa"/>
            <w:vMerge w:val="continue"/>
            <w:tcBorders>
              <w:left w:val="single" w:color="auto" w:sz="4" w:space="0"/>
            </w:tcBorders>
            <w:shd w:val="clear" w:color="auto" w:fill="FFFFFF"/>
            <w:vAlign w:val="top"/>
          </w:tcPr>
          <w:p>
            <w:pPr>
              <w:pStyle w:val="14"/>
              <w:keepNext w:val="0"/>
              <w:keepLines w:val="0"/>
              <w:widowControl w:val="0"/>
              <w:shd w:val="clear" w:color="auto" w:fill="auto"/>
              <w:bidi w:val="0"/>
              <w:spacing w:before="120" w:after="0" w:line="240" w:lineRule="auto"/>
              <w:ind w:left="0" w:right="0" w:firstLine="0"/>
              <w:jc w:val="both"/>
              <w:rPr>
                <w:rFonts w:hint="eastAsia" w:ascii="仿宋" w:hAnsi="仿宋" w:eastAsia="仿宋" w:cs="仿宋"/>
                <w:sz w:val="24"/>
                <w:szCs w:val="24"/>
              </w:rPr>
            </w:pPr>
          </w:p>
        </w:tc>
        <w:tc>
          <w:tcPr>
            <w:tcW w:w="883" w:type="dxa"/>
            <w:vMerge w:val="continue"/>
            <w:tcBorders>
              <w:left w:val="single" w:color="auto" w:sz="4" w:space="0"/>
            </w:tcBorders>
            <w:shd w:val="clear" w:color="auto" w:fill="FFFFFF"/>
            <w:vAlign w:val="top"/>
          </w:tcPr>
          <w:p>
            <w:pPr>
              <w:pStyle w:val="14"/>
              <w:keepNext w:val="0"/>
              <w:keepLines w:val="0"/>
              <w:widowControl w:val="0"/>
              <w:shd w:val="clear" w:color="auto" w:fill="auto"/>
              <w:bidi w:val="0"/>
              <w:spacing w:before="120" w:after="0" w:line="240" w:lineRule="auto"/>
              <w:ind w:left="0" w:right="0" w:firstLine="0"/>
              <w:jc w:val="left"/>
              <w:rPr>
                <w:rFonts w:hint="eastAsia" w:ascii="仿宋" w:hAnsi="仿宋" w:eastAsia="仿宋" w:cs="仿宋"/>
                <w:color w:val="000000"/>
                <w:spacing w:val="0"/>
                <w:w w:val="100"/>
                <w:position w:val="0"/>
                <w:sz w:val="24"/>
                <w:szCs w:val="24"/>
                <w:lang w:eastAsia="zh-CN"/>
              </w:rPr>
            </w:pPr>
          </w:p>
        </w:tc>
        <w:tc>
          <w:tcPr>
            <w:tcW w:w="4760"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120" w:after="0" w:line="240" w:lineRule="auto"/>
              <w:ind w:left="0" w:right="0" w:firstLine="0"/>
              <w:jc w:val="left"/>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rPr>
              <w:t>禁火令禁火通告的张贴</w:t>
            </w:r>
          </w:p>
        </w:tc>
        <w:tc>
          <w:tcPr>
            <w:tcW w:w="2389" w:type="dxa"/>
            <w:tcBorders>
              <w:top w:val="single" w:color="auto" w:sz="4" w:space="0"/>
              <w:left w:val="single" w:color="auto" w:sz="4" w:space="0"/>
            </w:tcBorders>
            <w:shd w:val="clear" w:color="auto" w:fill="FFFFFF"/>
            <w:vAlign w:val="top"/>
          </w:tcPr>
          <w:p>
            <w:pPr>
              <w:widowControl w:val="0"/>
              <w:jc w:val="both"/>
              <w:rPr>
                <w:rFonts w:hint="eastAsia" w:ascii="仿宋" w:hAnsi="仿宋" w:eastAsia="仿宋" w:cs="仿宋"/>
                <w:sz w:val="24"/>
                <w:szCs w:val="24"/>
              </w:rPr>
            </w:pPr>
          </w:p>
        </w:tc>
        <w:tc>
          <w:tcPr>
            <w:tcW w:w="930"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510" w:hRule="exact"/>
          <w:jc w:val="center"/>
        </w:trPr>
        <w:tc>
          <w:tcPr>
            <w:tcW w:w="623" w:type="dxa"/>
            <w:vMerge w:val="continue"/>
            <w:tcBorders>
              <w:left w:val="single" w:color="auto" w:sz="4" w:space="0"/>
            </w:tcBorders>
            <w:shd w:val="clear" w:color="auto" w:fill="FFFFFF"/>
            <w:vAlign w:val="top"/>
          </w:tcPr>
          <w:p>
            <w:pPr>
              <w:pStyle w:val="14"/>
              <w:keepNext w:val="0"/>
              <w:keepLines w:val="0"/>
              <w:widowControl w:val="0"/>
              <w:shd w:val="clear" w:color="auto" w:fill="auto"/>
              <w:bidi w:val="0"/>
              <w:spacing w:before="0" w:after="0" w:line="370" w:lineRule="exact"/>
              <w:ind w:left="0" w:right="0" w:firstLine="220"/>
              <w:jc w:val="both"/>
              <w:rPr>
                <w:rFonts w:hint="eastAsia" w:ascii="仿宋" w:hAnsi="仿宋" w:eastAsia="仿宋" w:cs="仿宋"/>
                <w:sz w:val="24"/>
                <w:szCs w:val="24"/>
              </w:rPr>
            </w:pPr>
          </w:p>
        </w:tc>
        <w:tc>
          <w:tcPr>
            <w:tcW w:w="883" w:type="dxa"/>
            <w:vMerge w:val="continue"/>
            <w:tcBorders>
              <w:left w:val="single" w:color="auto" w:sz="4" w:space="0"/>
            </w:tcBorders>
            <w:shd w:val="clear" w:color="auto" w:fill="FFFFFF"/>
            <w:vAlign w:val="top"/>
          </w:tcPr>
          <w:p>
            <w:pPr>
              <w:pStyle w:val="14"/>
              <w:keepNext w:val="0"/>
              <w:keepLines w:val="0"/>
              <w:widowControl w:val="0"/>
              <w:shd w:val="clear" w:color="auto" w:fill="auto"/>
              <w:bidi w:val="0"/>
              <w:spacing w:before="0" w:after="0" w:line="370" w:lineRule="exact"/>
              <w:ind w:left="0" w:right="0" w:firstLine="220"/>
              <w:jc w:val="left"/>
              <w:rPr>
                <w:rFonts w:hint="eastAsia" w:ascii="仿宋" w:hAnsi="仿宋" w:eastAsia="仿宋" w:cs="仿宋"/>
                <w:color w:val="000000"/>
                <w:spacing w:val="0"/>
                <w:w w:val="100"/>
                <w:position w:val="0"/>
                <w:sz w:val="24"/>
                <w:szCs w:val="24"/>
              </w:rPr>
            </w:pPr>
          </w:p>
        </w:tc>
        <w:tc>
          <w:tcPr>
            <w:tcW w:w="4760"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70" w:lineRule="exact"/>
              <w:ind w:left="0" w:leftChars="0" w:right="0" w:firstLine="0" w:firstLineChars="0"/>
              <w:jc w:val="left"/>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rPr>
              <w:t>《严禁野外用火告知书》宣传材料的发放</w:t>
            </w:r>
          </w:p>
        </w:tc>
        <w:tc>
          <w:tcPr>
            <w:tcW w:w="2389" w:type="dxa"/>
            <w:tcBorders>
              <w:top w:val="single" w:color="auto" w:sz="4" w:space="0"/>
              <w:left w:val="single" w:color="auto" w:sz="4" w:space="0"/>
            </w:tcBorders>
            <w:shd w:val="clear" w:color="auto" w:fill="FFFFFF"/>
            <w:vAlign w:val="top"/>
          </w:tcPr>
          <w:p>
            <w:pPr>
              <w:widowControl w:val="0"/>
              <w:jc w:val="both"/>
              <w:rPr>
                <w:rFonts w:hint="eastAsia" w:ascii="仿宋" w:hAnsi="仿宋" w:eastAsia="仿宋" w:cs="仿宋"/>
                <w:sz w:val="24"/>
                <w:szCs w:val="24"/>
              </w:rPr>
            </w:pPr>
          </w:p>
        </w:tc>
        <w:tc>
          <w:tcPr>
            <w:tcW w:w="930"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510" w:hRule="exact"/>
          <w:jc w:val="center"/>
        </w:trPr>
        <w:tc>
          <w:tcPr>
            <w:tcW w:w="623" w:type="dxa"/>
            <w:vMerge w:val="continue"/>
            <w:tcBorders>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both"/>
              <w:rPr>
                <w:rFonts w:hint="eastAsia" w:ascii="仿宋" w:hAnsi="仿宋" w:eastAsia="仿宋" w:cs="仿宋"/>
                <w:sz w:val="24"/>
                <w:szCs w:val="24"/>
              </w:rPr>
            </w:pPr>
          </w:p>
        </w:tc>
        <w:tc>
          <w:tcPr>
            <w:tcW w:w="883" w:type="dxa"/>
            <w:vMerge w:val="continue"/>
            <w:tcBorders>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left"/>
              <w:rPr>
                <w:rFonts w:hint="eastAsia" w:ascii="仿宋" w:hAnsi="仿宋" w:eastAsia="仿宋" w:cs="仿宋"/>
                <w:color w:val="000000"/>
                <w:spacing w:val="0"/>
                <w:w w:val="100"/>
                <w:position w:val="0"/>
                <w:sz w:val="24"/>
                <w:szCs w:val="24"/>
              </w:rPr>
            </w:pPr>
          </w:p>
        </w:tc>
        <w:tc>
          <w:tcPr>
            <w:tcW w:w="4760"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left"/>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rPr>
              <w:t>是否悬挂防火横幅或标语</w:t>
            </w:r>
          </w:p>
        </w:tc>
        <w:tc>
          <w:tcPr>
            <w:tcW w:w="2389" w:type="dxa"/>
            <w:tcBorders>
              <w:top w:val="single" w:color="auto" w:sz="4" w:space="0"/>
              <w:left w:val="single" w:color="auto" w:sz="4" w:space="0"/>
            </w:tcBorders>
            <w:shd w:val="clear" w:color="auto" w:fill="FFFFFF"/>
            <w:vAlign w:val="top"/>
          </w:tcPr>
          <w:p>
            <w:pPr>
              <w:widowControl w:val="0"/>
              <w:jc w:val="both"/>
              <w:rPr>
                <w:rFonts w:hint="eastAsia" w:ascii="仿宋" w:hAnsi="仿宋" w:eastAsia="仿宋" w:cs="仿宋"/>
                <w:sz w:val="24"/>
                <w:szCs w:val="24"/>
              </w:rPr>
            </w:pPr>
          </w:p>
        </w:tc>
        <w:tc>
          <w:tcPr>
            <w:tcW w:w="930"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510" w:hRule="exact"/>
          <w:jc w:val="center"/>
        </w:trPr>
        <w:tc>
          <w:tcPr>
            <w:tcW w:w="623" w:type="dxa"/>
            <w:vMerge w:val="continue"/>
            <w:tcBorders>
              <w:left w:val="single" w:color="auto" w:sz="4" w:space="0"/>
            </w:tcBorders>
            <w:shd w:val="clear" w:color="auto" w:fill="FFFFFF"/>
            <w:vAlign w:val="top"/>
          </w:tcPr>
          <w:p>
            <w:pPr>
              <w:pStyle w:val="14"/>
              <w:keepNext w:val="0"/>
              <w:keepLines w:val="0"/>
              <w:widowControl w:val="0"/>
              <w:shd w:val="clear" w:color="auto" w:fill="auto"/>
              <w:bidi w:val="0"/>
              <w:spacing w:before="120" w:after="0" w:line="240" w:lineRule="auto"/>
              <w:ind w:left="0" w:right="0" w:firstLine="0"/>
              <w:jc w:val="both"/>
              <w:rPr>
                <w:rFonts w:hint="eastAsia" w:ascii="仿宋" w:hAnsi="仿宋" w:eastAsia="仿宋" w:cs="仿宋"/>
                <w:sz w:val="24"/>
                <w:szCs w:val="24"/>
              </w:rPr>
            </w:pPr>
          </w:p>
        </w:tc>
        <w:tc>
          <w:tcPr>
            <w:tcW w:w="883" w:type="dxa"/>
            <w:vMerge w:val="continue"/>
            <w:tcBorders>
              <w:left w:val="single" w:color="auto" w:sz="4" w:space="0"/>
            </w:tcBorders>
            <w:shd w:val="clear" w:color="auto" w:fill="FFFFFF"/>
            <w:vAlign w:val="top"/>
          </w:tcPr>
          <w:p>
            <w:pPr>
              <w:pStyle w:val="14"/>
              <w:keepNext w:val="0"/>
              <w:keepLines w:val="0"/>
              <w:widowControl w:val="0"/>
              <w:shd w:val="clear" w:color="auto" w:fill="auto"/>
              <w:bidi w:val="0"/>
              <w:spacing w:before="120" w:after="0" w:line="240" w:lineRule="auto"/>
              <w:ind w:left="0" w:right="0" w:firstLine="0"/>
              <w:jc w:val="left"/>
              <w:rPr>
                <w:rFonts w:hint="eastAsia" w:ascii="仿宋" w:hAnsi="仿宋" w:eastAsia="仿宋" w:cs="仿宋"/>
                <w:color w:val="000000"/>
                <w:spacing w:val="0"/>
                <w:w w:val="100"/>
                <w:position w:val="0"/>
                <w:sz w:val="24"/>
                <w:szCs w:val="24"/>
              </w:rPr>
            </w:pPr>
          </w:p>
        </w:tc>
        <w:tc>
          <w:tcPr>
            <w:tcW w:w="4760"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120" w:after="0" w:line="240" w:lineRule="auto"/>
              <w:ind w:left="0" w:right="0" w:firstLine="0"/>
              <w:jc w:val="left"/>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rPr>
              <w:t>重点防火区域是否有提示牌</w:t>
            </w:r>
          </w:p>
        </w:tc>
        <w:tc>
          <w:tcPr>
            <w:tcW w:w="2389" w:type="dxa"/>
            <w:tcBorders>
              <w:top w:val="single" w:color="auto" w:sz="4" w:space="0"/>
              <w:left w:val="single" w:color="auto" w:sz="4" w:space="0"/>
            </w:tcBorders>
            <w:shd w:val="clear" w:color="auto" w:fill="FFFFFF"/>
            <w:vAlign w:val="top"/>
          </w:tcPr>
          <w:p>
            <w:pPr>
              <w:widowControl w:val="0"/>
              <w:jc w:val="both"/>
              <w:rPr>
                <w:rFonts w:hint="eastAsia" w:ascii="仿宋" w:hAnsi="仿宋" w:eastAsia="仿宋" w:cs="仿宋"/>
                <w:sz w:val="24"/>
                <w:szCs w:val="24"/>
              </w:rPr>
            </w:pPr>
          </w:p>
        </w:tc>
        <w:tc>
          <w:tcPr>
            <w:tcW w:w="930"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703" w:hRule="exact"/>
          <w:jc w:val="center"/>
        </w:trPr>
        <w:tc>
          <w:tcPr>
            <w:tcW w:w="623" w:type="dxa"/>
            <w:vMerge w:val="continue"/>
            <w:tcBorders>
              <w:left w:val="single" w:color="auto" w:sz="4" w:space="0"/>
            </w:tcBorders>
            <w:shd w:val="clear" w:color="auto" w:fill="FFFFFF"/>
            <w:vAlign w:val="center"/>
          </w:tcPr>
          <w:p>
            <w:pPr>
              <w:pStyle w:val="14"/>
              <w:keepNext w:val="0"/>
              <w:keepLines w:val="0"/>
              <w:widowControl w:val="0"/>
              <w:shd w:val="clear" w:color="auto" w:fill="auto"/>
              <w:bidi w:val="0"/>
              <w:spacing w:before="0" w:after="0" w:line="360" w:lineRule="exact"/>
              <w:ind w:left="0" w:right="0" w:firstLine="0"/>
              <w:jc w:val="both"/>
              <w:rPr>
                <w:rFonts w:hint="eastAsia" w:ascii="仿宋" w:hAnsi="仿宋" w:eastAsia="仿宋" w:cs="仿宋"/>
                <w:sz w:val="24"/>
                <w:szCs w:val="24"/>
              </w:rPr>
            </w:pPr>
          </w:p>
        </w:tc>
        <w:tc>
          <w:tcPr>
            <w:tcW w:w="883" w:type="dxa"/>
            <w:vMerge w:val="continue"/>
            <w:tcBorders>
              <w:left w:val="single" w:color="auto" w:sz="4" w:space="0"/>
            </w:tcBorders>
            <w:shd w:val="clear" w:color="auto" w:fill="FFFFFF"/>
            <w:vAlign w:val="top"/>
          </w:tcPr>
          <w:p>
            <w:pPr>
              <w:pStyle w:val="14"/>
              <w:keepNext w:val="0"/>
              <w:keepLines w:val="0"/>
              <w:widowControl w:val="0"/>
              <w:shd w:val="clear" w:color="auto" w:fill="auto"/>
              <w:bidi w:val="0"/>
              <w:spacing w:before="0" w:after="0" w:line="360" w:lineRule="exact"/>
              <w:ind w:left="0" w:right="0" w:firstLine="0"/>
              <w:jc w:val="left"/>
              <w:rPr>
                <w:rFonts w:hint="eastAsia" w:ascii="仿宋" w:hAnsi="仿宋" w:eastAsia="仿宋" w:cs="仿宋"/>
                <w:color w:val="000000"/>
                <w:spacing w:val="0"/>
                <w:w w:val="100"/>
                <w:position w:val="0"/>
                <w:sz w:val="24"/>
                <w:szCs w:val="24"/>
              </w:rPr>
            </w:pPr>
          </w:p>
        </w:tc>
        <w:tc>
          <w:tcPr>
            <w:tcW w:w="4760"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60" w:lineRule="exact"/>
              <w:ind w:left="0" w:right="0" w:firstLine="0"/>
              <w:jc w:val="left"/>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rPr>
              <w:t>各村是否利用喇叭进行防火和一般扑 救常识宣传</w:t>
            </w:r>
          </w:p>
        </w:tc>
        <w:tc>
          <w:tcPr>
            <w:tcW w:w="2389" w:type="dxa"/>
            <w:tcBorders>
              <w:top w:val="single" w:color="auto" w:sz="4" w:space="0"/>
              <w:left w:val="single" w:color="auto" w:sz="4" w:space="0"/>
            </w:tcBorders>
            <w:shd w:val="clear" w:color="auto" w:fill="FFFFFF"/>
            <w:vAlign w:val="top"/>
          </w:tcPr>
          <w:p>
            <w:pPr>
              <w:widowControl w:val="0"/>
              <w:jc w:val="both"/>
              <w:rPr>
                <w:rFonts w:hint="eastAsia" w:ascii="仿宋" w:hAnsi="仿宋" w:eastAsia="仿宋" w:cs="仿宋"/>
                <w:sz w:val="24"/>
                <w:szCs w:val="24"/>
              </w:rPr>
            </w:pPr>
          </w:p>
        </w:tc>
        <w:tc>
          <w:tcPr>
            <w:tcW w:w="930"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510" w:hRule="exact"/>
          <w:jc w:val="center"/>
        </w:trPr>
        <w:tc>
          <w:tcPr>
            <w:tcW w:w="623" w:type="dxa"/>
            <w:vMerge w:val="restart"/>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120" w:after="0" w:line="240" w:lineRule="auto"/>
              <w:ind w:left="0" w:right="0"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883" w:type="dxa"/>
            <w:vMerge w:val="restart"/>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120" w:after="0" w:line="240" w:lineRule="auto"/>
              <w:ind w:left="0" w:right="0" w:firstLine="0"/>
              <w:jc w:val="left"/>
              <w:rPr>
                <w:rFonts w:hint="eastAsia" w:ascii="仿宋" w:hAnsi="仿宋" w:eastAsia="仿宋" w:cs="仿宋"/>
                <w:color w:val="000000"/>
                <w:spacing w:val="0"/>
                <w:w w:val="100"/>
                <w:position w:val="0"/>
                <w:sz w:val="24"/>
                <w:szCs w:val="24"/>
                <w:lang w:eastAsia="zh-CN"/>
              </w:rPr>
            </w:pPr>
            <w:r>
              <w:rPr>
                <w:rFonts w:hint="eastAsia" w:ascii="仿宋" w:hAnsi="仿宋" w:eastAsia="仿宋" w:cs="仿宋"/>
                <w:color w:val="000000"/>
                <w:spacing w:val="0"/>
                <w:w w:val="100"/>
                <w:position w:val="0"/>
                <w:sz w:val="24"/>
                <w:szCs w:val="24"/>
                <w:lang w:eastAsia="zh-CN"/>
              </w:rPr>
              <w:t>隐患排查整改情况</w:t>
            </w:r>
          </w:p>
        </w:tc>
        <w:tc>
          <w:tcPr>
            <w:tcW w:w="4760"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120" w:after="0" w:line="240" w:lineRule="auto"/>
              <w:ind w:left="0" w:right="0" w:firstLine="0"/>
              <w:jc w:val="left"/>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rPr>
              <w:t>可燃物清理情况</w:t>
            </w:r>
          </w:p>
        </w:tc>
        <w:tc>
          <w:tcPr>
            <w:tcW w:w="2389" w:type="dxa"/>
            <w:tcBorders>
              <w:top w:val="single" w:color="auto" w:sz="4" w:space="0"/>
              <w:left w:val="single" w:color="auto" w:sz="4" w:space="0"/>
            </w:tcBorders>
            <w:shd w:val="clear" w:color="auto" w:fill="FFFFFF"/>
            <w:vAlign w:val="top"/>
          </w:tcPr>
          <w:p>
            <w:pPr>
              <w:widowControl w:val="0"/>
              <w:jc w:val="both"/>
              <w:rPr>
                <w:rFonts w:hint="eastAsia" w:ascii="仿宋" w:hAnsi="仿宋" w:eastAsia="仿宋" w:cs="仿宋"/>
                <w:sz w:val="24"/>
                <w:szCs w:val="24"/>
              </w:rPr>
            </w:pPr>
          </w:p>
        </w:tc>
        <w:tc>
          <w:tcPr>
            <w:tcW w:w="930"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510" w:hRule="exact"/>
          <w:jc w:val="center"/>
        </w:trPr>
        <w:tc>
          <w:tcPr>
            <w:tcW w:w="623" w:type="dxa"/>
            <w:vMerge w:val="continue"/>
            <w:tcBorders>
              <w:left w:val="single" w:color="auto" w:sz="4" w:space="0"/>
            </w:tcBorders>
            <w:shd w:val="clear" w:color="auto" w:fill="FFFFFF"/>
            <w:vAlign w:val="top"/>
          </w:tcPr>
          <w:p>
            <w:pPr>
              <w:pStyle w:val="14"/>
              <w:keepNext w:val="0"/>
              <w:keepLines w:val="0"/>
              <w:widowControl w:val="0"/>
              <w:shd w:val="clear" w:color="auto" w:fill="auto"/>
              <w:bidi w:val="0"/>
              <w:spacing w:before="120" w:after="0" w:line="240" w:lineRule="auto"/>
              <w:ind w:left="0" w:right="0" w:firstLine="0"/>
              <w:jc w:val="both"/>
              <w:rPr>
                <w:rFonts w:hint="eastAsia" w:ascii="仿宋" w:hAnsi="仿宋" w:eastAsia="仿宋" w:cs="仿宋"/>
                <w:sz w:val="24"/>
                <w:szCs w:val="24"/>
              </w:rPr>
            </w:pPr>
          </w:p>
        </w:tc>
        <w:tc>
          <w:tcPr>
            <w:tcW w:w="883" w:type="dxa"/>
            <w:vMerge w:val="continue"/>
            <w:tcBorders>
              <w:left w:val="single" w:color="auto" w:sz="4" w:space="0"/>
            </w:tcBorders>
            <w:shd w:val="clear" w:color="auto" w:fill="FFFFFF"/>
            <w:vAlign w:val="top"/>
          </w:tcPr>
          <w:p>
            <w:pPr>
              <w:pStyle w:val="14"/>
              <w:keepNext w:val="0"/>
              <w:keepLines w:val="0"/>
              <w:widowControl w:val="0"/>
              <w:shd w:val="clear" w:color="auto" w:fill="auto"/>
              <w:bidi w:val="0"/>
              <w:spacing w:before="120" w:after="0" w:line="240" w:lineRule="auto"/>
              <w:ind w:left="0" w:right="0" w:firstLine="0"/>
              <w:jc w:val="left"/>
              <w:rPr>
                <w:rFonts w:hint="eastAsia" w:ascii="仿宋" w:hAnsi="仿宋" w:eastAsia="仿宋" w:cs="仿宋"/>
                <w:color w:val="000000"/>
                <w:spacing w:val="0"/>
                <w:w w:val="100"/>
                <w:position w:val="0"/>
                <w:sz w:val="24"/>
                <w:szCs w:val="24"/>
              </w:rPr>
            </w:pPr>
          </w:p>
        </w:tc>
        <w:tc>
          <w:tcPr>
            <w:tcW w:w="4760"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120" w:after="0" w:line="240" w:lineRule="auto"/>
              <w:ind w:left="0" w:right="0" w:firstLine="0"/>
              <w:jc w:val="left"/>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rPr>
              <w:t>林火阻隔系统建设情况</w:t>
            </w:r>
          </w:p>
        </w:tc>
        <w:tc>
          <w:tcPr>
            <w:tcW w:w="2389" w:type="dxa"/>
            <w:tcBorders>
              <w:top w:val="single" w:color="auto" w:sz="4" w:space="0"/>
              <w:left w:val="single" w:color="auto" w:sz="4" w:space="0"/>
            </w:tcBorders>
            <w:shd w:val="clear" w:color="auto" w:fill="FFFFFF"/>
            <w:vAlign w:val="top"/>
          </w:tcPr>
          <w:p>
            <w:pPr>
              <w:widowControl w:val="0"/>
              <w:jc w:val="both"/>
              <w:rPr>
                <w:rFonts w:hint="eastAsia" w:ascii="仿宋" w:hAnsi="仿宋" w:eastAsia="仿宋" w:cs="仿宋"/>
                <w:sz w:val="24"/>
                <w:szCs w:val="24"/>
              </w:rPr>
            </w:pPr>
          </w:p>
        </w:tc>
        <w:tc>
          <w:tcPr>
            <w:tcW w:w="930"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510" w:hRule="exact"/>
          <w:jc w:val="center"/>
        </w:trPr>
        <w:tc>
          <w:tcPr>
            <w:tcW w:w="623" w:type="dxa"/>
            <w:vMerge w:val="continue"/>
            <w:tcBorders>
              <w:left w:val="single" w:color="auto" w:sz="4" w:space="0"/>
              <w:bottom w:val="single" w:color="000000"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both"/>
              <w:rPr>
                <w:rFonts w:hint="eastAsia" w:ascii="仿宋" w:hAnsi="仿宋" w:eastAsia="仿宋" w:cs="仿宋"/>
                <w:sz w:val="24"/>
                <w:szCs w:val="24"/>
              </w:rPr>
            </w:pPr>
          </w:p>
        </w:tc>
        <w:tc>
          <w:tcPr>
            <w:tcW w:w="883" w:type="dxa"/>
            <w:vMerge w:val="continue"/>
            <w:tcBorders>
              <w:left w:val="single" w:color="auto" w:sz="4" w:space="0"/>
              <w:bottom w:val="single" w:color="000000"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left"/>
              <w:rPr>
                <w:rFonts w:hint="eastAsia" w:ascii="仿宋" w:hAnsi="仿宋" w:eastAsia="仿宋" w:cs="仿宋"/>
                <w:color w:val="000000"/>
                <w:spacing w:val="0"/>
                <w:w w:val="100"/>
                <w:position w:val="0"/>
                <w:sz w:val="24"/>
                <w:szCs w:val="24"/>
              </w:rPr>
            </w:pPr>
          </w:p>
        </w:tc>
        <w:tc>
          <w:tcPr>
            <w:tcW w:w="4760" w:type="dxa"/>
            <w:tcBorders>
              <w:top w:val="single" w:color="auto" w:sz="4" w:space="0"/>
              <w:left w:val="single" w:color="auto" w:sz="4" w:space="0"/>
              <w:bottom w:val="single" w:color="000000"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left"/>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rPr>
              <w:t>林区输配电设施专项排查、治理情况</w:t>
            </w:r>
          </w:p>
        </w:tc>
        <w:tc>
          <w:tcPr>
            <w:tcW w:w="2389" w:type="dxa"/>
            <w:tcBorders>
              <w:top w:val="single" w:color="auto" w:sz="4" w:space="0"/>
              <w:left w:val="single" w:color="auto" w:sz="4" w:space="0"/>
              <w:bottom w:val="single" w:color="auto" w:sz="4" w:space="0"/>
            </w:tcBorders>
            <w:shd w:val="clear" w:color="auto" w:fill="FFFFFF"/>
            <w:vAlign w:val="top"/>
          </w:tcPr>
          <w:p>
            <w:pPr>
              <w:widowControl w:val="0"/>
              <w:jc w:val="both"/>
              <w:rPr>
                <w:rFonts w:hint="eastAsia" w:ascii="仿宋" w:hAnsi="仿宋" w:eastAsia="仿宋" w:cs="仿宋"/>
                <w:sz w:val="24"/>
                <w:szCs w:val="24"/>
              </w:rPr>
            </w:pPr>
          </w:p>
        </w:tc>
        <w:tc>
          <w:tcPr>
            <w:tcW w:w="930"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510" w:hRule="exact"/>
          <w:jc w:val="center"/>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both"/>
              <w:rPr>
                <w:rFonts w:hint="eastAsia" w:ascii="仿宋" w:hAnsi="仿宋" w:eastAsia="仿宋" w:cs="仿宋"/>
                <w:sz w:val="24"/>
                <w:szCs w:val="24"/>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left"/>
              <w:rPr>
                <w:rFonts w:hint="eastAsia" w:ascii="仿宋" w:hAnsi="仿宋" w:eastAsia="仿宋" w:cs="仿宋"/>
                <w:color w:val="000000"/>
                <w:spacing w:val="0"/>
                <w:w w:val="100"/>
                <w:position w:val="0"/>
                <w:sz w:val="24"/>
                <w:szCs w:val="24"/>
              </w:rPr>
            </w:pPr>
          </w:p>
        </w:tc>
        <w:tc>
          <w:tcPr>
            <w:tcW w:w="4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left"/>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rPr>
              <w:t>重点隐患问题的整改情况</w:t>
            </w:r>
          </w:p>
        </w:tc>
        <w:tc>
          <w:tcPr>
            <w:tcW w:w="2389" w:type="dxa"/>
            <w:tcBorders>
              <w:top w:val="single" w:color="auto" w:sz="4" w:space="0"/>
              <w:left w:val="single" w:color="000000" w:sz="4" w:space="0"/>
              <w:bottom w:val="single" w:color="auto" w:sz="4" w:space="0"/>
            </w:tcBorders>
            <w:shd w:val="clear" w:color="auto" w:fill="FFFFFF"/>
            <w:vAlign w:val="top"/>
          </w:tcPr>
          <w:p>
            <w:pPr>
              <w:widowControl w:val="0"/>
              <w:jc w:val="both"/>
              <w:rPr>
                <w:rFonts w:hint="eastAsia" w:ascii="仿宋" w:hAnsi="仿宋" w:eastAsia="仿宋" w:cs="仿宋"/>
                <w:sz w:val="24"/>
                <w:szCs w:val="24"/>
              </w:rPr>
            </w:pPr>
          </w:p>
        </w:tc>
        <w:tc>
          <w:tcPr>
            <w:tcW w:w="930"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510" w:hRule="exact"/>
          <w:jc w:val="center"/>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keepNext w:val="0"/>
              <w:keepLines w:val="0"/>
              <w:widowControl w:val="0"/>
              <w:shd w:val="clear" w:color="auto" w:fill="auto"/>
              <w:bidi w:val="0"/>
              <w:spacing w:before="0" w:after="0" w:line="240" w:lineRule="auto"/>
              <w:ind w:left="0" w:leftChars="0" w:right="0" w:rightChars="0" w:firstLine="240" w:firstLineChars="0"/>
              <w:jc w:val="both"/>
              <w:rPr>
                <w:rFonts w:hint="eastAsia" w:ascii="仿宋" w:hAnsi="仿宋" w:eastAsia="仿宋" w:cs="仿宋"/>
                <w:color w:val="000000"/>
                <w:spacing w:val="0"/>
                <w:w w:val="100"/>
                <w:position w:val="0"/>
                <w:sz w:val="24"/>
                <w:szCs w:val="24"/>
                <w:u w:val="none"/>
                <w:shd w:val="clear" w:color="auto" w:fill="auto"/>
                <w:lang w:val="zh-TW" w:eastAsia="zh-CN" w:bidi="zh-TW"/>
              </w:rPr>
            </w:pPr>
            <w:r>
              <w:rPr>
                <w:rFonts w:hint="eastAsia" w:ascii="仿宋" w:hAnsi="仿宋" w:eastAsia="仿宋" w:cs="仿宋"/>
                <w:color w:val="000000"/>
                <w:spacing w:val="0"/>
                <w:w w:val="100"/>
                <w:position w:val="0"/>
                <w:sz w:val="24"/>
                <w:szCs w:val="24"/>
                <w:lang w:val="en-US" w:eastAsia="zh-CN"/>
              </w:rPr>
              <w:t>4</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keepNext w:val="0"/>
              <w:keepLines w:val="0"/>
              <w:widowControl w:val="0"/>
              <w:shd w:val="clear" w:color="auto" w:fill="auto"/>
              <w:bidi w:val="0"/>
              <w:spacing w:before="0" w:after="0" w:line="372" w:lineRule="exact"/>
              <w:ind w:left="0" w:leftChars="0" w:right="0" w:rightChars="0" w:firstLine="0" w:firstLineChars="0"/>
              <w:jc w:val="left"/>
              <w:rPr>
                <w:rFonts w:hint="eastAsia" w:ascii="仿宋" w:hAnsi="仿宋" w:eastAsia="仿宋" w:cs="仿宋"/>
                <w:color w:val="000000"/>
                <w:spacing w:val="0"/>
                <w:w w:val="100"/>
                <w:position w:val="0"/>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lang w:eastAsia="zh-CN"/>
              </w:rPr>
              <w:t>火</w:t>
            </w:r>
            <w:r>
              <w:rPr>
                <w:rFonts w:hint="eastAsia" w:ascii="仿宋" w:hAnsi="仿宋" w:eastAsia="仿宋" w:cs="仿宋"/>
                <w:color w:val="000000"/>
                <w:spacing w:val="0"/>
                <w:w w:val="100"/>
                <w:position w:val="0"/>
                <w:sz w:val="24"/>
                <w:szCs w:val="24"/>
              </w:rPr>
              <w:t>源管控情况</w:t>
            </w:r>
          </w:p>
        </w:tc>
        <w:tc>
          <w:tcPr>
            <w:tcW w:w="4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keepNext w:val="0"/>
              <w:keepLines w:val="0"/>
              <w:widowControl w:val="0"/>
              <w:shd w:val="clear" w:color="auto" w:fill="auto"/>
              <w:bidi w:val="0"/>
              <w:spacing w:before="0" w:after="0" w:line="240" w:lineRule="auto"/>
              <w:ind w:left="0" w:leftChars="0" w:right="0" w:rightChars="0" w:firstLine="0" w:firstLineChars="0"/>
              <w:jc w:val="left"/>
              <w:rPr>
                <w:rFonts w:hint="eastAsia" w:ascii="仿宋" w:hAnsi="仿宋" w:eastAsia="仿宋" w:cs="仿宋"/>
                <w:color w:val="000000"/>
                <w:spacing w:val="0"/>
                <w:w w:val="100"/>
                <w:position w:val="0"/>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打击野外用火的体制、队伍情况</w:t>
            </w:r>
          </w:p>
        </w:tc>
        <w:tc>
          <w:tcPr>
            <w:tcW w:w="2389" w:type="dxa"/>
            <w:tcBorders>
              <w:top w:val="single" w:color="auto" w:sz="4" w:space="0"/>
              <w:left w:val="single" w:color="000000" w:sz="4" w:space="0"/>
              <w:bottom w:val="single" w:color="auto" w:sz="4" w:space="0"/>
            </w:tcBorders>
            <w:shd w:val="clear" w:color="auto" w:fill="FFFFFF"/>
            <w:vAlign w:val="top"/>
          </w:tcPr>
          <w:p>
            <w:pPr>
              <w:widowControl w:val="0"/>
              <w:jc w:val="both"/>
              <w:rPr>
                <w:rFonts w:hint="eastAsia" w:ascii="仿宋" w:hAnsi="仿宋" w:eastAsia="仿宋" w:cs="仿宋"/>
                <w:sz w:val="24"/>
                <w:szCs w:val="24"/>
              </w:rPr>
            </w:pPr>
          </w:p>
        </w:tc>
        <w:tc>
          <w:tcPr>
            <w:tcW w:w="930"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510" w:hRule="exact"/>
          <w:jc w:val="center"/>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both"/>
              <w:rPr>
                <w:rFonts w:hint="eastAsia" w:ascii="仿宋" w:hAnsi="仿宋" w:eastAsia="仿宋" w:cs="仿宋"/>
                <w:sz w:val="24"/>
                <w:szCs w:val="24"/>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left"/>
              <w:rPr>
                <w:rFonts w:hint="eastAsia" w:ascii="仿宋" w:hAnsi="仿宋" w:eastAsia="仿宋" w:cs="仿宋"/>
                <w:color w:val="000000"/>
                <w:spacing w:val="0"/>
                <w:w w:val="100"/>
                <w:position w:val="0"/>
                <w:sz w:val="24"/>
                <w:szCs w:val="24"/>
              </w:rPr>
            </w:pPr>
          </w:p>
        </w:tc>
        <w:tc>
          <w:tcPr>
            <w:tcW w:w="4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keepNext w:val="0"/>
              <w:keepLines w:val="0"/>
              <w:widowControl w:val="0"/>
              <w:shd w:val="clear" w:color="auto" w:fill="auto"/>
              <w:bidi w:val="0"/>
              <w:spacing w:before="0" w:after="0" w:line="240" w:lineRule="auto"/>
              <w:ind w:left="0" w:leftChars="0" w:right="0" w:rightChars="0" w:firstLine="0" w:firstLineChars="0"/>
              <w:jc w:val="left"/>
              <w:rPr>
                <w:rFonts w:hint="eastAsia" w:ascii="仿宋" w:hAnsi="仿宋" w:eastAsia="仿宋" w:cs="仿宋"/>
                <w:color w:val="000000"/>
                <w:spacing w:val="0"/>
                <w:w w:val="100"/>
                <w:position w:val="0"/>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打击野外用火的工作开展情况</w:t>
            </w:r>
          </w:p>
        </w:tc>
        <w:tc>
          <w:tcPr>
            <w:tcW w:w="2389" w:type="dxa"/>
            <w:tcBorders>
              <w:top w:val="single" w:color="auto" w:sz="4" w:space="0"/>
              <w:left w:val="single" w:color="000000" w:sz="4" w:space="0"/>
              <w:bottom w:val="single" w:color="auto" w:sz="4" w:space="0"/>
            </w:tcBorders>
            <w:shd w:val="clear" w:color="auto" w:fill="FFFFFF"/>
            <w:vAlign w:val="top"/>
          </w:tcPr>
          <w:p>
            <w:pPr>
              <w:widowControl w:val="0"/>
              <w:jc w:val="both"/>
              <w:rPr>
                <w:rFonts w:hint="eastAsia" w:ascii="仿宋" w:hAnsi="仿宋" w:eastAsia="仿宋" w:cs="仿宋"/>
                <w:sz w:val="24"/>
                <w:szCs w:val="24"/>
              </w:rPr>
            </w:pPr>
          </w:p>
        </w:tc>
        <w:tc>
          <w:tcPr>
            <w:tcW w:w="930"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510" w:hRule="exact"/>
          <w:jc w:val="center"/>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both"/>
              <w:rPr>
                <w:rFonts w:hint="eastAsia" w:ascii="仿宋" w:hAnsi="仿宋" w:eastAsia="仿宋" w:cs="仿宋"/>
                <w:sz w:val="24"/>
                <w:szCs w:val="24"/>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left"/>
              <w:rPr>
                <w:rFonts w:hint="eastAsia" w:ascii="仿宋" w:hAnsi="仿宋" w:eastAsia="仿宋" w:cs="仿宋"/>
                <w:color w:val="000000"/>
                <w:spacing w:val="0"/>
                <w:w w:val="100"/>
                <w:position w:val="0"/>
                <w:sz w:val="24"/>
                <w:szCs w:val="24"/>
              </w:rPr>
            </w:pPr>
          </w:p>
        </w:tc>
        <w:tc>
          <w:tcPr>
            <w:tcW w:w="4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keepNext w:val="0"/>
              <w:keepLines w:val="0"/>
              <w:widowControl w:val="0"/>
              <w:shd w:val="clear" w:color="auto" w:fill="auto"/>
              <w:bidi w:val="0"/>
              <w:spacing w:before="120" w:after="0" w:line="240" w:lineRule="auto"/>
              <w:ind w:left="0" w:leftChars="0" w:right="0" w:rightChars="0" w:firstLine="0" w:firstLineChars="0"/>
              <w:jc w:val="left"/>
              <w:rPr>
                <w:rFonts w:hint="eastAsia" w:ascii="仿宋" w:hAnsi="仿宋" w:eastAsia="仿宋" w:cs="仿宋"/>
                <w:color w:val="000000"/>
                <w:spacing w:val="0"/>
                <w:w w:val="100"/>
                <w:position w:val="0"/>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随机检查有无违规野外用火问题</w:t>
            </w:r>
          </w:p>
        </w:tc>
        <w:tc>
          <w:tcPr>
            <w:tcW w:w="2389" w:type="dxa"/>
            <w:tcBorders>
              <w:top w:val="single" w:color="auto" w:sz="4" w:space="0"/>
              <w:left w:val="single" w:color="000000" w:sz="4" w:space="0"/>
              <w:bottom w:val="single" w:color="auto" w:sz="4" w:space="0"/>
            </w:tcBorders>
            <w:shd w:val="clear" w:color="auto" w:fill="FFFFFF"/>
            <w:vAlign w:val="top"/>
          </w:tcPr>
          <w:p>
            <w:pPr>
              <w:widowControl w:val="0"/>
              <w:jc w:val="both"/>
              <w:rPr>
                <w:rFonts w:hint="eastAsia" w:ascii="仿宋" w:hAnsi="仿宋" w:eastAsia="仿宋" w:cs="仿宋"/>
                <w:sz w:val="24"/>
                <w:szCs w:val="24"/>
              </w:rPr>
            </w:pPr>
          </w:p>
        </w:tc>
        <w:tc>
          <w:tcPr>
            <w:tcW w:w="930"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510" w:hRule="exact"/>
          <w:jc w:val="center"/>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both"/>
              <w:rPr>
                <w:rFonts w:hint="eastAsia" w:ascii="仿宋" w:hAnsi="仿宋" w:eastAsia="仿宋" w:cs="仿宋"/>
                <w:sz w:val="24"/>
                <w:szCs w:val="24"/>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left"/>
              <w:rPr>
                <w:rFonts w:hint="eastAsia" w:ascii="仿宋" w:hAnsi="仿宋" w:eastAsia="仿宋" w:cs="仿宋"/>
                <w:color w:val="000000"/>
                <w:spacing w:val="0"/>
                <w:w w:val="100"/>
                <w:position w:val="0"/>
                <w:sz w:val="24"/>
                <w:szCs w:val="24"/>
              </w:rPr>
            </w:pPr>
          </w:p>
        </w:tc>
        <w:tc>
          <w:tcPr>
            <w:tcW w:w="4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keepNext w:val="0"/>
              <w:keepLines w:val="0"/>
              <w:widowControl w:val="0"/>
              <w:shd w:val="clear" w:color="auto" w:fill="auto"/>
              <w:bidi w:val="0"/>
              <w:spacing w:before="120" w:after="0" w:line="240" w:lineRule="auto"/>
              <w:ind w:left="0" w:leftChars="0" w:right="0" w:rightChars="0" w:firstLine="0" w:firstLineChars="0"/>
              <w:jc w:val="left"/>
              <w:rPr>
                <w:rFonts w:hint="eastAsia" w:ascii="仿宋" w:hAnsi="仿宋" w:eastAsia="仿宋" w:cs="仿宋"/>
                <w:color w:val="000000"/>
                <w:spacing w:val="0"/>
                <w:w w:val="100"/>
                <w:position w:val="0"/>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检查站值守情况</w:t>
            </w:r>
          </w:p>
        </w:tc>
        <w:tc>
          <w:tcPr>
            <w:tcW w:w="2389" w:type="dxa"/>
            <w:tcBorders>
              <w:top w:val="single" w:color="auto" w:sz="4" w:space="0"/>
              <w:left w:val="single" w:color="000000" w:sz="4" w:space="0"/>
              <w:bottom w:val="single" w:color="auto" w:sz="4" w:space="0"/>
            </w:tcBorders>
            <w:shd w:val="clear" w:color="auto" w:fill="FFFFFF"/>
            <w:vAlign w:val="top"/>
          </w:tcPr>
          <w:p>
            <w:pPr>
              <w:widowControl w:val="0"/>
              <w:jc w:val="both"/>
              <w:rPr>
                <w:rFonts w:hint="eastAsia" w:ascii="仿宋" w:hAnsi="仿宋" w:eastAsia="仿宋" w:cs="仿宋"/>
                <w:sz w:val="24"/>
                <w:szCs w:val="24"/>
              </w:rPr>
            </w:pPr>
          </w:p>
        </w:tc>
        <w:tc>
          <w:tcPr>
            <w:tcW w:w="930"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510" w:hRule="exact"/>
          <w:jc w:val="center"/>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both"/>
              <w:rPr>
                <w:rFonts w:hint="eastAsia" w:ascii="仿宋" w:hAnsi="仿宋" w:eastAsia="仿宋" w:cs="仿宋"/>
                <w:sz w:val="24"/>
                <w:szCs w:val="24"/>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left"/>
              <w:rPr>
                <w:rFonts w:hint="eastAsia" w:ascii="仿宋" w:hAnsi="仿宋" w:eastAsia="仿宋" w:cs="仿宋"/>
                <w:color w:val="000000"/>
                <w:spacing w:val="0"/>
                <w:w w:val="100"/>
                <w:position w:val="0"/>
                <w:sz w:val="24"/>
                <w:szCs w:val="24"/>
              </w:rPr>
            </w:pPr>
          </w:p>
        </w:tc>
        <w:tc>
          <w:tcPr>
            <w:tcW w:w="4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keepNext w:val="0"/>
              <w:keepLines w:val="0"/>
              <w:widowControl w:val="0"/>
              <w:shd w:val="clear" w:color="auto" w:fill="auto"/>
              <w:bidi w:val="0"/>
              <w:spacing w:before="120" w:after="0" w:line="240" w:lineRule="auto"/>
              <w:ind w:left="0" w:leftChars="0" w:right="0" w:rightChars="0" w:firstLine="0" w:firstLineChars="0"/>
              <w:jc w:val="left"/>
              <w:rPr>
                <w:rFonts w:hint="eastAsia" w:ascii="仿宋" w:hAnsi="仿宋" w:eastAsia="仿宋" w:cs="仿宋"/>
                <w:color w:val="000000"/>
                <w:spacing w:val="0"/>
                <w:w w:val="100"/>
                <w:position w:val="0"/>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文明祭祀工作情况</w:t>
            </w:r>
          </w:p>
        </w:tc>
        <w:tc>
          <w:tcPr>
            <w:tcW w:w="2389" w:type="dxa"/>
            <w:tcBorders>
              <w:top w:val="single" w:color="auto" w:sz="4" w:space="0"/>
              <w:left w:val="single" w:color="000000" w:sz="4" w:space="0"/>
              <w:bottom w:val="single" w:color="auto" w:sz="4" w:space="0"/>
            </w:tcBorders>
            <w:shd w:val="clear" w:color="auto" w:fill="FFFFFF"/>
            <w:vAlign w:val="top"/>
          </w:tcPr>
          <w:p>
            <w:pPr>
              <w:widowControl w:val="0"/>
              <w:jc w:val="both"/>
              <w:rPr>
                <w:rFonts w:hint="eastAsia" w:ascii="仿宋" w:hAnsi="仿宋" w:eastAsia="仿宋" w:cs="仿宋"/>
                <w:sz w:val="24"/>
                <w:szCs w:val="24"/>
              </w:rPr>
            </w:pPr>
          </w:p>
        </w:tc>
        <w:tc>
          <w:tcPr>
            <w:tcW w:w="930"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510" w:hRule="exact"/>
          <w:jc w:val="center"/>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ind w:left="0" w:leftChars="0" w:right="0" w:rightChars="0" w:firstLine="0" w:firstLineChars="0"/>
              <w:jc w:val="center"/>
              <w:rPr>
                <w:rFonts w:hint="eastAsia" w:ascii="仿宋" w:hAnsi="仿宋" w:eastAsia="仿宋" w:cs="仿宋"/>
                <w:color w:val="000000"/>
                <w:spacing w:val="0"/>
                <w:w w:val="100"/>
                <w:position w:val="0"/>
                <w:sz w:val="24"/>
                <w:szCs w:val="24"/>
                <w:shd w:val="clear" w:color="auto" w:fill="auto"/>
                <w:lang w:val="en-US" w:eastAsia="zh-CN" w:bidi="en-US"/>
              </w:rPr>
            </w:pPr>
            <w:r>
              <w:rPr>
                <w:rFonts w:hint="eastAsia" w:ascii="仿宋" w:hAnsi="仿宋" w:eastAsia="仿宋" w:cs="仿宋"/>
                <w:sz w:val="24"/>
                <w:szCs w:val="24"/>
                <w:lang w:val="en-US" w:eastAsia="zh-CN"/>
              </w:rPr>
              <w:t>5</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pPr>
              <w:ind w:left="0" w:leftChars="0" w:right="0" w:rightChars="0" w:firstLine="0" w:firstLineChars="0"/>
              <w:jc w:val="left"/>
              <w:rPr>
                <w:rFonts w:hint="eastAsia" w:ascii="仿宋" w:hAnsi="仿宋" w:eastAsia="仿宋" w:cs="仿宋"/>
                <w:color w:val="000000"/>
                <w:spacing w:val="0"/>
                <w:w w:val="100"/>
                <w:position w:val="0"/>
                <w:sz w:val="24"/>
                <w:szCs w:val="24"/>
                <w:shd w:val="clear" w:color="auto" w:fill="auto"/>
                <w:lang w:val="en-US" w:eastAsia="zh-CN" w:bidi="en-US"/>
              </w:rPr>
            </w:pPr>
            <w:r>
              <w:rPr>
                <w:rFonts w:hint="eastAsia" w:ascii="仿宋" w:hAnsi="仿宋" w:eastAsia="仿宋" w:cs="仿宋"/>
                <w:sz w:val="24"/>
                <w:szCs w:val="24"/>
                <w:lang w:val="en-US" w:eastAsia="zh-CN"/>
              </w:rPr>
              <w:t>值班值守情况</w:t>
            </w:r>
          </w:p>
        </w:tc>
        <w:tc>
          <w:tcPr>
            <w:tcW w:w="4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keepNext w:val="0"/>
              <w:keepLines w:val="0"/>
              <w:widowControl w:val="0"/>
              <w:shd w:val="clear" w:color="auto" w:fill="auto"/>
              <w:bidi w:val="0"/>
              <w:spacing w:before="120" w:after="0" w:line="240" w:lineRule="auto"/>
              <w:ind w:left="0" w:leftChars="0" w:right="0" w:rightChars="0" w:firstLine="0" w:firstLineChars="0"/>
              <w:jc w:val="left"/>
              <w:rPr>
                <w:rFonts w:hint="eastAsia" w:ascii="仿宋" w:hAnsi="仿宋" w:eastAsia="仿宋" w:cs="仿宋"/>
                <w:color w:val="000000"/>
                <w:spacing w:val="0"/>
                <w:w w:val="100"/>
                <w:position w:val="0"/>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值班值守情况</w:t>
            </w:r>
          </w:p>
        </w:tc>
        <w:tc>
          <w:tcPr>
            <w:tcW w:w="2389" w:type="dxa"/>
            <w:tcBorders>
              <w:top w:val="single" w:color="auto" w:sz="4" w:space="0"/>
              <w:left w:val="single" w:color="000000" w:sz="4" w:space="0"/>
              <w:bottom w:val="single" w:color="auto" w:sz="4" w:space="0"/>
            </w:tcBorders>
            <w:shd w:val="clear" w:color="auto" w:fill="FFFFFF"/>
            <w:vAlign w:val="top"/>
          </w:tcPr>
          <w:p>
            <w:pPr>
              <w:widowControl w:val="0"/>
              <w:jc w:val="both"/>
              <w:rPr>
                <w:rFonts w:hint="eastAsia" w:ascii="仿宋" w:hAnsi="仿宋" w:eastAsia="仿宋" w:cs="仿宋"/>
                <w:sz w:val="24"/>
                <w:szCs w:val="24"/>
              </w:rPr>
            </w:pPr>
          </w:p>
        </w:tc>
        <w:tc>
          <w:tcPr>
            <w:tcW w:w="930"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510" w:hRule="exact"/>
          <w:jc w:val="center"/>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ind w:left="0" w:leftChars="0" w:right="0" w:rightChars="0" w:firstLine="0" w:firstLineChars="0"/>
              <w:jc w:val="both"/>
              <w:rPr>
                <w:rFonts w:hint="eastAsia" w:ascii="仿宋" w:hAnsi="仿宋" w:eastAsia="仿宋" w:cs="仿宋"/>
                <w:color w:val="000000"/>
                <w:spacing w:val="0"/>
                <w:w w:val="100"/>
                <w:position w:val="0"/>
                <w:sz w:val="24"/>
                <w:szCs w:val="24"/>
                <w:shd w:val="clear" w:color="auto" w:fill="auto"/>
                <w:lang w:val="en-US" w:eastAsia="zh-CN" w:bidi="en-US"/>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ind w:left="0" w:leftChars="0" w:right="0" w:rightChars="0" w:firstLine="0" w:firstLineChars="0"/>
              <w:jc w:val="both"/>
              <w:rPr>
                <w:rFonts w:hint="eastAsia" w:ascii="仿宋" w:hAnsi="仿宋" w:eastAsia="仿宋" w:cs="仿宋"/>
                <w:color w:val="000000"/>
                <w:spacing w:val="0"/>
                <w:w w:val="100"/>
                <w:position w:val="0"/>
                <w:sz w:val="24"/>
                <w:szCs w:val="24"/>
                <w:shd w:val="clear" w:color="auto" w:fill="auto"/>
                <w:lang w:val="en-US" w:eastAsia="zh-CN" w:bidi="en-US"/>
              </w:rPr>
            </w:pPr>
          </w:p>
        </w:tc>
        <w:tc>
          <w:tcPr>
            <w:tcW w:w="4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keepNext w:val="0"/>
              <w:keepLines w:val="0"/>
              <w:widowControl w:val="0"/>
              <w:shd w:val="clear" w:color="auto" w:fill="auto"/>
              <w:bidi w:val="0"/>
              <w:spacing w:before="120" w:after="0" w:line="240" w:lineRule="auto"/>
              <w:ind w:left="0" w:leftChars="0" w:right="0" w:rightChars="0" w:firstLine="0" w:firstLineChars="0"/>
              <w:jc w:val="left"/>
              <w:rPr>
                <w:rFonts w:hint="eastAsia" w:ascii="仿宋" w:hAnsi="仿宋" w:eastAsia="仿宋" w:cs="仿宋"/>
                <w:color w:val="000000"/>
                <w:spacing w:val="0"/>
                <w:w w:val="100"/>
                <w:position w:val="0"/>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抽查护林员在岗情况</w:t>
            </w:r>
          </w:p>
        </w:tc>
        <w:tc>
          <w:tcPr>
            <w:tcW w:w="2389" w:type="dxa"/>
            <w:tcBorders>
              <w:top w:val="single" w:color="auto" w:sz="4" w:space="0"/>
              <w:left w:val="single" w:color="000000" w:sz="4" w:space="0"/>
              <w:bottom w:val="single" w:color="auto" w:sz="4" w:space="0"/>
            </w:tcBorders>
            <w:shd w:val="clear" w:color="auto" w:fill="FFFFFF"/>
            <w:vAlign w:val="top"/>
          </w:tcPr>
          <w:p>
            <w:pPr>
              <w:widowControl w:val="0"/>
              <w:jc w:val="both"/>
              <w:rPr>
                <w:rFonts w:hint="eastAsia" w:ascii="仿宋" w:hAnsi="仿宋" w:eastAsia="仿宋" w:cs="仿宋"/>
                <w:sz w:val="24"/>
                <w:szCs w:val="24"/>
              </w:rPr>
            </w:pPr>
          </w:p>
        </w:tc>
        <w:tc>
          <w:tcPr>
            <w:tcW w:w="930"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center"/>
              <w:rPr>
                <w:rFonts w:hint="eastAsia" w:ascii="仿宋" w:hAnsi="仿宋" w:eastAsia="仿宋" w:cs="仿宋"/>
                <w:sz w:val="24"/>
                <w:szCs w:val="24"/>
              </w:rPr>
            </w:pPr>
          </w:p>
        </w:tc>
      </w:tr>
    </w:tbl>
    <w:p>
      <w:pPr>
        <w:pStyle w:val="2"/>
        <w:rPr>
          <w:rFonts w:hint="default"/>
          <w:lang w:val="en-US" w:eastAsia="zh-CN"/>
        </w:rPr>
      </w:pPr>
    </w:p>
    <w:sectPr>
      <w:headerReference r:id="rId5" w:type="default"/>
      <w:footerReference r:id="rId6" w:type="default"/>
      <w:pgSz w:w="11906" w:h="16838"/>
      <w:pgMar w:top="1984" w:right="1247" w:bottom="1134"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hZjIwYjhjMTQzNTBiNTZkZmU5NmYzOGRhNzMxYzEifQ=="/>
  </w:docVars>
  <w:rsids>
    <w:rsidRoot w:val="00172A27"/>
    <w:rsid w:val="02965294"/>
    <w:rsid w:val="057A38F7"/>
    <w:rsid w:val="088F37C7"/>
    <w:rsid w:val="0D7429D1"/>
    <w:rsid w:val="0E857E7D"/>
    <w:rsid w:val="100454B1"/>
    <w:rsid w:val="13C87D97"/>
    <w:rsid w:val="1960679A"/>
    <w:rsid w:val="1CD619D4"/>
    <w:rsid w:val="1F6D68BC"/>
    <w:rsid w:val="217902D7"/>
    <w:rsid w:val="21C55083"/>
    <w:rsid w:val="2596529F"/>
    <w:rsid w:val="28504F39"/>
    <w:rsid w:val="2A344B98"/>
    <w:rsid w:val="2A481CFC"/>
    <w:rsid w:val="2EF052E3"/>
    <w:rsid w:val="2F4B7B98"/>
    <w:rsid w:val="2F7462FF"/>
    <w:rsid w:val="3606272C"/>
    <w:rsid w:val="38B17932"/>
    <w:rsid w:val="39CB2002"/>
    <w:rsid w:val="3A06303A"/>
    <w:rsid w:val="3A352E9D"/>
    <w:rsid w:val="46CF24C4"/>
    <w:rsid w:val="47C62E18"/>
    <w:rsid w:val="47CA7DB9"/>
    <w:rsid w:val="48A17CA5"/>
    <w:rsid w:val="4A3C2D34"/>
    <w:rsid w:val="55C86F43"/>
    <w:rsid w:val="59D807FF"/>
    <w:rsid w:val="5BCD7E39"/>
    <w:rsid w:val="5F9542AB"/>
    <w:rsid w:val="5FAA5C20"/>
    <w:rsid w:val="61747C29"/>
    <w:rsid w:val="63D56FFD"/>
    <w:rsid w:val="640D3093"/>
    <w:rsid w:val="65940BE3"/>
    <w:rsid w:val="6B4D3238"/>
    <w:rsid w:val="6B4D421A"/>
    <w:rsid w:val="6C3D09AD"/>
    <w:rsid w:val="71360545"/>
    <w:rsid w:val="75572C90"/>
    <w:rsid w:val="772347E1"/>
    <w:rsid w:val="799E73AD"/>
    <w:rsid w:val="7CA95FA6"/>
    <w:rsid w:val="7F133A21"/>
    <w:rsid w:val="7FB208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7">
    <w:name w:val="Default Paragraph Font"/>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alloon Text"/>
    <w:basedOn w:val="1"/>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p15"/>
    <w:basedOn w:val="1"/>
    <w:qFormat/>
    <w:uiPriority w:val="0"/>
    <w:pPr>
      <w:widowControl/>
    </w:pPr>
    <w:rPr>
      <w:rFonts w:ascii="宋体" w:hAnsi="宋体" w:cs="宋体"/>
      <w:kern w:val="0"/>
      <w:szCs w:val="21"/>
    </w:rPr>
  </w:style>
  <w:style w:type="character" w:customStyle="1" w:styleId="9">
    <w:name w:val="font11"/>
    <w:basedOn w:val="7"/>
    <w:qFormat/>
    <w:uiPriority w:val="0"/>
    <w:rPr>
      <w:rFonts w:hint="eastAsia" w:ascii="仿宋" w:hAnsi="仿宋" w:eastAsia="仿宋" w:cs="仿宋"/>
      <w:color w:val="000000"/>
      <w:sz w:val="24"/>
      <w:szCs w:val="24"/>
      <w:u w:val="none"/>
    </w:rPr>
  </w:style>
  <w:style w:type="character" w:customStyle="1" w:styleId="10">
    <w:name w:val="font41"/>
    <w:basedOn w:val="7"/>
    <w:qFormat/>
    <w:uiPriority w:val="0"/>
    <w:rPr>
      <w:rFonts w:hint="eastAsia" w:ascii="仿宋" w:hAnsi="仿宋" w:eastAsia="仿宋" w:cs="仿宋"/>
      <w:color w:val="000000"/>
      <w:sz w:val="24"/>
      <w:szCs w:val="24"/>
      <w:u w:val="none"/>
    </w:rPr>
  </w:style>
  <w:style w:type="character" w:customStyle="1" w:styleId="11">
    <w:name w:val="font21"/>
    <w:basedOn w:val="7"/>
    <w:qFormat/>
    <w:uiPriority w:val="0"/>
    <w:rPr>
      <w:rFonts w:hint="eastAsia" w:ascii="仿宋" w:hAnsi="仿宋" w:eastAsia="仿宋" w:cs="仿宋"/>
      <w:color w:val="000000"/>
      <w:sz w:val="24"/>
      <w:szCs w:val="24"/>
      <w:u w:val="none"/>
    </w:rPr>
  </w:style>
  <w:style w:type="paragraph" w:customStyle="1" w:styleId="12">
    <w:name w:val="Body text|1"/>
    <w:basedOn w:val="1"/>
    <w:qFormat/>
    <w:uiPriority w:val="0"/>
    <w:pPr>
      <w:widowControl w:val="0"/>
      <w:shd w:val="clear" w:color="auto" w:fill="auto"/>
      <w:spacing w:line="427" w:lineRule="auto"/>
      <w:ind w:firstLine="400"/>
    </w:pPr>
    <w:rPr>
      <w:rFonts w:ascii="宋体" w:hAnsi="宋体" w:eastAsia="宋体" w:cs="宋体"/>
      <w:sz w:val="28"/>
      <w:szCs w:val="28"/>
      <w:u w:val="none"/>
      <w:shd w:val="clear" w:color="auto" w:fill="auto"/>
      <w:lang w:val="zh-TW" w:eastAsia="zh-TW" w:bidi="zh-TW"/>
    </w:rPr>
  </w:style>
  <w:style w:type="paragraph" w:customStyle="1" w:styleId="13">
    <w:name w:val="Body text|3"/>
    <w:basedOn w:val="1"/>
    <w:qFormat/>
    <w:uiPriority w:val="0"/>
    <w:pPr>
      <w:widowControl w:val="0"/>
      <w:shd w:val="clear" w:color="auto" w:fill="auto"/>
      <w:spacing w:after="360"/>
    </w:pPr>
    <w:rPr>
      <w:rFonts w:ascii="宋体" w:hAnsi="宋体" w:eastAsia="宋体" w:cs="宋体"/>
      <w:sz w:val="32"/>
      <w:szCs w:val="32"/>
      <w:u w:val="none"/>
      <w:shd w:val="clear" w:color="auto" w:fill="auto"/>
      <w:lang w:val="zh-TW" w:eastAsia="zh-TW" w:bidi="zh-TW"/>
    </w:rPr>
  </w:style>
  <w:style w:type="paragraph" w:customStyle="1" w:styleId="14">
    <w:name w:val="Other|1"/>
    <w:basedOn w:val="1"/>
    <w:qFormat/>
    <w:uiPriority w:val="0"/>
    <w:pPr>
      <w:widowControl w:val="0"/>
      <w:shd w:val="clear" w:color="auto" w:fill="auto"/>
      <w:spacing w:line="427"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22</Words>
  <Characters>129</Characters>
  <Lines>1</Lines>
  <Paragraphs>1</Paragraphs>
  <TotalTime>10</TotalTime>
  <ScaleCrop>false</ScaleCrop>
  <LinksUpToDate>false</LinksUpToDate>
  <CharactersWithSpaces>150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2015-03-16T07:50:00Z</dcterms:created>
  <dc:creator>微软用户</dc:creator>
  <cp:lastModifiedBy>Mr   龍</cp:lastModifiedBy>
  <cp:lastPrinted>2022-03-23T11:19:00Z</cp:lastPrinted>
  <dcterms:modified xsi:type="dcterms:W3CDTF">2023-12-11T09:31:19Z</dcterms:modified>
  <dc:title>关于田清河同志</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76AA2255E9DB4E92890FE0CB884C7C62</vt:lpwstr>
  </property>
</Properties>
</file>