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i w:val="0"/>
          <w:caps w:val="0"/>
          <w:color w:val="333333"/>
          <w:spacing w:val="0"/>
          <w:sz w:val="42"/>
          <w:szCs w:val="42"/>
        </w:rPr>
      </w:pPr>
      <w:r>
        <w:rPr>
          <w:rFonts w:hint="eastAsia" w:ascii="微软雅黑" w:hAnsi="微软雅黑" w:eastAsia="微软雅黑" w:cs="微软雅黑"/>
          <w:b/>
          <w:i w:val="0"/>
          <w:caps w:val="0"/>
          <w:color w:val="333333"/>
          <w:spacing w:val="0"/>
          <w:sz w:val="42"/>
          <w:szCs w:val="42"/>
        </w:rPr>
        <w:t>沂源</w:t>
      </w:r>
      <w:r>
        <w:rPr>
          <w:rFonts w:hint="eastAsia" w:ascii="微软雅黑" w:hAnsi="微软雅黑" w:eastAsia="微软雅黑" w:cs="微软雅黑"/>
          <w:b/>
          <w:i w:val="0"/>
          <w:caps w:val="0"/>
          <w:color w:val="333333"/>
          <w:spacing w:val="0"/>
          <w:sz w:val="42"/>
          <w:szCs w:val="42"/>
          <w:lang w:eastAsia="zh-CN"/>
        </w:rPr>
        <w:t>县档案馆</w:t>
      </w:r>
      <w:r>
        <w:rPr>
          <w:rFonts w:hint="eastAsia" w:ascii="微软雅黑" w:hAnsi="微软雅黑" w:eastAsia="微软雅黑" w:cs="微软雅黑"/>
          <w:b/>
          <w:i w:val="0"/>
          <w:caps w:val="0"/>
          <w:color w:val="333333"/>
          <w:spacing w:val="0"/>
          <w:sz w:val="42"/>
          <w:szCs w:val="42"/>
        </w:rPr>
        <w:t>2020年政府信息</w:t>
      </w:r>
      <w:r>
        <w:rPr>
          <w:rFonts w:hint="eastAsia" w:ascii="微软雅黑" w:hAnsi="微软雅黑" w:eastAsia="微软雅黑" w:cs="微软雅黑"/>
          <w:b/>
          <w:i w:val="0"/>
          <w:caps w:val="0"/>
          <w:color w:val="333333"/>
          <w:spacing w:val="0"/>
          <w:sz w:val="42"/>
          <w:szCs w:val="42"/>
          <w:lang w:val="en-US" w:eastAsia="zh-CN"/>
        </w:rPr>
        <w:t xml:space="preserve">            </w:t>
      </w:r>
      <w:r>
        <w:rPr>
          <w:rFonts w:hint="eastAsia" w:ascii="微软雅黑" w:hAnsi="微软雅黑" w:eastAsia="微软雅黑" w:cs="微软雅黑"/>
          <w:b/>
          <w:i w:val="0"/>
          <w:caps w:val="0"/>
          <w:color w:val="333333"/>
          <w:spacing w:val="0"/>
          <w:sz w:val="42"/>
          <w:szCs w:val="42"/>
        </w:rPr>
        <w:t>公开年度工作报告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ascii="微软雅黑" w:hAnsi="微软雅黑" w:eastAsia="微软雅黑" w:cs="微软雅黑"/>
          <w:i w:val="0"/>
          <w:caps w:val="0"/>
          <w:color w:val="000000"/>
          <w:spacing w:val="0"/>
          <w:sz w:val="24"/>
          <w:szCs w:val="24"/>
        </w:rPr>
      </w:pPr>
      <w:r>
        <w:rPr>
          <w:rFonts w:ascii="仿宋_GB2312" w:hAnsi="Times New Roman" w:eastAsia="仿宋_GB2312" w:cs="仿宋_GB2312"/>
          <w:i w:val="0"/>
          <w:caps w:val="0"/>
          <w:color w:val="000000"/>
          <w:spacing w:val="0"/>
          <w:sz w:val="32"/>
          <w:szCs w:val="32"/>
        </w:rPr>
        <w:t>根据《中华人民共和国政府信息公开条例》和各级政府有关信息公开的要求，结合我</w:t>
      </w:r>
      <w:r>
        <w:rPr>
          <w:rFonts w:hint="eastAsia" w:ascii="仿宋_GB2312" w:hAnsi="Times New Roman" w:eastAsia="仿宋_GB2312" w:cs="仿宋_GB2312"/>
          <w:i w:val="0"/>
          <w:caps w:val="0"/>
          <w:color w:val="000000"/>
          <w:spacing w:val="0"/>
          <w:sz w:val="32"/>
          <w:szCs w:val="32"/>
          <w:lang w:eastAsia="zh-CN"/>
        </w:rPr>
        <w:t>馆</w:t>
      </w:r>
      <w:r>
        <w:rPr>
          <w:rFonts w:ascii="仿宋_GB2312" w:hAnsi="Times New Roman" w:eastAsia="仿宋_GB2312" w:cs="仿宋_GB2312"/>
          <w:i w:val="0"/>
          <w:caps w:val="0"/>
          <w:color w:val="000000"/>
          <w:spacing w:val="0"/>
          <w:sz w:val="32"/>
          <w:szCs w:val="32"/>
        </w:rPr>
        <w:t>信息公开工作实际，现向社会公开</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年度</w:t>
      </w:r>
      <w:r>
        <w:rPr>
          <w:rFonts w:hint="eastAsia" w:ascii="仿宋_GB2312" w:hAnsi="Times New Roman" w:eastAsia="仿宋_GB2312" w:cs="仿宋_GB2312"/>
          <w:i w:val="0"/>
          <w:caps w:val="0"/>
          <w:color w:val="000000"/>
          <w:spacing w:val="0"/>
          <w:sz w:val="32"/>
          <w:szCs w:val="32"/>
          <w:lang w:eastAsia="zh-CN"/>
        </w:rPr>
        <w:t>县档案馆</w:t>
      </w:r>
      <w:r>
        <w:rPr>
          <w:rFonts w:hint="default" w:ascii="仿宋_GB2312" w:hAnsi="Times New Roman" w:eastAsia="仿宋_GB2312" w:cs="仿宋_GB2312"/>
          <w:i w:val="0"/>
          <w:caps w:val="0"/>
          <w:color w:val="000000"/>
          <w:spacing w:val="0"/>
          <w:sz w:val="32"/>
          <w:szCs w:val="32"/>
        </w:rPr>
        <w:t>政府信息公开年度报告。本报告中所列数据的统计期限自</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日起至</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31</w:t>
      </w:r>
      <w:r>
        <w:rPr>
          <w:rFonts w:hint="default" w:ascii="仿宋_GB2312" w:hAnsi="Times New Roman" w:eastAsia="仿宋_GB2312" w:cs="仿宋_GB2312"/>
          <w:i w:val="0"/>
          <w:caps w:val="0"/>
          <w:color w:val="000000"/>
          <w:spacing w:val="0"/>
          <w:sz w:val="32"/>
          <w:szCs w:val="32"/>
        </w:rPr>
        <w:t>日止。公民、法人及其他组织需要查询报告中相关政府信息公开工作事项或对本报告有任何疑问的，请与沂源</w:t>
      </w:r>
      <w:r>
        <w:rPr>
          <w:rFonts w:hint="eastAsia" w:ascii="仿宋_GB2312" w:hAnsi="Times New Roman" w:eastAsia="仿宋_GB2312" w:cs="仿宋_GB2312"/>
          <w:i w:val="0"/>
          <w:caps w:val="0"/>
          <w:color w:val="000000"/>
          <w:spacing w:val="0"/>
          <w:sz w:val="32"/>
          <w:szCs w:val="32"/>
          <w:lang w:eastAsia="zh-CN"/>
        </w:rPr>
        <w:t>县档案馆</w:t>
      </w:r>
      <w:r>
        <w:rPr>
          <w:rFonts w:hint="default" w:ascii="仿宋_GB2312" w:hAnsi="Times New Roman" w:eastAsia="仿宋_GB2312" w:cs="仿宋_GB2312"/>
          <w:i w:val="0"/>
          <w:caps w:val="0"/>
          <w:color w:val="000000"/>
          <w:spacing w:val="0"/>
          <w:sz w:val="32"/>
          <w:szCs w:val="32"/>
        </w:rPr>
        <w:t>办公室联系（地址：</w:t>
      </w:r>
      <w:r>
        <w:rPr>
          <w:rFonts w:hint="eastAsia" w:ascii="仿宋" w:hAnsi="仿宋" w:eastAsia="仿宋" w:cs="仿宋"/>
          <w:i w:val="0"/>
          <w:caps w:val="0"/>
          <w:color w:val="3D3D3D"/>
          <w:spacing w:val="0"/>
          <w:sz w:val="32"/>
          <w:szCs w:val="32"/>
        </w:rPr>
        <w:t>沂源县</w:t>
      </w:r>
      <w:r>
        <w:rPr>
          <w:rFonts w:hint="eastAsia" w:ascii="仿宋" w:hAnsi="仿宋" w:eastAsia="仿宋" w:cs="仿宋"/>
          <w:i w:val="0"/>
          <w:caps w:val="0"/>
          <w:color w:val="3D3D3D"/>
          <w:spacing w:val="0"/>
          <w:sz w:val="32"/>
          <w:szCs w:val="32"/>
          <w:lang w:eastAsia="zh-CN"/>
        </w:rPr>
        <w:t>瑞阳路与鲁山路交界处</w:t>
      </w:r>
      <w:r>
        <w:rPr>
          <w:rFonts w:hint="default" w:ascii="仿宋_GB2312" w:hAnsi="Times New Roman" w:eastAsia="仿宋_GB2312" w:cs="仿宋_GB2312"/>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lang w:eastAsia="zh-CN"/>
        </w:rPr>
        <w:t>县档案馆三</w:t>
      </w:r>
      <w:r>
        <w:rPr>
          <w:rFonts w:hint="default" w:ascii="仿宋_GB2312" w:hAnsi="Times New Roman" w:eastAsia="仿宋_GB2312" w:cs="仿宋_GB2312"/>
          <w:i w:val="0"/>
          <w:caps w:val="0"/>
          <w:color w:val="000000"/>
          <w:spacing w:val="0"/>
          <w:sz w:val="32"/>
          <w:szCs w:val="32"/>
        </w:rPr>
        <w:t>楼办公室；邮编：</w:t>
      </w:r>
      <w:r>
        <w:rPr>
          <w:rFonts w:hint="default" w:ascii="Times New Roman" w:hAnsi="Times New Roman" w:eastAsia="微软雅黑" w:cs="Times New Roman"/>
          <w:i w:val="0"/>
          <w:caps w:val="0"/>
          <w:color w:val="000000"/>
          <w:spacing w:val="0"/>
          <w:sz w:val="32"/>
          <w:szCs w:val="32"/>
        </w:rPr>
        <w:t>256100</w:t>
      </w:r>
      <w:r>
        <w:rPr>
          <w:rFonts w:hint="default" w:ascii="仿宋_GB2312" w:hAnsi="Times New Roman" w:eastAsia="仿宋_GB2312" w:cs="仿宋_GB2312"/>
          <w:i w:val="0"/>
          <w:caps w:val="0"/>
          <w:color w:val="000000"/>
          <w:spacing w:val="0"/>
          <w:sz w:val="32"/>
          <w:szCs w:val="32"/>
        </w:rPr>
        <w:t>；电话：</w:t>
      </w:r>
      <w:r>
        <w:rPr>
          <w:rFonts w:hint="eastAsia" w:ascii="Times New Roman" w:hAnsi="Times New Roman" w:eastAsia="微软雅黑" w:cs="Times New Roman"/>
          <w:i w:val="0"/>
          <w:caps w:val="0"/>
          <w:color w:val="000000"/>
          <w:spacing w:val="0"/>
          <w:sz w:val="32"/>
          <w:szCs w:val="32"/>
          <w:lang w:val="en-US" w:eastAsia="zh-CN"/>
        </w:rPr>
        <w:t>2343200</w:t>
      </w:r>
      <w:r>
        <w:rPr>
          <w:rFonts w:hint="default" w:ascii="仿宋_GB2312" w:hAnsi="Times New Roman" w:eastAsia="仿宋_GB2312" w:cs="仿宋_GB2312"/>
          <w:i w:val="0"/>
          <w:caps w:val="0"/>
          <w:color w:val="000000"/>
          <w:spacing w:val="0"/>
          <w:sz w:val="32"/>
          <w:szCs w:val="32"/>
        </w:rPr>
        <w:t>；传真：</w:t>
      </w:r>
      <w:r>
        <w:rPr>
          <w:rFonts w:hint="eastAsia" w:ascii="Times New Roman" w:hAnsi="Times New Roman" w:eastAsia="微软雅黑" w:cs="Times New Roman"/>
          <w:i w:val="0"/>
          <w:caps w:val="0"/>
          <w:color w:val="000000"/>
          <w:spacing w:val="0"/>
          <w:sz w:val="32"/>
          <w:szCs w:val="32"/>
          <w:lang w:val="en-US" w:eastAsia="zh-CN"/>
        </w:rPr>
        <w:t>2341210</w:t>
      </w:r>
      <w:r>
        <w:rPr>
          <w:rFonts w:hint="default" w:ascii="仿宋_GB2312" w:hAnsi="Times New Roman" w:eastAsia="仿宋_GB2312" w:cs="仿宋_GB2312"/>
          <w:i w:val="0"/>
          <w:caps w:val="0"/>
          <w:color w:val="000000"/>
          <w:spacing w:val="0"/>
          <w:sz w:val="32"/>
          <w:szCs w:val="32"/>
        </w:rPr>
        <w:t>；电子邮箱</w:t>
      </w:r>
      <w:r>
        <w:rPr>
          <w:rFonts w:hint="default" w:ascii="Times New Roman" w:hAnsi="Times New Roman" w:eastAsia="微软雅黑" w:cs="Times New Roman"/>
          <w:i w:val="0"/>
          <w:caps w:val="0"/>
          <w:color w:val="000000"/>
          <w:spacing w:val="0"/>
          <w:sz w:val="32"/>
          <w:szCs w:val="32"/>
        </w:rPr>
        <w:t>:</w:t>
      </w:r>
      <w:r>
        <w:rPr>
          <w:rFonts w:hint="eastAsia" w:ascii="仿宋" w:hAnsi="仿宋" w:eastAsia="仿宋" w:cs="仿宋"/>
          <w:i w:val="0"/>
          <w:caps w:val="0"/>
          <w:color w:val="3D3D3D"/>
          <w:spacing w:val="0"/>
          <w:sz w:val="32"/>
          <w:szCs w:val="32"/>
        </w:rPr>
        <w:t>yyx</w:t>
      </w:r>
      <w:r>
        <w:rPr>
          <w:rFonts w:hint="eastAsia" w:ascii="仿宋" w:hAnsi="仿宋" w:eastAsia="仿宋" w:cs="仿宋"/>
          <w:i w:val="0"/>
          <w:caps w:val="0"/>
          <w:color w:val="3D3D3D"/>
          <w:spacing w:val="0"/>
          <w:sz w:val="32"/>
          <w:szCs w:val="32"/>
          <w:lang w:val="en-US" w:eastAsia="zh-CN"/>
        </w:rPr>
        <w:t>dajbgs</w:t>
      </w:r>
      <w:r>
        <w:rPr>
          <w:rFonts w:hint="eastAsia" w:ascii="仿宋" w:hAnsi="仿宋" w:eastAsia="仿宋" w:cs="仿宋"/>
          <w:i w:val="0"/>
          <w:caps w:val="0"/>
          <w:color w:val="3D3D3D"/>
          <w:spacing w:val="0"/>
          <w:sz w:val="32"/>
          <w:szCs w:val="32"/>
        </w:rPr>
        <w:t>@zb.shandong.cn</w:t>
      </w:r>
      <w:r>
        <w:rPr>
          <w:rFonts w:hint="default" w:ascii="仿宋_GB2312" w:hAnsi="Times New Roman" w:eastAsia="仿宋_GB2312" w:cs="仿宋_GB2312"/>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仿宋_GB2312" w:hAnsi="Times New Roman" w:eastAsia="仿宋_GB2312" w:cs="仿宋_GB2312"/>
          <w:i w:val="0"/>
          <w:caps w:val="0"/>
          <w:color w:val="000000"/>
          <w:spacing w:val="0"/>
          <w:sz w:val="32"/>
          <w:szCs w:val="32"/>
        </w:rPr>
      </w:pPr>
      <w:r>
        <w:rPr>
          <w:rFonts w:hint="default" w:ascii="仿宋_GB2312" w:hAnsi="Times New Roman" w:eastAsia="仿宋_GB2312" w:cs="仿宋_GB2312"/>
          <w:i w:val="0"/>
          <w:caps w:val="0"/>
          <w:color w:val="000000"/>
          <w:spacing w:val="0"/>
          <w:sz w:val="32"/>
          <w:szCs w:val="32"/>
        </w:rPr>
        <w:t>2020</w:t>
      </w:r>
      <w:r>
        <w:rPr>
          <w:rFonts w:ascii="仿宋_GB2312" w:hAnsi="Times New Roman" w:eastAsia="仿宋_GB2312" w:cs="仿宋_GB2312"/>
          <w:i w:val="0"/>
          <w:caps w:val="0"/>
          <w:color w:val="000000"/>
          <w:spacing w:val="0"/>
          <w:sz w:val="32"/>
          <w:szCs w:val="32"/>
        </w:rPr>
        <w:t>年，县</w:t>
      </w:r>
      <w:r>
        <w:rPr>
          <w:rFonts w:hint="eastAsia" w:ascii="仿宋_GB2312" w:hAnsi="Times New Roman" w:eastAsia="仿宋_GB2312" w:cs="仿宋_GB2312"/>
          <w:i w:val="0"/>
          <w:caps w:val="0"/>
          <w:color w:val="000000"/>
          <w:spacing w:val="0"/>
          <w:sz w:val="32"/>
          <w:szCs w:val="32"/>
          <w:lang w:eastAsia="zh-CN"/>
        </w:rPr>
        <w:t>档案馆</w:t>
      </w:r>
      <w:r>
        <w:rPr>
          <w:rFonts w:ascii="仿宋_GB2312" w:hAnsi="Times New Roman" w:eastAsia="仿宋_GB2312" w:cs="仿宋_GB2312"/>
          <w:i w:val="0"/>
          <w:caps w:val="0"/>
          <w:color w:val="000000"/>
          <w:spacing w:val="0"/>
          <w:sz w:val="32"/>
          <w:szCs w:val="32"/>
        </w:rPr>
        <w:t>高度重视信息公开工作，按照县委、县政府的总体部署和工作要求，深入贯彻实施《中华人民共和国政府信息公开条例》，按照合法、及时、公正和便民的原则，积极做好政府信息的收集、整理，并定期对本单位的公开信息进行更新，让公众更加快捷方便地了解到我单位相关的政府信息，提高了工作的透明度和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仿宋_GB2312" w:hAnsi="Times New Roman" w:eastAsia="仿宋_GB2312" w:cs="仿宋_GB2312"/>
          <w:i w:val="0"/>
          <w:caps w:val="0"/>
          <w:color w:val="000000"/>
          <w:spacing w:val="0"/>
          <w:sz w:val="32"/>
          <w:szCs w:val="32"/>
        </w:rPr>
      </w:pPr>
      <w:r>
        <w:rPr>
          <w:rFonts w:hint="default" w:ascii="仿宋_GB2312" w:hAnsi="Times New Roman" w:eastAsia="仿宋_GB2312" w:cs="仿宋_GB2312"/>
          <w:i w:val="0"/>
          <w:caps w:val="0"/>
          <w:color w:val="000000"/>
          <w:spacing w:val="0"/>
          <w:sz w:val="32"/>
          <w:szCs w:val="32"/>
        </w:rPr>
        <w:t>1</w:t>
      </w:r>
      <w:r>
        <w:rPr>
          <w:rFonts w:ascii="仿宋_GB2312" w:hAnsi="Times New Roman" w:eastAsia="仿宋_GB2312" w:cs="仿宋_GB2312"/>
          <w:i w:val="0"/>
          <w:caps w:val="0"/>
          <w:color w:val="000000"/>
          <w:spacing w:val="0"/>
          <w:sz w:val="32"/>
          <w:szCs w:val="32"/>
        </w:rPr>
        <w:t>、主动公开内容</w:t>
      </w:r>
      <w:r>
        <w:rPr>
          <w:rFonts w:hint="default" w:ascii="仿宋_GB2312" w:hAnsi="Times New Roman" w:eastAsia="仿宋_GB2312" w:cs="仿宋_GB2312"/>
          <w:i w:val="0"/>
          <w:caps w:val="0"/>
          <w:color w:val="000000"/>
          <w:spacing w:val="0"/>
          <w:sz w:val="32"/>
          <w:szCs w:val="32"/>
        </w:rPr>
        <w:t>。截止2020年12月31日，县</w:t>
      </w:r>
      <w:r>
        <w:rPr>
          <w:rFonts w:hint="eastAsia" w:ascii="仿宋_GB2312" w:hAnsi="Times New Roman" w:eastAsia="仿宋_GB2312" w:cs="仿宋_GB2312"/>
          <w:i w:val="0"/>
          <w:caps w:val="0"/>
          <w:color w:val="000000"/>
          <w:spacing w:val="0"/>
          <w:sz w:val="32"/>
          <w:szCs w:val="32"/>
          <w:lang w:eastAsia="zh-CN"/>
        </w:rPr>
        <w:t>档案馆</w:t>
      </w:r>
      <w:r>
        <w:rPr>
          <w:rFonts w:hint="default" w:ascii="仿宋_GB2312" w:hAnsi="Times New Roman" w:eastAsia="仿宋_GB2312" w:cs="仿宋_GB2312"/>
          <w:i w:val="0"/>
          <w:caps w:val="0"/>
          <w:color w:val="000000"/>
          <w:spacing w:val="0"/>
          <w:sz w:val="32"/>
          <w:szCs w:val="32"/>
        </w:rPr>
        <w:t>累计主动公开政府信息</w:t>
      </w:r>
      <w:r>
        <w:rPr>
          <w:rFonts w:hint="eastAsia" w:ascii="仿宋_GB2312" w:hAnsi="Times New Roman" w:eastAsia="仿宋_GB2312" w:cs="仿宋_GB2312"/>
          <w:i w:val="0"/>
          <w:caps w:val="0"/>
          <w:color w:val="000000"/>
          <w:spacing w:val="0"/>
          <w:sz w:val="32"/>
          <w:szCs w:val="32"/>
          <w:lang w:val="en-US" w:eastAsia="zh-CN"/>
        </w:rPr>
        <w:t>86</w:t>
      </w:r>
      <w:r>
        <w:rPr>
          <w:rFonts w:hint="default" w:ascii="仿宋_GB2312" w:hAnsi="Times New Roman" w:eastAsia="仿宋_GB2312" w:cs="仿宋_GB2312"/>
          <w:i w:val="0"/>
          <w:caps w:val="0"/>
          <w:color w:val="000000"/>
          <w:spacing w:val="0"/>
          <w:sz w:val="32"/>
          <w:szCs w:val="32"/>
        </w:rPr>
        <w:t>条,主要包括机构职能、政府部门文件、政府会议、业务工作等方面。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仿宋_GB2312" w:hAnsi="Times New Roman" w:eastAsia="仿宋_GB2312" w:cs="仿宋_GB2312"/>
          <w:i w:val="0"/>
          <w:caps w:val="0"/>
          <w:color w:val="000000"/>
          <w:spacing w:val="0"/>
          <w:sz w:val="32"/>
          <w:szCs w:val="32"/>
        </w:rPr>
      </w:pPr>
      <w:r>
        <w:rPr>
          <w:rFonts w:hint="default" w:ascii="仿宋_GB2312" w:hAnsi="Times New Roman" w:eastAsia="仿宋_GB2312" w:cs="仿宋_GB2312"/>
          <w:i w:val="0"/>
          <w:caps w:val="0"/>
          <w:color w:val="000000"/>
          <w:spacing w:val="0"/>
          <w:sz w:val="32"/>
          <w:szCs w:val="32"/>
        </w:rPr>
        <w:t>2、依申请公开情况。2020年，县</w:t>
      </w:r>
      <w:r>
        <w:rPr>
          <w:rFonts w:hint="eastAsia" w:ascii="仿宋_GB2312" w:hAnsi="Times New Roman" w:eastAsia="仿宋_GB2312" w:cs="仿宋_GB2312"/>
          <w:i w:val="0"/>
          <w:caps w:val="0"/>
          <w:color w:val="000000"/>
          <w:spacing w:val="0"/>
          <w:sz w:val="32"/>
          <w:szCs w:val="32"/>
          <w:lang w:eastAsia="zh-CN"/>
        </w:rPr>
        <w:t>档案馆</w:t>
      </w:r>
      <w:r>
        <w:rPr>
          <w:rFonts w:hint="default" w:ascii="仿宋_GB2312" w:hAnsi="Times New Roman" w:eastAsia="仿宋_GB2312" w:cs="仿宋_GB2312"/>
          <w:i w:val="0"/>
          <w:caps w:val="0"/>
          <w:color w:val="000000"/>
          <w:spacing w:val="0"/>
          <w:sz w:val="32"/>
          <w:szCs w:val="32"/>
        </w:rPr>
        <w:t>未接书面依申请公开政府信息的申请。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仿宋_GB2312" w:hAnsi="Times New Roman" w:eastAsia="仿宋_GB2312" w:cs="仿宋_GB2312"/>
          <w:i w:val="0"/>
          <w:caps w:val="0"/>
          <w:color w:val="000000"/>
          <w:spacing w:val="0"/>
          <w:sz w:val="32"/>
          <w:szCs w:val="32"/>
        </w:rPr>
      </w:pPr>
      <w:r>
        <w:rPr>
          <w:rFonts w:hint="default" w:ascii="仿宋_GB2312" w:hAnsi="Times New Roman" w:eastAsia="仿宋_GB2312" w:cs="仿宋_GB2312"/>
          <w:i w:val="0"/>
          <w:caps w:val="0"/>
          <w:color w:val="000000"/>
          <w:spacing w:val="0"/>
          <w:sz w:val="32"/>
          <w:szCs w:val="32"/>
        </w:rPr>
        <w:t>3、政府信息管理情况。一是加强重点领域政府信息公开工作。按照县委、县政府的统一部署要求，对单位预决算情况等重点领域的工作信息进行了及时公开。二是做好政府信息公开保密审查及监督检查工作。县</w:t>
      </w:r>
      <w:r>
        <w:rPr>
          <w:rFonts w:hint="eastAsia" w:ascii="仿宋_GB2312" w:hAnsi="Times New Roman" w:eastAsia="仿宋_GB2312" w:cs="仿宋_GB2312"/>
          <w:i w:val="0"/>
          <w:caps w:val="0"/>
          <w:color w:val="000000"/>
          <w:spacing w:val="0"/>
          <w:sz w:val="32"/>
          <w:szCs w:val="32"/>
          <w:lang w:eastAsia="zh-CN"/>
        </w:rPr>
        <w:t>档案馆</w:t>
      </w:r>
      <w:r>
        <w:rPr>
          <w:rFonts w:hint="default" w:ascii="仿宋_GB2312" w:hAnsi="Times New Roman" w:eastAsia="仿宋_GB2312" w:cs="仿宋_GB2312"/>
          <w:i w:val="0"/>
          <w:caps w:val="0"/>
          <w:color w:val="000000"/>
          <w:spacing w:val="0"/>
          <w:sz w:val="32"/>
          <w:szCs w:val="32"/>
        </w:rPr>
        <w:t>结合本单位实际情况，进一步完善县</w:t>
      </w:r>
      <w:r>
        <w:rPr>
          <w:rFonts w:hint="eastAsia" w:ascii="仿宋_GB2312" w:hAnsi="Times New Roman" w:eastAsia="仿宋_GB2312" w:cs="仿宋_GB2312"/>
          <w:i w:val="0"/>
          <w:caps w:val="0"/>
          <w:color w:val="000000"/>
          <w:spacing w:val="0"/>
          <w:sz w:val="32"/>
          <w:szCs w:val="32"/>
          <w:lang w:eastAsia="zh-CN"/>
        </w:rPr>
        <w:t>档案馆</w:t>
      </w:r>
      <w:r>
        <w:rPr>
          <w:rFonts w:hint="default" w:ascii="仿宋_GB2312" w:hAnsi="Times New Roman" w:eastAsia="仿宋_GB2312" w:cs="仿宋_GB2312"/>
          <w:i w:val="0"/>
          <w:caps w:val="0"/>
          <w:color w:val="000000"/>
          <w:spacing w:val="0"/>
          <w:sz w:val="32"/>
          <w:szCs w:val="32"/>
        </w:rPr>
        <w:t>政府信息公开保密审查制度、政府信息公开责任追究制度和依申请政府信息按时公开制度，并抓好各项制度的督查落实，同时，定期对政府信息公开情况进行统计，确保政府信息公开的及时、安全、有效。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仿宋_GB2312" w:hAnsi="Times New Roman" w:eastAsia="仿宋_GB2312" w:cs="仿宋_GB2312"/>
          <w:i w:val="0"/>
          <w:caps w:val="0"/>
          <w:color w:val="000000"/>
          <w:spacing w:val="0"/>
          <w:sz w:val="32"/>
          <w:szCs w:val="32"/>
        </w:rPr>
      </w:pPr>
      <w:bookmarkStart w:id="0" w:name="_GoBack"/>
      <w:bookmarkEnd w:id="0"/>
      <w:r>
        <w:rPr>
          <w:rFonts w:hint="default" w:ascii="仿宋_GB2312" w:hAnsi="Times New Roman" w:eastAsia="仿宋_GB2312" w:cs="仿宋_GB2312"/>
          <w:i w:val="0"/>
          <w:caps w:val="0"/>
          <w:color w:val="000000"/>
          <w:spacing w:val="0"/>
          <w:sz w:val="32"/>
          <w:szCs w:val="32"/>
        </w:rPr>
        <w:t>4、政府信息公开平台、机构建设和人员情况。加强组织领导，不断健全完善政务公开工作机制。成立了以</w:t>
      </w:r>
      <w:r>
        <w:rPr>
          <w:rFonts w:hint="eastAsia" w:ascii="仿宋_GB2312" w:hAnsi="Times New Roman" w:eastAsia="仿宋_GB2312" w:cs="仿宋_GB2312"/>
          <w:i w:val="0"/>
          <w:caps w:val="0"/>
          <w:color w:val="000000"/>
          <w:spacing w:val="0"/>
          <w:sz w:val="32"/>
          <w:szCs w:val="32"/>
          <w:lang w:eastAsia="zh-CN"/>
        </w:rPr>
        <w:t>馆长</w:t>
      </w:r>
      <w:r>
        <w:rPr>
          <w:rFonts w:hint="default" w:ascii="仿宋_GB2312" w:hAnsi="Times New Roman" w:eastAsia="仿宋_GB2312" w:cs="仿宋_GB2312"/>
          <w:i w:val="0"/>
          <w:caps w:val="0"/>
          <w:color w:val="000000"/>
          <w:spacing w:val="0"/>
          <w:sz w:val="32"/>
          <w:szCs w:val="32"/>
        </w:rPr>
        <w:t>任组长，副</w:t>
      </w:r>
      <w:r>
        <w:rPr>
          <w:rFonts w:hint="eastAsia" w:ascii="仿宋_GB2312" w:hAnsi="Times New Roman" w:eastAsia="仿宋_GB2312" w:cs="仿宋_GB2312"/>
          <w:i w:val="0"/>
          <w:caps w:val="0"/>
          <w:color w:val="000000"/>
          <w:spacing w:val="0"/>
          <w:sz w:val="32"/>
          <w:szCs w:val="32"/>
          <w:lang w:eastAsia="zh-CN"/>
        </w:rPr>
        <w:t>馆长</w:t>
      </w:r>
      <w:r>
        <w:rPr>
          <w:rFonts w:hint="default" w:ascii="仿宋_GB2312" w:hAnsi="Times New Roman" w:eastAsia="仿宋_GB2312" w:cs="仿宋_GB2312"/>
          <w:i w:val="0"/>
          <w:caps w:val="0"/>
          <w:color w:val="000000"/>
          <w:spacing w:val="0"/>
          <w:sz w:val="32"/>
          <w:szCs w:val="32"/>
        </w:rPr>
        <w:t>为副组长，</w:t>
      </w:r>
      <w:r>
        <w:rPr>
          <w:rFonts w:ascii="仿宋_GB2312" w:hAnsi="仿宋_GB2312" w:eastAsia="仿宋_GB2312" w:cs="仿宋_GB2312"/>
          <w:caps w:val="0"/>
          <w:color w:val="000000"/>
          <w:spacing w:val="0"/>
          <w:sz w:val="32"/>
          <w:szCs w:val="32"/>
        </w:rPr>
        <w:t>各科室负责人为成员的政府信息公开工作领导小组，专门配备了信息公开专兼职工作人员1名</w:t>
      </w:r>
      <w:r>
        <w:rPr>
          <w:rFonts w:hint="default" w:ascii="仿宋_GB2312" w:hAnsi="Times New Roman" w:eastAsia="仿宋_GB2312" w:cs="仿宋_GB2312"/>
          <w:i w:val="0"/>
          <w:caps w:val="0"/>
          <w:color w:val="000000"/>
          <w:spacing w:val="0"/>
          <w:sz w:val="32"/>
          <w:szCs w:val="32"/>
        </w:rPr>
        <w:t>，由办公室具体负责信息的收集和公开工作，并不断完善政府信息公开的各项制度，积极推动政府信息工作的开展。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仿宋_GB2312" w:hAnsi="Times New Roman" w:eastAsia="仿宋_GB2312" w:cs="仿宋_GB2312"/>
          <w:i w:val="0"/>
          <w:caps w:val="0"/>
          <w:color w:val="000000"/>
          <w:spacing w:val="0"/>
          <w:sz w:val="32"/>
          <w:szCs w:val="32"/>
        </w:rPr>
      </w:pPr>
      <w:r>
        <w:rPr>
          <w:rFonts w:hint="default" w:ascii="仿宋_GB2312" w:hAnsi="Times New Roman" w:eastAsia="仿宋_GB2312" w:cs="仿宋_GB2312"/>
          <w:i w:val="0"/>
          <w:caps w:val="0"/>
          <w:color w:val="000000"/>
          <w:spacing w:val="0"/>
          <w:sz w:val="32"/>
          <w:szCs w:val="32"/>
        </w:rPr>
        <w:t>5、监督保障情况。严格按照《条例》规定，建立和完善了机关工作管理制度和主动公开、依申请公开、保密审查、评议考核等相关工作制度以及信息发布的保密审查和程序，从工作程序到岗位责任，做出了明确规定，较好地规范了工作程序和依法行政行为，提高了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仿宋_GB2312" w:hAnsi="Times New Roman" w:eastAsia="仿宋_GB2312" w:cs="仿宋_GB2312"/>
          <w:i w:val="0"/>
          <w:caps w:val="0"/>
          <w:color w:val="000000"/>
          <w:spacing w:val="0"/>
          <w:sz w:val="32"/>
          <w:szCs w:val="32"/>
        </w:rPr>
      </w:pPr>
      <w:r>
        <w:rPr>
          <w:rFonts w:hint="default" w:ascii="仿宋_GB2312" w:hAnsi="Times New Roman" w:eastAsia="仿宋_GB2312" w:cs="仿宋_GB2312"/>
          <w:i w:val="0"/>
          <w:caps w:val="0"/>
          <w:color w:val="000000"/>
          <w:spacing w:val="0"/>
          <w:sz w:val="32"/>
          <w:szCs w:val="32"/>
        </w:rPr>
        <w:t>6、建议提案办理结果公开情况。2020年，县</w:t>
      </w:r>
      <w:r>
        <w:rPr>
          <w:rFonts w:hint="eastAsia" w:ascii="仿宋_GB2312" w:hAnsi="Times New Roman" w:eastAsia="仿宋_GB2312" w:cs="仿宋_GB2312"/>
          <w:i w:val="0"/>
          <w:caps w:val="0"/>
          <w:color w:val="000000"/>
          <w:spacing w:val="0"/>
          <w:sz w:val="32"/>
          <w:szCs w:val="32"/>
          <w:lang w:eastAsia="zh-CN"/>
        </w:rPr>
        <w:t>档案馆</w:t>
      </w:r>
      <w:r>
        <w:rPr>
          <w:rFonts w:hint="default" w:ascii="仿宋_GB2312" w:hAnsi="Times New Roman" w:eastAsia="仿宋_GB2312" w:cs="仿宋_GB2312"/>
          <w:i w:val="0"/>
          <w:caps w:val="0"/>
          <w:color w:val="000000"/>
          <w:spacing w:val="0"/>
          <w:sz w:val="32"/>
          <w:szCs w:val="32"/>
        </w:rPr>
        <w:t>未接到建议提案。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Times New Roman" w:eastAsia="仿宋_GB2312" w:cs="仿宋_GB2312"/>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二、主动公开政府信息情况</w:t>
      </w:r>
    </w:p>
    <w:tbl>
      <w:tblPr>
        <w:tblStyle w:val="4"/>
        <w:tblW w:w="8715"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075"/>
        <w:gridCol w:w="15"/>
        <w:gridCol w:w="2100"/>
        <w:gridCol w:w="1500"/>
        <w:gridCol w:w="2025"/>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8715" w:type="dxa"/>
            <w:gridSpan w:val="5"/>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第二十条第（一）项</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信息内容</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本年新制作数量</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公开数量</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对外公开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总数量</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规章</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规范性文件</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Theme="minorEastAsia"/>
                <w:sz w:val="24"/>
                <w:szCs w:val="24"/>
                <w:lang w:eastAsia="zh-CN"/>
              </w:rPr>
            </w:pPr>
            <w:r>
              <w:rPr>
                <w:rFonts w:hint="eastAsia" w:ascii="Times New Roman" w:hAnsi="Times New Roman" w:eastAsia="微软雅黑" w:cs="Times New Roman"/>
                <w:i w:val="0"/>
                <w:caps w:val="0"/>
                <w:color w:val="000000"/>
                <w:spacing w:val="0"/>
                <w:sz w:val="24"/>
                <w:szCs w:val="24"/>
                <w:lang w:val="en-US" w:eastAsia="zh-CN"/>
              </w:rPr>
              <w:t>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eastAsiaTheme="minorEastAsia"/>
                <w:sz w:val="24"/>
                <w:szCs w:val="24"/>
                <w:lang w:val="en-US" w:eastAsia="zh-CN"/>
              </w:rPr>
            </w:pPr>
            <w:r>
              <w:rPr>
                <w:rFonts w:hint="eastAsia" w:ascii="Times New Roman" w:hAnsi="Times New Roman" w:eastAsia="微软雅黑" w:cs="Times New Roman"/>
                <w:i w:val="0"/>
                <w:caps w:val="0"/>
                <w:color w:val="000000"/>
                <w:spacing w:val="0"/>
                <w:sz w:val="24"/>
                <w:szCs w:val="24"/>
                <w:lang w:val="en-US" w:eastAsia="zh-CN"/>
              </w:rPr>
              <w:t>0</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Theme="minorEastAsia"/>
                <w:sz w:val="24"/>
                <w:szCs w:val="24"/>
                <w:lang w:val="en-US" w:eastAsia="zh-CN"/>
              </w:rPr>
            </w:pPr>
            <w:r>
              <w:rPr>
                <w:rFonts w:hint="eastAsia"/>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715" w:type="dxa"/>
            <w:gridSpan w:val="5"/>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第二十条第（五）项</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信息内容</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上一年项目数量</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本年增/</w:t>
            </w:r>
            <w:r>
              <w:rPr>
                <w:rFonts w:hint="default" w:ascii="仿宋_GB2312" w:hAnsi="Times New Roman" w:eastAsia="仿宋_GB2312" w:cs="仿宋_GB2312"/>
                <w:i w:val="0"/>
                <w:caps w:val="0"/>
                <w:color w:val="000000"/>
                <w:spacing w:val="0"/>
                <w:sz w:val="24"/>
                <w:szCs w:val="24"/>
              </w:rPr>
              <w:t>减</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处理决定数量</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行政许可</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其他对外管理服务事项</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8715" w:type="dxa"/>
            <w:gridSpan w:val="5"/>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第二十条第（六）项</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信息内容</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上一年项目数量</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本年增/</w:t>
            </w:r>
            <w:r>
              <w:rPr>
                <w:rFonts w:hint="default" w:ascii="仿宋_GB2312" w:hAnsi="Times New Roman" w:eastAsia="仿宋_GB2312" w:cs="仿宋_GB2312"/>
                <w:i w:val="0"/>
                <w:caps w:val="0"/>
                <w:color w:val="000000"/>
                <w:spacing w:val="0"/>
                <w:sz w:val="24"/>
                <w:szCs w:val="24"/>
              </w:rPr>
              <w:t>减</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处理决定数量</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行政处罚</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行政强制</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202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715" w:type="dxa"/>
            <w:gridSpan w:val="5"/>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第二十条第（八）项</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信息内容</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上一年项目数量</w:t>
            </w:r>
          </w:p>
        </w:tc>
        <w:tc>
          <w:tcPr>
            <w:tcW w:w="352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本年增/</w:t>
            </w:r>
            <w:r>
              <w:rPr>
                <w:rFonts w:hint="default" w:ascii="仿宋_GB2312" w:hAnsi="Times New Roman" w:eastAsia="仿宋_GB2312" w:cs="仿宋_GB2312"/>
                <w:i w:val="0"/>
                <w:caps w:val="0"/>
                <w:color w:val="000000"/>
                <w:spacing w:val="0"/>
                <w:sz w:val="24"/>
                <w:szCs w:val="24"/>
              </w:rPr>
              <w:t>减</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307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行政事业性收费</w:t>
            </w:r>
          </w:p>
        </w:tc>
        <w:tc>
          <w:tcPr>
            <w:tcW w:w="211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352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715" w:type="dxa"/>
            <w:gridSpan w:val="5"/>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第二十条第（九）项</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3090"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信息内容</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采购项目数量</w:t>
            </w:r>
          </w:p>
        </w:tc>
        <w:tc>
          <w:tcPr>
            <w:tcW w:w="352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采购总金额</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3090"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caps w:val="0"/>
                <w:color w:val="000000"/>
                <w:spacing w:val="0"/>
                <w:sz w:val="24"/>
                <w:szCs w:val="24"/>
              </w:rPr>
              <w:t>政府集中采购</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3525"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rPr>
        <w:t> </w:t>
      </w:r>
      <w:r>
        <w:rPr>
          <w:rFonts w:hint="default" w:ascii="仿宋_GB2312" w:hAnsi="微软雅黑" w:eastAsia="仿宋_GB2312" w:cs="仿宋_GB2312"/>
          <w:i w:val="0"/>
          <w:caps w:val="0"/>
          <w:color w:val="000000"/>
          <w:spacing w:val="0"/>
          <w:sz w:val="32"/>
          <w:szCs w:val="32"/>
        </w:rPr>
        <w:t>    </w:t>
      </w:r>
      <w:r>
        <w:rPr>
          <w:rFonts w:hint="eastAsia" w:ascii="黑体" w:hAnsi="宋体" w:eastAsia="黑体" w:cs="黑体"/>
          <w:i w:val="0"/>
          <w:caps w:val="0"/>
          <w:color w:val="000000"/>
          <w:spacing w:val="0"/>
          <w:sz w:val="32"/>
          <w:szCs w:val="32"/>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仿宋_GB2312" w:cs="微软雅黑"/>
          <w:i w:val="0"/>
          <w:caps w:val="0"/>
          <w:color w:val="000000"/>
          <w:spacing w:val="0"/>
          <w:sz w:val="24"/>
          <w:szCs w:val="24"/>
          <w:lang w:eastAsia="zh-CN"/>
        </w:rPr>
      </w:pPr>
      <w:r>
        <w:rPr>
          <w:rFonts w:hint="default" w:ascii="仿宋_GB2312" w:hAnsi="Times New Roman" w:eastAsia="仿宋_GB2312" w:cs="仿宋_GB2312"/>
          <w:i w:val="0"/>
          <w:caps w:val="0"/>
          <w:color w:val="000000"/>
          <w:spacing w:val="0"/>
          <w:sz w:val="32"/>
          <w:szCs w:val="32"/>
        </w:rPr>
        <w:t>自</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日起至</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31</w:t>
      </w:r>
      <w:r>
        <w:rPr>
          <w:rFonts w:hint="default" w:ascii="仿宋_GB2312" w:hAnsi="Times New Roman" w:eastAsia="仿宋_GB2312" w:cs="仿宋_GB2312"/>
          <w:i w:val="0"/>
          <w:caps w:val="0"/>
          <w:color w:val="000000"/>
          <w:spacing w:val="0"/>
          <w:sz w:val="32"/>
          <w:szCs w:val="32"/>
        </w:rPr>
        <w:t>日止，我</w:t>
      </w:r>
      <w:r>
        <w:rPr>
          <w:rFonts w:hint="eastAsia" w:ascii="仿宋_GB2312" w:hAnsi="Times New Roman" w:eastAsia="仿宋_GB2312" w:cs="仿宋_GB2312"/>
          <w:i w:val="0"/>
          <w:caps w:val="0"/>
          <w:color w:val="000000"/>
          <w:spacing w:val="0"/>
          <w:sz w:val="32"/>
          <w:szCs w:val="32"/>
          <w:lang w:eastAsia="zh-CN"/>
        </w:rPr>
        <w:t>馆未接到书面申请公开政府信息的申请。</w:t>
      </w:r>
    </w:p>
    <w:tbl>
      <w:tblPr>
        <w:tblStyle w:val="4"/>
        <w:tblW w:w="8953" w:type="dxa"/>
        <w:tblInd w:w="0" w:type="dxa"/>
        <w:shd w:val="clear" w:color="auto" w:fill="auto"/>
        <w:tblLayout w:type="autofit"/>
        <w:tblCellMar>
          <w:top w:w="0" w:type="dxa"/>
          <w:left w:w="0" w:type="dxa"/>
          <w:bottom w:w="0" w:type="dxa"/>
          <w:right w:w="0" w:type="dxa"/>
        </w:tblCellMar>
      </w:tblPr>
      <w:tblGrid>
        <w:gridCol w:w="690"/>
        <w:gridCol w:w="1401"/>
        <w:gridCol w:w="2730"/>
        <w:gridCol w:w="836"/>
        <w:gridCol w:w="565"/>
        <w:gridCol w:w="565"/>
        <w:gridCol w:w="565"/>
        <w:gridCol w:w="565"/>
        <w:gridCol w:w="536"/>
        <w:gridCol w:w="500"/>
      </w:tblGrid>
      <w:tr>
        <w:tblPrEx>
          <w:shd w:val="clear" w:color="auto" w:fill="auto"/>
          <w:tblCellMar>
            <w:top w:w="0" w:type="dxa"/>
            <w:left w:w="0" w:type="dxa"/>
            <w:bottom w:w="0" w:type="dxa"/>
            <w:right w:w="0" w:type="dxa"/>
          </w:tblCellMar>
        </w:tblPrEx>
        <w:trPr>
          <w:trHeight w:val="420" w:hRule="atLeast"/>
        </w:trPr>
        <w:tc>
          <w:tcPr>
            <w:tcW w:w="4821"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等于第三项加第四项之和）</w:t>
            </w:r>
          </w:p>
        </w:tc>
        <w:tc>
          <w:tcPr>
            <w:tcW w:w="4132" w:type="dxa"/>
            <w:gridSpan w:val="7"/>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申请人情况</w:t>
            </w:r>
          </w:p>
        </w:tc>
      </w:tr>
      <w:tr>
        <w:tblPrEx>
          <w:tblCellMar>
            <w:top w:w="0" w:type="dxa"/>
            <w:left w:w="0" w:type="dxa"/>
            <w:bottom w:w="0" w:type="dxa"/>
            <w:right w:w="0" w:type="dxa"/>
          </w:tblCellMar>
        </w:tblPrEx>
        <w:trPr>
          <w:trHeight w:val="420" w:hRule="atLeast"/>
        </w:trPr>
        <w:tc>
          <w:tcPr>
            <w:tcW w:w="482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836"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自然人</w:t>
            </w:r>
          </w:p>
        </w:tc>
        <w:tc>
          <w:tcPr>
            <w:tcW w:w="2796"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法人或其他组织</w:t>
            </w:r>
          </w:p>
        </w:tc>
        <w:tc>
          <w:tcPr>
            <w:tcW w:w="5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总计</w:t>
            </w:r>
          </w:p>
        </w:tc>
      </w:tr>
      <w:tr>
        <w:tblPrEx>
          <w:tblCellMar>
            <w:top w:w="0" w:type="dxa"/>
            <w:left w:w="0" w:type="dxa"/>
            <w:bottom w:w="0" w:type="dxa"/>
            <w:right w:w="0" w:type="dxa"/>
          </w:tblCellMar>
        </w:tblPrEx>
        <w:trPr>
          <w:trHeight w:val="1125" w:hRule="atLeast"/>
        </w:trPr>
        <w:tc>
          <w:tcPr>
            <w:tcW w:w="482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836"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商业企业</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科研机构</w:t>
            </w:r>
          </w:p>
        </w:tc>
        <w:tc>
          <w:tcPr>
            <w:tcW w:w="56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社会公益组织</w:t>
            </w:r>
          </w:p>
        </w:tc>
        <w:tc>
          <w:tcPr>
            <w:tcW w:w="56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法律服务机构</w:t>
            </w:r>
          </w:p>
        </w:tc>
        <w:tc>
          <w:tcPr>
            <w:tcW w:w="536"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其他</w:t>
            </w:r>
          </w:p>
        </w:tc>
        <w:tc>
          <w:tcPr>
            <w:tcW w:w="5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c>
          <w:tcPr>
            <w:tcW w:w="4821"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一、本年新收政府信息公开申请数量</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eastAsia="zh-CN"/>
              </w:rPr>
            </w:pP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eastAsia="zh-CN"/>
              </w:rPr>
            </w:pP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c>
          <w:tcPr>
            <w:tcW w:w="4821"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二、上年结转政府信息公开申请数量</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0</w:t>
            </w:r>
          </w:p>
        </w:tc>
      </w:tr>
      <w:tr>
        <w:tblPrEx>
          <w:tblCellMar>
            <w:top w:w="0" w:type="dxa"/>
            <w:left w:w="0" w:type="dxa"/>
            <w:bottom w:w="0" w:type="dxa"/>
            <w:right w:w="0" w:type="dxa"/>
          </w:tblCellMar>
        </w:tblPrEx>
        <w:tc>
          <w:tcPr>
            <w:tcW w:w="69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三、本年度办理结果</w:t>
            </w:r>
          </w:p>
        </w:tc>
        <w:tc>
          <w:tcPr>
            <w:tcW w:w="41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（一）予以公开</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eastAsia="zh-CN"/>
              </w:rPr>
            </w:pP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eastAsia="zh-CN"/>
              </w:rPr>
            </w:pP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41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（二）部分公开（区分处理的，只计这一情形，不计其他情形）</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（三）不予公开</w:t>
            </w: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1.</w:t>
            </w:r>
            <w:r>
              <w:rPr>
                <w:rFonts w:hint="default" w:ascii="仿宋_GB2312" w:hAnsi="Times New Roman" w:eastAsia="仿宋_GB2312" w:cs="仿宋_GB2312"/>
                <w:i w:val="0"/>
                <w:caps w:val="0"/>
                <w:color w:val="000000"/>
                <w:spacing w:val="0"/>
                <w:sz w:val="24"/>
                <w:szCs w:val="24"/>
              </w:rPr>
              <w:t>属于国家秘密</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2.</w:t>
            </w:r>
            <w:r>
              <w:rPr>
                <w:rFonts w:hint="default" w:ascii="仿宋_GB2312" w:hAnsi="Times New Roman" w:eastAsia="仿宋_GB2312" w:cs="仿宋_GB2312"/>
                <w:i w:val="0"/>
                <w:caps w:val="0"/>
                <w:color w:val="000000"/>
                <w:spacing w:val="0"/>
                <w:sz w:val="24"/>
                <w:szCs w:val="24"/>
              </w:rPr>
              <w:t>其他法律行政法规禁止公开</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3.</w:t>
            </w:r>
            <w:r>
              <w:rPr>
                <w:rFonts w:hint="default" w:ascii="仿宋_GB2312" w:hAnsi="Times New Roman" w:eastAsia="仿宋_GB2312" w:cs="仿宋_GB2312"/>
                <w:i w:val="0"/>
                <w:caps w:val="0"/>
                <w:color w:val="000000"/>
                <w:spacing w:val="0"/>
                <w:sz w:val="24"/>
                <w:szCs w:val="24"/>
              </w:rPr>
              <w:t>危及</w:t>
            </w:r>
            <w:r>
              <w:rPr>
                <w:rFonts w:hint="default" w:ascii="Times New Roman" w:hAnsi="Times New Roman" w:eastAsia="微软雅黑" w:cs="Times New Roman"/>
                <w:i w:val="0"/>
                <w:caps w:val="0"/>
                <w:color w:val="000000"/>
                <w:spacing w:val="0"/>
                <w:sz w:val="24"/>
                <w:szCs w:val="24"/>
              </w:rPr>
              <w:t>“</w:t>
            </w:r>
            <w:r>
              <w:rPr>
                <w:rFonts w:hint="default" w:ascii="仿宋_GB2312" w:hAnsi="Times New Roman" w:eastAsia="仿宋_GB2312" w:cs="仿宋_GB2312"/>
                <w:i w:val="0"/>
                <w:caps w:val="0"/>
                <w:color w:val="000000"/>
                <w:spacing w:val="0"/>
                <w:sz w:val="24"/>
                <w:szCs w:val="24"/>
              </w:rPr>
              <w:t>三安全一稳定</w:t>
            </w:r>
            <w:r>
              <w:rPr>
                <w:rFonts w:hint="default" w:ascii="Times New Roman" w:hAnsi="Times New Roman" w:eastAsia="微软雅黑" w:cs="Times New Roman"/>
                <w:i w:val="0"/>
                <w:caps w:val="0"/>
                <w:color w:val="000000"/>
                <w:spacing w:val="0"/>
                <w:sz w:val="24"/>
                <w:szCs w:val="24"/>
              </w:rPr>
              <w:t>”</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4.</w:t>
            </w:r>
            <w:r>
              <w:rPr>
                <w:rFonts w:hint="default" w:ascii="仿宋_GB2312" w:hAnsi="Times New Roman" w:eastAsia="仿宋_GB2312" w:cs="仿宋_GB2312"/>
                <w:i w:val="0"/>
                <w:caps w:val="0"/>
                <w:color w:val="000000"/>
                <w:spacing w:val="0"/>
                <w:sz w:val="24"/>
                <w:szCs w:val="24"/>
              </w:rPr>
              <w:t>保护第三方合法权益</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5.</w:t>
            </w:r>
            <w:r>
              <w:rPr>
                <w:rFonts w:hint="default" w:ascii="仿宋_GB2312" w:hAnsi="Times New Roman" w:eastAsia="仿宋_GB2312" w:cs="仿宋_GB2312"/>
                <w:i w:val="0"/>
                <w:caps w:val="0"/>
                <w:color w:val="000000"/>
                <w:spacing w:val="0"/>
                <w:sz w:val="24"/>
                <w:szCs w:val="24"/>
              </w:rPr>
              <w:t>属于三类内部事务信息</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6.</w:t>
            </w:r>
            <w:r>
              <w:rPr>
                <w:rFonts w:hint="default" w:ascii="仿宋_GB2312" w:hAnsi="Times New Roman" w:eastAsia="仿宋_GB2312" w:cs="仿宋_GB2312"/>
                <w:i w:val="0"/>
                <w:caps w:val="0"/>
                <w:color w:val="000000"/>
                <w:spacing w:val="0"/>
                <w:sz w:val="24"/>
                <w:szCs w:val="24"/>
              </w:rPr>
              <w:t>属于四类过程性信息</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7.</w:t>
            </w:r>
            <w:r>
              <w:rPr>
                <w:rFonts w:hint="default" w:ascii="仿宋_GB2312" w:hAnsi="Times New Roman" w:eastAsia="仿宋_GB2312" w:cs="仿宋_GB2312"/>
                <w:i w:val="0"/>
                <w:caps w:val="0"/>
                <w:color w:val="000000"/>
                <w:spacing w:val="0"/>
                <w:sz w:val="24"/>
                <w:szCs w:val="24"/>
              </w:rPr>
              <w:t>属于行政执法案卷</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8.</w:t>
            </w:r>
            <w:r>
              <w:rPr>
                <w:rFonts w:hint="default" w:ascii="仿宋_GB2312" w:hAnsi="Times New Roman" w:eastAsia="仿宋_GB2312" w:cs="仿宋_GB2312"/>
                <w:i w:val="0"/>
                <w:caps w:val="0"/>
                <w:color w:val="000000"/>
                <w:spacing w:val="0"/>
                <w:sz w:val="24"/>
                <w:szCs w:val="24"/>
              </w:rPr>
              <w:t>属于行政查询事项</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（四）无法提供</w:t>
            </w: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1.</w:t>
            </w:r>
            <w:r>
              <w:rPr>
                <w:rFonts w:hint="default" w:ascii="仿宋_GB2312" w:hAnsi="Times New Roman" w:eastAsia="仿宋_GB2312" w:cs="仿宋_GB2312"/>
                <w:i w:val="0"/>
                <w:caps w:val="0"/>
                <w:color w:val="000000"/>
                <w:spacing w:val="0"/>
                <w:sz w:val="24"/>
                <w:szCs w:val="24"/>
              </w:rPr>
              <w:t>本机关不掌握相关政府信息</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2.</w:t>
            </w:r>
            <w:r>
              <w:rPr>
                <w:rFonts w:hint="default" w:ascii="仿宋_GB2312" w:hAnsi="Times New Roman" w:eastAsia="仿宋_GB2312" w:cs="仿宋_GB2312"/>
                <w:i w:val="0"/>
                <w:caps w:val="0"/>
                <w:color w:val="000000"/>
                <w:spacing w:val="0"/>
                <w:sz w:val="24"/>
                <w:szCs w:val="24"/>
              </w:rPr>
              <w:t>没有现成信息需要另行制作</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3.</w:t>
            </w:r>
            <w:r>
              <w:rPr>
                <w:rFonts w:hint="default" w:ascii="仿宋_GB2312" w:hAnsi="Times New Roman" w:eastAsia="仿宋_GB2312" w:cs="仿宋_GB2312"/>
                <w:i w:val="0"/>
                <w:caps w:val="0"/>
                <w:color w:val="000000"/>
                <w:spacing w:val="0"/>
                <w:sz w:val="24"/>
                <w:szCs w:val="24"/>
              </w:rPr>
              <w:t>补正后申请内容仍不明确</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（五）不予处理</w:t>
            </w: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1.</w:t>
            </w:r>
            <w:r>
              <w:rPr>
                <w:rFonts w:hint="default" w:ascii="仿宋_GB2312" w:hAnsi="Times New Roman" w:eastAsia="仿宋_GB2312" w:cs="仿宋_GB2312"/>
                <w:i w:val="0"/>
                <w:caps w:val="0"/>
                <w:color w:val="000000"/>
                <w:spacing w:val="0"/>
                <w:sz w:val="24"/>
                <w:szCs w:val="24"/>
              </w:rPr>
              <w:t>信访举报投诉类申请</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2.</w:t>
            </w:r>
            <w:r>
              <w:rPr>
                <w:rFonts w:hint="default" w:ascii="仿宋_GB2312" w:hAnsi="Times New Roman" w:eastAsia="仿宋_GB2312" w:cs="仿宋_GB2312"/>
                <w:i w:val="0"/>
                <w:caps w:val="0"/>
                <w:color w:val="000000"/>
                <w:spacing w:val="0"/>
                <w:sz w:val="24"/>
                <w:szCs w:val="24"/>
              </w:rPr>
              <w:t>重复申请</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45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3.</w:t>
            </w:r>
            <w:r>
              <w:rPr>
                <w:rFonts w:hint="default" w:ascii="仿宋_GB2312" w:hAnsi="Times New Roman" w:eastAsia="仿宋_GB2312" w:cs="仿宋_GB2312"/>
                <w:i w:val="0"/>
                <w:caps w:val="0"/>
                <w:color w:val="000000"/>
                <w:spacing w:val="0"/>
                <w:sz w:val="24"/>
                <w:szCs w:val="24"/>
              </w:rPr>
              <w:t>要求提供公开出版物</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rPr>
          <w:trHeight w:val="39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仿宋_GB2312"/>
                <w:sz w:val="24"/>
                <w:szCs w:val="24"/>
                <w:lang w:val="en-US" w:eastAsia="zh-CN"/>
              </w:rPr>
            </w:pPr>
            <w:r>
              <w:rPr>
                <w:rFonts w:hint="default" w:ascii="Times New Roman" w:hAnsi="Times New Roman" w:eastAsia="微软雅黑" w:cs="Times New Roman"/>
                <w:i w:val="0"/>
                <w:caps w:val="0"/>
                <w:color w:val="000000"/>
                <w:spacing w:val="0"/>
                <w:sz w:val="24"/>
                <w:szCs w:val="24"/>
              </w:rPr>
              <w:t>4.</w:t>
            </w:r>
            <w:r>
              <w:rPr>
                <w:rFonts w:hint="default" w:ascii="仿宋_GB2312" w:hAnsi="Times New Roman" w:eastAsia="仿宋_GB2312" w:cs="仿宋_GB2312"/>
                <w:i w:val="0"/>
                <w:caps w:val="0"/>
                <w:color w:val="000000"/>
                <w:spacing w:val="0"/>
                <w:sz w:val="24"/>
                <w:szCs w:val="24"/>
              </w:rPr>
              <w:t>无正当理由大量反复申请</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r>
      <w:tr>
        <w:tblPrEx>
          <w:tblCellMar>
            <w:top w:w="0" w:type="dxa"/>
            <w:left w:w="0" w:type="dxa"/>
            <w:bottom w:w="0" w:type="dxa"/>
            <w:right w:w="0" w:type="dxa"/>
          </w:tblCellMar>
        </w:tblPrEx>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401"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273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5.</w:t>
            </w:r>
            <w:r>
              <w:rPr>
                <w:rFonts w:hint="default" w:ascii="仿宋_GB2312" w:hAnsi="Times New Roman" w:eastAsia="仿宋_GB2312" w:cs="仿宋_GB2312"/>
                <w:i w:val="0"/>
                <w:caps w:val="0"/>
                <w:color w:val="000000"/>
                <w:spacing w:val="0"/>
                <w:sz w:val="24"/>
                <w:szCs w:val="24"/>
              </w:rPr>
              <w:t>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出具已获取信息</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39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41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（六）其他处理</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rPr>
          <w:trHeight w:val="390" w:hRule="atLeast"/>
        </w:trPr>
        <w:tc>
          <w:tcPr>
            <w:tcW w:w="6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41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（七）总计</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r>
        <w:tblPrEx>
          <w:tblCellMar>
            <w:top w:w="0" w:type="dxa"/>
            <w:left w:w="0" w:type="dxa"/>
            <w:bottom w:w="0" w:type="dxa"/>
            <w:right w:w="0" w:type="dxa"/>
          </w:tblCellMar>
        </w:tblPrEx>
        <w:tc>
          <w:tcPr>
            <w:tcW w:w="4821"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caps w:val="0"/>
                <w:color w:val="000000"/>
                <w:spacing w:val="0"/>
                <w:sz w:val="24"/>
                <w:szCs w:val="24"/>
              </w:rPr>
              <w:t>四、结转下年度继续办理</w:t>
            </w:r>
          </w:p>
        </w:tc>
        <w:tc>
          <w:tcPr>
            <w:tcW w:w="8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微软雅黑"/>
                <w:sz w:val="24"/>
                <w:szCs w:val="24"/>
                <w:lang w:val="en-US" w:eastAsia="zh-CN"/>
              </w:rPr>
            </w:pPr>
            <w:r>
              <w:rPr>
                <w:rFonts w:hint="default" w:ascii="Times New Roman" w:hAnsi="Times New Roman" w:eastAsia="微软雅黑" w:cs="Times New Roman"/>
                <w:i w:val="0"/>
                <w:caps w:val="0"/>
                <w:color w:val="000000"/>
                <w:spacing w:val="0"/>
                <w:sz w:val="24"/>
                <w:szCs w:val="24"/>
              </w:rPr>
              <w:t> </w:t>
            </w:r>
            <w:r>
              <w:rPr>
                <w:rFonts w:hint="eastAsia" w:ascii="Times New Roman" w:hAnsi="Times New Roman" w:eastAsia="微软雅黑" w:cs="Times New Roman"/>
                <w:i w:val="0"/>
                <w:caps w:val="0"/>
                <w:color w:val="000000"/>
                <w:spacing w:val="0"/>
                <w:sz w:val="24"/>
                <w:szCs w:val="24"/>
                <w:lang w:val="en-US" w:eastAsia="zh-CN"/>
              </w:rPr>
              <w:t>0</w:t>
            </w:r>
          </w:p>
        </w:tc>
        <w:tc>
          <w:tcPr>
            <w:tcW w:w="56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3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c>
          <w:tcPr>
            <w:tcW w:w="5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eastAsia="微软雅黑" w:cs="Times New Roman"/>
                <w:i w:val="0"/>
                <w:caps w:val="0"/>
                <w:color w:val="000000"/>
                <w:spacing w:val="0"/>
                <w:sz w:val="24"/>
                <w:szCs w:val="24"/>
                <w:lang w:val="en-US" w:eastAsia="zh-CN"/>
              </w:rPr>
              <w:t>0</w:t>
            </w:r>
            <w:r>
              <w:rPr>
                <w:rFonts w:hint="default" w:ascii="Times New Roman" w:hAnsi="Times New Roman" w:eastAsia="微软雅黑" w:cs="Times New Roman"/>
                <w:i w:val="0"/>
                <w:caps w:val="0"/>
                <w:color w:val="000000"/>
                <w:spacing w:val="0"/>
                <w:sz w:val="24"/>
                <w:szCs w:val="24"/>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四、因政府信息公开申请提起行政复议、行政诉讼的情况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年，严格按照《条例》的规定公开政府信息，没有因政府信息公开申请提起行政复议、行政诉讼的情况发生。</w:t>
      </w:r>
    </w:p>
    <w:tbl>
      <w:tblPr>
        <w:tblStyle w:val="4"/>
        <w:tblW w:w="9075" w:type="dxa"/>
        <w:jc w:val="center"/>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shd w:val="clear" w:color="auto" w:fill="auto"/>
          <w:tblCellMar>
            <w:top w:w="0" w:type="dxa"/>
            <w:left w:w="0" w:type="dxa"/>
            <w:bottom w:w="0" w:type="dxa"/>
            <w:right w:w="0" w:type="dxa"/>
          </w:tblCellMar>
        </w:tblPrEx>
        <w:trPr>
          <w:trHeight w:val="495" w:hRule="atLeast"/>
          <w:jc w:val="center"/>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行政复议</w:t>
            </w:r>
          </w:p>
        </w:tc>
        <w:tc>
          <w:tcPr>
            <w:tcW w:w="6000" w:type="dxa"/>
            <w:gridSpan w:val="10"/>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行政诉讼</w:t>
            </w:r>
          </w:p>
        </w:tc>
      </w:tr>
      <w:tr>
        <w:tblPrEx>
          <w:tblCellMar>
            <w:top w:w="0" w:type="dxa"/>
            <w:left w:w="0" w:type="dxa"/>
            <w:bottom w:w="0" w:type="dxa"/>
            <w:right w:w="0" w:type="dxa"/>
          </w:tblCellMar>
        </w:tblPrEx>
        <w:trPr>
          <w:trHeight w:val="540" w:hRule="atLeast"/>
          <w:jc w:val="center"/>
        </w:trPr>
        <w:tc>
          <w:tcPr>
            <w:tcW w:w="600" w:type="dxa"/>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维持</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其他结果</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审结</w:t>
            </w:r>
          </w:p>
        </w:tc>
        <w:tc>
          <w:tcPr>
            <w:tcW w:w="660" w:type="dxa"/>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计</w:t>
            </w:r>
          </w:p>
        </w:tc>
        <w:tc>
          <w:tcPr>
            <w:tcW w:w="2970"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未经复议直接起诉</w:t>
            </w:r>
          </w:p>
        </w:tc>
        <w:tc>
          <w:tcPr>
            <w:tcW w:w="3030"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复议后起诉</w:t>
            </w:r>
          </w:p>
        </w:tc>
      </w:tr>
      <w:tr>
        <w:tblPrEx>
          <w:tblCellMar>
            <w:top w:w="0" w:type="dxa"/>
            <w:left w:w="0" w:type="dxa"/>
            <w:bottom w:w="0" w:type="dxa"/>
            <w:right w:w="0" w:type="dxa"/>
          </w:tblCellMar>
        </w:tblPrEx>
        <w:trPr>
          <w:trHeight w:val="900" w:hRule="atLeast"/>
          <w:jc w:val="center"/>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55"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结果维持</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结果纠正</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审结</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总计</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结果维持</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纠正</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结果</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尚未审结</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总计</w:t>
            </w:r>
          </w:p>
        </w:tc>
      </w:tr>
      <w:tr>
        <w:tblPrEx>
          <w:tblCellMar>
            <w:top w:w="0" w:type="dxa"/>
            <w:left w:w="0" w:type="dxa"/>
            <w:bottom w:w="0" w:type="dxa"/>
            <w:right w:w="0" w:type="dxa"/>
          </w:tblCellMar>
        </w:tblPrEx>
        <w:trPr>
          <w:jc w:val="center"/>
        </w:trPr>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val="en-US" w:eastAsia="zh-CN"/>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val="en-US" w:eastAsia="zh-CN"/>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0</w:t>
            </w:r>
          </w:p>
        </w:tc>
        <w:tc>
          <w:tcPr>
            <w:tcW w:w="555"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val="en-US" w:eastAsia="zh-CN"/>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val="en-US" w:eastAsia="zh-CN"/>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val="en-US" w:eastAsia="zh-CN"/>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val="en-US" w:eastAsia="zh-CN"/>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Theme="minorEastAsia"/>
                <w:sz w:val="24"/>
                <w:szCs w:val="24"/>
                <w:lang w:val="en-US" w:eastAsia="zh-CN"/>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0</w:t>
            </w:r>
          </w:p>
        </w:tc>
        <w:tc>
          <w:tcPr>
            <w:tcW w:w="600"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cs="Times New Roman"/>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五、政府信息公开工作存在的主要问题及改进情况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ascii="楷体_GB2312" w:hAnsi="Times New Roman" w:eastAsia="楷体_GB2312" w:cs="楷体_GB2312"/>
          <w:i w:val="0"/>
          <w:caps w:val="0"/>
          <w:color w:val="000000"/>
          <w:spacing w:val="0"/>
          <w:sz w:val="32"/>
          <w:szCs w:val="32"/>
        </w:rPr>
        <w:t>（一）工作中存在的主要问题和困难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default" w:ascii="仿宋_GB2312" w:hAnsi="Times New Roman" w:eastAsia="仿宋_GB2312" w:cs="仿宋_GB2312"/>
          <w:i w:val="0"/>
          <w:caps w:val="0"/>
          <w:color w:val="000000"/>
          <w:spacing w:val="0"/>
          <w:sz w:val="32"/>
          <w:szCs w:val="32"/>
        </w:rPr>
        <w:t>一是信息更新不够及时、信息公开的范围相对狭窄；二是从事信息公开的不是专职人员，专业水平不够高</w:t>
      </w:r>
      <w:r>
        <w:rPr>
          <w:rFonts w:hint="default" w:ascii="Times New Roman" w:hAnsi="Times New Roman" w:eastAsia="微软雅黑" w:cs="Times New Roman"/>
          <w:i w:val="0"/>
          <w:caps w:val="0"/>
          <w:color w:val="000000"/>
          <w:spacing w:val="0"/>
          <w:sz w:val="32"/>
          <w:szCs w:val="32"/>
        </w:rPr>
        <w:t> </w:t>
      </w:r>
      <w:r>
        <w:rPr>
          <w:rFonts w:hint="default" w:ascii="仿宋_GB2312" w:hAnsi="Times New Roman" w:eastAsia="仿宋_GB2312" w:cs="仿宋_GB2312"/>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default" w:ascii="楷体_GB2312" w:hAnsi="Times New Roman" w:eastAsia="楷体_GB2312" w:cs="楷体_GB2312"/>
          <w:i w:val="0"/>
          <w:caps w:val="0"/>
          <w:color w:val="000000"/>
          <w:spacing w:val="0"/>
          <w:sz w:val="32"/>
          <w:szCs w:val="32"/>
        </w:rPr>
        <w:t>（二）具体解决办法和改进措施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default" w:ascii="仿宋_GB2312" w:hAnsi="Times New Roman" w:eastAsia="仿宋_GB2312" w:cs="仿宋_GB2312"/>
          <w:i w:val="0"/>
          <w:caps w:val="0"/>
          <w:color w:val="000000"/>
          <w:spacing w:val="0"/>
          <w:sz w:val="32"/>
          <w:szCs w:val="32"/>
        </w:rPr>
        <w:t>一是加大宣传力度，提高公众的知晓率和参与度。以信息公开带动办事公开、带动便民服务；二是形成良好的报送机制，做到及时、有效；三是加强业务学习培训，提升技术支持，提升整体工作水平。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default" w:ascii="仿宋_GB2312" w:hAnsi="Times New Roman" w:eastAsia="仿宋_GB2312" w:cs="仿宋_GB2312"/>
          <w:i w:val="0"/>
          <w:caps w:val="0"/>
          <w:color w:val="000000"/>
          <w:spacing w:val="0"/>
          <w:sz w:val="32"/>
          <w:szCs w:val="32"/>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160"/>
        <w:rPr>
          <w:rFonts w:hint="eastAsia" w:ascii="微软雅黑" w:hAnsi="微软雅黑" w:eastAsia="微软雅黑" w:cs="微软雅黑"/>
          <w:i w:val="0"/>
          <w:caps w:val="0"/>
          <w:color w:val="000000"/>
          <w:spacing w:val="0"/>
          <w:sz w:val="24"/>
          <w:szCs w:val="24"/>
        </w:rPr>
      </w:pPr>
      <w:r>
        <w:rPr>
          <w:rFonts w:hint="default" w:ascii="仿宋_GB2312" w:hAnsi="Times New Roman" w:eastAsia="仿宋_GB2312" w:cs="仿宋_GB2312"/>
          <w:i w:val="0"/>
          <w:caps w:val="0"/>
          <w:color w:val="000000"/>
          <w:spacing w:val="0"/>
          <w:sz w:val="32"/>
          <w:szCs w:val="32"/>
        </w:rPr>
        <w:t>   沂源县</w:t>
      </w:r>
      <w:r>
        <w:rPr>
          <w:rFonts w:hint="eastAsia" w:ascii="仿宋_GB2312" w:hAnsi="Times New Roman" w:eastAsia="仿宋_GB2312" w:cs="仿宋_GB2312"/>
          <w:i w:val="0"/>
          <w:caps w:val="0"/>
          <w:color w:val="000000"/>
          <w:spacing w:val="0"/>
          <w:sz w:val="32"/>
          <w:szCs w:val="32"/>
          <w:lang w:eastAsia="zh-CN"/>
        </w:rPr>
        <w:t>档案馆</w:t>
      </w:r>
      <w:r>
        <w:rPr>
          <w:rFonts w:hint="default" w:ascii="Times New Roman" w:hAnsi="Times New Roman" w:eastAsia="微软雅黑" w:cs="Times New Roman"/>
          <w:i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16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rPr>
        <w:t>  2021</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月</w:t>
      </w:r>
      <w:r>
        <w:rPr>
          <w:rFonts w:hint="eastAsia" w:ascii="Times New Roman" w:hAnsi="Times New Roman" w:eastAsia="微软雅黑" w:cs="Times New Roman"/>
          <w:i w:val="0"/>
          <w:caps w:val="0"/>
          <w:color w:val="000000"/>
          <w:spacing w:val="0"/>
          <w:sz w:val="32"/>
          <w:szCs w:val="32"/>
          <w:lang w:val="en-US" w:eastAsia="zh-CN"/>
        </w:rPr>
        <w:t>21</w:t>
      </w:r>
      <w:r>
        <w:rPr>
          <w:rFonts w:hint="default" w:ascii="仿宋_GB2312" w:hAnsi="Times New Roman" w:eastAsia="仿宋_GB2312" w:cs="仿宋_GB2312"/>
          <w:i w:val="0"/>
          <w:caps w:val="0"/>
          <w:color w:val="000000"/>
          <w:spacing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D12CD"/>
    <w:rsid w:val="13481B44"/>
    <w:rsid w:val="177D12CD"/>
    <w:rsid w:val="342E091D"/>
    <w:rsid w:val="49162AA0"/>
    <w:rsid w:val="4B641081"/>
    <w:rsid w:val="57750C5D"/>
    <w:rsid w:val="5E2E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2021-01-21T03:14:00Z</dcterms:created>
  <dc:creator>PUBUJI</dc:creator>
  <cp:lastModifiedBy>PUBUJI</cp:lastModifiedBy>
  <cp:lastPrinted>2021-01-21T07:37:00Z</cp:lastPrinted>
  <dcterms:modified xsi:type="dcterms:W3CDTF">2021-02-04T00:57:34Z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