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15"/>
        </w:tabs>
        <w:spacing w:line="580" w:lineRule="exact"/>
        <w:ind w:right="-63" w:rightChars="-21"/>
        <w:jc w:val="center"/>
        <w:rPr>
          <w:rFonts w:ascii="Times New Roman" w:hAnsi="Times New Roman" w:eastAsia="方正小标宋简体"/>
          <w:b/>
          <w:sz w:val="44"/>
          <w:szCs w:val="44"/>
        </w:rPr>
      </w:pPr>
      <w:r>
        <w:rPr>
          <w:rFonts w:ascii="Times New Roman" w:hAnsi="Times New Roman" w:eastAsia="方正小标宋简体"/>
          <w:b/>
          <w:sz w:val="44"/>
          <w:szCs w:val="44"/>
        </w:rPr>
        <w:t>关于沂源县2016年财政决算</w:t>
      </w:r>
    </w:p>
    <w:p>
      <w:pPr>
        <w:tabs>
          <w:tab w:val="left" w:pos="6615"/>
        </w:tabs>
        <w:spacing w:line="580" w:lineRule="exact"/>
        <w:ind w:right="-63" w:rightChars="-21"/>
        <w:jc w:val="center"/>
        <w:rPr>
          <w:rFonts w:ascii="Times New Roman" w:hAnsi="Times New Roman" w:eastAsia="方正小标宋简体"/>
          <w:b/>
          <w:szCs w:val="32"/>
        </w:rPr>
      </w:pPr>
      <w:r>
        <w:rPr>
          <w:rFonts w:ascii="Times New Roman" w:hAnsi="Times New Roman" w:eastAsia="方正小标宋简体"/>
          <w:b/>
          <w:sz w:val="44"/>
          <w:szCs w:val="44"/>
        </w:rPr>
        <w:t>和2017年上半年预算执行情况的报告</w:t>
      </w:r>
    </w:p>
    <w:p>
      <w:pPr>
        <w:snapToGrid w:val="0"/>
        <w:spacing w:line="800" w:lineRule="exact"/>
        <w:ind w:right="36" w:rightChars="12"/>
        <w:jc w:val="center"/>
        <w:rPr>
          <w:rFonts w:ascii="Times New Roman" w:hAnsi="Times New Roman" w:eastAsia="楷体_GB2312"/>
          <w:b/>
          <w:szCs w:val="32"/>
        </w:rPr>
      </w:pPr>
      <w:r>
        <w:rPr>
          <w:rFonts w:hint="eastAsia" w:ascii="楷体_GB2312" w:hAnsi="Times New Roman" w:eastAsia="楷体_GB2312"/>
          <w:b/>
          <w:szCs w:val="32"/>
        </w:rPr>
        <w:t>（2017年7月28日</w:t>
      </w:r>
      <w:r>
        <w:rPr>
          <w:rFonts w:ascii="Times New Roman" w:hAnsi="Times New Roman" w:eastAsia="楷体_GB2312"/>
          <w:b/>
          <w:szCs w:val="32"/>
        </w:rPr>
        <w:t>在县十八届人大常委会第五次会议上</w:t>
      </w:r>
      <w:r>
        <w:rPr>
          <w:rFonts w:hint="eastAsia" w:ascii="Times New Roman" w:hAnsi="Times New Roman" w:eastAsia="楷体_GB2312"/>
          <w:b/>
          <w:szCs w:val="32"/>
        </w:rPr>
        <w:t>）</w:t>
      </w:r>
    </w:p>
    <w:p>
      <w:pPr>
        <w:spacing w:line="580" w:lineRule="exact"/>
        <w:jc w:val="center"/>
        <w:rPr>
          <w:rFonts w:ascii="Times New Roman" w:hAnsi="Times New Roman" w:eastAsia="楷体_GB2312"/>
          <w:b/>
        </w:rPr>
      </w:pPr>
      <w:r>
        <w:rPr>
          <w:rFonts w:ascii="Times New Roman" w:hAnsi="Times New Roman" w:eastAsia="楷体_GB2312"/>
          <w:b/>
        </w:rPr>
        <w:t>县财政局局长</w:t>
      </w:r>
      <w:r>
        <w:rPr>
          <w:rFonts w:hint="eastAsia" w:ascii="Times New Roman" w:hAnsi="Times New Roman" w:eastAsia="楷体_GB2312"/>
          <w:b/>
        </w:rPr>
        <w:t xml:space="preserve">  </w:t>
      </w:r>
      <w:r>
        <w:rPr>
          <w:rFonts w:ascii="Times New Roman" w:hAnsi="Times New Roman" w:eastAsia="楷体_GB2312"/>
          <w:b/>
        </w:rPr>
        <w:t>周礼泽</w:t>
      </w:r>
    </w:p>
    <w:p>
      <w:pPr>
        <w:spacing w:line="580" w:lineRule="exact"/>
        <w:rPr>
          <w:rFonts w:ascii="Times New Roman" w:hAnsi="Times New Roman"/>
          <w:b/>
          <w:spacing w:val="4"/>
        </w:rPr>
      </w:pPr>
    </w:p>
    <w:p>
      <w:pPr>
        <w:spacing w:line="580" w:lineRule="exact"/>
        <w:rPr>
          <w:rFonts w:ascii="楷体_GB2312" w:hAnsi="Times New Roman" w:eastAsia="楷体_GB2312"/>
          <w:b/>
          <w:spacing w:val="4"/>
        </w:rPr>
      </w:pPr>
      <w:r>
        <w:rPr>
          <w:rFonts w:hint="eastAsia" w:ascii="楷体_GB2312" w:hAnsi="Times New Roman" w:eastAsia="楷体_GB2312"/>
          <w:b/>
          <w:spacing w:val="4"/>
        </w:rPr>
        <w:t>主任、各位副主任、各位委员：</w:t>
      </w:r>
    </w:p>
    <w:p>
      <w:pPr>
        <w:spacing w:line="580" w:lineRule="exact"/>
        <w:ind w:firstLine="620" w:firstLineChars="200"/>
        <w:rPr>
          <w:rFonts w:ascii="Times New Roman" w:hAnsi="Times New Roman"/>
          <w:b/>
          <w:spacing w:val="4"/>
        </w:rPr>
      </w:pPr>
      <w:r>
        <w:rPr>
          <w:rFonts w:ascii="Times New Roman" w:hAnsi="Times New Roman"/>
          <w:b/>
          <w:spacing w:val="4"/>
        </w:rPr>
        <w:t>沂源县第十八届人民代表大会第一次会议审查批准了《关于沂源县2016年预算执行情况和2017年预算草案的报告》。现在，2016年全县财政决算已经编制完成。受县政府委托，我向县人大常委会报告有关情况，请予审议。</w:t>
      </w:r>
    </w:p>
    <w:p>
      <w:pPr>
        <w:spacing w:line="560" w:lineRule="exact"/>
        <w:ind w:firstLine="620" w:firstLineChars="200"/>
        <w:rPr>
          <w:rFonts w:ascii="Times New Roman" w:hAnsi="Times New Roman" w:eastAsia="楷体_GB2312"/>
          <w:b/>
          <w:spacing w:val="4"/>
        </w:rPr>
      </w:pPr>
      <w:r>
        <w:rPr>
          <w:rFonts w:ascii="Times New Roman" w:hAnsi="Times New Roman" w:eastAsia="黑体"/>
          <w:b/>
          <w:spacing w:val="4"/>
        </w:rPr>
        <w:t>一、2016年财政决算情况</w:t>
      </w:r>
    </w:p>
    <w:p>
      <w:pPr>
        <w:autoSpaceDE w:val="0"/>
        <w:autoSpaceDN w:val="0"/>
        <w:adjustRightInd w:val="0"/>
        <w:spacing w:line="560" w:lineRule="exact"/>
        <w:ind w:firstLine="592" w:firstLineChars="196"/>
        <w:rPr>
          <w:rFonts w:ascii="Times New Roman" w:hAnsi="Times New Roman" w:eastAsia="楷体_GB2312"/>
          <w:b/>
          <w:bCs/>
          <w:kern w:val="0"/>
          <w:szCs w:val="32"/>
        </w:rPr>
      </w:pPr>
      <w:r>
        <w:rPr>
          <w:rFonts w:ascii="Times New Roman" w:hAnsi="Times New Roman" w:eastAsia="楷体_GB2312"/>
          <w:b/>
          <w:bCs/>
          <w:kern w:val="0"/>
          <w:szCs w:val="32"/>
        </w:rPr>
        <w:t>（一）</w:t>
      </w:r>
      <w:r>
        <w:rPr>
          <w:rFonts w:ascii="Times New Roman" w:hAnsi="楷体_GB2312" w:eastAsia="楷体_GB2312"/>
          <w:b/>
          <w:bCs/>
          <w:kern w:val="0"/>
          <w:szCs w:val="32"/>
        </w:rPr>
        <w:t>一般公共预算收支决算情况</w:t>
      </w:r>
    </w:p>
    <w:p>
      <w:pPr>
        <w:autoSpaceDE w:val="0"/>
        <w:autoSpaceDN w:val="0"/>
        <w:adjustRightInd w:val="0"/>
        <w:spacing w:line="560" w:lineRule="exact"/>
        <w:ind w:firstLine="604" w:firstLineChars="200"/>
        <w:rPr>
          <w:rFonts w:ascii="Times New Roman" w:hAnsi="Times New Roman"/>
          <w:b/>
          <w:bCs/>
          <w:snapToGrid w:val="0"/>
          <w:color w:val="000000"/>
          <w:spacing w:val="8"/>
          <w:kern w:val="0"/>
          <w:szCs w:val="32"/>
        </w:rPr>
      </w:pPr>
      <w:r>
        <w:rPr>
          <w:rFonts w:ascii="Times New Roman" w:hAnsi="Times New Roman"/>
          <w:b/>
          <w:bCs/>
          <w:snapToGrid w:val="0"/>
          <w:color w:val="000000"/>
          <w:kern w:val="0"/>
          <w:szCs w:val="32"/>
        </w:rPr>
        <w:t>20</w:t>
      </w:r>
      <w:r>
        <w:rPr>
          <w:rFonts w:ascii="Times New Roman" w:hAnsi="Times New Roman"/>
          <w:b/>
          <w:bCs/>
          <w:snapToGrid w:val="0"/>
          <w:color w:val="000000"/>
          <w:spacing w:val="8"/>
          <w:kern w:val="0"/>
          <w:szCs w:val="32"/>
        </w:rPr>
        <w:t>16年，全县一般公共预算总收入421207万元，其中：当年收入191443万元，完成预算的100.14%，同口径增长5.88%；上级税收返还和转移支付补助134258万元，地方政府债券收入56200万元，调入资金37300万元，上年结转收入2006万元。</w:t>
      </w:r>
    </w:p>
    <w:p>
      <w:pPr>
        <w:autoSpaceDE w:val="0"/>
        <w:autoSpaceDN w:val="0"/>
        <w:adjustRightInd w:val="0"/>
        <w:spacing w:line="560" w:lineRule="exact"/>
        <w:ind w:firstLine="604" w:firstLineChars="200"/>
        <w:rPr>
          <w:rFonts w:ascii="Times New Roman" w:hAnsi="Times New Roman"/>
          <w:b/>
          <w:bCs/>
          <w:snapToGrid w:val="0"/>
          <w:color w:val="000000"/>
          <w:kern w:val="0"/>
          <w:szCs w:val="32"/>
        </w:rPr>
      </w:pPr>
      <w:r>
        <w:rPr>
          <w:rFonts w:ascii="Times New Roman" w:hAnsi="Times New Roman"/>
          <w:b/>
          <w:bCs/>
          <w:snapToGrid w:val="0"/>
          <w:color w:val="000000"/>
          <w:kern w:val="0"/>
          <w:szCs w:val="32"/>
        </w:rPr>
        <w:t>2016年，全县一般公共预算总支出</w:t>
      </w:r>
      <w:r>
        <w:rPr>
          <w:rFonts w:ascii="Times New Roman" w:hAnsi="Times New Roman"/>
          <w:b/>
          <w:bCs/>
          <w:snapToGrid w:val="0"/>
          <w:color w:val="000000"/>
          <w:spacing w:val="8"/>
          <w:kern w:val="0"/>
          <w:szCs w:val="32"/>
        </w:rPr>
        <w:t>421207</w:t>
      </w:r>
      <w:r>
        <w:rPr>
          <w:rFonts w:ascii="Times New Roman" w:hAnsi="Times New Roman"/>
          <w:b/>
          <w:bCs/>
          <w:snapToGrid w:val="0"/>
          <w:color w:val="000000"/>
          <w:kern w:val="0"/>
          <w:szCs w:val="32"/>
        </w:rPr>
        <w:t>万元，其中：当年支出329580万元，完成预算的100%，增长20.38%；上解上级支出33699万元，债务还本支出51200万元，安排预算稳定调节基金1218万元，结转下年支出5510万元。收支当年平衡。</w:t>
      </w:r>
    </w:p>
    <w:p>
      <w:pPr>
        <w:autoSpaceDE w:val="0"/>
        <w:autoSpaceDN w:val="0"/>
        <w:adjustRightInd w:val="0"/>
        <w:spacing w:line="560" w:lineRule="exact"/>
        <w:ind w:firstLine="604" w:firstLineChars="200"/>
        <w:rPr>
          <w:rFonts w:ascii="Times New Roman" w:hAnsi="Times New Roman" w:eastAsia="楷体_GB2312"/>
          <w:b/>
          <w:bCs/>
          <w:kern w:val="0"/>
          <w:szCs w:val="32"/>
        </w:rPr>
      </w:pPr>
      <w:r>
        <w:rPr>
          <w:rFonts w:ascii="Times New Roman" w:hAnsi="Times New Roman" w:eastAsia="楷体_GB2312"/>
          <w:b/>
          <w:bCs/>
          <w:kern w:val="0"/>
          <w:szCs w:val="32"/>
        </w:rPr>
        <w:t>（二）政府性基金预算收支决算情况</w:t>
      </w:r>
    </w:p>
    <w:p>
      <w:pPr>
        <w:autoSpaceDE w:val="0"/>
        <w:autoSpaceDN w:val="0"/>
        <w:adjustRightInd w:val="0"/>
        <w:spacing w:line="560" w:lineRule="exact"/>
        <w:ind w:firstLine="604" w:firstLineChars="200"/>
        <w:rPr>
          <w:rFonts w:ascii="Times New Roman" w:hAnsi="Times New Roman"/>
          <w:b/>
          <w:bCs/>
          <w:snapToGrid w:val="0"/>
          <w:color w:val="000000"/>
          <w:kern w:val="0"/>
          <w:szCs w:val="32"/>
        </w:rPr>
      </w:pPr>
      <w:r>
        <w:rPr>
          <w:rFonts w:ascii="Times New Roman" w:hAnsi="Times New Roman"/>
          <w:b/>
          <w:bCs/>
          <w:snapToGrid w:val="0"/>
          <w:color w:val="000000"/>
          <w:kern w:val="0"/>
          <w:szCs w:val="32"/>
        </w:rPr>
        <w:t>2016年，全县政府性基金预算总收入161824万元。其中：当年收入89506万元，完成预算的100.17 %，增长545.23 %；上级补助收入5615万元，地方政府债券收入66100万元，上年结转收入603万元。</w:t>
      </w:r>
    </w:p>
    <w:p>
      <w:pPr>
        <w:autoSpaceDE w:val="0"/>
        <w:autoSpaceDN w:val="0"/>
        <w:adjustRightInd w:val="0"/>
        <w:spacing w:line="560" w:lineRule="exact"/>
        <w:ind w:firstLine="755" w:firstLineChars="250"/>
        <w:rPr>
          <w:rFonts w:ascii="Times New Roman" w:hAnsi="Times New Roman"/>
          <w:b/>
          <w:bCs/>
          <w:snapToGrid w:val="0"/>
          <w:color w:val="000000"/>
          <w:kern w:val="0"/>
          <w:szCs w:val="32"/>
        </w:rPr>
      </w:pPr>
      <w:r>
        <w:rPr>
          <w:rFonts w:ascii="Times New Roman" w:hAnsi="Times New Roman"/>
          <w:b/>
          <w:bCs/>
          <w:snapToGrid w:val="0"/>
          <w:color w:val="000000"/>
          <w:kern w:val="0"/>
          <w:szCs w:val="32"/>
        </w:rPr>
        <w:t>2016年，全县政府性基金预算总支出161824万元，其中：当年支出104404万元，完成预算的99.1%，增长387.18%；债务还本支出55100万元，上解上级支出59万元，调出资金1218万元，结转下年支出1043万元。收支当年平衡。</w:t>
      </w:r>
    </w:p>
    <w:p>
      <w:pPr>
        <w:autoSpaceDE w:val="0"/>
        <w:autoSpaceDN w:val="0"/>
        <w:adjustRightInd w:val="0"/>
        <w:spacing w:line="560" w:lineRule="exact"/>
        <w:ind w:firstLine="592" w:firstLineChars="196"/>
        <w:rPr>
          <w:rFonts w:ascii="Times New Roman" w:hAnsi="Times New Roman" w:eastAsia="楷体_GB2312"/>
          <w:b/>
          <w:bCs/>
          <w:kern w:val="0"/>
          <w:szCs w:val="32"/>
        </w:rPr>
      </w:pPr>
      <w:r>
        <w:rPr>
          <w:rFonts w:ascii="Times New Roman" w:hAnsi="Times New Roman" w:eastAsia="楷体_GB2312"/>
          <w:b/>
          <w:bCs/>
          <w:kern w:val="0"/>
          <w:szCs w:val="32"/>
        </w:rPr>
        <w:t>（三）国有资本经营预算收支决算情况</w:t>
      </w:r>
    </w:p>
    <w:p>
      <w:pPr>
        <w:autoSpaceDE w:val="0"/>
        <w:autoSpaceDN w:val="0"/>
        <w:adjustRightInd w:val="0"/>
        <w:spacing w:line="560" w:lineRule="exact"/>
        <w:ind w:firstLine="604" w:firstLineChars="200"/>
        <w:rPr>
          <w:rFonts w:ascii="Times New Roman" w:hAnsi="Times New Roman"/>
          <w:b/>
          <w:bCs/>
          <w:snapToGrid w:val="0"/>
          <w:color w:val="000000"/>
          <w:kern w:val="0"/>
          <w:szCs w:val="32"/>
        </w:rPr>
      </w:pPr>
      <w:r>
        <w:rPr>
          <w:rFonts w:ascii="Times New Roman" w:hAnsi="Times New Roman"/>
          <w:b/>
          <w:bCs/>
          <w:snapToGrid w:val="0"/>
          <w:color w:val="000000"/>
          <w:kern w:val="0"/>
          <w:szCs w:val="32"/>
        </w:rPr>
        <w:t>2016年，全县国有资本经营预算总收入39095万元，其中：当年收入39095万元，完成预算的100%，增长161.31%。</w:t>
      </w:r>
    </w:p>
    <w:p>
      <w:pPr>
        <w:autoSpaceDE w:val="0"/>
        <w:autoSpaceDN w:val="0"/>
        <w:adjustRightInd w:val="0"/>
        <w:spacing w:line="560" w:lineRule="exact"/>
        <w:ind w:firstLine="604" w:firstLineChars="200"/>
        <w:rPr>
          <w:rFonts w:ascii="Times New Roman" w:hAnsi="Times New Roman"/>
          <w:b/>
          <w:bCs/>
          <w:snapToGrid w:val="0"/>
          <w:color w:val="000000"/>
          <w:kern w:val="0"/>
          <w:szCs w:val="32"/>
        </w:rPr>
      </w:pPr>
      <w:r>
        <w:rPr>
          <w:rFonts w:ascii="Times New Roman" w:hAnsi="Times New Roman"/>
          <w:b/>
          <w:bCs/>
          <w:snapToGrid w:val="0"/>
          <w:color w:val="000000"/>
          <w:kern w:val="0"/>
          <w:szCs w:val="32"/>
        </w:rPr>
        <w:t>2016年，全县国有资本经营预算总支出39095万元，其中：当年支出48万元，完成预算的28.92%，下降99.66%；调出资金35446万元，结转下年支出3601万元。收支当年平衡。</w:t>
      </w:r>
    </w:p>
    <w:p>
      <w:pPr>
        <w:autoSpaceDE w:val="0"/>
        <w:autoSpaceDN w:val="0"/>
        <w:adjustRightInd w:val="0"/>
        <w:spacing w:line="560" w:lineRule="exact"/>
        <w:ind w:firstLine="592" w:firstLineChars="196"/>
        <w:rPr>
          <w:rFonts w:ascii="Times New Roman" w:hAnsi="Times New Roman" w:eastAsia="楷体_GB2312"/>
          <w:b/>
          <w:bCs/>
          <w:kern w:val="0"/>
          <w:szCs w:val="32"/>
        </w:rPr>
      </w:pPr>
      <w:r>
        <w:rPr>
          <w:rFonts w:ascii="Times New Roman" w:hAnsi="Times New Roman" w:eastAsia="楷体_GB2312"/>
          <w:b/>
          <w:bCs/>
          <w:kern w:val="0"/>
          <w:szCs w:val="32"/>
        </w:rPr>
        <w:t>（四）社会保险基金预算收支决算情况</w:t>
      </w:r>
    </w:p>
    <w:p>
      <w:pPr>
        <w:autoSpaceDE w:val="0"/>
        <w:autoSpaceDN w:val="0"/>
        <w:adjustRightInd w:val="0"/>
        <w:spacing w:line="560" w:lineRule="exact"/>
        <w:ind w:firstLine="592" w:firstLineChars="196"/>
        <w:rPr>
          <w:rFonts w:ascii="Times New Roman" w:hAnsi="Times New Roman"/>
          <w:b/>
          <w:bCs/>
          <w:snapToGrid w:val="0"/>
          <w:kern w:val="0"/>
          <w:szCs w:val="32"/>
        </w:rPr>
      </w:pPr>
      <w:r>
        <w:rPr>
          <w:rFonts w:ascii="Times New Roman" w:hAnsi="Times New Roman"/>
          <w:b/>
          <w:bCs/>
          <w:snapToGrid w:val="0"/>
          <w:kern w:val="0"/>
          <w:szCs w:val="32"/>
        </w:rPr>
        <w:t>2016年，全县社会保险基金预算总收入156761万元，完成预算的108.15%。其中：保险费收入115947万元，完成预算的123.19%；财政补贴收入31824万元，完成预算的74.66%。全县社会保险基金预算总支出163181万元，完成预算的121.23%。其中社会保险待遇支出完成109887万元，完成预算的103.2%。收支相抵，当年收支结余-6420万元，年末滚存结余97925万元。</w:t>
      </w:r>
    </w:p>
    <w:p>
      <w:pPr>
        <w:autoSpaceDE w:val="0"/>
        <w:autoSpaceDN w:val="0"/>
        <w:adjustRightInd w:val="0"/>
        <w:spacing w:line="560" w:lineRule="exact"/>
        <w:ind w:firstLine="592" w:firstLineChars="196"/>
        <w:rPr>
          <w:rFonts w:ascii="Times New Roman" w:hAnsi="Times New Roman" w:eastAsia="楷体_GB2312"/>
          <w:b/>
          <w:bCs/>
          <w:snapToGrid w:val="0"/>
          <w:kern w:val="0"/>
          <w:szCs w:val="32"/>
        </w:rPr>
      </w:pPr>
      <w:r>
        <w:rPr>
          <w:rFonts w:ascii="Times New Roman" w:hAnsi="Times New Roman" w:eastAsia="楷体_GB2312"/>
          <w:b/>
          <w:bCs/>
          <w:snapToGrid w:val="0"/>
          <w:kern w:val="0"/>
          <w:szCs w:val="32"/>
        </w:rPr>
        <w:t>（五）政府性债务情况</w:t>
      </w:r>
    </w:p>
    <w:p>
      <w:pPr>
        <w:autoSpaceDE w:val="0"/>
        <w:autoSpaceDN w:val="0"/>
        <w:adjustRightInd w:val="0"/>
        <w:spacing w:line="560" w:lineRule="exact"/>
        <w:ind w:firstLine="592" w:firstLineChars="196"/>
        <w:rPr>
          <w:rFonts w:ascii="Times New Roman" w:hAnsi="Times New Roman"/>
          <w:b/>
          <w:bCs/>
          <w:snapToGrid w:val="0"/>
          <w:kern w:val="0"/>
          <w:szCs w:val="32"/>
        </w:rPr>
      </w:pPr>
      <w:r>
        <w:rPr>
          <w:rFonts w:ascii="Times New Roman" w:hAnsi="Times New Roman" w:eastAsia="宋体"/>
          <w:b/>
          <w:szCs w:val="32"/>
        </w:rPr>
        <w:t> 2016</w:t>
      </w:r>
      <w:r>
        <w:rPr>
          <w:rFonts w:ascii="Times New Roman" w:hAnsi="Times New Roman"/>
          <w:b/>
          <w:szCs w:val="32"/>
        </w:rPr>
        <w:t>年，市政府核定的我县地方政府债务限额为</w:t>
      </w:r>
      <w:r>
        <w:rPr>
          <w:rFonts w:ascii="Times New Roman" w:hAnsi="Times New Roman" w:eastAsia="宋体"/>
          <w:b/>
          <w:szCs w:val="32"/>
        </w:rPr>
        <w:t>217000</w:t>
      </w:r>
      <w:r>
        <w:rPr>
          <w:rFonts w:ascii="Times New Roman" w:hAnsi="Times New Roman"/>
          <w:b/>
          <w:szCs w:val="32"/>
        </w:rPr>
        <w:t>万元，比</w:t>
      </w:r>
      <w:r>
        <w:rPr>
          <w:rFonts w:ascii="Times New Roman" w:hAnsi="Times New Roman" w:eastAsia="宋体"/>
          <w:b/>
          <w:szCs w:val="32"/>
        </w:rPr>
        <w:t>2015</w:t>
      </w:r>
      <w:r>
        <w:rPr>
          <w:rFonts w:ascii="Times New Roman" w:hAnsi="Times New Roman"/>
          <w:b/>
          <w:szCs w:val="32"/>
        </w:rPr>
        <w:t>年增加</w:t>
      </w:r>
      <w:r>
        <w:rPr>
          <w:rFonts w:ascii="Times New Roman" w:hAnsi="Times New Roman" w:eastAsia="宋体"/>
          <w:b/>
          <w:szCs w:val="32"/>
        </w:rPr>
        <w:t>16000</w:t>
      </w:r>
      <w:r>
        <w:rPr>
          <w:rFonts w:ascii="Times New Roman" w:hAnsi="Times New Roman"/>
          <w:b/>
          <w:szCs w:val="32"/>
        </w:rPr>
        <w:t>万元。</w:t>
      </w:r>
      <w:r>
        <w:rPr>
          <w:rFonts w:ascii="Times New Roman" w:hAnsi="Times New Roman" w:eastAsia="宋体"/>
          <w:b/>
          <w:szCs w:val="32"/>
        </w:rPr>
        <w:t>2016</w:t>
      </w:r>
      <w:r>
        <w:rPr>
          <w:rFonts w:ascii="Times New Roman" w:hAnsi="Times New Roman"/>
          <w:b/>
          <w:szCs w:val="32"/>
        </w:rPr>
        <w:t>年我县实际地方政府债务余额为</w:t>
      </w:r>
      <w:r>
        <w:rPr>
          <w:rFonts w:ascii="Times New Roman" w:hAnsi="Times New Roman" w:eastAsia="宋体"/>
          <w:b/>
          <w:szCs w:val="32"/>
        </w:rPr>
        <w:t>216354</w:t>
      </w:r>
      <w:r>
        <w:rPr>
          <w:rFonts w:ascii="Times New Roman" w:hAnsi="Times New Roman"/>
          <w:b/>
          <w:szCs w:val="32"/>
        </w:rPr>
        <w:t>万元，未超过市政府核定的债务限额。</w:t>
      </w:r>
      <w:r>
        <w:rPr>
          <w:rFonts w:ascii="Times New Roman" w:hAnsi="Times New Roman" w:eastAsia="宋体"/>
          <w:b/>
          <w:szCs w:val="32"/>
        </w:rPr>
        <w:t>2016</w:t>
      </w:r>
      <w:r>
        <w:rPr>
          <w:rFonts w:ascii="Times New Roman" w:hAnsi="Times New Roman"/>
          <w:b/>
          <w:szCs w:val="32"/>
        </w:rPr>
        <w:t>年我县共收到地方政府债券</w:t>
      </w:r>
      <w:r>
        <w:rPr>
          <w:rFonts w:ascii="Times New Roman" w:hAnsi="Times New Roman" w:eastAsia="宋体"/>
          <w:b/>
          <w:szCs w:val="32"/>
        </w:rPr>
        <w:t>122300</w:t>
      </w:r>
      <w:r>
        <w:rPr>
          <w:rFonts w:ascii="Times New Roman" w:hAnsi="Times New Roman"/>
          <w:b/>
          <w:szCs w:val="32"/>
        </w:rPr>
        <w:t>万元，其中新增地方政府债券</w:t>
      </w:r>
      <w:r>
        <w:rPr>
          <w:rFonts w:ascii="Times New Roman" w:hAnsi="Times New Roman" w:eastAsia="宋体"/>
          <w:b/>
          <w:szCs w:val="32"/>
        </w:rPr>
        <w:t>16000</w:t>
      </w:r>
      <w:r>
        <w:rPr>
          <w:rFonts w:ascii="Times New Roman" w:hAnsi="Times New Roman"/>
          <w:b/>
          <w:szCs w:val="32"/>
        </w:rPr>
        <w:t>万元，存量债务置换债券</w:t>
      </w:r>
      <w:r>
        <w:rPr>
          <w:rFonts w:ascii="Times New Roman" w:hAnsi="Times New Roman" w:eastAsia="宋体"/>
          <w:b/>
          <w:szCs w:val="32"/>
        </w:rPr>
        <w:t>106300</w:t>
      </w:r>
      <w:r>
        <w:rPr>
          <w:rFonts w:ascii="Times New Roman" w:hAnsi="Times New Roman"/>
          <w:b/>
          <w:szCs w:val="32"/>
        </w:rPr>
        <w:t>万元，重点用于置换我县地方政府存量债务及扶贫、小城镇建设、社会事业等公益性项目建设。</w:t>
      </w:r>
    </w:p>
    <w:p>
      <w:pPr>
        <w:autoSpaceDE w:val="0"/>
        <w:autoSpaceDN w:val="0"/>
        <w:adjustRightInd w:val="0"/>
        <w:spacing w:line="560" w:lineRule="exact"/>
        <w:ind w:firstLine="592" w:firstLineChars="196"/>
        <w:rPr>
          <w:rFonts w:ascii="Times New Roman" w:hAnsi="Times New Roman" w:eastAsia="楷体_GB2312"/>
          <w:b/>
          <w:bCs/>
          <w:kern w:val="0"/>
          <w:szCs w:val="32"/>
        </w:rPr>
      </w:pPr>
      <w:r>
        <w:rPr>
          <w:rFonts w:ascii="Times New Roman" w:hAnsi="楷体_GB2312" w:eastAsia="楷体_GB2312"/>
          <w:b/>
          <w:bCs/>
          <w:snapToGrid w:val="0"/>
          <w:color w:val="000000"/>
          <w:kern w:val="0"/>
          <w:szCs w:val="32"/>
        </w:rPr>
        <w:t>（六）转移性支付情况</w:t>
      </w:r>
    </w:p>
    <w:p>
      <w:pPr>
        <w:autoSpaceDE w:val="0"/>
        <w:autoSpaceDN w:val="0"/>
        <w:adjustRightInd w:val="0"/>
        <w:spacing w:line="560" w:lineRule="exact"/>
        <w:ind w:firstLine="592" w:firstLineChars="196"/>
        <w:rPr>
          <w:rFonts w:ascii="Times New Roman" w:hAnsi="Times New Roman"/>
          <w:b/>
          <w:bCs/>
          <w:snapToGrid w:val="0"/>
          <w:color w:val="000000"/>
          <w:kern w:val="0"/>
          <w:szCs w:val="32"/>
        </w:rPr>
      </w:pPr>
      <w:r>
        <w:rPr>
          <w:rFonts w:ascii="Times New Roman" w:hAnsi="Times New Roman"/>
          <w:b/>
          <w:bCs/>
          <w:snapToGrid w:val="0"/>
          <w:color w:val="000000"/>
          <w:kern w:val="0"/>
          <w:szCs w:val="32"/>
        </w:rPr>
        <w:t>2016年，全县一般公共预算转移性收入122076万元，其中一般性转移支付83279万元、专项转移支付38797万元；2016年，全县政府性基金上级补助收入5615万元，有力保障了我县财政支出项目。</w:t>
      </w:r>
    </w:p>
    <w:p>
      <w:pPr>
        <w:autoSpaceDE w:val="0"/>
        <w:autoSpaceDN w:val="0"/>
        <w:adjustRightInd w:val="0"/>
        <w:spacing w:line="560" w:lineRule="exact"/>
        <w:ind w:firstLine="592" w:firstLineChars="196"/>
        <w:rPr>
          <w:rFonts w:ascii="Times New Roman" w:hAnsi="Times New Roman"/>
          <w:b/>
          <w:bCs/>
          <w:snapToGrid w:val="0"/>
          <w:color w:val="000000"/>
          <w:kern w:val="0"/>
          <w:szCs w:val="32"/>
        </w:rPr>
      </w:pPr>
      <w:r>
        <w:rPr>
          <w:rFonts w:ascii="Times New Roman" w:hAnsi="Times New Roman"/>
          <w:b/>
          <w:bCs/>
          <w:snapToGrid w:val="0"/>
          <w:color w:val="000000"/>
          <w:kern w:val="0"/>
          <w:szCs w:val="32"/>
        </w:rPr>
        <w:t>2016年，县级一般公共预算对下转移支付16204万元，均为一般性转移支付。</w:t>
      </w:r>
    </w:p>
    <w:p>
      <w:pPr>
        <w:autoSpaceDE w:val="0"/>
        <w:autoSpaceDN w:val="0"/>
        <w:adjustRightInd w:val="0"/>
        <w:spacing w:line="560" w:lineRule="exact"/>
        <w:ind w:firstLine="592" w:firstLineChars="196"/>
        <w:rPr>
          <w:rFonts w:ascii="Times New Roman" w:hAnsi="Times New Roman"/>
          <w:b/>
          <w:bCs/>
          <w:snapToGrid w:val="0"/>
          <w:color w:val="000000"/>
          <w:kern w:val="0"/>
          <w:szCs w:val="32"/>
        </w:rPr>
      </w:pPr>
      <w:r>
        <w:rPr>
          <w:rFonts w:ascii="Times New Roman" w:hAnsi="Times New Roman"/>
          <w:b/>
          <w:bCs/>
          <w:snapToGrid w:val="0"/>
          <w:color w:val="000000"/>
          <w:kern w:val="0"/>
          <w:szCs w:val="32"/>
        </w:rPr>
        <w:t>上述决算数字，与年初向县十八届人大第一次会议汇报的预算执行数略有变化。主要是决算期间，由于资金在途、上下级结算补助变动以及原净结余资金列入预算稳定调节基金等原因，导致部分数字有所增减。</w:t>
      </w:r>
    </w:p>
    <w:p>
      <w:pPr>
        <w:autoSpaceDE w:val="0"/>
        <w:autoSpaceDN w:val="0"/>
        <w:adjustRightInd w:val="0"/>
        <w:spacing w:line="560" w:lineRule="exact"/>
        <w:ind w:firstLine="592" w:firstLineChars="196"/>
        <w:rPr>
          <w:rFonts w:ascii="Times New Roman" w:hAnsi="Times New Roman" w:eastAsia="楷体_GB2312"/>
          <w:b/>
          <w:bCs/>
          <w:snapToGrid w:val="0"/>
          <w:color w:val="000000"/>
          <w:kern w:val="0"/>
          <w:szCs w:val="32"/>
        </w:rPr>
      </w:pPr>
      <w:r>
        <w:rPr>
          <w:rFonts w:ascii="Times New Roman" w:hAnsi="楷体_GB2312" w:eastAsia="楷体_GB2312"/>
          <w:b/>
          <w:bCs/>
          <w:snapToGrid w:val="0"/>
          <w:color w:val="000000"/>
          <w:kern w:val="0"/>
          <w:szCs w:val="32"/>
        </w:rPr>
        <w:t>（七）财政工作开展情况</w:t>
      </w:r>
    </w:p>
    <w:p>
      <w:pPr>
        <w:spacing w:line="560" w:lineRule="exact"/>
        <w:ind w:firstLine="620" w:firstLineChars="200"/>
        <w:rPr>
          <w:rFonts w:ascii="Times New Roman" w:hAnsi="Times New Roman"/>
          <w:b/>
          <w:spacing w:val="4"/>
        </w:rPr>
      </w:pPr>
      <w:r>
        <w:rPr>
          <w:rFonts w:ascii="Times New Roman" w:hAnsi="Times New Roman"/>
          <w:b/>
          <w:spacing w:val="4"/>
        </w:rPr>
        <w:t>过去的一年，全县上下坚决贯彻县委的决策部署，积极适应经济发展新常态，全面深化财税改革，加快建立现代预算制度，各项财税政策得到较好落实，各项重点支出得到较好保障，促进了全县经济社会又好又快发展。</w:t>
      </w:r>
    </w:p>
    <w:p>
      <w:pPr>
        <w:spacing w:line="560" w:lineRule="exact"/>
        <w:ind w:firstLine="604" w:firstLineChars="200"/>
        <w:rPr>
          <w:rFonts w:ascii="Times New Roman" w:hAnsi="Times New Roman"/>
          <w:b/>
          <w:spacing w:val="-2"/>
          <w:szCs w:val="32"/>
          <w:highlight w:val="yellow"/>
        </w:rPr>
      </w:pPr>
      <w:r>
        <w:rPr>
          <w:rFonts w:ascii="Times New Roman" w:hAnsi="Times New Roman" w:eastAsia="楷体_GB2312"/>
          <w:b/>
          <w:kern w:val="0"/>
          <w:szCs w:val="32"/>
        </w:rPr>
        <w:t>1、</w:t>
      </w:r>
      <w:r>
        <w:rPr>
          <w:rFonts w:ascii="Times New Roman" w:hAnsi="楷体_GB2312" w:eastAsia="楷体_GB2312"/>
          <w:b/>
          <w:color w:val="000000"/>
          <w:szCs w:val="32"/>
        </w:rPr>
        <w:t>收入实现稳中向好。</w:t>
      </w:r>
      <w:r>
        <w:rPr>
          <w:rFonts w:ascii="Times New Roman" w:hAnsi="仿宋_GB2312"/>
          <w:b/>
          <w:color w:val="000000"/>
          <w:szCs w:val="32"/>
        </w:rPr>
        <w:t>面对经济下行压力大的形势，</w:t>
      </w:r>
      <w:r>
        <w:rPr>
          <w:rFonts w:ascii="Times New Roman" w:hAnsi="Times New Roman"/>
          <w:b/>
          <w:color w:val="000000"/>
          <w:kern w:val="0"/>
          <w:szCs w:val="32"/>
        </w:rPr>
        <w:t>财政部门积极协调各收入征管部门，发挥财源网格化管理和涉税信息平台</w:t>
      </w:r>
      <w:r>
        <w:rPr>
          <w:rFonts w:ascii="Times New Roman" w:hAnsi="Times New Roman"/>
          <w:b/>
          <w:color w:val="000000"/>
          <w:spacing w:val="-2"/>
          <w:kern w:val="0"/>
          <w:szCs w:val="32"/>
        </w:rPr>
        <w:t xml:space="preserve">作用，加强对重点行业、重点企业和重点项目等税源的监控，强力支持社会综合治税，严格税收稽查和欠税征缴，严格依法依规征收非税收入，财政收入实现逆势稳定增长。另外2016年全县对上争取补助资金约14亿元，为全县经济社会发展提供了有力的外部支撑。   </w:t>
      </w:r>
    </w:p>
    <w:p>
      <w:pPr>
        <w:autoSpaceDE w:val="0"/>
        <w:autoSpaceDN w:val="0"/>
        <w:adjustRightInd w:val="0"/>
        <w:spacing w:line="560" w:lineRule="exact"/>
        <w:ind w:firstLine="604" w:firstLineChars="200"/>
        <w:rPr>
          <w:rFonts w:ascii="Times New Roman" w:hAnsi="Times New Roman"/>
          <w:b/>
          <w:color w:val="000000"/>
          <w:szCs w:val="32"/>
        </w:rPr>
      </w:pPr>
      <w:r>
        <w:rPr>
          <w:rFonts w:ascii="Times New Roman" w:hAnsi="Times New Roman" w:eastAsia="楷体_GB2312"/>
          <w:b/>
          <w:kern w:val="0"/>
          <w:szCs w:val="32"/>
        </w:rPr>
        <w:t>2、</w:t>
      </w:r>
      <w:r>
        <w:rPr>
          <w:rFonts w:ascii="Times New Roman" w:hAnsi="Times New Roman" w:eastAsia="楷体_GB2312"/>
          <w:b/>
          <w:color w:val="000000"/>
          <w:kern w:val="0"/>
          <w:szCs w:val="32"/>
        </w:rPr>
        <w:t>积极财政政策有效落实。</w:t>
      </w:r>
      <w:r>
        <w:rPr>
          <w:rFonts w:ascii="Times New Roman" w:hAnsi="Times New Roman"/>
          <w:b/>
          <w:color w:val="000000"/>
          <w:kern w:val="0"/>
          <w:szCs w:val="32"/>
        </w:rPr>
        <w:t>完善经济开发区财政体制，构建合理的园区利益分配机制，促进园区设施全覆盖和园内企业总体质量、规模的提升。全力推进供给侧结构改革，降低企业成本，围绕减轻企业税费，全面推开“营改增”改革试点，扩大18项涉企收费的免征范围；围绕减少企业社会保障性支出，降低职工养老保险和住房公积金的单位缴存比例；围绕降低企业创新成本，加大对先进技术和设备等贷款贴息力度；围绕降低企业融资成本，建立小额担保贷款基金、融资性担保机构股权投资基金和中小微企业统借统还平台；围绕优化产能支出，</w:t>
      </w:r>
      <w:r>
        <w:rPr>
          <w:rFonts w:ascii="Times New Roman" w:hAnsi="Times New Roman"/>
          <w:b/>
          <w:snapToGrid w:val="0"/>
          <w:color w:val="000000"/>
          <w:kern w:val="0"/>
          <w:szCs w:val="32"/>
        </w:rPr>
        <w:t>落实工业绿动力提升工程专项资金3700余万元。</w:t>
      </w:r>
      <w:r>
        <w:rPr>
          <w:rFonts w:ascii="Times New Roman" w:hAnsi="Times New Roman"/>
          <w:b/>
          <w:color w:val="000000"/>
          <w:szCs w:val="32"/>
        </w:rPr>
        <w:t>加快政府投融资建设，设立政府引导基金，重点投向担保产业、政府和社会资本合作（PPP）、文化旅游等多个领域；积极推广PPP模式，组织申报PPP储备</w:t>
      </w:r>
      <w:r>
        <w:rPr>
          <w:rFonts w:ascii="Times New Roman" w:hAnsi="Times New Roman"/>
          <w:b/>
          <w:szCs w:val="32"/>
        </w:rPr>
        <w:t>项目10个</w:t>
      </w:r>
      <w:r>
        <w:rPr>
          <w:rFonts w:ascii="Times New Roman" w:hAnsi="Times New Roman"/>
          <w:b/>
          <w:color w:val="000000"/>
          <w:szCs w:val="32"/>
        </w:rPr>
        <w:t>，签约6个，其中成功采取TOT模式盘活污水处理厂的存量资产，经济开发区供水及道路建设PPP项目成为2016年度全市唯一入选的国家级示范项目。</w:t>
      </w:r>
    </w:p>
    <w:p>
      <w:pPr>
        <w:autoSpaceDE w:val="0"/>
        <w:autoSpaceDN w:val="0"/>
        <w:adjustRightInd w:val="0"/>
        <w:spacing w:line="560" w:lineRule="exact"/>
        <w:ind w:firstLine="565" w:firstLineChars="187"/>
        <w:rPr>
          <w:rFonts w:ascii="Times New Roman" w:hAnsi="Times New Roman"/>
          <w:b/>
          <w:color w:val="000000"/>
          <w:spacing w:val="-2"/>
          <w:szCs w:val="32"/>
        </w:rPr>
      </w:pPr>
      <w:r>
        <w:rPr>
          <w:rFonts w:ascii="Times New Roman" w:hAnsi="Times New Roman" w:eastAsia="楷体_GB2312"/>
          <w:b/>
          <w:kern w:val="0"/>
          <w:szCs w:val="32"/>
        </w:rPr>
        <w:t>3、</w:t>
      </w:r>
      <w:r>
        <w:rPr>
          <w:rFonts w:ascii="Times New Roman" w:hAnsi="Times New Roman" w:eastAsia="楷体_GB2312"/>
          <w:b/>
          <w:color w:val="000000"/>
          <w:szCs w:val="32"/>
        </w:rPr>
        <w:t>支出结构不断优化。</w:t>
      </w:r>
      <w:r>
        <w:rPr>
          <w:rFonts w:ascii="Times New Roman" w:hAnsi="Times New Roman"/>
          <w:b/>
          <w:color w:val="000000"/>
          <w:szCs w:val="32"/>
        </w:rPr>
        <w:t>科学调度财政资金，做到保基本、保民生、保重点。加快推进扶贫攻坚，整合精准扶贫、综合开发、农村公益事业“一事一议”和农村“五化”等各类资金1亿多元用于扶贫项目，并综合利用融资增信、金融扶贫和扶贫互助小额贷款等方式引导金融资本参与扶贫开发。支持生态建设，围绕打造</w:t>
      </w:r>
      <w:r>
        <w:rPr>
          <w:rFonts w:ascii="Times New Roman" w:hAnsi="Times New Roman"/>
          <w:b/>
          <w:snapToGrid w:val="0"/>
          <w:color w:val="000000"/>
          <w:kern w:val="0"/>
          <w:szCs w:val="32"/>
        </w:rPr>
        <w:t>国家重点</w:t>
      </w:r>
      <w:r>
        <w:rPr>
          <w:rFonts w:ascii="Times New Roman" w:hAnsi="Times New Roman"/>
          <w:b/>
          <w:snapToGrid w:val="0"/>
          <w:color w:val="000000"/>
          <w:spacing w:val="-2"/>
          <w:kern w:val="0"/>
          <w:szCs w:val="32"/>
        </w:rPr>
        <w:t>生态功能区，积极争取和落实污染防治、农村保洁、公益生态林补偿、水土保持和旱厕改造等专项资金，同时支持保障拇指公园和水景公园提升等项目建设，增创绿色生态新优势。</w:t>
      </w:r>
      <w:r>
        <w:rPr>
          <w:rFonts w:ascii="Times New Roman" w:hAnsi="Times New Roman"/>
          <w:b/>
          <w:color w:val="000000"/>
          <w:spacing w:val="-2"/>
          <w:szCs w:val="32"/>
        </w:rPr>
        <w:t>推进社会事业全面发展，大力支持学校新建和改扩建、校舍和运动场改造以及教育服务“三通两平台”建设，促进了教育均衡化示范县创建；上调居民基本医疗保险、低保、五保等财政补助标准，支持了农村危房改造、保障性安居工程、棚户区改造和廉租房补贴发放，极大改善了群众生活条件；深化基本药物制度改革和公立医院改革，</w:t>
      </w:r>
      <w:r>
        <w:rPr>
          <w:rFonts w:ascii="Times New Roman" w:hAnsi="Times New Roman"/>
          <w:b/>
          <w:snapToGrid w:val="0"/>
          <w:color w:val="000000"/>
          <w:spacing w:val="-2"/>
          <w:kern w:val="0"/>
          <w:szCs w:val="32"/>
        </w:rPr>
        <w:t>支持县医院新院、中医院综合楼建设以及镇办卫生院升级改造工程</w:t>
      </w:r>
      <w:r>
        <w:rPr>
          <w:rFonts w:ascii="Times New Roman" w:hAnsi="Times New Roman"/>
          <w:b/>
          <w:color w:val="000000"/>
          <w:spacing w:val="-2"/>
          <w:szCs w:val="32"/>
        </w:rPr>
        <w:t>。</w:t>
      </w:r>
    </w:p>
    <w:p>
      <w:pPr>
        <w:autoSpaceDE w:val="0"/>
        <w:autoSpaceDN w:val="0"/>
        <w:adjustRightInd w:val="0"/>
        <w:spacing w:line="560" w:lineRule="exact"/>
        <w:ind w:firstLine="604" w:firstLineChars="200"/>
        <w:rPr>
          <w:rFonts w:ascii="Times New Roman" w:hAnsi="Times New Roman"/>
          <w:b/>
          <w:color w:val="000000"/>
          <w:szCs w:val="32"/>
        </w:rPr>
      </w:pPr>
      <w:r>
        <w:rPr>
          <w:rFonts w:ascii="Times New Roman" w:hAnsi="Times New Roman" w:eastAsia="楷体_GB2312"/>
          <w:b/>
          <w:kern w:val="0"/>
          <w:szCs w:val="32"/>
        </w:rPr>
        <w:t>4、预算管理改革试点扎实推进。</w:t>
      </w:r>
      <w:r>
        <w:rPr>
          <w:rFonts w:ascii="Times New Roman" w:hAnsi="Times New Roman"/>
          <w:b/>
          <w:color w:val="000000"/>
          <w:szCs w:val="32"/>
        </w:rPr>
        <w:t>2016年我县被省政府列为县级现代预算管理制度改革试点，由省级直接指导和财力帮扶，在预算管理改革方面先行先试并取得新突破，在年度省考核中被评为改革先进县，获得省奖励资金1000万元。一是深化预算编制改革。提前启动2017年度部门预算编制，编制中期财政规划，增强了预算安排的前瞻性、科学性和可持续性。二是加大预决算公开力度。全面向社会公开了政府预决算、部门预决算以及“三公”经费预决算。三是</w:t>
      </w:r>
      <w:r>
        <w:rPr>
          <w:rFonts w:ascii="Times New Roman" w:hAnsi="Times New Roman"/>
          <w:b/>
          <w:szCs w:val="32"/>
        </w:rPr>
        <w:t>加大“四本预算”统筹衔接力度。将5项政府性基金项目转列一般公共预算，提高政府性基金和国有资本经营预算调入一般公共预算的比例。四是</w:t>
      </w:r>
      <w:r>
        <w:rPr>
          <w:rFonts w:ascii="Times New Roman" w:hAnsi="Times New Roman"/>
          <w:b/>
          <w:color w:val="000000"/>
          <w:szCs w:val="32"/>
        </w:rPr>
        <w:t>强化预算约束。建立预算执行动态监控体系，改进工程招投标、预决算评审和跟踪监督等监管手段，杜绝无预算和超预算支出。五是加强政府债务管理。建立政府债券资金支付台账，并置换七批政府债务。六是实行政府综合财务报告制度。编制了2015年政府综合财务报告，选择5家单位试编部门财务报告，全面反映政府整体财务状况和运行情况。七是加强行政事业单位国有资产管理。制定国资配备标准、动态管理及公务仓等规定，规范了资产集中管理、使用和处置行为。深化公车改革，对保留车辆集中管理、统一调配，对取消车辆按规定公开处置。八是健全内部控制和财政监督机制。建立1个基本制度、8个专项办法和若干业务操作规程组成的内部控制体系；组织开展了项目绩效、预算编制执行、公务支出、镇办财务以及清理津补贴和物业费等多项检查，根据检查情况出台了《规范镇级财政资金申请及支付结算办法》等制度规定。</w:t>
      </w:r>
    </w:p>
    <w:p>
      <w:pPr>
        <w:spacing w:line="560" w:lineRule="exact"/>
        <w:ind w:firstLine="620" w:firstLineChars="200"/>
        <w:rPr>
          <w:rFonts w:ascii="Times New Roman" w:hAnsi="Times New Roman" w:eastAsia="黑体"/>
          <w:b/>
          <w:spacing w:val="4"/>
        </w:rPr>
      </w:pPr>
      <w:r>
        <w:rPr>
          <w:rFonts w:ascii="Times New Roman" w:hAnsi="Times New Roman" w:eastAsia="黑体"/>
          <w:b/>
          <w:spacing w:val="4"/>
        </w:rPr>
        <w:t>二、2017年上半年财政收支预算执行情况</w:t>
      </w:r>
    </w:p>
    <w:p>
      <w:pPr>
        <w:autoSpaceDE w:val="0"/>
        <w:autoSpaceDN w:val="0"/>
        <w:adjustRightInd w:val="0"/>
        <w:spacing w:line="560" w:lineRule="exact"/>
        <w:ind w:firstLine="592" w:firstLineChars="196"/>
        <w:rPr>
          <w:rFonts w:ascii="Times New Roman" w:hAnsi="Times New Roman"/>
          <w:b/>
          <w:spacing w:val="4"/>
          <w:szCs w:val="32"/>
        </w:rPr>
      </w:pPr>
      <w:r>
        <w:rPr>
          <w:rFonts w:ascii="Times New Roman" w:hAnsi="Times New Roman"/>
          <w:b/>
          <w:bCs/>
          <w:snapToGrid w:val="0"/>
          <w:color w:val="000000"/>
          <w:kern w:val="0"/>
          <w:szCs w:val="32"/>
        </w:rPr>
        <w:t>今年以来，我县经济运行总体平稳，主要经济指标保持在合理区间，结构调整成效初步显现。在此基础上，预算执行情况总体良好，财政收支均实现了时间过半、任务过半。1-6月份全县一般公共预算收入完成102177万元，占年初预算的50%，同比增长5.2%。其中税收收入完成72488万元，同比增长18.82%，税收比重70.94%，比去年同期提高8.16个百分点。一般公共财政预算支出完成176896万元，完成预算的53%，增长8.6%。</w:t>
      </w:r>
    </w:p>
    <w:p>
      <w:pPr>
        <w:spacing w:line="560" w:lineRule="exact"/>
        <w:ind w:firstLine="640"/>
        <w:rPr>
          <w:rFonts w:ascii="Times New Roman" w:hAnsi="Times New Roman"/>
          <w:b/>
          <w:szCs w:val="32"/>
        </w:rPr>
      </w:pPr>
      <w:r>
        <w:rPr>
          <w:rFonts w:ascii="Times New Roman" w:hAnsi="Times New Roman" w:eastAsia="楷体_GB2312"/>
          <w:b/>
          <w:szCs w:val="32"/>
        </w:rPr>
        <w:t>（一）抓好财政收入管理。</w:t>
      </w:r>
      <w:r>
        <w:rPr>
          <w:rFonts w:ascii="Times New Roman" w:hAnsi="Times New Roman"/>
          <w:b/>
          <w:color w:val="000000"/>
          <w:szCs w:val="32"/>
        </w:rPr>
        <w:t>财政部门积极应对因宏观经济形势和减税政策导致的增收难度大的不利因素，加大对收入征管部门的协调督促力度，完善涉税信息共享和财源网格化管理体系，加强收入征收管理和监督检查，</w:t>
      </w:r>
      <w:r>
        <w:rPr>
          <w:rFonts w:ascii="Times New Roman" w:hAnsi="Times New Roman"/>
          <w:b/>
          <w:szCs w:val="32"/>
        </w:rPr>
        <w:t>促进收入均衡入库、平稳增长。加强项目资金的对上协调争取工作，上半年共获得上级各项扶持资金近8亿元。</w:t>
      </w:r>
    </w:p>
    <w:p>
      <w:pPr>
        <w:numPr>
          <w:ilvl w:val="0"/>
          <w:numId w:val="1"/>
        </w:numPr>
        <w:spacing w:line="560" w:lineRule="exact"/>
        <w:ind w:firstLine="640"/>
        <w:rPr>
          <w:rFonts w:ascii="Times New Roman" w:hAnsi="Times New Roman"/>
          <w:b/>
          <w:color w:val="000000"/>
          <w:szCs w:val="32"/>
        </w:rPr>
      </w:pPr>
      <w:r>
        <w:rPr>
          <w:rFonts w:ascii="Times New Roman" w:hAnsi="Times New Roman" w:eastAsia="楷体_GB2312"/>
          <w:b/>
          <w:szCs w:val="32"/>
        </w:rPr>
        <w:t>抓好积极财政政策落实。</w:t>
      </w:r>
      <w:r>
        <w:rPr>
          <w:rFonts w:ascii="Times New Roman" w:hAnsi="Times New Roman"/>
          <w:b/>
          <w:color w:val="000000"/>
          <w:szCs w:val="32"/>
          <w:shd w:val="clear" w:color="auto" w:fill="FFFFFF"/>
        </w:rPr>
        <w:t>紧紧围绕“三去一降一补”供给侧结构性改革重点任务，落实“工业强县31条”扶持资金5915万，支持实体经济发展。落实降低企业社会保障性支出政策，将失业保险费率单位负担部分由1%降至0.7%。</w:t>
      </w:r>
      <w:r>
        <w:rPr>
          <w:rFonts w:ascii="Times New Roman" w:hAnsi="Times New Roman"/>
          <w:b/>
          <w:color w:val="000000"/>
          <w:kern w:val="0"/>
          <w:szCs w:val="32"/>
        </w:rPr>
        <w:t>按照“三最”城市建设要求，实行涉企收费目录制度并向社会公布，深入推进建设项目收费“一费制”改革，企业发展和创业创新环境不断改善</w:t>
      </w:r>
      <w:r>
        <w:rPr>
          <w:rFonts w:ascii="Times New Roman" w:hAnsi="Times New Roman"/>
          <w:b/>
          <w:color w:val="000000"/>
          <w:szCs w:val="32"/>
        </w:rPr>
        <w:t>。加强园区投融资工作，大力支持园区道路、水电、管网等基础设施建设以及经济开发区标准厂房、小微创业园等项目建设，为做强做优园区经济创造条件。</w:t>
      </w:r>
    </w:p>
    <w:p>
      <w:pPr>
        <w:spacing w:line="560" w:lineRule="exact"/>
        <w:ind w:firstLine="640"/>
        <w:rPr>
          <w:rFonts w:ascii="Times New Roman" w:hAnsi="Times New Roman"/>
          <w:b/>
          <w:color w:val="000000"/>
          <w:kern w:val="0"/>
          <w:szCs w:val="32"/>
        </w:rPr>
      </w:pPr>
      <w:r>
        <w:rPr>
          <w:rFonts w:ascii="Times New Roman" w:hAnsi="Times New Roman" w:eastAsia="楷体_GB2312"/>
          <w:b/>
          <w:szCs w:val="32"/>
        </w:rPr>
        <w:t>（三）抓好民生支出保障工作。</w:t>
      </w:r>
      <w:r>
        <w:rPr>
          <w:rFonts w:ascii="Times New Roman" w:hAnsi="Times New Roman"/>
          <w:b/>
          <w:szCs w:val="32"/>
        </w:rPr>
        <w:t>紧紧围绕县委县政府确定的重点工作和重点项目，立足“补短板、保重点、惠民生”的目标要求，抓好政策落实，强化支出保障，切实把有限的资金用在“刀刃”上。上半年，民生支出达到151858万元，比重超过85%。一是加大支农投入。1-6月份农林水事务支出完成12965万元。充分发挥财政政策导向和杠杆作用，通过金融扶贫、融资增信和互助资金等方式引导社会资本参与一二三产业融合、农业现代化和脱贫攻坚工程实施。二是加大教育投入。1-6月份教育支出完成73605万元。按照</w:t>
      </w:r>
      <w:r>
        <w:rPr>
          <w:rFonts w:ascii="Times New Roman" w:hAnsi="Times New Roman"/>
          <w:b/>
          <w:color w:val="000000"/>
          <w:kern w:val="0"/>
          <w:szCs w:val="32"/>
        </w:rPr>
        <w:t>全国义务教育基本均衡县的标准，大力支持学校新建和改扩建工程、农村校舍及运动场地提升项目，积极推进解决城镇普通中小学“大班额”问题和农村义务教育学校“全面改薄”。三是加大社会保障投入。</w:t>
      </w:r>
      <w:r>
        <w:rPr>
          <w:rFonts w:ascii="Times New Roman" w:hAnsi="Times New Roman" w:eastAsia="宋体"/>
          <w:b/>
          <w:color w:val="000000"/>
          <w:kern w:val="0"/>
          <w:szCs w:val="32"/>
        </w:rPr>
        <w:t> </w:t>
      </w:r>
      <w:r>
        <w:rPr>
          <w:rFonts w:ascii="Times New Roman" w:hAnsi="Times New Roman"/>
          <w:b/>
          <w:color w:val="000000"/>
          <w:kern w:val="0"/>
          <w:szCs w:val="32"/>
        </w:rPr>
        <w:t>1-6月份社会保障和就业支出完成22210万元。完善社会保险制度，积极推进职工大病医疗保险政策实施和基本医疗保险异地就医直接结算，提高医疗保险保障服务水平。做好农村最低生活保障制度与扶贫开发政策有效衔接的相关工作，将农村低保标准由每人每年3560元提高到4200元。推进养老服务供给侧改革，支持农村幸福苑、日间照料中心、养老机构消防设施等建设。积极落实优抚对象补助、退役士兵安置和权益保障、残疾人两项补贴、被征地农民保障、计生家庭帮扶、重度精神病人救助、帮助伤残家庭和失独家庭购买保险等有关政策，大大提高了特殊人群、弱势群体的保障水平。四是加大医疗卫生投入。1-6月份医疗卫生支出完成20489万元。围绕医药卫生体制改革的各项任务，完善公立医院补偿机制，继续大力支持县医院新院、县中医院门诊病房综合楼以及镇中心卫生院等项目建设；整合基本公共卫生资金，支持14项基本公共卫生服务项目规范实施，提高了公共卫生均等化水平。五是加大文化旅游投入。1-6月份文化支出完成1581万元。继续支持图书馆、文化馆、博物馆、书画院等</w:t>
      </w:r>
      <w:r>
        <w:rPr>
          <w:rFonts w:ascii="Times New Roman" w:hAnsi="Times New Roman"/>
          <w:b/>
          <w:color w:val="000000"/>
          <w:szCs w:val="32"/>
        </w:rPr>
        <w:t>文化场所免费开放和农村电影免费放映，丰富了群众文化生活。大力支持农村公共文化服务体系建设，镇办文化中心和村居文化大院得到全面提升。大力支持全域旅游示范区创建工作，出台旅游发展奖励办法，设立旅游发展基金，为全域旅游创建工作提供了有力保障。六是</w:t>
      </w:r>
      <w:r>
        <w:rPr>
          <w:rFonts w:ascii="Times New Roman" w:hAnsi="Times New Roman"/>
          <w:b/>
          <w:color w:val="000000"/>
          <w:kern w:val="0"/>
          <w:szCs w:val="32"/>
        </w:rPr>
        <w:t>加大宜居城市建设投入，多渠道筹措资金，重点保障拇指公园建设、小流域治理、瑞阳路北延、西台路建设、润生路北延等重点工程建设，打造生态宜居城市。</w:t>
      </w:r>
    </w:p>
    <w:p>
      <w:pPr>
        <w:numPr>
          <w:ilvl w:val="0"/>
          <w:numId w:val="2"/>
        </w:numPr>
        <w:spacing w:line="560" w:lineRule="exact"/>
        <w:ind w:firstLine="640"/>
        <w:rPr>
          <w:rFonts w:ascii="Times New Roman" w:hAnsi="Times New Roman"/>
          <w:b/>
          <w:color w:val="000000"/>
          <w:kern w:val="0"/>
          <w:szCs w:val="32"/>
          <w:shd w:val="clear" w:color="auto" w:fill="FFFFFF"/>
        </w:rPr>
      </w:pPr>
      <w:r>
        <w:rPr>
          <w:rFonts w:ascii="Times New Roman" w:hAnsi="Times New Roman" w:eastAsia="楷体_GB2312"/>
          <w:b/>
          <w:szCs w:val="32"/>
        </w:rPr>
        <w:t>抓好现代预算管理制度改革。</w:t>
      </w:r>
      <w:r>
        <w:rPr>
          <w:rFonts w:ascii="Times New Roman" w:hAnsi="Times New Roman"/>
          <w:b/>
          <w:szCs w:val="32"/>
        </w:rPr>
        <w:t>以全省县级现代预算管理改革试点为总抓手，切实优机制、激活力，推动财政管理改革不断深化。一是强化预算约束，加强预算执行管理，深入推进预决算公开，建立常态化预决算公开机制。二是深化国库集中收付制度改革，对资金拨付实施全面动态监控，防止违规转账、大额提现等行为发生，进一步降低资金使用风险。三是继续推进公务卡制度改革，结合“三公经费”公开，设定强制公务卡消费项目，鼓励单位使用公务卡结算。四是</w:t>
      </w:r>
      <w:r>
        <w:rPr>
          <w:rFonts w:ascii="Times New Roman" w:hAnsi="Times New Roman"/>
          <w:b/>
          <w:kern w:val="0"/>
          <w:szCs w:val="32"/>
        </w:rPr>
        <w:t>规范地方政府债务管理，</w:t>
      </w:r>
      <w:r>
        <w:rPr>
          <w:rFonts w:ascii="Times New Roman" w:hAnsi="Times New Roman"/>
          <w:b/>
          <w:szCs w:val="32"/>
        </w:rPr>
        <w:t>上半年我县获得上级债券资金52100万元，包括置换债券资金48100万元，新增债券资金4000万元。</w:t>
      </w:r>
      <w:r>
        <w:rPr>
          <w:rFonts w:ascii="Times New Roman" w:hAnsi="Times New Roman"/>
          <w:b/>
          <w:kern w:val="0"/>
          <w:szCs w:val="32"/>
        </w:rPr>
        <w:t>五是扎实推进县级财政项目支出绩效评价，先后出台《沂源县县级财政项目支出绩效目标管理办法》和《沂源</w:t>
      </w:r>
      <w:r>
        <w:rPr>
          <w:rFonts w:ascii="Times New Roman" w:hAnsi="Times New Roman"/>
          <w:b/>
          <w:kern w:val="0"/>
          <w:szCs w:val="32"/>
          <w:shd w:val="clear" w:color="auto" w:fill="FFFFFF"/>
        </w:rPr>
        <w:t>县县级财政项目支出绩效评价管理办法》，构建了更加完备的县级项目</w:t>
      </w:r>
      <w:r>
        <w:rPr>
          <w:rFonts w:ascii="Times New Roman" w:hAnsi="Times New Roman"/>
          <w:b/>
          <w:color w:val="000000"/>
          <w:kern w:val="0"/>
          <w:szCs w:val="32"/>
          <w:shd w:val="clear" w:color="auto" w:fill="FFFFFF"/>
        </w:rPr>
        <w:t>支出和预算单位支出绩效评价体系。接受了省审计厅对我县2015年—2016年200万元以上重点项目绩效评价的审计，受到了审计专家的肯定。六是深化政府投融资体制改革，积极推动政府和社会资本合作，今年3月我县经济开发区供水及道路基础建设PPP项目入库中国PPP基金项目库，为今后项目融资提供了良好条件。七是加强监督检查，完成预决算公开情况、生态及环保资金使用情况专项检查，对四家公司骗取的财政专项资金进行积极追缴。开展了财政内控制度执行情况专项检查，确保财政内部控制制度落到实处。</w:t>
      </w:r>
    </w:p>
    <w:p>
      <w:pPr>
        <w:autoSpaceDE w:val="0"/>
        <w:autoSpaceDN w:val="0"/>
        <w:adjustRightInd w:val="0"/>
        <w:spacing w:line="560" w:lineRule="exact"/>
        <w:ind w:firstLine="620" w:firstLineChars="200"/>
        <w:rPr>
          <w:rFonts w:ascii="Times New Roman" w:hAnsi="Times New Roman"/>
          <w:b/>
          <w:spacing w:val="4"/>
          <w:szCs w:val="32"/>
          <w:highlight w:val="yellow"/>
        </w:rPr>
      </w:pPr>
      <w:r>
        <w:rPr>
          <w:rFonts w:ascii="Times New Roman" w:hAnsi="Times New Roman"/>
          <w:b/>
          <w:spacing w:val="4"/>
        </w:rPr>
        <w:t>主任、各位副主任、各位委员，</w:t>
      </w:r>
      <w:r>
        <w:rPr>
          <w:rFonts w:ascii="Times New Roman" w:hAnsi="Times New Roman"/>
          <w:b/>
          <w:spacing w:val="4"/>
          <w:szCs w:val="32"/>
        </w:rPr>
        <w:t>在充分肯定成绩的同时，必须清醒的认识到财政经济面临的困难和问题。</w:t>
      </w:r>
      <w:r>
        <w:rPr>
          <w:rFonts w:ascii="Times New Roman" w:hAnsi="Times New Roman"/>
          <w:b/>
          <w:bCs/>
          <w:snapToGrid w:val="0"/>
          <w:color w:val="000000"/>
          <w:kern w:val="0"/>
          <w:szCs w:val="32"/>
        </w:rPr>
        <w:t>当前我县经济发展面临的环境复杂多变，受宏观经济形势和宏观经济政策的影响，我县经济形势整体在向好发展，但仍处于恢复性增长阶段。结构性减税降费政策影响明显，房地产交易环节契税、全面推行营改增、高新技术企业和小微企业税收优惠以及取消、免征、停征、缓征多项行政事业收费和政府性基金等政策，使收入增收难度不断加大。目前我县财政资金主要用于安排教育、医疗、社会保障等民生支出需要，难以挤出更多资金支持经济发展和城市建设。同时，近年来随着工资水平的不断提高，车改补贴、物业补贴及镇级机关工作人员待遇全面落实，以及保障性住房建设、提高镇级财政保障能力、归还政府到期债务等需要大量支出，这一系列因素导致财政预算执行和资金调度面临着很大困难，财政保障水平受到很大制约，支出压力不断加大。</w:t>
      </w:r>
    </w:p>
    <w:p>
      <w:pPr>
        <w:numPr>
          <w:ilvl w:val="0"/>
          <w:numId w:val="3"/>
        </w:numPr>
        <w:spacing w:line="560" w:lineRule="exact"/>
        <w:ind w:firstLine="620" w:firstLineChars="200"/>
        <w:rPr>
          <w:rFonts w:ascii="Times New Roman" w:hAnsi="Times New Roman" w:eastAsia="黑体"/>
          <w:b/>
          <w:spacing w:val="4"/>
        </w:rPr>
      </w:pPr>
      <w:r>
        <w:rPr>
          <w:rFonts w:ascii="Times New Roman" w:hAnsi="Times New Roman" w:eastAsia="黑体"/>
          <w:b/>
          <w:spacing w:val="4"/>
        </w:rPr>
        <w:t>下半年财政工作重点和措施</w:t>
      </w:r>
    </w:p>
    <w:p>
      <w:pPr>
        <w:spacing w:line="560" w:lineRule="exact"/>
        <w:ind w:firstLine="604" w:firstLineChars="200"/>
        <w:rPr>
          <w:rFonts w:ascii="Times New Roman" w:hAnsi="Times New Roman"/>
          <w:b/>
        </w:rPr>
      </w:pPr>
      <w:r>
        <w:rPr>
          <w:rFonts w:ascii="Times New Roman" w:hAnsi="Times New Roman"/>
          <w:b/>
        </w:rPr>
        <w:t>下一步，我们将密切关注形势变化，紧紧围绕</w:t>
      </w:r>
      <w:r>
        <w:rPr>
          <w:rFonts w:hint="eastAsia" w:ascii="Times New Roman" w:hAnsi="Times New Roman"/>
          <w:b/>
          <w:lang w:eastAsia="zh-CN"/>
        </w:rPr>
        <w:t>县委决策部署</w:t>
      </w:r>
      <w:r>
        <w:rPr>
          <w:rFonts w:ascii="Times New Roman" w:hAnsi="Times New Roman"/>
          <w:b/>
        </w:rPr>
        <w:t>，扎实做好各项财政工作，努力完成全年各项目标任务。</w:t>
      </w:r>
    </w:p>
    <w:p>
      <w:pPr>
        <w:spacing w:line="560" w:lineRule="exact"/>
        <w:ind w:firstLine="592" w:firstLineChars="196"/>
        <w:rPr>
          <w:rFonts w:ascii="Times New Roman" w:hAnsi="Times New Roman"/>
          <w:b/>
          <w:snapToGrid w:val="0"/>
          <w:kern w:val="0"/>
          <w:szCs w:val="32"/>
        </w:rPr>
      </w:pPr>
      <w:r>
        <w:rPr>
          <w:rFonts w:ascii="Times New Roman" w:hAnsi="Times New Roman" w:eastAsia="楷体_GB2312"/>
          <w:b/>
          <w:szCs w:val="32"/>
        </w:rPr>
        <w:t>（一）坚持培植财源与挖潜增收并重</w:t>
      </w:r>
      <w:r>
        <w:rPr>
          <w:rFonts w:ascii="Times New Roman" w:hAnsi="Times New Roman" w:eastAsia="楷体_GB2312"/>
          <w:b/>
          <w:snapToGrid w:val="0"/>
          <w:kern w:val="0"/>
          <w:szCs w:val="32"/>
        </w:rPr>
        <w:t>，着力</w:t>
      </w:r>
      <w:r>
        <w:rPr>
          <w:rFonts w:ascii="Times New Roman" w:hAnsi="Times New Roman" w:eastAsia="楷体_GB2312"/>
          <w:b/>
          <w:szCs w:val="32"/>
        </w:rPr>
        <w:t>提高收入总量和质量。</w:t>
      </w:r>
      <w:r>
        <w:rPr>
          <w:rFonts w:ascii="Times New Roman" w:hAnsi="Times New Roman"/>
          <w:b/>
          <w:snapToGrid w:val="0"/>
          <w:kern w:val="0"/>
          <w:szCs w:val="32"/>
        </w:rPr>
        <w:t>全面落实“放管服”改革和新旧动能转换以及减税降费等各项政策措施，支持实体经济转型升级、提质增效，切实夯实财政增收基础。加强财税配合，创新收入征管手段，提高信息共享度和联合办税力度，压实收入责任，确保应收尽收。规范纳税秩序，强化专项检查，严厉打击涉税违法活动。加大对上争取，加强对上级政策动态的跟踪研判，力争在争取补助资金和补助政策上实现新的突破。</w:t>
      </w:r>
    </w:p>
    <w:p>
      <w:pPr>
        <w:spacing w:line="560" w:lineRule="exact"/>
        <w:rPr>
          <w:rFonts w:ascii="Times New Roman" w:hAnsi="Times New Roman"/>
          <w:b/>
          <w:szCs w:val="32"/>
        </w:rPr>
      </w:pPr>
      <w:r>
        <w:rPr>
          <w:rFonts w:ascii="Times New Roman" w:hAnsi="Times New Roman" w:eastAsia="楷体_GB2312"/>
          <w:b/>
          <w:color w:val="000000"/>
          <w:szCs w:val="32"/>
        </w:rPr>
        <w:t xml:space="preserve"> （二）保障民生持续改善，</w:t>
      </w:r>
      <w:r>
        <w:rPr>
          <w:rFonts w:ascii="Times New Roman" w:hAnsi="Times New Roman" w:eastAsia="楷体_GB2312"/>
          <w:b/>
          <w:szCs w:val="32"/>
        </w:rPr>
        <w:t>确保支出结构进一步优化。</w:t>
      </w:r>
      <w:r>
        <w:rPr>
          <w:rFonts w:ascii="Times New Roman" w:hAnsi="Times New Roman"/>
          <w:b/>
          <w:szCs w:val="32"/>
        </w:rPr>
        <w:t>紧紧围绕全县工作重点，在保证工资正常发放和行政运转的前提下，落实各项民生政策，继续把财政支出重点向三农、教育、医疗卫生、社会保障、住房保障等民生方面倾斜，积极保障全县重点项目建设，切实解决涉及群众生产生活和切身利益的问题，让人民群众得到更多实惠。</w:t>
      </w:r>
    </w:p>
    <w:p>
      <w:pPr>
        <w:spacing w:line="560" w:lineRule="exact"/>
        <w:ind w:firstLine="642"/>
        <w:rPr>
          <w:rFonts w:ascii="Times New Roman" w:hAnsi="Times New Roman"/>
          <w:b/>
          <w:szCs w:val="32"/>
        </w:rPr>
      </w:pPr>
      <w:r>
        <w:rPr>
          <w:rFonts w:ascii="Times New Roman" w:hAnsi="Times New Roman" w:eastAsia="楷体_GB2312"/>
          <w:b/>
          <w:snapToGrid w:val="0"/>
          <w:kern w:val="0"/>
          <w:szCs w:val="32"/>
        </w:rPr>
        <w:t>（三）突出财税改革，</w:t>
      </w:r>
      <w:r>
        <w:rPr>
          <w:rFonts w:ascii="Times New Roman" w:hAnsi="Times New Roman" w:eastAsia="楷体_GB2312"/>
          <w:b/>
          <w:szCs w:val="32"/>
        </w:rPr>
        <w:t>提高科学理财水平。</w:t>
      </w:r>
      <w:r>
        <w:rPr>
          <w:rFonts w:ascii="Times New Roman" w:hAnsi="Times New Roman"/>
          <w:b/>
          <w:szCs w:val="32"/>
        </w:rPr>
        <w:t>有序推进财政体制改革，研究调整县镇财政管理体制，结合实际推进县镇事权和支出责任划分。加快推进现代预算管理制度改革，全面推进财政信息公开，加快推进镇级预决算公开；将支持方向相近、扶持领域相关的财政资金统筹整合使用；加大存量资金盘活力度，加快预算单位实有资金帐户清理进度，加强预算绩效评价管理，切实提升资金使用效能。稳步推进税制改革，对拟实施的改革事项，加强前期调研，认真做好摸底测算；对已实施的改革事项，采取措施，最大限度的释放改革红利、政策红利。</w:t>
      </w:r>
    </w:p>
    <w:p>
      <w:pPr>
        <w:spacing w:line="560" w:lineRule="exact"/>
        <w:ind w:firstLine="642"/>
        <w:rPr>
          <w:rFonts w:ascii="Times New Roman" w:hAnsi="Times New Roman"/>
          <w:b/>
          <w:szCs w:val="32"/>
        </w:rPr>
      </w:pPr>
      <w:r>
        <w:rPr>
          <w:rFonts w:ascii="Times New Roman" w:hAnsi="Times New Roman" w:eastAsia="楷体_GB2312"/>
          <w:b/>
          <w:snapToGrid w:val="0"/>
          <w:kern w:val="0"/>
          <w:szCs w:val="32"/>
        </w:rPr>
        <w:t>（四）加强监督管理，保障财政平稳运行。</w:t>
      </w:r>
      <w:r>
        <w:rPr>
          <w:rFonts w:ascii="Times New Roman" w:hAnsi="Times New Roman"/>
          <w:b/>
          <w:szCs w:val="32"/>
        </w:rPr>
        <w:t xml:space="preserve">规范地方政府债务管理，多渠道筹集资金化解债务风险。推动政府引导基金实质化运作，加强融资平台管理，加快推进政府和社会资本合作（PPP），最大限度放大财政资金杠杆效能。加强财政监督检查，抓好预决算公开、会计信息质量以及医疗保障、生态环保、现代农业等民生资金管理使用情况监督检查，推动建立覆盖所有政府性资金和财政运行全过程的监督检查机制。     </w:t>
      </w:r>
    </w:p>
    <w:p>
      <w:pPr>
        <w:spacing w:line="560" w:lineRule="exact"/>
        <w:ind w:firstLine="604" w:firstLineChars="200"/>
        <w:rPr>
          <w:rFonts w:ascii="Times New Roman" w:hAnsi="Times New Roman"/>
          <w:b/>
          <w:spacing w:val="4"/>
        </w:rPr>
      </w:pPr>
      <w:r>
        <w:rPr>
          <w:rFonts w:ascii="Times New Roman" w:hAnsi="Times New Roman"/>
          <w:b/>
          <w:szCs w:val="32"/>
        </w:rPr>
        <mc:AlternateContent>
          <mc:Choice Requires="wps">
            <w:drawing>
              <wp:anchor distT="0" distB="0" distL="114300" distR="114300" simplePos="0" relativeHeight="251659264" behindDoc="0" locked="0" layoutInCell="1" allowOverlap="1">
                <wp:simplePos x="0" y="0"/>
                <wp:positionH relativeFrom="column">
                  <wp:posOffset>7726045</wp:posOffset>
                </wp:positionH>
                <wp:positionV relativeFrom="paragraph">
                  <wp:posOffset>4970145</wp:posOffset>
                </wp:positionV>
                <wp:extent cx="1143000" cy="8382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1143000" cy="8382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08.35pt;margin-top:391.35pt;height:66pt;width:90pt;z-index:251659264;mso-width-relative:page;mso-height-relative:page;" fillcolor="#FFFFFF" filled="t" stroked="t" coordsize="21600,21600" o:gfxdata="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BmrzZAAAADQEA&#10;AA8AAAAAAAAAAQAgAAAAIgAAAGRycy9kb3ducmV2LnhtbFBLAQIUABQAAAAIAIdO4kBo/nKA4AEA&#10;AN4DAAAOAAAAAAAAAAEAIAAAACgBAABkcnMvZTJvRG9jLnhtbFBLBQYAAAAABgAGAFkBAAB6BQAA&#10;AAA=&#10;">
                <v:fill on="t" focussize="0,0"/>
                <v:stroke color="#FFFFFF" joinstyle="miter"/>
                <v:imagedata o:title=""/>
                <o:lock v:ext="edit" aspectratio="f"/>
              </v:rect>
            </w:pict>
          </mc:Fallback>
        </mc:AlternateContent>
      </w:r>
      <w:r>
        <w:rPr>
          <w:rFonts w:ascii="Times New Roman" w:hAnsi="Times New Roman"/>
          <w:b/>
          <w:spacing w:val="4"/>
        </w:rPr>
        <w:t>主任、各位副主任、各位委员，今年的财政工作任务繁重而艰巨，我们一定认真落实本次会议决议，在县委的坚强领导下，在县人大及其常委会的监督、指导和支持下，真抓实干、奋力开拓，努力完成全年各项任务目标，为全县工作争先进位、走向前列奠定坚实的基础。</w:t>
      </w:r>
    </w:p>
    <w:p>
      <w:pPr>
        <w:spacing w:line="560" w:lineRule="exact"/>
        <w:ind w:firstLine="620" w:firstLineChars="200"/>
        <w:rPr>
          <w:rFonts w:ascii="Times New Roman" w:hAnsi="Times New Roman"/>
          <w:b/>
          <w:spacing w:val="4"/>
        </w:rPr>
      </w:pPr>
      <w:bookmarkStart w:id="0" w:name="_GoBack"/>
      <w:bookmarkEnd w:id="0"/>
    </w:p>
    <w:p>
      <w:pPr>
        <w:jc w:val="center"/>
        <w:rPr>
          <w:rFonts w:ascii="Times New Roman" w:hAnsi="Times New Roman" w:eastAsia="方正小标宋简体"/>
          <w:w w:val="80"/>
          <w:kern w:val="0"/>
          <w:sz w:val="72"/>
          <w:szCs w:val="72"/>
        </w:rPr>
      </w:pPr>
    </w:p>
    <w:p>
      <w:pPr>
        <w:jc w:val="center"/>
        <w:rPr>
          <w:rFonts w:ascii="Times New Roman" w:hAnsi="Times New Roman" w:eastAsia="方正小标宋简体"/>
          <w:w w:val="80"/>
          <w:kern w:val="0"/>
          <w:sz w:val="72"/>
          <w:szCs w:val="72"/>
        </w:rPr>
      </w:pPr>
    </w:p>
    <w:p>
      <w:pPr>
        <w:jc w:val="center"/>
        <w:rPr>
          <w:rFonts w:ascii="Times New Roman" w:hAnsi="Times New Roman" w:eastAsia="方正小标宋简体"/>
          <w:w w:val="90"/>
          <w:kern w:val="0"/>
          <w:sz w:val="56"/>
          <w:szCs w:val="72"/>
        </w:rPr>
      </w:pPr>
      <w:r>
        <w:rPr>
          <w:rFonts w:ascii="Times New Roman" w:hAnsi="Times New Roman" w:eastAsia="方正小标宋简体"/>
          <w:w w:val="90"/>
          <w:kern w:val="0"/>
          <w:sz w:val="56"/>
          <w:szCs w:val="72"/>
        </w:rPr>
        <w:t>沂源县2016年财政决算草案</w:t>
      </w: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ind w:firstLine="764" w:firstLineChars="200"/>
        <w:rPr>
          <w:rFonts w:ascii="Times New Roman" w:hAnsi="Times New Roman" w:eastAsia="文星标宋"/>
          <w:kern w:val="0"/>
          <w:sz w:val="40"/>
          <w:szCs w:val="40"/>
        </w:rPr>
      </w:pPr>
    </w:p>
    <w:p>
      <w:pPr>
        <w:spacing w:line="560" w:lineRule="exact"/>
        <w:jc w:val="center"/>
        <w:rPr>
          <w:rFonts w:ascii="Times New Roman" w:hAnsi="Times New Roman" w:eastAsia="宋体"/>
          <w:b/>
          <w:sz w:val="24"/>
        </w:rPr>
      </w:pPr>
      <w:r>
        <w:rPr>
          <w:rFonts w:ascii="Times New Roman" w:hAnsi="Times New Roman" w:eastAsia="宋体"/>
          <w:b/>
          <w:kern w:val="0"/>
          <w:szCs w:val="40"/>
        </w:rPr>
        <w:t>沂 源 县 财 政 局</w:t>
      </w:r>
    </w:p>
    <w:p>
      <w:pPr>
        <w:spacing w:line="560" w:lineRule="exact"/>
        <w:jc w:val="center"/>
        <w:rPr>
          <w:rFonts w:ascii="Times New Roman" w:hAnsi="Times New Roman"/>
          <w:b/>
        </w:rPr>
      </w:pPr>
      <w:r>
        <w:rPr>
          <w:rFonts w:ascii="Times New Roman" w:hAnsi="Times New Roman"/>
          <w:b/>
        </w:rPr>
        <w:t>2017年7月</w:t>
      </w:r>
    </w:p>
    <w:p>
      <w:pPr>
        <w:spacing w:line="560" w:lineRule="exact"/>
        <w:ind w:firstLine="604" w:firstLineChars="200"/>
        <w:rPr>
          <w:rFonts w:ascii="Times New Roman" w:hAnsi="Times New Roman"/>
          <w:b/>
        </w:rPr>
      </w:pPr>
    </w:p>
    <w:p>
      <w:pPr>
        <w:spacing w:line="560" w:lineRule="exact"/>
        <w:rPr>
          <w:rFonts w:ascii="Times New Roman" w:hAnsi="Times New Roman"/>
          <w:b/>
        </w:rPr>
      </w:pPr>
    </w:p>
    <w:tbl>
      <w:tblPr>
        <w:tblStyle w:val="12"/>
        <w:tblW w:w="9580" w:type="dxa"/>
        <w:tblInd w:w="93" w:type="dxa"/>
        <w:tblLayout w:type="fixed"/>
        <w:tblCellMar>
          <w:top w:w="0" w:type="dxa"/>
          <w:left w:w="108" w:type="dxa"/>
          <w:bottom w:w="0" w:type="dxa"/>
          <w:right w:w="108" w:type="dxa"/>
        </w:tblCellMar>
      </w:tblPr>
      <w:tblGrid>
        <w:gridCol w:w="9580"/>
      </w:tblGrid>
      <w:tr>
        <w:tblPrEx>
          <w:tblLayout w:type="fixed"/>
          <w:tblCellMar>
            <w:top w:w="0" w:type="dxa"/>
            <w:left w:w="108" w:type="dxa"/>
            <w:bottom w:w="0" w:type="dxa"/>
            <w:right w:w="108" w:type="dxa"/>
          </w:tblCellMar>
        </w:tblPrEx>
        <w:trPr>
          <w:trHeight w:val="540" w:hRule="atLeast"/>
        </w:trPr>
        <w:tc>
          <w:tcPr>
            <w:tcW w:w="9580" w:type="dxa"/>
            <w:tcBorders>
              <w:top w:val="nil"/>
              <w:left w:val="nil"/>
              <w:bottom w:val="nil"/>
              <w:right w:val="nil"/>
            </w:tcBorders>
            <w:shd w:val="clear" w:color="auto" w:fill="auto"/>
            <w:vAlign w:val="bottom"/>
          </w:tcPr>
          <w:p>
            <w:pPr>
              <w:widowControl/>
              <w:spacing w:after="274" w:afterLines="50"/>
              <w:jc w:val="center"/>
              <w:rPr>
                <w:rFonts w:ascii="Times New Roman" w:hAnsi="Times New Roman" w:eastAsia="文星简大标宋"/>
                <w:kern w:val="0"/>
                <w:sz w:val="52"/>
                <w:szCs w:val="52"/>
              </w:rPr>
            </w:pPr>
            <w:r>
              <w:rPr>
                <w:rFonts w:ascii="Times New Roman" w:hAnsi="Times New Roman" w:eastAsia="文星简大标宋"/>
                <w:kern w:val="0"/>
                <w:sz w:val="48"/>
                <w:szCs w:val="52"/>
              </w:rPr>
              <w:t>目      录</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tabs>
                <w:tab w:val="left" w:pos="8271"/>
              </w:tabs>
              <w:spacing w:line="560" w:lineRule="exact"/>
              <w:ind w:right="667" w:rightChars="221" w:firstLine="49" w:firstLineChars="22"/>
              <w:rPr>
                <w:rFonts w:ascii="Times New Roman" w:hAnsi="Times New Roman"/>
                <w:b/>
                <w:kern w:val="0"/>
                <w:sz w:val="24"/>
                <w:szCs w:val="24"/>
              </w:rPr>
            </w:pPr>
            <w:r>
              <w:rPr>
                <w:rFonts w:ascii="Times New Roman" w:hAnsi="Times New Roman"/>
                <w:b/>
                <w:kern w:val="0"/>
                <w:sz w:val="24"/>
                <w:szCs w:val="24"/>
              </w:rPr>
              <w:t>1、2016年沂源县一般公共预算收入决算草案表………………………………………（14）</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2、2016年沂源县一般公共预算支出决算草案表………………………………………（15）</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3、2016年沂源县政府性基金预算收入决算草案表……………………………………（16）</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4、2016年沂源县政府性基金预算支出决算草案表……………………………………（17）</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5、2016年沂源县国有资本经营预算收入决算草案表…………………………………（18）</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6、2016年沂源县国有资本经营预算支出决算草案表…………………………………（19）</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7、2016年沂源县社会保险基金预算收入决算草案表…………………………………（20）</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tabs>
                <w:tab w:val="left" w:pos="8413"/>
              </w:tabs>
              <w:spacing w:line="560" w:lineRule="exact"/>
              <w:rPr>
                <w:rFonts w:ascii="Times New Roman" w:hAnsi="Times New Roman"/>
                <w:b/>
                <w:kern w:val="0"/>
                <w:sz w:val="24"/>
                <w:szCs w:val="24"/>
              </w:rPr>
            </w:pPr>
            <w:r>
              <w:rPr>
                <w:rFonts w:ascii="Times New Roman" w:hAnsi="Times New Roman"/>
                <w:b/>
                <w:kern w:val="0"/>
                <w:sz w:val="24"/>
                <w:szCs w:val="24"/>
              </w:rPr>
              <w:t>8、2016年沂源县社会保险基金预算支出决算草案表…………………………………（21）</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9、2016年沂源县社会保险基金预算结余决算草案表…………………………………（22）</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tabs>
                <w:tab w:val="left" w:pos="8271"/>
              </w:tabs>
              <w:spacing w:line="560" w:lineRule="exact"/>
              <w:rPr>
                <w:rFonts w:ascii="Times New Roman" w:hAnsi="Times New Roman"/>
                <w:b/>
                <w:kern w:val="0"/>
                <w:sz w:val="24"/>
                <w:szCs w:val="24"/>
              </w:rPr>
            </w:pPr>
            <w:r>
              <w:rPr>
                <w:rFonts w:ascii="Times New Roman" w:hAnsi="Times New Roman"/>
                <w:b/>
                <w:kern w:val="0"/>
                <w:sz w:val="24"/>
                <w:szCs w:val="24"/>
              </w:rPr>
              <w:t>10、2016年沂源县县级一般公共预算收入决算草案表……………………………</w:t>
            </w:r>
            <w:r>
              <w:rPr>
                <w:rFonts w:hint="eastAsia" w:ascii="Times New Roman" w:hAnsi="Times New Roman"/>
                <w:b/>
                <w:kern w:val="0"/>
                <w:sz w:val="24"/>
                <w:szCs w:val="24"/>
              </w:rPr>
              <w:t xml:space="preserve"> </w:t>
            </w:r>
            <w:r>
              <w:rPr>
                <w:rFonts w:ascii="Times New Roman" w:hAnsi="Times New Roman"/>
                <w:b/>
                <w:kern w:val="0"/>
                <w:sz w:val="24"/>
                <w:szCs w:val="24"/>
              </w:rPr>
              <w:t>…（23）</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11、2016年沂源县县级一般公共预算支出决算草案表……………………………</w:t>
            </w:r>
            <w:r>
              <w:rPr>
                <w:rFonts w:hint="eastAsia" w:ascii="Times New Roman" w:hAnsi="Times New Roman"/>
                <w:b/>
                <w:kern w:val="0"/>
                <w:sz w:val="24"/>
                <w:szCs w:val="24"/>
              </w:rPr>
              <w:t xml:space="preserve"> </w:t>
            </w:r>
            <w:r>
              <w:rPr>
                <w:rFonts w:ascii="Times New Roman" w:hAnsi="Times New Roman"/>
                <w:b/>
                <w:kern w:val="0"/>
                <w:sz w:val="24"/>
                <w:szCs w:val="24"/>
              </w:rPr>
              <w:t>…（24）</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12、2016年沂源县财政专户管理资金收支决算草案表……………………………</w:t>
            </w:r>
            <w:r>
              <w:rPr>
                <w:rFonts w:hint="eastAsia" w:ascii="Times New Roman" w:hAnsi="Times New Roman"/>
                <w:b/>
                <w:kern w:val="0"/>
                <w:sz w:val="24"/>
                <w:szCs w:val="24"/>
              </w:rPr>
              <w:t xml:space="preserve"> </w:t>
            </w:r>
            <w:r>
              <w:rPr>
                <w:rFonts w:ascii="Times New Roman" w:hAnsi="Times New Roman"/>
                <w:b/>
                <w:kern w:val="0"/>
                <w:sz w:val="24"/>
                <w:szCs w:val="24"/>
              </w:rPr>
              <w:t>…（25）</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13、2016年沂源县县级对下税收返还及转移支付决算草案表……………………</w:t>
            </w:r>
            <w:r>
              <w:rPr>
                <w:rFonts w:hint="eastAsia" w:ascii="Times New Roman" w:hAnsi="Times New Roman"/>
                <w:b/>
                <w:kern w:val="0"/>
                <w:sz w:val="24"/>
                <w:szCs w:val="24"/>
              </w:rPr>
              <w:t xml:space="preserve"> </w:t>
            </w:r>
            <w:r>
              <w:rPr>
                <w:rFonts w:ascii="Times New Roman" w:hAnsi="Times New Roman"/>
                <w:b/>
                <w:kern w:val="0"/>
                <w:sz w:val="24"/>
                <w:szCs w:val="24"/>
              </w:rPr>
              <w:t>…（26）</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14、2016年沂源县一般公共预算支出分类别决算草案表…………………………</w:t>
            </w:r>
            <w:r>
              <w:rPr>
                <w:rFonts w:hint="eastAsia" w:ascii="Times New Roman" w:hAnsi="Times New Roman"/>
                <w:b/>
                <w:kern w:val="0"/>
                <w:sz w:val="24"/>
                <w:szCs w:val="24"/>
              </w:rPr>
              <w:t xml:space="preserve"> </w:t>
            </w:r>
            <w:r>
              <w:rPr>
                <w:rFonts w:ascii="Times New Roman" w:hAnsi="Times New Roman"/>
                <w:b/>
                <w:kern w:val="0"/>
                <w:sz w:val="24"/>
                <w:szCs w:val="24"/>
              </w:rPr>
              <w:t>…（27）</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15、2016年沂源县一般公共预算基本支出经济分类决算草案表…………………</w:t>
            </w:r>
            <w:r>
              <w:rPr>
                <w:rFonts w:hint="eastAsia" w:ascii="Times New Roman" w:hAnsi="Times New Roman"/>
                <w:b/>
                <w:kern w:val="0"/>
                <w:sz w:val="24"/>
                <w:szCs w:val="24"/>
              </w:rPr>
              <w:t xml:space="preserve"> </w:t>
            </w:r>
            <w:r>
              <w:rPr>
                <w:rFonts w:ascii="Times New Roman" w:hAnsi="Times New Roman"/>
                <w:b/>
                <w:kern w:val="0"/>
                <w:sz w:val="24"/>
                <w:szCs w:val="24"/>
              </w:rPr>
              <w:t>…（28）</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16、2016年沂源县县级一般公共预算支出细化决算草案表………………………</w:t>
            </w:r>
            <w:r>
              <w:rPr>
                <w:rFonts w:hint="eastAsia" w:ascii="Times New Roman" w:hAnsi="Times New Roman"/>
                <w:b/>
                <w:kern w:val="0"/>
                <w:sz w:val="24"/>
                <w:szCs w:val="24"/>
              </w:rPr>
              <w:t xml:space="preserve"> </w:t>
            </w:r>
            <w:r>
              <w:rPr>
                <w:rFonts w:ascii="Times New Roman" w:hAnsi="Times New Roman"/>
                <w:b/>
                <w:kern w:val="0"/>
                <w:sz w:val="24"/>
                <w:szCs w:val="24"/>
              </w:rPr>
              <w:t>…（30）</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spacing w:line="560" w:lineRule="exact"/>
              <w:rPr>
                <w:rFonts w:ascii="Times New Roman" w:hAnsi="Times New Roman"/>
                <w:b/>
                <w:kern w:val="0"/>
                <w:sz w:val="24"/>
                <w:szCs w:val="24"/>
              </w:rPr>
            </w:pPr>
            <w:r>
              <w:rPr>
                <w:rFonts w:ascii="Times New Roman" w:hAnsi="Times New Roman"/>
                <w:b/>
                <w:kern w:val="0"/>
                <w:sz w:val="24"/>
                <w:szCs w:val="24"/>
              </w:rPr>
              <w:t>17、2016年街道办事处一般公共预算收入决算草案表…………………………</w:t>
            </w:r>
            <w:r>
              <w:rPr>
                <w:rFonts w:hint="eastAsia" w:ascii="Times New Roman" w:hAnsi="Times New Roman"/>
                <w:b/>
                <w:kern w:val="0"/>
                <w:sz w:val="24"/>
                <w:szCs w:val="24"/>
              </w:rPr>
              <w:t xml:space="preserve"> </w:t>
            </w:r>
            <w:r>
              <w:rPr>
                <w:rFonts w:ascii="Times New Roman" w:hAnsi="Times New Roman"/>
                <w:b/>
                <w:kern w:val="0"/>
                <w:sz w:val="24"/>
                <w:szCs w:val="24"/>
              </w:rPr>
              <w:t>……（3</w:t>
            </w:r>
            <w:r>
              <w:rPr>
                <w:rFonts w:hint="eastAsia" w:ascii="Times New Roman" w:hAnsi="Times New Roman"/>
                <w:b/>
                <w:kern w:val="0"/>
                <w:sz w:val="24"/>
                <w:szCs w:val="24"/>
              </w:rPr>
              <w:t>8</w:t>
            </w:r>
            <w:r>
              <w:rPr>
                <w:rFonts w:ascii="Times New Roman" w:hAnsi="Times New Roman"/>
                <w:b/>
                <w:kern w:val="0"/>
                <w:sz w:val="24"/>
                <w:szCs w:val="24"/>
              </w:rPr>
              <w:t>）</w:t>
            </w:r>
          </w:p>
        </w:tc>
      </w:tr>
      <w:tr>
        <w:tblPrEx>
          <w:tblLayout w:type="fixed"/>
          <w:tblCellMar>
            <w:top w:w="0" w:type="dxa"/>
            <w:left w:w="108" w:type="dxa"/>
            <w:bottom w:w="0" w:type="dxa"/>
            <w:right w:w="108" w:type="dxa"/>
          </w:tblCellMar>
        </w:tblPrEx>
        <w:trPr>
          <w:trHeight w:val="465" w:hRule="atLeast"/>
        </w:trPr>
        <w:tc>
          <w:tcPr>
            <w:tcW w:w="9580" w:type="dxa"/>
            <w:tcBorders>
              <w:top w:val="nil"/>
              <w:left w:val="nil"/>
              <w:bottom w:val="nil"/>
              <w:right w:val="nil"/>
            </w:tcBorders>
            <w:shd w:val="clear" w:color="auto" w:fill="auto"/>
            <w:vAlign w:val="center"/>
          </w:tcPr>
          <w:p>
            <w:pPr>
              <w:widowControl/>
              <w:tabs>
                <w:tab w:val="left" w:pos="8129"/>
              </w:tabs>
              <w:spacing w:line="560" w:lineRule="exact"/>
              <w:rPr>
                <w:rFonts w:ascii="Times New Roman" w:hAnsi="Times New Roman"/>
                <w:b/>
                <w:kern w:val="0"/>
                <w:sz w:val="24"/>
                <w:szCs w:val="24"/>
              </w:rPr>
            </w:pPr>
            <w:r>
              <w:rPr>
                <w:rFonts w:ascii="Times New Roman" w:hAnsi="Times New Roman"/>
                <w:b/>
                <w:kern w:val="0"/>
                <w:sz w:val="24"/>
                <w:szCs w:val="24"/>
              </w:rPr>
              <w:t>18、2016年街道办事处一般公共预算支出决算草案表…………………………</w:t>
            </w:r>
            <w:r>
              <w:rPr>
                <w:rFonts w:hint="eastAsia" w:ascii="Times New Roman" w:hAnsi="Times New Roman"/>
                <w:b/>
                <w:kern w:val="0"/>
                <w:sz w:val="24"/>
                <w:szCs w:val="24"/>
              </w:rPr>
              <w:t xml:space="preserve"> </w:t>
            </w:r>
            <w:r>
              <w:rPr>
                <w:rFonts w:ascii="Times New Roman" w:hAnsi="Times New Roman"/>
                <w:b/>
                <w:kern w:val="0"/>
                <w:sz w:val="24"/>
                <w:szCs w:val="24"/>
              </w:rPr>
              <w:t>……（</w:t>
            </w:r>
            <w:r>
              <w:rPr>
                <w:rFonts w:hint="eastAsia" w:ascii="Times New Roman" w:hAnsi="Times New Roman"/>
                <w:b/>
                <w:kern w:val="0"/>
                <w:sz w:val="24"/>
                <w:szCs w:val="24"/>
              </w:rPr>
              <w:t>39</w:t>
            </w:r>
            <w:r>
              <w:rPr>
                <w:rFonts w:ascii="Times New Roman" w:hAnsi="Times New Roman"/>
                <w:b/>
                <w:kern w:val="0"/>
                <w:sz w:val="24"/>
                <w:szCs w:val="24"/>
              </w:rPr>
              <w:t>）</w:t>
            </w:r>
          </w:p>
        </w:tc>
      </w:tr>
    </w:tbl>
    <w:p>
      <w:pPr>
        <w:spacing w:line="560" w:lineRule="exact"/>
        <w:ind w:firstLine="604" w:firstLineChars="200"/>
        <w:rPr>
          <w:rFonts w:ascii="Times New Roman" w:hAnsi="Times New Roman"/>
          <w:b/>
        </w:rPr>
      </w:pPr>
    </w:p>
    <w:p>
      <w:pPr>
        <w:spacing w:line="560" w:lineRule="exact"/>
        <w:ind w:firstLine="604" w:firstLineChars="200"/>
        <w:rPr>
          <w:rFonts w:ascii="Times New Roman" w:hAnsi="Times New Roman"/>
          <w:b/>
        </w:rPr>
      </w:pPr>
    </w:p>
    <w:p>
      <w:pPr>
        <w:spacing w:line="560" w:lineRule="exact"/>
        <w:ind w:firstLine="604" w:firstLineChars="200"/>
        <w:rPr>
          <w:rFonts w:ascii="Times New Roman" w:hAnsi="Times New Roman"/>
          <w:b/>
        </w:rPr>
      </w:pPr>
    </w:p>
    <w:p>
      <w:pPr>
        <w:spacing w:line="560" w:lineRule="exact"/>
        <w:rPr>
          <w:rFonts w:ascii="黑体" w:hAnsi="Times New Roman" w:eastAsia="黑体"/>
          <w:kern w:val="0"/>
          <w:szCs w:val="32"/>
        </w:rPr>
      </w:pPr>
      <w:r>
        <w:rPr>
          <w:rFonts w:hint="eastAsia" w:ascii="黑体" w:hAnsi="Times New Roman" w:eastAsia="黑体"/>
          <w:kern w:val="0"/>
          <w:szCs w:val="32"/>
        </w:rPr>
        <w:t>表1</w:t>
      </w:r>
    </w:p>
    <w:p>
      <w:pPr>
        <w:spacing w:line="54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2016沂源县一般公共预算收入决算草案表</w:t>
      </w:r>
    </w:p>
    <w:p>
      <w:pPr>
        <w:spacing w:line="560" w:lineRule="exact"/>
        <w:ind w:firstLine="364" w:firstLineChars="200"/>
        <w:jc w:val="right"/>
        <w:rPr>
          <w:rFonts w:ascii="Times New Roman" w:hAnsi="Times New Roman"/>
          <w:b/>
        </w:rPr>
      </w:pPr>
      <w:r>
        <w:rPr>
          <w:rFonts w:ascii="Times New Roman" w:hAnsi="Times New Roman" w:eastAsia="宋体"/>
          <w:kern w:val="0"/>
          <w:sz w:val="20"/>
          <w:szCs w:val="20"/>
        </w:rPr>
        <w:t>单位：万元</w:t>
      </w:r>
    </w:p>
    <w:tbl>
      <w:tblPr>
        <w:tblStyle w:val="12"/>
        <w:tblW w:w="9655" w:type="dxa"/>
        <w:jc w:val="center"/>
        <w:tblInd w:w="0" w:type="dxa"/>
        <w:tblLayout w:type="fixed"/>
        <w:tblCellMar>
          <w:top w:w="0" w:type="dxa"/>
          <w:left w:w="108" w:type="dxa"/>
          <w:bottom w:w="0" w:type="dxa"/>
          <w:right w:w="108" w:type="dxa"/>
        </w:tblCellMar>
      </w:tblPr>
      <w:tblGrid>
        <w:gridCol w:w="2939"/>
        <w:gridCol w:w="1380"/>
        <w:gridCol w:w="1359"/>
        <w:gridCol w:w="1258"/>
        <w:gridCol w:w="1298"/>
        <w:gridCol w:w="1421"/>
      </w:tblGrid>
      <w:tr>
        <w:tblPrEx>
          <w:tblLayout w:type="fixed"/>
          <w:tblCellMar>
            <w:top w:w="0" w:type="dxa"/>
            <w:left w:w="108" w:type="dxa"/>
            <w:bottom w:w="0" w:type="dxa"/>
            <w:right w:w="108" w:type="dxa"/>
          </w:tblCellMar>
        </w:tblPrEx>
        <w:trPr>
          <w:trHeight w:val="294" w:hRule="atLeast"/>
          <w:jc w:val="center"/>
        </w:trPr>
        <w:tc>
          <w:tcPr>
            <w:tcW w:w="2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黑体"/>
                <w:kern w:val="0"/>
                <w:sz w:val="20"/>
                <w:szCs w:val="20"/>
              </w:rPr>
            </w:pPr>
            <w:r>
              <w:rPr>
                <w:rFonts w:ascii="Times New Roman" w:hAnsi="Times New Roman" w:eastAsia="黑体"/>
                <w:kern w:val="0"/>
                <w:sz w:val="20"/>
                <w:szCs w:val="20"/>
              </w:rPr>
              <w:t>2015年决算数</w:t>
            </w:r>
          </w:p>
        </w:tc>
        <w:tc>
          <w:tcPr>
            <w:tcW w:w="1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黑体"/>
                <w:kern w:val="0"/>
                <w:sz w:val="20"/>
                <w:szCs w:val="20"/>
              </w:rPr>
            </w:pPr>
            <w:r>
              <w:rPr>
                <w:rFonts w:ascii="Times New Roman" w:hAnsi="Times New Roman" w:eastAsia="黑体"/>
                <w:kern w:val="0"/>
                <w:sz w:val="20"/>
                <w:szCs w:val="20"/>
              </w:rPr>
              <w:t>2016年预算数</w:t>
            </w:r>
          </w:p>
        </w:tc>
        <w:tc>
          <w:tcPr>
            <w:tcW w:w="3977" w:type="dxa"/>
            <w:gridSpan w:val="3"/>
            <w:tcBorders>
              <w:top w:val="single" w:color="auto" w:sz="4" w:space="0"/>
              <w:left w:val="nil"/>
              <w:bottom w:val="nil"/>
              <w:right w:val="single" w:color="000000" w:sz="4" w:space="0"/>
            </w:tcBorders>
            <w:shd w:val="clear" w:color="auto" w:fill="auto"/>
            <w:vAlign w:val="center"/>
          </w:tcPr>
          <w:p>
            <w:pPr>
              <w:widowControl/>
              <w:spacing w:line="22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294" w:hRule="atLeast"/>
          <w:jc w:val="center"/>
        </w:trPr>
        <w:tc>
          <w:tcPr>
            <w:tcW w:w="29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黑体"/>
                <w:kern w:val="0"/>
                <w:sz w:val="20"/>
                <w:szCs w:val="20"/>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黑体"/>
                <w:kern w:val="0"/>
                <w:sz w:val="20"/>
                <w:szCs w:val="20"/>
              </w:rPr>
            </w:pPr>
          </w:p>
        </w:tc>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黑体"/>
                <w:kern w:val="0"/>
                <w:sz w:val="20"/>
                <w:szCs w:val="20"/>
              </w:rPr>
            </w:pP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129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黑体"/>
                <w:kern w:val="0"/>
                <w:sz w:val="20"/>
                <w:szCs w:val="20"/>
              </w:rPr>
            </w:pPr>
            <w:r>
              <w:rPr>
                <w:rFonts w:ascii="Times New Roman" w:hAnsi="Times New Roman" w:eastAsia="黑体"/>
                <w:kern w:val="0"/>
                <w:sz w:val="20"/>
                <w:szCs w:val="20"/>
              </w:rPr>
              <w:t>占预算%</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黑体"/>
                <w:kern w:val="0"/>
                <w:sz w:val="20"/>
                <w:szCs w:val="20"/>
              </w:rPr>
            </w:pPr>
            <w:r>
              <w:rPr>
                <w:rFonts w:ascii="Times New Roman" w:hAnsi="Times New Roman" w:eastAsia="黑体"/>
                <w:kern w:val="0"/>
                <w:sz w:val="20"/>
                <w:szCs w:val="20"/>
              </w:rPr>
              <w:t>比上年增长%</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一、税收收入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138240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125243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125518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100.22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-9.20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增值税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17844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34851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34851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95.31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其中:改征增值税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营业税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33017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15855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15855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-51.98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企业所得税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20132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12587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12861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102.18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-36.12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企业所得税退税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个人所得税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3972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4639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4640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100.02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16.82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资源税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4816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5424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5424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12.62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城县维护建设税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5592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5488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5488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-1.86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房产税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3371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4130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4130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22.52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印花税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1882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1113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1113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-40.86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城镇土地使用税</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5479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6249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6249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14.05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single" w:color="auto" w:sz="4" w:space="0"/>
            </w:tcBorders>
            <w:shd w:val="clear" w:color="000000" w:fill="FFFFFF"/>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土地增值税</w:t>
            </w:r>
          </w:p>
        </w:tc>
        <w:tc>
          <w:tcPr>
            <w:tcW w:w="1380"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9436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4547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4547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-51.81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single" w:color="auto" w:sz="4" w:space="0"/>
            </w:tcBorders>
            <w:shd w:val="clear" w:color="000000" w:fill="FFFFFF"/>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车船税</w:t>
            </w:r>
          </w:p>
        </w:tc>
        <w:tc>
          <w:tcPr>
            <w:tcW w:w="1380"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1188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1253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1253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5.47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single" w:color="auto" w:sz="4" w:space="0"/>
            </w:tcBorders>
            <w:shd w:val="clear" w:color="000000" w:fill="FFFFFF"/>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耕地占用税</w:t>
            </w:r>
          </w:p>
        </w:tc>
        <w:tc>
          <w:tcPr>
            <w:tcW w:w="1380"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26882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22743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22743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-15.40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single" w:color="auto" w:sz="4" w:space="0"/>
            </w:tcBorders>
            <w:shd w:val="clear" w:color="000000" w:fill="FFFFFF"/>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契税</w:t>
            </w:r>
          </w:p>
        </w:tc>
        <w:tc>
          <w:tcPr>
            <w:tcW w:w="1380"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4474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6127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6127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36.95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single" w:color="auto" w:sz="4" w:space="0"/>
            </w:tcBorders>
            <w:shd w:val="clear" w:color="000000" w:fill="FFFFFF"/>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烟叶税</w:t>
            </w:r>
          </w:p>
        </w:tc>
        <w:tc>
          <w:tcPr>
            <w:tcW w:w="1380"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155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237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237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52.90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其他税收收入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二、非税收入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45315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65925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65925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45.48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专项收入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8352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7960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7961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100.01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-4.68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行政事业性收费收入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19184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19581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19581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2.07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罚没收入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3144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4413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4413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40.36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single" w:color="auto" w:sz="4" w:space="0"/>
            </w:tcBorders>
            <w:shd w:val="clear" w:color="000000" w:fill="FFFFFF"/>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国有资本经营收入</w:t>
            </w:r>
          </w:p>
        </w:tc>
        <w:tc>
          <w:tcPr>
            <w:tcW w:w="1380"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single" w:color="auto" w:sz="4" w:space="0"/>
            </w:tcBorders>
            <w:shd w:val="clear" w:color="000000" w:fill="FFFFFF"/>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国有资源(资产)有偿使用收入</w:t>
            </w:r>
          </w:p>
        </w:tc>
        <w:tc>
          <w:tcPr>
            <w:tcW w:w="1380"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14635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33971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33970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132.11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本年收入合计</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183555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191168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191443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100.14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5.88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转移性收入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164732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227639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229764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100.93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39.48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地方政府一般债务转贷收入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39312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56200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56200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42.96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返还性收入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12219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12219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12182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99.70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-0.30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一般性转移支付收入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69150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78763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83279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105.73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20.43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专项转移支付收入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42757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39522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38797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98.17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-9.26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调入资金</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905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38929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37300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95.82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4021.55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调入预算稳定调节基金</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上年结转及结余收入</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389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2006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2006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100.00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415.68 </w:t>
            </w:r>
          </w:p>
        </w:tc>
      </w:tr>
      <w:tr>
        <w:tblPrEx>
          <w:tblLayout w:type="fixed"/>
          <w:tblCellMar>
            <w:top w:w="0" w:type="dxa"/>
            <w:left w:w="108" w:type="dxa"/>
            <w:bottom w:w="0" w:type="dxa"/>
            <w:right w:w="108" w:type="dxa"/>
          </w:tblCellMar>
        </w:tblPrEx>
        <w:trPr>
          <w:trHeight w:val="294" w:hRule="atLeast"/>
          <w:jc w:val="center"/>
        </w:trPr>
        <w:tc>
          <w:tcPr>
            <w:tcW w:w="2939" w:type="dxa"/>
            <w:tcBorders>
              <w:top w:val="nil"/>
              <w:left w:val="single" w:color="auto" w:sz="4" w:space="0"/>
              <w:bottom w:val="nil"/>
              <w:right w:val="nil"/>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收入总计</w:t>
            </w:r>
          </w:p>
        </w:tc>
        <w:tc>
          <w:tcPr>
            <w:tcW w:w="1380" w:type="dxa"/>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348287 </w:t>
            </w:r>
          </w:p>
        </w:tc>
        <w:tc>
          <w:tcPr>
            <w:tcW w:w="1359"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418807 </w:t>
            </w:r>
          </w:p>
        </w:tc>
        <w:tc>
          <w:tcPr>
            <w:tcW w:w="125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421207 </w:t>
            </w:r>
          </w:p>
        </w:tc>
        <w:tc>
          <w:tcPr>
            <w:tcW w:w="1298"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100.57 </w:t>
            </w:r>
          </w:p>
        </w:tc>
        <w:tc>
          <w:tcPr>
            <w:tcW w:w="1421" w:type="dxa"/>
            <w:tcBorders>
              <w:top w:val="nil"/>
              <w:left w:val="nil"/>
              <w:bottom w:val="nil"/>
              <w:right w:val="single" w:color="auto" w:sz="4" w:space="0"/>
            </w:tcBorders>
            <w:shd w:val="clear" w:color="auto" w:fill="auto"/>
            <w:vAlign w:val="center"/>
          </w:tcPr>
          <w:p>
            <w:pPr>
              <w:widowControl/>
              <w:spacing w:line="22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20.94 </w:t>
            </w:r>
          </w:p>
        </w:tc>
      </w:tr>
      <w:tr>
        <w:tblPrEx>
          <w:tblLayout w:type="fixed"/>
          <w:tblCellMar>
            <w:top w:w="0" w:type="dxa"/>
            <w:left w:w="108" w:type="dxa"/>
            <w:bottom w:w="0" w:type="dxa"/>
            <w:right w:w="108" w:type="dxa"/>
          </w:tblCellMar>
        </w:tblPrEx>
        <w:trPr>
          <w:trHeight w:val="294" w:hRule="atLeast"/>
          <w:jc w:val="center"/>
        </w:trPr>
        <w:tc>
          <w:tcPr>
            <w:tcW w:w="9655" w:type="dxa"/>
            <w:gridSpan w:val="6"/>
            <w:tcBorders>
              <w:top w:val="single" w:color="auto" w:sz="4" w:space="0"/>
              <w:left w:val="nil"/>
              <w:bottom w:val="nil"/>
              <w:right w:val="nil"/>
            </w:tcBorders>
            <w:shd w:val="clear" w:color="auto" w:fill="auto"/>
            <w:vAlign w:val="center"/>
          </w:tcPr>
          <w:p>
            <w:pPr>
              <w:widowControl/>
              <w:spacing w:line="220" w:lineRule="exact"/>
              <w:jc w:val="left"/>
              <w:rPr>
                <w:rFonts w:ascii="Times New Roman" w:hAnsi="Times New Roman" w:eastAsia="宋体"/>
                <w:kern w:val="0"/>
                <w:sz w:val="20"/>
                <w:szCs w:val="20"/>
              </w:rPr>
            </w:pPr>
            <w:r>
              <w:rPr>
                <w:rFonts w:ascii="Times New Roman" w:hAnsi="Times New Roman" w:eastAsia="宋体"/>
                <w:kern w:val="0"/>
                <w:sz w:val="20"/>
                <w:szCs w:val="20"/>
              </w:rPr>
              <w:t>备注：2016年预算数是指经各级人代会或其常委会按照法定程序审查批准的预算（或调整预算）的汇总数。</w:t>
            </w:r>
          </w:p>
        </w:tc>
      </w:tr>
    </w:tbl>
    <w:p>
      <w:pPr>
        <w:spacing w:line="560" w:lineRule="exact"/>
        <w:rPr>
          <w:rFonts w:ascii="Times New Roman" w:hAnsi="Times New Roman" w:eastAsia="黑体"/>
          <w:kern w:val="0"/>
          <w:szCs w:val="32"/>
        </w:rPr>
      </w:pPr>
      <w:r>
        <w:rPr>
          <w:rFonts w:ascii="Times New Roman" w:hAnsi="Times New Roman" w:eastAsia="黑体"/>
          <w:kern w:val="0"/>
          <w:szCs w:val="32"/>
        </w:rPr>
        <w:t>表2</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2016年沂源县一般公共预算支出决算草案表</w:t>
      </w:r>
    </w:p>
    <w:p>
      <w:pPr>
        <w:spacing w:line="560" w:lineRule="exact"/>
        <w:jc w:val="right"/>
        <w:rPr>
          <w:rFonts w:ascii="Times New Roman" w:hAnsi="Times New Roman"/>
          <w:b/>
        </w:rPr>
      </w:pPr>
      <w:r>
        <w:rPr>
          <w:rFonts w:ascii="Times New Roman" w:hAnsi="Times New Roman" w:eastAsia="宋体"/>
          <w:kern w:val="0"/>
          <w:sz w:val="20"/>
          <w:szCs w:val="20"/>
        </w:rPr>
        <w:t>单位：万元</w:t>
      </w:r>
    </w:p>
    <w:tbl>
      <w:tblPr>
        <w:tblStyle w:val="12"/>
        <w:tblW w:w="9733" w:type="dxa"/>
        <w:jc w:val="center"/>
        <w:tblInd w:w="0" w:type="dxa"/>
        <w:tblLayout w:type="fixed"/>
        <w:tblCellMar>
          <w:top w:w="0" w:type="dxa"/>
          <w:left w:w="108" w:type="dxa"/>
          <w:bottom w:w="0" w:type="dxa"/>
          <w:right w:w="108" w:type="dxa"/>
        </w:tblCellMar>
      </w:tblPr>
      <w:tblGrid>
        <w:gridCol w:w="2557"/>
        <w:gridCol w:w="1519"/>
        <w:gridCol w:w="1453"/>
        <w:gridCol w:w="1431"/>
        <w:gridCol w:w="1453"/>
        <w:gridCol w:w="1320"/>
      </w:tblGrid>
      <w:tr>
        <w:tblPrEx>
          <w:tblLayout w:type="fixed"/>
          <w:tblCellMar>
            <w:top w:w="0" w:type="dxa"/>
            <w:left w:w="108" w:type="dxa"/>
            <w:bottom w:w="0" w:type="dxa"/>
            <w:right w:w="108" w:type="dxa"/>
          </w:tblCellMar>
        </w:tblPrEx>
        <w:trPr>
          <w:trHeight w:val="325" w:hRule="atLeast"/>
          <w:jc w:val="center"/>
        </w:trPr>
        <w:tc>
          <w:tcPr>
            <w:tcW w:w="2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kern w:val="0"/>
                <w:sz w:val="20"/>
                <w:szCs w:val="20"/>
              </w:rPr>
            </w:pPr>
            <w:r>
              <w:rPr>
                <w:rFonts w:ascii="Times New Roman" w:hAnsi="Times New Roman" w:eastAsia="黑体"/>
                <w:kern w:val="0"/>
                <w:sz w:val="20"/>
                <w:szCs w:val="20"/>
              </w:rPr>
              <w:t>2015年决算数</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kern w:val="0"/>
                <w:sz w:val="20"/>
                <w:szCs w:val="20"/>
              </w:rPr>
            </w:pPr>
            <w:r>
              <w:rPr>
                <w:rFonts w:ascii="Times New Roman" w:hAnsi="Times New Roman" w:eastAsia="黑体"/>
                <w:kern w:val="0"/>
                <w:sz w:val="20"/>
                <w:szCs w:val="20"/>
              </w:rPr>
              <w:t>2016年预算数</w:t>
            </w:r>
          </w:p>
        </w:tc>
        <w:tc>
          <w:tcPr>
            <w:tcW w:w="4204" w:type="dxa"/>
            <w:gridSpan w:val="3"/>
            <w:tcBorders>
              <w:top w:val="single" w:color="auto" w:sz="4" w:space="0"/>
              <w:left w:val="nil"/>
              <w:bottom w:val="nil"/>
              <w:right w:val="single" w:color="000000" w:sz="4" w:space="0"/>
            </w:tcBorders>
            <w:shd w:val="clear" w:color="auto" w:fill="auto"/>
            <w:vAlign w:val="center"/>
          </w:tcPr>
          <w:p>
            <w:pPr>
              <w:widowControl/>
              <w:spacing w:line="24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325" w:hRule="atLeast"/>
          <w:jc w:val="center"/>
        </w:trPr>
        <w:tc>
          <w:tcPr>
            <w:tcW w:w="25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黑体"/>
                <w:kern w:val="0"/>
                <w:sz w:val="20"/>
                <w:szCs w:val="20"/>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黑体"/>
                <w:kern w:val="0"/>
                <w:sz w:val="20"/>
                <w:szCs w:val="20"/>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黑体"/>
                <w:kern w:val="0"/>
                <w:sz w:val="20"/>
                <w:szCs w:val="20"/>
              </w:rPr>
            </w:pP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14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kern w:val="0"/>
                <w:sz w:val="20"/>
                <w:szCs w:val="20"/>
              </w:rPr>
            </w:pPr>
            <w:r>
              <w:rPr>
                <w:rFonts w:ascii="Times New Roman" w:hAnsi="Times New Roman" w:eastAsia="黑体"/>
                <w:kern w:val="0"/>
                <w:sz w:val="20"/>
                <w:szCs w:val="20"/>
              </w:rPr>
              <w:t>占预算%</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kern w:val="0"/>
                <w:sz w:val="20"/>
                <w:szCs w:val="20"/>
              </w:rPr>
            </w:pPr>
            <w:r>
              <w:rPr>
                <w:rFonts w:ascii="Times New Roman" w:hAnsi="Times New Roman" w:eastAsia="黑体"/>
                <w:kern w:val="0"/>
                <w:sz w:val="20"/>
                <w:szCs w:val="20"/>
              </w:rPr>
              <w:t>比上年增长%</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一、一般公共服务</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22565</w:t>
            </w:r>
          </w:p>
        </w:tc>
        <w:tc>
          <w:tcPr>
            <w:tcW w:w="1453"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32053</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29425</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91.80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30.40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二、外交支出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31"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三、国防支出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155</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215</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215</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38.71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四、公共安全支出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9757</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13302</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13599</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102.23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39.38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五、教育支出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87873</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101147</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100002</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98.87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13.80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六、科学技术支出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1563</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1624</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2980</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183.50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90.66</w:t>
            </w:r>
            <w:r>
              <w:rPr>
                <w:rFonts w:ascii="Times New Roman" w:hAnsi="Times New Roman" w:eastAsia="宋体"/>
                <w:kern w:val="0"/>
                <w:sz w:val="20"/>
                <w:szCs w:val="20"/>
              </w:rPr>
              <w:t xml:space="preserve">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七、文化体育与传媒支出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2908</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3005</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3190</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106.16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9.70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八、社会保障和就业支出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33596</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43310</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40455</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93.41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20.42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九、医疗卫生与计划生育支出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31226</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42557</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41883</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98.42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34.13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十、节能环保支出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5837</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3172</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5917</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186.54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1.37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十一、城乡社区支出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10447</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11030</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11221</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101.73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7.41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十二、农林水支出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48908</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48479</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46438</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95.79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-5.05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十三、交通运输支出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3456</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3668</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6946</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189.37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100.98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十四、资源勘探信息等支出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4491</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4979</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4590</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92.19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2.20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十五、商业服务业等支出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1852</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1556</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2398</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154.11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29.48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十六、金融支出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215</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139</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153</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110.07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-28.84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十七、援助其他地区支出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722</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864</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742</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85.88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2.77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十八、国土海洋气象等支出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3786</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3029</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2750</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90.79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-27.36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十九、住房保障支出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2864</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12673</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12992</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102.52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353.63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二十、粮油物资储备支出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497</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697</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695</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99.71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39.84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二十一、预备费</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二十二、债务付息支出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402</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1344</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1869</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139.06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364.93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二十三、其他支出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666</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724</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1120</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154.70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68.17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本年支出合计</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273786 </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329567</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329580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100.00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20.38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转移性支出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74501 </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89240 </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91627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102.67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22.99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一般转移支付支出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上解上级支出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36639 </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33279 </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33699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101.26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-8.02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地方政府债券还本支出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35712 </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51200 </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51200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43.37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安排预算稳定调节基金</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144 </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1218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745.83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结转下年支出</w:t>
            </w:r>
          </w:p>
        </w:tc>
        <w:tc>
          <w:tcPr>
            <w:tcW w:w="1519" w:type="dxa"/>
            <w:tcBorders>
              <w:top w:val="nil"/>
              <w:left w:val="nil"/>
              <w:bottom w:val="nil"/>
              <w:right w:val="nil"/>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2006 </w:t>
            </w:r>
          </w:p>
        </w:tc>
        <w:tc>
          <w:tcPr>
            <w:tcW w:w="1453"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4761 </w:t>
            </w:r>
          </w:p>
        </w:tc>
        <w:tc>
          <w:tcPr>
            <w:tcW w:w="1431"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5510 </w:t>
            </w:r>
          </w:p>
        </w:tc>
        <w:tc>
          <w:tcPr>
            <w:tcW w:w="145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115.73 </w:t>
            </w:r>
          </w:p>
        </w:tc>
        <w:tc>
          <w:tcPr>
            <w:tcW w:w="1320"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174.68 </w:t>
            </w:r>
          </w:p>
        </w:tc>
      </w:tr>
      <w:tr>
        <w:tblPrEx>
          <w:tblLayout w:type="fixed"/>
          <w:tblCellMar>
            <w:top w:w="0" w:type="dxa"/>
            <w:left w:w="108" w:type="dxa"/>
            <w:bottom w:w="0" w:type="dxa"/>
            <w:right w:w="108" w:type="dxa"/>
          </w:tblCellMar>
        </w:tblPrEx>
        <w:trPr>
          <w:trHeight w:val="325" w:hRule="atLeast"/>
          <w:jc w:val="center"/>
        </w:trPr>
        <w:tc>
          <w:tcPr>
            <w:tcW w:w="2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支出总计</w:t>
            </w:r>
          </w:p>
        </w:tc>
        <w:tc>
          <w:tcPr>
            <w:tcW w:w="1519"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348287 </w:t>
            </w:r>
          </w:p>
        </w:tc>
        <w:tc>
          <w:tcPr>
            <w:tcW w:w="14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418807 </w:t>
            </w:r>
          </w:p>
        </w:tc>
        <w:tc>
          <w:tcPr>
            <w:tcW w:w="1431"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421207 </w:t>
            </w:r>
          </w:p>
        </w:tc>
        <w:tc>
          <w:tcPr>
            <w:tcW w:w="14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100.57 </w:t>
            </w:r>
          </w:p>
        </w:tc>
        <w:tc>
          <w:tcPr>
            <w:tcW w:w="13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20.94 </w:t>
            </w:r>
          </w:p>
        </w:tc>
      </w:tr>
      <w:tr>
        <w:tblPrEx>
          <w:tblLayout w:type="fixed"/>
          <w:tblCellMar>
            <w:top w:w="0" w:type="dxa"/>
            <w:left w:w="108" w:type="dxa"/>
            <w:bottom w:w="0" w:type="dxa"/>
            <w:right w:w="108" w:type="dxa"/>
          </w:tblCellMar>
        </w:tblPrEx>
        <w:trPr>
          <w:trHeight w:val="325" w:hRule="atLeast"/>
          <w:jc w:val="center"/>
        </w:trPr>
        <w:tc>
          <w:tcPr>
            <w:tcW w:w="9733" w:type="dxa"/>
            <w:gridSpan w:val="6"/>
            <w:tcBorders>
              <w:top w:val="nil"/>
              <w:left w:val="nil"/>
              <w:bottom w:val="nil"/>
              <w:right w:val="nil"/>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备注：2016年预算数是指经各级人代会或其常委会按照法定程序审查批准的预算（或调整预算）的汇总数。</w:t>
            </w:r>
          </w:p>
        </w:tc>
      </w:tr>
    </w:tbl>
    <w:p>
      <w:pPr>
        <w:spacing w:line="560" w:lineRule="exact"/>
        <w:rPr>
          <w:rFonts w:ascii="Times New Roman" w:hAnsi="Times New Roman" w:eastAsia="黑体"/>
          <w:kern w:val="0"/>
          <w:szCs w:val="32"/>
        </w:rPr>
      </w:pPr>
      <w:r>
        <w:rPr>
          <w:rFonts w:ascii="Times New Roman" w:hAnsi="Times New Roman" w:eastAsia="黑体"/>
          <w:kern w:val="0"/>
          <w:szCs w:val="32"/>
        </w:rPr>
        <w:t>表3</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2016年沂源县政府性基金预算收入决算草案表</w:t>
      </w:r>
    </w:p>
    <w:p>
      <w:pPr>
        <w:spacing w:line="560" w:lineRule="exact"/>
        <w:jc w:val="right"/>
        <w:rPr>
          <w:rFonts w:ascii="Times New Roman" w:hAnsi="Times New Roman"/>
          <w:b/>
        </w:rPr>
      </w:pPr>
      <w:r>
        <w:rPr>
          <w:rFonts w:ascii="Times New Roman" w:hAnsi="Times New Roman" w:eastAsia="宋体"/>
          <w:kern w:val="0"/>
          <w:sz w:val="20"/>
          <w:szCs w:val="20"/>
        </w:rPr>
        <w:t>单位：万元</w:t>
      </w:r>
    </w:p>
    <w:tbl>
      <w:tblPr>
        <w:tblStyle w:val="12"/>
        <w:tblW w:w="9660" w:type="dxa"/>
        <w:jc w:val="center"/>
        <w:tblInd w:w="763" w:type="dxa"/>
        <w:tblLayout w:type="fixed"/>
        <w:tblCellMar>
          <w:top w:w="0" w:type="dxa"/>
          <w:left w:w="108" w:type="dxa"/>
          <w:bottom w:w="0" w:type="dxa"/>
          <w:right w:w="108" w:type="dxa"/>
        </w:tblCellMar>
      </w:tblPr>
      <w:tblGrid>
        <w:gridCol w:w="3641"/>
        <w:gridCol w:w="1213"/>
        <w:gridCol w:w="1138"/>
        <w:gridCol w:w="1252"/>
        <w:gridCol w:w="1214"/>
        <w:gridCol w:w="1202"/>
      </w:tblGrid>
      <w:tr>
        <w:tblPrEx>
          <w:tblLayout w:type="fixed"/>
          <w:tblCellMar>
            <w:top w:w="0" w:type="dxa"/>
            <w:left w:w="108" w:type="dxa"/>
            <w:bottom w:w="0" w:type="dxa"/>
            <w:right w:w="108" w:type="dxa"/>
          </w:tblCellMar>
        </w:tblPrEx>
        <w:trPr>
          <w:trHeight w:val="523" w:hRule="atLeast"/>
          <w:jc w:val="center"/>
        </w:trPr>
        <w:tc>
          <w:tcPr>
            <w:tcW w:w="36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2015年</w:t>
            </w:r>
          </w:p>
          <w:p>
            <w:pPr>
              <w:widowControl/>
              <w:jc w:val="center"/>
              <w:rPr>
                <w:rFonts w:ascii="Times New Roman" w:hAnsi="Times New Roman" w:eastAsia="黑体"/>
                <w:kern w:val="0"/>
                <w:sz w:val="20"/>
                <w:szCs w:val="20"/>
              </w:rPr>
            </w:pPr>
            <w:r>
              <w:rPr>
                <w:rFonts w:ascii="Times New Roman" w:hAnsi="Times New Roman" w:eastAsia="黑体"/>
                <w:kern w:val="0"/>
                <w:sz w:val="20"/>
                <w:szCs w:val="20"/>
              </w:rPr>
              <w:t>决算数</w:t>
            </w:r>
          </w:p>
        </w:tc>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2016年</w:t>
            </w:r>
            <w:r>
              <w:rPr>
                <w:rFonts w:ascii="Times New Roman" w:hAnsi="Times New Roman" w:eastAsia="黑体"/>
                <w:kern w:val="0"/>
                <w:sz w:val="20"/>
                <w:szCs w:val="20"/>
              </w:rPr>
              <w:br w:type="textWrapping"/>
            </w:r>
            <w:r>
              <w:rPr>
                <w:rFonts w:ascii="Times New Roman" w:hAnsi="Times New Roman" w:eastAsia="黑体"/>
                <w:kern w:val="0"/>
                <w:sz w:val="20"/>
                <w:szCs w:val="20"/>
              </w:rPr>
              <w:t>预算数</w:t>
            </w:r>
          </w:p>
        </w:tc>
        <w:tc>
          <w:tcPr>
            <w:tcW w:w="3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523" w:hRule="atLeast"/>
          <w:jc w:val="center"/>
        </w:trPr>
        <w:tc>
          <w:tcPr>
            <w:tcW w:w="3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kern w:val="0"/>
                <w:sz w:val="20"/>
                <w:szCs w:val="20"/>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kern w:val="0"/>
                <w:sz w:val="20"/>
                <w:szCs w:val="20"/>
              </w:rPr>
            </w:pP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kern w:val="0"/>
                <w:sz w:val="20"/>
                <w:szCs w:val="20"/>
              </w:rPr>
            </w:pP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占预算%</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比上年</w:t>
            </w:r>
          </w:p>
          <w:p>
            <w:pPr>
              <w:widowControl/>
              <w:jc w:val="center"/>
              <w:rPr>
                <w:rFonts w:ascii="Times New Roman" w:hAnsi="Times New Roman" w:eastAsia="黑体"/>
                <w:kern w:val="0"/>
                <w:sz w:val="20"/>
                <w:szCs w:val="20"/>
              </w:rPr>
            </w:pPr>
            <w:r>
              <w:rPr>
                <w:rFonts w:ascii="Times New Roman" w:hAnsi="Times New Roman" w:eastAsia="黑体"/>
                <w:kern w:val="0"/>
                <w:sz w:val="20"/>
                <w:szCs w:val="20"/>
              </w:rPr>
              <w:t>增长%</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一、散装水泥及新型墙体材料专项资金收入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二、城县公用事业附加收入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1250</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1147</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1147</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-8.24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三、国有土地收益基金收入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332</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332</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四、农业土地开发资金收入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五、国有土地使用权出让收入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12276</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87353</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87353</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611.58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六、彩票公益金收入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346</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520</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674</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129.62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94.80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七、城县基础设施配套费收入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八、其他政府性基金收入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本年基金收入合计</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13872</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89352</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89506</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100.17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545.23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转移性收入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8165</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71703</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72318</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100.86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785.71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 xml:space="preserve">    债务转贷收入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66100 </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66100</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 xml:space="preserve">    上级补助收入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7558</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5000 </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5615</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112.30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-25.71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 xml:space="preserve">    上年结转及结余收入</w:t>
            </w:r>
          </w:p>
        </w:tc>
        <w:tc>
          <w:tcPr>
            <w:tcW w:w="1213"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607</w:t>
            </w:r>
          </w:p>
        </w:tc>
        <w:tc>
          <w:tcPr>
            <w:tcW w:w="1138"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603</w:t>
            </w:r>
          </w:p>
        </w:tc>
        <w:tc>
          <w:tcPr>
            <w:tcW w:w="125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603</w:t>
            </w:r>
          </w:p>
        </w:tc>
        <w:tc>
          <w:tcPr>
            <w:tcW w:w="12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120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-0.66 </w:t>
            </w:r>
          </w:p>
        </w:tc>
      </w:tr>
      <w:tr>
        <w:tblPrEx>
          <w:tblLayout w:type="fixed"/>
          <w:tblCellMar>
            <w:top w:w="0" w:type="dxa"/>
            <w:left w:w="108" w:type="dxa"/>
            <w:bottom w:w="0" w:type="dxa"/>
            <w:right w:w="108" w:type="dxa"/>
          </w:tblCellMar>
        </w:tblPrEx>
        <w:trPr>
          <w:trHeight w:val="614" w:hRule="atLeast"/>
          <w:jc w:val="center"/>
        </w:trPr>
        <w:tc>
          <w:tcPr>
            <w:tcW w:w="3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收入总计</w:t>
            </w:r>
          </w:p>
        </w:tc>
        <w:tc>
          <w:tcPr>
            <w:tcW w:w="12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22037</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161055</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161824</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100.48 </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634.33 </w:t>
            </w:r>
          </w:p>
        </w:tc>
      </w:tr>
      <w:tr>
        <w:tblPrEx>
          <w:tblLayout w:type="fixed"/>
          <w:tblCellMar>
            <w:top w:w="0" w:type="dxa"/>
            <w:left w:w="108" w:type="dxa"/>
            <w:bottom w:w="0" w:type="dxa"/>
            <w:right w:w="108" w:type="dxa"/>
          </w:tblCellMar>
        </w:tblPrEx>
        <w:trPr>
          <w:trHeight w:val="614" w:hRule="atLeast"/>
          <w:jc w:val="center"/>
        </w:trPr>
        <w:tc>
          <w:tcPr>
            <w:tcW w:w="9660" w:type="dxa"/>
            <w:gridSpan w:val="6"/>
            <w:tcBorders>
              <w:top w:val="nil"/>
              <w:left w:val="nil"/>
              <w:bottom w:val="nil"/>
              <w:right w:val="nil"/>
            </w:tcBorders>
            <w:shd w:val="clear" w:color="auto" w:fill="auto"/>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备注：2016年预算数是指经各级人代会或其常委会按照法定程序审查批准的预算（或调整预算）的汇总数。</w:t>
            </w:r>
          </w:p>
        </w:tc>
      </w:tr>
    </w:tbl>
    <w:p>
      <w:pPr>
        <w:spacing w:line="560" w:lineRule="exact"/>
        <w:ind w:firstLine="604" w:firstLineChars="200"/>
        <w:rPr>
          <w:rFonts w:ascii="Times New Roman" w:hAnsi="Times New Roman"/>
          <w:b/>
        </w:rPr>
      </w:pPr>
    </w:p>
    <w:p>
      <w:pPr>
        <w:spacing w:line="560" w:lineRule="exact"/>
        <w:rPr>
          <w:rFonts w:ascii="Times New Roman" w:hAnsi="Times New Roman" w:eastAsia="黑体"/>
          <w:kern w:val="0"/>
          <w:szCs w:val="32"/>
        </w:rPr>
      </w:pPr>
      <w:r>
        <w:rPr>
          <w:rFonts w:ascii="Times New Roman" w:hAnsi="Times New Roman" w:eastAsia="黑体"/>
          <w:kern w:val="0"/>
          <w:szCs w:val="32"/>
        </w:rPr>
        <w:t>表4</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2016年沂源县政府性基金预算支出决算草案表</w:t>
      </w:r>
    </w:p>
    <w:p>
      <w:pPr>
        <w:spacing w:line="560" w:lineRule="exact"/>
        <w:ind w:right="181"/>
        <w:jc w:val="right"/>
        <w:rPr>
          <w:rFonts w:ascii="Times New Roman" w:hAnsi="Times New Roman"/>
          <w:b/>
        </w:rPr>
      </w:pPr>
      <w:r>
        <w:rPr>
          <w:rFonts w:ascii="Times New Roman" w:hAnsi="Times New Roman" w:eastAsia="宋体"/>
          <w:kern w:val="0"/>
          <w:sz w:val="20"/>
          <w:szCs w:val="20"/>
        </w:rPr>
        <w:t>单位：万元</w:t>
      </w:r>
    </w:p>
    <w:tbl>
      <w:tblPr>
        <w:tblStyle w:val="12"/>
        <w:tblW w:w="9682" w:type="dxa"/>
        <w:jc w:val="center"/>
        <w:tblInd w:w="93" w:type="dxa"/>
        <w:tblLayout w:type="fixed"/>
        <w:tblCellMar>
          <w:top w:w="0" w:type="dxa"/>
          <w:left w:w="108" w:type="dxa"/>
          <w:bottom w:w="0" w:type="dxa"/>
          <w:right w:w="108" w:type="dxa"/>
        </w:tblCellMar>
      </w:tblPr>
      <w:tblGrid>
        <w:gridCol w:w="5487"/>
        <w:gridCol w:w="808"/>
        <w:gridCol w:w="808"/>
        <w:gridCol w:w="763"/>
        <w:gridCol w:w="921"/>
        <w:gridCol w:w="895"/>
      </w:tblGrid>
      <w:tr>
        <w:tblPrEx>
          <w:tblLayout w:type="fixed"/>
          <w:tblCellMar>
            <w:top w:w="0" w:type="dxa"/>
            <w:left w:w="108" w:type="dxa"/>
            <w:bottom w:w="0" w:type="dxa"/>
            <w:right w:w="108" w:type="dxa"/>
          </w:tblCellMar>
        </w:tblPrEx>
        <w:trPr>
          <w:trHeight w:val="360" w:hRule="atLeast"/>
          <w:jc w:val="center"/>
        </w:trPr>
        <w:tc>
          <w:tcPr>
            <w:tcW w:w="5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2015年</w:t>
            </w:r>
            <w:r>
              <w:rPr>
                <w:rFonts w:ascii="Times New Roman" w:hAnsi="Times New Roman" w:eastAsia="黑体"/>
                <w:kern w:val="0"/>
                <w:sz w:val="20"/>
                <w:szCs w:val="20"/>
              </w:rPr>
              <w:br w:type="textWrapping"/>
            </w:r>
            <w:r>
              <w:rPr>
                <w:rFonts w:ascii="Times New Roman" w:hAnsi="Times New Roman" w:eastAsia="黑体"/>
                <w:kern w:val="0"/>
                <w:sz w:val="20"/>
                <w:szCs w:val="20"/>
              </w:rPr>
              <w:t>决算数</w:t>
            </w:r>
          </w:p>
        </w:tc>
        <w:tc>
          <w:tcPr>
            <w:tcW w:w="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w:t>
            </w:r>
            <w:r>
              <w:rPr>
                <w:rFonts w:ascii="Times New Roman" w:hAnsi="Times New Roman" w:eastAsia="黑体"/>
                <w:kern w:val="0"/>
                <w:sz w:val="20"/>
                <w:szCs w:val="20"/>
              </w:rPr>
              <w:br w:type="textWrapping"/>
            </w:r>
            <w:r>
              <w:rPr>
                <w:rFonts w:ascii="Times New Roman" w:hAnsi="Times New Roman" w:eastAsia="黑体"/>
                <w:kern w:val="0"/>
                <w:sz w:val="20"/>
                <w:szCs w:val="20"/>
              </w:rPr>
              <w:t>预算数</w:t>
            </w:r>
          </w:p>
        </w:tc>
        <w:tc>
          <w:tcPr>
            <w:tcW w:w="257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360" w:hRule="atLeast"/>
          <w:jc w:val="center"/>
        </w:trPr>
        <w:tc>
          <w:tcPr>
            <w:tcW w:w="54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76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92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占预算%</w:t>
            </w:r>
          </w:p>
        </w:tc>
        <w:tc>
          <w:tcPr>
            <w:tcW w:w="8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比上年</w:t>
            </w:r>
            <w:r>
              <w:rPr>
                <w:rFonts w:ascii="Times New Roman" w:hAnsi="Times New Roman" w:eastAsia="黑体"/>
                <w:kern w:val="0"/>
                <w:sz w:val="20"/>
                <w:szCs w:val="20"/>
              </w:rPr>
              <w:br w:type="textWrapping"/>
            </w:r>
            <w:r>
              <w:rPr>
                <w:rFonts w:ascii="Times New Roman" w:hAnsi="Times New Roman" w:eastAsia="黑体"/>
                <w:kern w:val="0"/>
                <w:sz w:val="20"/>
                <w:szCs w:val="20"/>
              </w:rPr>
              <w:t>增长%</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一、文化体育与传媒支出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国家电影事业发展专项资金及对应专项债务收入安排的支出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二、社会保障和就业支出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2531</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2531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1861</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73.53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-26.47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大中型水库移民后期扶持基金支出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2347</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2347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1546</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65.87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-34.13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小型水库移民扶助基金及对应专项债务收入安排的支出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184</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184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315</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171.20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71.20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三、城乡社区支出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16298</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100119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100783</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100.66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518.38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国有土地使用权出让收入及对应专项债务收入安排的支出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12398</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98353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98279</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99.92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692.70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城市公用事业附加及对应专项债务收入安排的支出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1250</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1147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1122</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97.82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-10.24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国有土地收益基金及对应专项债务收入安排的支出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332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332</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政府住房基金及对应专项债务收入安排的支出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274</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spacing w:val="-4"/>
                <w:kern w:val="0"/>
                <w:sz w:val="20"/>
                <w:szCs w:val="20"/>
              </w:rPr>
            </w:pPr>
            <w:r>
              <w:rPr>
                <w:rFonts w:ascii="Times New Roman" w:hAnsi="Times New Roman" w:eastAsia="宋体"/>
                <w:spacing w:val="-4"/>
                <w:kern w:val="0"/>
                <w:sz w:val="20"/>
                <w:szCs w:val="20"/>
              </w:rPr>
              <w:t>新增建设用地土地有偿使用费及对应专项债务收入安排的支出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2376</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287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1050</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365.85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-55.81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四、商业服务业等支出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58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108</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186.21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旅游发展基金支出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58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108</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186.21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五、农林水支出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40</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水土保持补偿费安排的支出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40</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六、资源勘探信息等支出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116</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116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散装水泥专项资金及对应专项债务收入安排的支出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56</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56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新型墙体材料专项基金及对应专项债务收入安排的支出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60</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60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七、其他支出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2445</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2528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1517</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60.01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-37.96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彩票公益金及对应专项债务收入安排的支出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2445</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2445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1517</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62.04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-37.96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八、债务付息支出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134</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本年基金支出合计</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21430</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105352</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104404</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99.10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387.19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转移性支出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607</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55703</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57420</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103.08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9359.64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债务还本支出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55100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55100</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调出资金</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4</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1218</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30350.00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上解上级支出</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59</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年终累计结余</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603</w:t>
            </w:r>
          </w:p>
        </w:tc>
        <w:tc>
          <w:tcPr>
            <w:tcW w:w="80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603 </w:t>
            </w:r>
          </w:p>
        </w:tc>
        <w:tc>
          <w:tcPr>
            <w:tcW w:w="763"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1043</w:t>
            </w:r>
          </w:p>
        </w:tc>
        <w:tc>
          <w:tcPr>
            <w:tcW w:w="9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172.97 </w:t>
            </w:r>
          </w:p>
        </w:tc>
        <w:tc>
          <w:tcPr>
            <w:tcW w:w="8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72.97 </w:t>
            </w:r>
          </w:p>
        </w:tc>
      </w:tr>
      <w:tr>
        <w:tblPrEx>
          <w:tblLayout w:type="fixed"/>
          <w:tblCellMar>
            <w:top w:w="0" w:type="dxa"/>
            <w:left w:w="108" w:type="dxa"/>
            <w:bottom w:w="0" w:type="dxa"/>
            <w:right w:w="108" w:type="dxa"/>
          </w:tblCellMar>
        </w:tblPrEx>
        <w:trPr>
          <w:trHeight w:val="342" w:hRule="atLeast"/>
          <w:jc w:val="center"/>
        </w:trPr>
        <w:tc>
          <w:tcPr>
            <w:tcW w:w="5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支出总计</w:t>
            </w:r>
          </w:p>
        </w:tc>
        <w:tc>
          <w:tcPr>
            <w:tcW w:w="8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22037</w:t>
            </w:r>
          </w:p>
        </w:tc>
        <w:tc>
          <w:tcPr>
            <w:tcW w:w="8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161055</w:t>
            </w:r>
          </w:p>
        </w:tc>
        <w:tc>
          <w:tcPr>
            <w:tcW w:w="76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161824</w:t>
            </w:r>
          </w:p>
        </w:tc>
        <w:tc>
          <w:tcPr>
            <w:tcW w:w="92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100.48 </w:t>
            </w:r>
          </w:p>
        </w:tc>
        <w:tc>
          <w:tcPr>
            <w:tcW w:w="8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634.33 </w:t>
            </w:r>
          </w:p>
        </w:tc>
      </w:tr>
      <w:tr>
        <w:tblPrEx>
          <w:tblLayout w:type="fixed"/>
          <w:tblCellMar>
            <w:top w:w="0" w:type="dxa"/>
            <w:left w:w="108" w:type="dxa"/>
            <w:bottom w:w="0" w:type="dxa"/>
            <w:right w:w="108" w:type="dxa"/>
          </w:tblCellMar>
        </w:tblPrEx>
        <w:trPr>
          <w:trHeight w:val="342" w:hRule="atLeast"/>
          <w:jc w:val="center"/>
        </w:trPr>
        <w:tc>
          <w:tcPr>
            <w:tcW w:w="9682" w:type="dxa"/>
            <w:gridSpan w:val="6"/>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备注：2016年预算数是指经各级人代会或其常委会按照法定程序审查批准的预算（或调整预算）的汇总数。</w:t>
            </w:r>
          </w:p>
        </w:tc>
      </w:tr>
    </w:tbl>
    <w:p>
      <w:pPr>
        <w:spacing w:line="560" w:lineRule="exact"/>
        <w:ind w:firstLine="604" w:firstLineChars="200"/>
        <w:rPr>
          <w:rFonts w:ascii="Times New Roman" w:hAnsi="Times New Roman"/>
          <w:b/>
        </w:rPr>
      </w:pPr>
    </w:p>
    <w:p>
      <w:pPr>
        <w:spacing w:line="560" w:lineRule="exact"/>
        <w:rPr>
          <w:rFonts w:ascii="Times New Roman" w:hAnsi="Times New Roman" w:eastAsia="黑体"/>
          <w:kern w:val="0"/>
          <w:szCs w:val="32"/>
        </w:rPr>
      </w:pPr>
      <w:r>
        <w:rPr>
          <w:rFonts w:ascii="Times New Roman" w:hAnsi="Times New Roman" w:eastAsia="黑体"/>
          <w:kern w:val="0"/>
          <w:szCs w:val="32"/>
        </w:rPr>
        <w:t>表5</w:t>
      </w:r>
    </w:p>
    <w:p>
      <w:pPr>
        <w:spacing w:line="560" w:lineRule="exact"/>
        <w:jc w:val="center"/>
        <w:rPr>
          <w:rFonts w:ascii="Times New Roman" w:hAnsi="Times New Roman" w:eastAsia="方正小标宋简体"/>
          <w:spacing w:val="-8"/>
          <w:kern w:val="0"/>
          <w:sz w:val="44"/>
          <w:szCs w:val="32"/>
        </w:rPr>
      </w:pPr>
      <w:r>
        <w:rPr>
          <w:rFonts w:ascii="Times New Roman" w:hAnsi="Times New Roman" w:eastAsia="方正小标宋简体"/>
          <w:spacing w:val="-8"/>
          <w:kern w:val="0"/>
          <w:sz w:val="44"/>
          <w:szCs w:val="32"/>
        </w:rPr>
        <w:t>2016年沂源县国有资本经营预算收入决算草案表</w:t>
      </w:r>
    </w:p>
    <w:p>
      <w:pPr>
        <w:spacing w:line="560" w:lineRule="exact"/>
        <w:jc w:val="right"/>
        <w:rPr>
          <w:rFonts w:ascii="Times New Roman" w:hAnsi="Times New Roman"/>
          <w:b/>
        </w:rPr>
      </w:pPr>
      <w:r>
        <w:rPr>
          <w:rFonts w:ascii="Times New Roman" w:hAnsi="Times New Roman" w:eastAsia="宋体"/>
          <w:kern w:val="0"/>
          <w:sz w:val="20"/>
          <w:szCs w:val="20"/>
        </w:rPr>
        <w:t>单位：万元</w:t>
      </w:r>
    </w:p>
    <w:tbl>
      <w:tblPr>
        <w:tblStyle w:val="12"/>
        <w:tblW w:w="9530" w:type="dxa"/>
        <w:jc w:val="center"/>
        <w:tblInd w:w="0" w:type="dxa"/>
        <w:tblLayout w:type="fixed"/>
        <w:tblCellMar>
          <w:top w:w="0" w:type="dxa"/>
          <w:left w:w="108" w:type="dxa"/>
          <w:bottom w:w="0" w:type="dxa"/>
          <w:right w:w="108" w:type="dxa"/>
        </w:tblCellMar>
      </w:tblPr>
      <w:tblGrid>
        <w:gridCol w:w="236"/>
        <w:gridCol w:w="3603"/>
        <w:gridCol w:w="1278"/>
        <w:gridCol w:w="1278"/>
        <w:gridCol w:w="1278"/>
        <w:gridCol w:w="980"/>
        <w:gridCol w:w="877"/>
      </w:tblGrid>
      <w:tr>
        <w:tblPrEx>
          <w:tblLayout w:type="fixed"/>
          <w:tblCellMar>
            <w:top w:w="0" w:type="dxa"/>
            <w:left w:w="108" w:type="dxa"/>
            <w:bottom w:w="0" w:type="dxa"/>
            <w:right w:w="108" w:type="dxa"/>
          </w:tblCellMar>
        </w:tblPrEx>
        <w:trPr>
          <w:trHeight w:val="534"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2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2015年</w:t>
            </w:r>
            <w:r>
              <w:rPr>
                <w:rFonts w:ascii="Times New Roman" w:hAnsi="Times New Roman" w:eastAsia="黑体"/>
                <w:kern w:val="0"/>
                <w:sz w:val="20"/>
                <w:szCs w:val="20"/>
              </w:rPr>
              <w:br w:type="textWrapping"/>
            </w:r>
            <w:r>
              <w:rPr>
                <w:rFonts w:ascii="Times New Roman" w:hAnsi="Times New Roman" w:eastAsia="黑体"/>
                <w:kern w:val="0"/>
                <w:sz w:val="20"/>
                <w:szCs w:val="20"/>
              </w:rPr>
              <w:t>决算数</w:t>
            </w:r>
          </w:p>
        </w:tc>
        <w:tc>
          <w:tcPr>
            <w:tcW w:w="12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w:t>
            </w:r>
            <w:r>
              <w:rPr>
                <w:rFonts w:ascii="Times New Roman" w:hAnsi="Times New Roman" w:eastAsia="黑体"/>
                <w:kern w:val="0"/>
                <w:sz w:val="20"/>
                <w:szCs w:val="20"/>
              </w:rPr>
              <w:br w:type="textWrapping"/>
            </w:r>
            <w:r>
              <w:rPr>
                <w:rFonts w:ascii="Times New Roman" w:hAnsi="Times New Roman" w:eastAsia="黑体"/>
                <w:kern w:val="0"/>
                <w:sz w:val="20"/>
                <w:szCs w:val="20"/>
              </w:rPr>
              <w:t>预算数</w:t>
            </w:r>
          </w:p>
        </w:tc>
        <w:tc>
          <w:tcPr>
            <w:tcW w:w="31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534"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9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占预算%</w:t>
            </w:r>
          </w:p>
        </w:tc>
        <w:tc>
          <w:tcPr>
            <w:tcW w:w="87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比上年增长%</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一、利润收入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ind w:left="-274" w:leftChars="-91" w:firstLine="275" w:firstLineChars="151"/>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煤炭企业利润收入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有色冶金采掘企业利润收入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钢铁企业利润收入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运输企业利润收入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机械企业利润收入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投资服务企业利润收入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纺织轻工企业利润收入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贸易企业利润收入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其他国有资本经营预算企业利润收入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二、股利、股息收入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961</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502</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574</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114.34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-40.27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三、产权转让收入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14000</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四、清算收入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五、其他国有资本经营预算收入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38593</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38521</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99.81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本年收入合计</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14961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39095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39095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100.00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161.31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转移性收入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国有资本经营预算转移支付收入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p>
        </w:tc>
        <w:tc>
          <w:tcPr>
            <w:tcW w:w="1278"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上年结转收入</w:t>
            </w:r>
          </w:p>
        </w:tc>
        <w:tc>
          <w:tcPr>
            <w:tcW w:w="1278"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8"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p>
        </w:tc>
        <w:tc>
          <w:tcPr>
            <w:tcW w:w="1278"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98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87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r>
      <w:tr>
        <w:tblPrEx>
          <w:tblLayout w:type="fixed"/>
          <w:tblCellMar>
            <w:top w:w="0" w:type="dxa"/>
            <w:left w:w="108" w:type="dxa"/>
            <w:bottom w:w="0" w:type="dxa"/>
            <w:right w:w="108" w:type="dxa"/>
          </w:tblCellMar>
        </w:tblPrEx>
        <w:trPr>
          <w:trHeight w:val="520" w:hRule="atLeast"/>
          <w:jc w:val="center"/>
        </w:trPr>
        <w:tc>
          <w:tcPr>
            <w:tcW w:w="236" w:type="dxa"/>
            <w:tcBorders>
              <w:top w:val="nil"/>
              <w:left w:val="nil"/>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3603" w:type="dxa"/>
            <w:tcBorders>
              <w:top w:val="nil"/>
              <w:left w:val="single" w:color="auto" w:sz="4" w:space="0"/>
              <w:bottom w:val="single" w:color="auto" w:sz="4" w:space="0"/>
              <w:right w:val="nil"/>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收入总计</w:t>
            </w:r>
          </w:p>
        </w:tc>
        <w:tc>
          <w:tcPr>
            <w:tcW w:w="127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14961 </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39095 </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39095 </w:t>
            </w:r>
          </w:p>
        </w:tc>
        <w:tc>
          <w:tcPr>
            <w:tcW w:w="9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100.00 </w:t>
            </w:r>
          </w:p>
        </w:tc>
        <w:tc>
          <w:tcPr>
            <w:tcW w:w="87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161.31 </w:t>
            </w:r>
          </w:p>
        </w:tc>
      </w:tr>
    </w:tbl>
    <w:p>
      <w:pPr>
        <w:spacing w:line="560" w:lineRule="exact"/>
        <w:ind w:firstLine="604" w:firstLineChars="200"/>
        <w:rPr>
          <w:rFonts w:ascii="Times New Roman" w:hAnsi="Times New Roman"/>
          <w:b/>
        </w:rPr>
      </w:pPr>
    </w:p>
    <w:p>
      <w:pPr>
        <w:widowControl/>
        <w:jc w:val="left"/>
        <w:rPr>
          <w:rFonts w:ascii="Times New Roman" w:hAnsi="Times New Roman" w:eastAsia="黑体"/>
          <w:kern w:val="0"/>
          <w:szCs w:val="32"/>
        </w:rPr>
      </w:pPr>
      <w:r>
        <w:rPr>
          <w:rFonts w:ascii="Times New Roman" w:hAnsi="Times New Roman" w:eastAsia="黑体"/>
          <w:kern w:val="0"/>
          <w:szCs w:val="32"/>
        </w:rPr>
        <w:t>表6</w:t>
      </w:r>
    </w:p>
    <w:p>
      <w:pPr>
        <w:widowControl/>
        <w:jc w:val="center"/>
        <w:rPr>
          <w:rFonts w:ascii="Times New Roman" w:hAnsi="Times New Roman" w:eastAsia="方正小标宋简体"/>
          <w:spacing w:val="-4"/>
          <w:kern w:val="0"/>
          <w:sz w:val="44"/>
          <w:szCs w:val="32"/>
        </w:rPr>
      </w:pPr>
      <w:r>
        <w:rPr>
          <w:rFonts w:ascii="Times New Roman" w:hAnsi="Times New Roman" w:eastAsia="方正小标宋简体"/>
          <w:spacing w:val="-4"/>
          <w:kern w:val="0"/>
          <w:sz w:val="44"/>
          <w:szCs w:val="32"/>
        </w:rPr>
        <w:t>2016年沂源县国有资本经营预算支出决算草案表</w:t>
      </w:r>
    </w:p>
    <w:p>
      <w:pPr>
        <w:spacing w:line="560" w:lineRule="exact"/>
        <w:jc w:val="right"/>
        <w:rPr>
          <w:rFonts w:ascii="Times New Roman" w:hAnsi="Times New Roman" w:eastAsia="文星简大标宋"/>
          <w:kern w:val="0"/>
          <w:szCs w:val="32"/>
        </w:rPr>
      </w:pPr>
      <w:r>
        <w:rPr>
          <w:rFonts w:ascii="Times New Roman" w:hAnsi="Times New Roman" w:eastAsia="宋体"/>
          <w:kern w:val="0"/>
          <w:sz w:val="20"/>
          <w:szCs w:val="20"/>
        </w:rPr>
        <w:t>单位：万元</w:t>
      </w:r>
    </w:p>
    <w:tbl>
      <w:tblPr>
        <w:tblStyle w:val="12"/>
        <w:tblW w:w="9241" w:type="dxa"/>
        <w:jc w:val="center"/>
        <w:tblInd w:w="93" w:type="dxa"/>
        <w:tblLayout w:type="fixed"/>
        <w:tblCellMar>
          <w:top w:w="0" w:type="dxa"/>
          <w:left w:w="108" w:type="dxa"/>
          <w:bottom w:w="0" w:type="dxa"/>
          <w:right w:w="108" w:type="dxa"/>
        </w:tblCellMar>
      </w:tblPr>
      <w:tblGrid>
        <w:gridCol w:w="3415"/>
        <w:gridCol w:w="1165"/>
        <w:gridCol w:w="1165"/>
        <w:gridCol w:w="1165"/>
        <w:gridCol w:w="1165"/>
        <w:gridCol w:w="1166"/>
      </w:tblGrid>
      <w:tr>
        <w:tblPrEx>
          <w:tblLayout w:type="fixed"/>
          <w:tblCellMar>
            <w:top w:w="0" w:type="dxa"/>
            <w:left w:w="108" w:type="dxa"/>
            <w:bottom w:w="0" w:type="dxa"/>
            <w:right w:w="108" w:type="dxa"/>
          </w:tblCellMar>
        </w:tblPrEx>
        <w:trPr>
          <w:trHeight w:val="470" w:hRule="atLeast"/>
          <w:jc w:val="center"/>
        </w:trPr>
        <w:tc>
          <w:tcPr>
            <w:tcW w:w="34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1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2015年</w:t>
            </w:r>
            <w:r>
              <w:rPr>
                <w:rFonts w:ascii="Times New Roman" w:hAnsi="Times New Roman" w:eastAsia="黑体"/>
                <w:kern w:val="0"/>
                <w:sz w:val="20"/>
                <w:szCs w:val="20"/>
              </w:rPr>
              <w:br w:type="textWrapping"/>
            </w:r>
            <w:r>
              <w:rPr>
                <w:rFonts w:ascii="Times New Roman" w:hAnsi="Times New Roman" w:eastAsia="黑体"/>
                <w:kern w:val="0"/>
                <w:sz w:val="20"/>
                <w:szCs w:val="20"/>
              </w:rPr>
              <w:t>决算数</w:t>
            </w:r>
          </w:p>
        </w:tc>
        <w:tc>
          <w:tcPr>
            <w:tcW w:w="11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w:t>
            </w:r>
            <w:r>
              <w:rPr>
                <w:rFonts w:ascii="Times New Roman" w:hAnsi="Times New Roman" w:eastAsia="黑体"/>
                <w:kern w:val="0"/>
                <w:sz w:val="20"/>
                <w:szCs w:val="20"/>
              </w:rPr>
              <w:br w:type="textWrapping"/>
            </w:r>
            <w:r>
              <w:rPr>
                <w:rFonts w:ascii="Times New Roman" w:hAnsi="Times New Roman" w:eastAsia="黑体"/>
                <w:kern w:val="0"/>
                <w:sz w:val="20"/>
                <w:szCs w:val="20"/>
              </w:rPr>
              <w:t>预算数</w:t>
            </w:r>
          </w:p>
        </w:tc>
        <w:tc>
          <w:tcPr>
            <w:tcW w:w="34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470" w:hRule="atLeast"/>
          <w:jc w:val="center"/>
        </w:trPr>
        <w:tc>
          <w:tcPr>
            <w:tcW w:w="341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16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116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占预算%</w:t>
            </w:r>
          </w:p>
        </w:tc>
        <w:tc>
          <w:tcPr>
            <w:tcW w:w="11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比上年</w:t>
            </w:r>
            <w:r>
              <w:rPr>
                <w:rFonts w:ascii="Times New Roman" w:hAnsi="Times New Roman" w:eastAsia="黑体"/>
                <w:kern w:val="0"/>
                <w:sz w:val="20"/>
                <w:szCs w:val="20"/>
              </w:rPr>
              <w:br w:type="textWrapping"/>
            </w:r>
            <w:r>
              <w:rPr>
                <w:rFonts w:ascii="Times New Roman" w:hAnsi="Times New Roman" w:eastAsia="黑体"/>
                <w:kern w:val="0"/>
                <w:sz w:val="20"/>
                <w:szCs w:val="20"/>
              </w:rPr>
              <w:t>增长%</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一、解决历史遗留问题及改革成本支出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85</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34</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40.00</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国有企业办职教幼教补助支出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30</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18</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60.00</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国有企业改革成本支出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55</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16</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29.09</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其他解决历史遗留问题及改革成本支出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二、国有企业资本金注入</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50</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国有经济结构调整支出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公益性设施投资支出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支持科技进步支出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对外投资合作支出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其他国有企业资本金注入</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50</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三、国有企业政策性补贴</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四、金融国有资本经营预算支出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五、其他国有资本经营预算支出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14060</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31</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14</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45.16</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-99.90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其他国有资本经营预算支出(项)</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14060</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31</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14</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45.16</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-99.90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六、国有资本经营预算转移支付</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本年支出合计</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14060</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166</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48</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28.92</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-99.66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转移性支出</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901</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38929</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39047</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100.30</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4233.74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调出资金</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901</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38929</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35446</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91.05</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3834.07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年终结转结余</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6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3601</w:t>
            </w:r>
          </w:p>
        </w:tc>
        <w:tc>
          <w:tcPr>
            <w:tcW w:w="116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116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r>
      <w:tr>
        <w:tblPrEx>
          <w:tblLayout w:type="fixed"/>
          <w:tblCellMar>
            <w:top w:w="0" w:type="dxa"/>
            <w:left w:w="108" w:type="dxa"/>
            <w:bottom w:w="0" w:type="dxa"/>
            <w:right w:w="108" w:type="dxa"/>
          </w:tblCellMar>
        </w:tblPrEx>
        <w:trPr>
          <w:trHeight w:val="470" w:hRule="atLeast"/>
          <w:jc w:val="center"/>
        </w:trPr>
        <w:tc>
          <w:tcPr>
            <w:tcW w:w="341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支出总计</w:t>
            </w:r>
          </w:p>
        </w:tc>
        <w:tc>
          <w:tcPr>
            <w:tcW w:w="116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14961</w:t>
            </w:r>
          </w:p>
        </w:tc>
        <w:tc>
          <w:tcPr>
            <w:tcW w:w="116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39095</w:t>
            </w:r>
          </w:p>
        </w:tc>
        <w:tc>
          <w:tcPr>
            <w:tcW w:w="116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39095</w:t>
            </w:r>
          </w:p>
        </w:tc>
        <w:tc>
          <w:tcPr>
            <w:tcW w:w="116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100.00</w:t>
            </w:r>
          </w:p>
        </w:tc>
        <w:tc>
          <w:tcPr>
            <w:tcW w:w="11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161.31 </w:t>
            </w:r>
          </w:p>
        </w:tc>
      </w:tr>
    </w:tbl>
    <w:p>
      <w:pPr>
        <w:spacing w:line="560" w:lineRule="exact"/>
        <w:ind w:firstLine="604" w:firstLineChars="200"/>
        <w:rPr>
          <w:rFonts w:ascii="Times New Roman" w:hAnsi="Times New Roman"/>
          <w:b/>
        </w:rPr>
      </w:pPr>
    </w:p>
    <w:p>
      <w:pPr>
        <w:spacing w:line="560" w:lineRule="exact"/>
        <w:rPr>
          <w:rFonts w:ascii="Times New Roman" w:hAnsi="Times New Roman" w:eastAsia="方正小标宋简体"/>
          <w:kern w:val="0"/>
          <w:szCs w:val="32"/>
        </w:rPr>
      </w:pPr>
      <w:r>
        <w:rPr>
          <w:rFonts w:ascii="Times New Roman" w:hAnsi="Times New Roman" w:eastAsia="黑体"/>
          <w:kern w:val="0"/>
          <w:szCs w:val="32"/>
        </w:rPr>
        <w:t>表7</w:t>
      </w:r>
    </w:p>
    <w:p>
      <w:pPr>
        <w:spacing w:line="560" w:lineRule="exact"/>
        <w:jc w:val="center"/>
        <w:rPr>
          <w:rFonts w:ascii="Times New Roman" w:hAnsi="Times New Roman" w:eastAsia="方正小标宋简体"/>
          <w:spacing w:val="-4"/>
          <w:kern w:val="0"/>
          <w:sz w:val="44"/>
          <w:szCs w:val="44"/>
        </w:rPr>
      </w:pPr>
      <w:r>
        <w:rPr>
          <w:rFonts w:ascii="Times New Roman" w:hAnsi="Times New Roman" w:eastAsia="方正小标宋简体"/>
          <w:spacing w:val="-4"/>
          <w:kern w:val="0"/>
          <w:sz w:val="44"/>
          <w:szCs w:val="44"/>
        </w:rPr>
        <w:t>2016年沂源县社会保险基金预算收入决算草案表</w:t>
      </w:r>
    </w:p>
    <w:p>
      <w:pPr>
        <w:spacing w:line="560" w:lineRule="exact"/>
        <w:jc w:val="right"/>
        <w:rPr>
          <w:rFonts w:ascii="Times New Roman" w:hAnsi="Times New Roman"/>
          <w:b/>
        </w:rPr>
      </w:pPr>
      <w:r>
        <w:rPr>
          <w:rFonts w:ascii="Times New Roman" w:hAnsi="Times New Roman" w:eastAsia="宋体"/>
          <w:kern w:val="0"/>
          <w:sz w:val="22"/>
        </w:rPr>
        <w:t>单位：万元</w:t>
      </w:r>
    </w:p>
    <w:tbl>
      <w:tblPr>
        <w:tblStyle w:val="12"/>
        <w:tblW w:w="9501" w:type="dxa"/>
        <w:jc w:val="center"/>
        <w:tblInd w:w="93" w:type="dxa"/>
        <w:tblLayout w:type="fixed"/>
        <w:tblCellMar>
          <w:top w:w="0" w:type="dxa"/>
          <w:left w:w="108" w:type="dxa"/>
          <w:bottom w:w="0" w:type="dxa"/>
          <w:right w:w="108" w:type="dxa"/>
        </w:tblCellMar>
      </w:tblPr>
      <w:tblGrid>
        <w:gridCol w:w="4336"/>
        <w:gridCol w:w="1521"/>
        <w:gridCol w:w="1900"/>
        <w:gridCol w:w="1744"/>
      </w:tblGrid>
      <w:tr>
        <w:tblPrEx>
          <w:tblLayout w:type="fixed"/>
          <w:tblCellMar>
            <w:top w:w="0" w:type="dxa"/>
            <w:left w:w="108" w:type="dxa"/>
            <w:bottom w:w="0" w:type="dxa"/>
            <w:right w:w="108" w:type="dxa"/>
          </w:tblCellMar>
        </w:tblPrEx>
        <w:trPr>
          <w:trHeight w:val="384" w:hRule="atLeast"/>
          <w:jc w:val="center"/>
        </w:trPr>
        <w:tc>
          <w:tcPr>
            <w:tcW w:w="4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2016年预算数</w:t>
            </w:r>
          </w:p>
        </w:tc>
        <w:tc>
          <w:tcPr>
            <w:tcW w:w="364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384" w:hRule="atLeast"/>
          <w:jc w:val="center"/>
        </w:trPr>
        <w:tc>
          <w:tcPr>
            <w:tcW w:w="43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9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174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占预算%</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社会保险基金收入合计</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144946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156761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108.15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94119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115947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123.19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42627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31824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74.66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（一）企业职工基本养老保险基金收入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38091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53857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141.39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36950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50488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136.64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（二）机关事业单位基本养老保险基金收入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34953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26278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75.18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21623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24426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112.96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13300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1602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12.05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（三）居民基本养老保险基金收入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17513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17964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102.58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5620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5229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93.04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11192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11887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106.21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（四）城镇职工基本医疗保险基金收入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19339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23614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122.11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18671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23221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124.37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（五）居民基本医疗保险基金收入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27083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28338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104.63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8798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9800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111.39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18134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18334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101.10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（六）工伤保险基金收入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（七）失业保险基金收入</w:t>
            </w:r>
          </w:p>
        </w:tc>
        <w:tc>
          <w:tcPr>
            <w:tcW w:w="152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7967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6710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84.22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nil"/>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2457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2783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113.27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nil"/>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nil"/>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（八）生育保险基金收入</w:t>
            </w:r>
          </w:p>
        </w:tc>
        <w:tc>
          <w:tcPr>
            <w:tcW w:w="152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nil"/>
              <w:right w:val="nil"/>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其中：保险费收入</w:t>
            </w:r>
          </w:p>
        </w:tc>
        <w:tc>
          <w:tcPr>
            <w:tcW w:w="152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4" w:hRule="atLeast"/>
          <w:jc w:val="center"/>
        </w:trPr>
        <w:tc>
          <w:tcPr>
            <w:tcW w:w="4336" w:type="dxa"/>
            <w:tcBorders>
              <w:top w:val="nil"/>
              <w:left w:val="single" w:color="auto" w:sz="4" w:space="0"/>
              <w:bottom w:val="single" w:color="auto" w:sz="4" w:space="0"/>
              <w:right w:val="nil"/>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财政补贴收入</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74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bl>
    <w:p>
      <w:pPr>
        <w:spacing w:line="560" w:lineRule="exact"/>
        <w:rPr>
          <w:rFonts w:ascii="Times New Roman" w:hAnsi="Times New Roman" w:eastAsia="方正小标宋简体"/>
          <w:kern w:val="0"/>
          <w:szCs w:val="32"/>
        </w:rPr>
      </w:pPr>
      <w:r>
        <w:rPr>
          <w:rFonts w:ascii="Times New Roman" w:hAnsi="Times New Roman" w:eastAsia="黑体"/>
          <w:kern w:val="0"/>
          <w:szCs w:val="32"/>
        </w:rPr>
        <w:t>表8</w:t>
      </w:r>
    </w:p>
    <w:p>
      <w:pPr>
        <w:spacing w:line="560" w:lineRule="exact"/>
        <w:jc w:val="center"/>
        <w:rPr>
          <w:rFonts w:ascii="Times New Roman" w:hAnsi="Times New Roman" w:eastAsia="方正小标宋简体"/>
          <w:b/>
          <w:spacing w:val="-4"/>
          <w:sz w:val="44"/>
        </w:rPr>
      </w:pPr>
      <w:r>
        <w:rPr>
          <w:rFonts w:ascii="Times New Roman" w:hAnsi="Times New Roman" w:eastAsia="方正小标宋简体"/>
          <w:spacing w:val="-4"/>
          <w:kern w:val="0"/>
          <w:sz w:val="44"/>
          <w:szCs w:val="32"/>
        </w:rPr>
        <w:t>2016年沂源县社会保险基金预算支出决算草案表</w:t>
      </w:r>
    </w:p>
    <w:p>
      <w:pPr>
        <w:spacing w:line="560" w:lineRule="exact"/>
        <w:jc w:val="right"/>
        <w:rPr>
          <w:rFonts w:ascii="Times New Roman" w:hAnsi="Times New Roman"/>
          <w:b/>
        </w:rPr>
      </w:pPr>
      <w:r>
        <w:rPr>
          <w:rFonts w:ascii="Times New Roman" w:hAnsi="Times New Roman" w:eastAsia="宋体"/>
          <w:kern w:val="0"/>
          <w:sz w:val="22"/>
        </w:rPr>
        <w:t>单位：万元</w:t>
      </w:r>
    </w:p>
    <w:tbl>
      <w:tblPr>
        <w:tblStyle w:val="12"/>
        <w:tblW w:w="9371" w:type="dxa"/>
        <w:jc w:val="center"/>
        <w:tblInd w:w="93" w:type="dxa"/>
        <w:tblLayout w:type="fixed"/>
        <w:tblCellMar>
          <w:top w:w="0" w:type="dxa"/>
          <w:left w:w="108" w:type="dxa"/>
          <w:bottom w:w="0" w:type="dxa"/>
          <w:right w:w="108" w:type="dxa"/>
        </w:tblCellMar>
      </w:tblPr>
      <w:tblGrid>
        <w:gridCol w:w="4426"/>
        <w:gridCol w:w="1576"/>
        <w:gridCol w:w="1810"/>
        <w:gridCol w:w="1559"/>
      </w:tblGrid>
      <w:tr>
        <w:tblPrEx>
          <w:tblLayout w:type="fixed"/>
          <w:tblCellMar>
            <w:top w:w="0" w:type="dxa"/>
            <w:left w:w="108" w:type="dxa"/>
            <w:bottom w:w="0" w:type="dxa"/>
            <w:right w:w="108" w:type="dxa"/>
          </w:tblCellMar>
        </w:tblPrEx>
        <w:trPr>
          <w:trHeight w:val="560" w:hRule="atLeast"/>
          <w:jc w:val="center"/>
        </w:trPr>
        <w:tc>
          <w:tcPr>
            <w:tcW w:w="4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2016年预算数</w:t>
            </w:r>
          </w:p>
        </w:tc>
        <w:tc>
          <w:tcPr>
            <w:tcW w:w="33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560" w:hRule="atLeast"/>
          <w:jc w:val="center"/>
        </w:trPr>
        <w:tc>
          <w:tcPr>
            <w:tcW w:w="44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81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15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占预算%</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auto" w:fill="auto"/>
            <w:vAlign w:val="center"/>
          </w:tcPr>
          <w:p>
            <w:pPr>
              <w:widowControl/>
              <w:spacing w:line="260" w:lineRule="exact"/>
              <w:rPr>
                <w:rFonts w:ascii="Times New Roman" w:hAnsi="Times New Roman" w:eastAsia="宋体"/>
                <w:b/>
                <w:bCs/>
                <w:kern w:val="0"/>
                <w:sz w:val="20"/>
                <w:szCs w:val="20"/>
              </w:rPr>
            </w:pPr>
            <w:r>
              <w:rPr>
                <w:rFonts w:ascii="Times New Roman" w:hAnsi="Times New Roman" w:eastAsia="宋体"/>
                <w:b/>
                <w:bCs/>
                <w:kern w:val="0"/>
                <w:sz w:val="20"/>
                <w:szCs w:val="20"/>
              </w:rPr>
              <w:t>社会保险基金支出合计</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134602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163181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121.23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其中：社会保险待遇支出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106482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109887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103.20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（一）企业职工基本养老保险基金支出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38345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57899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150.99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其中：基本养老保险待遇支出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30394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35341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116.28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（二） 机关事业单位基本养老保险基金支出 </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34895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26424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75.72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其中：基本养老保险待遇支出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32785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26009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79.33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（三）居民基本养老保险基金支出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11347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12198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107.50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其中：基本养老保险待遇支出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11346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12194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107.47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（四）城镇职工基本医疗保险基金支出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18184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32655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179.58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其中：基本医疗保险待遇支出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10230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12164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118.91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（五）居民基本医疗保险基金支出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23864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27864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116.76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其中：基本医疗保险待遇支出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16274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20637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126.81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（六）工伤保险基金支出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其中：工伤保险待遇支出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（七）失业保险基金支出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7967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6141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77.08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其中：失业保险待遇支出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5453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3541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64.94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（八）生育保险基金支出</w:t>
            </w:r>
          </w:p>
        </w:tc>
        <w:tc>
          <w:tcPr>
            <w:tcW w:w="1576"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10"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59"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60" w:hRule="atLeast"/>
          <w:jc w:val="center"/>
        </w:trPr>
        <w:tc>
          <w:tcPr>
            <w:tcW w:w="4426"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其中：生育保险待遇支出</w:t>
            </w:r>
          </w:p>
        </w:tc>
        <w:tc>
          <w:tcPr>
            <w:tcW w:w="157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1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bl>
    <w:p>
      <w:pPr>
        <w:spacing w:line="560" w:lineRule="exact"/>
        <w:rPr>
          <w:rFonts w:ascii="Times New Roman" w:hAnsi="Times New Roman" w:eastAsia="黑体"/>
          <w:kern w:val="0"/>
          <w:szCs w:val="32"/>
        </w:rPr>
      </w:pPr>
      <w:r>
        <w:rPr>
          <w:rFonts w:ascii="Times New Roman" w:hAnsi="Times New Roman" w:eastAsia="黑体"/>
          <w:kern w:val="0"/>
          <w:szCs w:val="32"/>
        </w:rPr>
        <w:t>表9</w:t>
      </w:r>
    </w:p>
    <w:p>
      <w:pPr>
        <w:spacing w:line="560" w:lineRule="exact"/>
        <w:jc w:val="center"/>
        <w:rPr>
          <w:rFonts w:ascii="Times New Roman" w:hAnsi="Times New Roman" w:eastAsia="方正小标宋简体"/>
          <w:spacing w:val="-4"/>
          <w:kern w:val="0"/>
          <w:sz w:val="44"/>
          <w:szCs w:val="32"/>
        </w:rPr>
      </w:pPr>
      <w:r>
        <w:rPr>
          <w:rFonts w:ascii="Times New Roman" w:hAnsi="Times New Roman" w:eastAsia="方正小标宋简体"/>
          <w:spacing w:val="-4"/>
          <w:kern w:val="0"/>
          <w:sz w:val="44"/>
          <w:szCs w:val="32"/>
        </w:rPr>
        <w:t>2016年沂源县社会保险基金预算结余决算草案表</w:t>
      </w:r>
    </w:p>
    <w:p>
      <w:pPr>
        <w:spacing w:line="560" w:lineRule="exact"/>
        <w:jc w:val="right"/>
        <w:rPr>
          <w:rFonts w:ascii="Times New Roman" w:hAnsi="Times New Roman"/>
          <w:b/>
        </w:rPr>
      </w:pPr>
      <w:r>
        <w:rPr>
          <w:rFonts w:ascii="Times New Roman" w:hAnsi="Times New Roman" w:eastAsia="宋体"/>
          <w:kern w:val="0"/>
          <w:sz w:val="20"/>
          <w:szCs w:val="20"/>
        </w:rPr>
        <w:t>单位：万元</w:t>
      </w:r>
    </w:p>
    <w:tbl>
      <w:tblPr>
        <w:tblStyle w:val="12"/>
        <w:tblW w:w="9509" w:type="dxa"/>
        <w:jc w:val="center"/>
        <w:tblInd w:w="93" w:type="dxa"/>
        <w:tblLayout w:type="fixed"/>
        <w:tblCellMar>
          <w:top w:w="0" w:type="dxa"/>
          <w:left w:w="108" w:type="dxa"/>
          <w:bottom w:w="0" w:type="dxa"/>
          <w:right w:w="108" w:type="dxa"/>
        </w:tblCellMar>
      </w:tblPr>
      <w:tblGrid>
        <w:gridCol w:w="4346"/>
        <w:gridCol w:w="1645"/>
        <w:gridCol w:w="1504"/>
        <w:gridCol w:w="2014"/>
      </w:tblGrid>
      <w:tr>
        <w:tblPrEx>
          <w:tblLayout w:type="fixed"/>
          <w:tblCellMar>
            <w:top w:w="0" w:type="dxa"/>
            <w:left w:w="108" w:type="dxa"/>
            <w:bottom w:w="0" w:type="dxa"/>
            <w:right w:w="108" w:type="dxa"/>
          </w:tblCellMar>
        </w:tblPrEx>
        <w:trPr>
          <w:trHeight w:val="588" w:hRule="atLeast"/>
          <w:jc w:val="center"/>
        </w:trPr>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2016年预算数</w:t>
            </w:r>
          </w:p>
        </w:tc>
        <w:tc>
          <w:tcPr>
            <w:tcW w:w="1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c>
          <w:tcPr>
            <w:tcW w:w="2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kern w:val="0"/>
                <w:sz w:val="20"/>
                <w:szCs w:val="20"/>
              </w:rPr>
            </w:pPr>
            <w:r>
              <w:rPr>
                <w:rFonts w:ascii="Times New Roman" w:hAnsi="Times New Roman" w:eastAsia="黑体"/>
                <w:kern w:val="0"/>
                <w:sz w:val="20"/>
                <w:szCs w:val="20"/>
              </w:rPr>
              <w:t>占本年结余合计%</w:t>
            </w:r>
          </w:p>
        </w:tc>
      </w:tr>
      <w:tr>
        <w:tblPrEx>
          <w:tblLayout w:type="fixed"/>
          <w:tblCellMar>
            <w:top w:w="0" w:type="dxa"/>
            <w:left w:w="108" w:type="dxa"/>
            <w:bottom w:w="0" w:type="dxa"/>
            <w:right w:w="108" w:type="dxa"/>
          </w:tblCellMar>
        </w:tblPrEx>
        <w:trPr>
          <w:trHeight w:val="588" w:hRule="atLeast"/>
          <w:jc w:val="center"/>
        </w:trPr>
        <w:tc>
          <w:tcPr>
            <w:tcW w:w="4346" w:type="dxa"/>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一、社会保险基金本年收支结余合计</w:t>
            </w:r>
          </w:p>
        </w:tc>
        <w:tc>
          <w:tcPr>
            <w:tcW w:w="1645"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10343 </w:t>
            </w:r>
          </w:p>
        </w:tc>
        <w:tc>
          <w:tcPr>
            <w:tcW w:w="1504"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-6420 </w:t>
            </w:r>
          </w:p>
        </w:tc>
        <w:tc>
          <w:tcPr>
            <w:tcW w:w="2014"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100.00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（一）企业职工基本养老保险基金本年收支结余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-255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-4043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62.98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（二）机关事业单位基本养老基金本年收支结余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58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-146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2.27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（三）居民基本养老保险基金本年收支结余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6166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5767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-89.83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（四）城镇职工基本医疗保险基金本年收支结余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1155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-9041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140.83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（五）居民基本医疗保险基金本年收支结余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3219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474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-7.38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（六）工伤保险基金本年收支结余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（七）失业保险基金本年收支结余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567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-8.83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（八）生育保险基金本年收支结余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二、社会保险基金年末滚存结余合计</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106146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97925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b/>
                <w:bCs/>
                <w:color w:val="000000"/>
                <w:kern w:val="0"/>
                <w:sz w:val="20"/>
                <w:szCs w:val="20"/>
              </w:rPr>
            </w:pPr>
            <w:r>
              <w:rPr>
                <w:rFonts w:ascii="Times New Roman" w:hAnsi="Times New Roman" w:eastAsia="宋体"/>
                <w:b/>
                <w:bCs/>
                <w:color w:val="000000"/>
                <w:kern w:val="0"/>
                <w:sz w:val="20"/>
                <w:szCs w:val="20"/>
              </w:rPr>
              <w:t xml:space="preserve">100.00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（一）企业职工基本养老保险基金年末滚存结余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16083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26454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27.01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（二）机关事业单位基本养老基金年末滚存结余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6995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1527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1.56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（三）居民基本养老保险基金年末滚存结余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46226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45849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46.82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（四）城镇职工基本医疗保险基金年末滚存结余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22527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15957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16.30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（五）居民基本医疗保险基金年末滚存结余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13734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7408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7.56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（六）工伤保险基金年末滚存结余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nil"/>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（七）失业保险基金年末滚存结余</w:t>
            </w:r>
          </w:p>
        </w:tc>
        <w:tc>
          <w:tcPr>
            <w:tcW w:w="1645"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581 </w:t>
            </w:r>
          </w:p>
        </w:tc>
        <w:tc>
          <w:tcPr>
            <w:tcW w:w="150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xml:space="preserve">730 </w:t>
            </w:r>
          </w:p>
        </w:tc>
        <w:tc>
          <w:tcPr>
            <w:tcW w:w="2014"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0.75 </w:t>
            </w:r>
          </w:p>
        </w:tc>
      </w:tr>
      <w:tr>
        <w:tblPrEx>
          <w:tblLayout w:type="fixed"/>
          <w:tblCellMar>
            <w:top w:w="0" w:type="dxa"/>
            <w:left w:w="108" w:type="dxa"/>
            <w:bottom w:w="0" w:type="dxa"/>
            <w:right w:w="108" w:type="dxa"/>
          </w:tblCellMar>
        </w:tblPrEx>
        <w:trPr>
          <w:trHeight w:val="588" w:hRule="atLeast"/>
          <w:jc w:val="center"/>
        </w:trPr>
        <w:tc>
          <w:tcPr>
            <w:tcW w:w="434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olor w:val="000000"/>
                <w:kern w:val="0"/>
                <w:sz w:val="20"/>
                <w:szCs w:val="20"/>
              </w:rPr>
            </w:pPr>
            <w:r>
              <w:rPr>
                <w:rFonts w:ascii="Times New Roman" w:hAnsi="Times New Roman" w:eastAsia="宋体"/>
                <w:color w:val="000000"/>
                <w:kern w:val="0"/>
                <w:sz w:val="20"/>
                <w:szCs w:val="20"/>
              </w:rPr>
              <w:t xml:space="preserve">  （八）生育保险基金年末滚存结余</w:t>
            </w:r>
          </w:p>
        </w:tc>
        <w:tc>
          <w:tcPr>
            <w:tcW w:w="1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　</w:t>
            </w:r>
          </w:p>
        </w:tc>
      </w:tr>
    </w:tbl>
    <w:p>
      <w:pPr>
        <w:spacing w:line="560" w:lineRule="exact"/>
        <w:rPr>
          <w:rFonts w:ascii="Times New Roman" w:hAnsi="Times New Roman" w:eastAsia="黑体"/>
          <w:kern w:val="0"/>
          <w:szCs w:val="32"/>
        </w:rPr>
      </w:pPr>
      <w:r>
        <w:rPr>
          <w:rFonts w:ascii="Times New Roman" w:hAnsi="Times New Roman" w:eastAsia="黑体"/>
          <w:kern w:val="0"/>
          <w:szCs w:val="32"/>
        </w:rPr>
        <w:t>表10</w:t>
      </w:r>
    </w:p>
    <w:p>
      <w:pPr>
        <w:spacing w:line="560" w:lineRule="exact"/>
        <w:jc w:val="center"/>
        <w:rPr>
          <w:rFonts w:ascii="Times New Roman" w:hAnsi="Times New Roman" w:eastAsia="方正小标宋简体"/>
          <w:spacing w:val="-4"/>
          <w:kern w:val="0"/>
          <w:sz w:val="44"/>
          <w:szCs w:val="32"/>
        </w:rPr>
      </w:pPr>
      <w:r>
        <w:rPr>
          <w:rFonts w:ascii="Times New Roman" w:hAnsi="Times New Roman" w:eastAsia="方正小标宋简体"/>
          <w:spacing w:val="-4"/>
          <w:kern w:val="0"/>
          <w:sz w:val="44"/>
          <w:szCs w:val="32"/>
        </w:rPr>
        <w:t>2016年沂源县县级一般公共预算收入决算草案表</w:t>
      </w:r>
    </w:p>
    <w:p>
      <w:pPr>
        <w:spacing w:line="560" w:lineRule="exact"/>
        <w:jc w:val="right"/>
        <w:rPr>
          <w:rFonts w:ascii="Times New Roman" w:hAnsi="Times New Roman" w:eastAsia="文星简大标宋"/>
          <w:kern w:val="0"/>
          <w:szCs w:val="32"/>
        </w:rPr>
      </w:pPr>
      <w:r>
        <w:rPr>
          <w:rFonts w:ascii="Times New Roman" w:hAnsi="Times New Roman" w:eastAsia="宋体"/>
          <w:kern w:val="0"/>
          <w:sz w:val="20"/>
          <w:szCs w:val="20"/>
        </w:rPr>
        <w:t>单位：万元</w:t>
      </w:r>
    </w:p>
    <w:tbl>
      <w:tblPr>
        <w:tblStyle w:val="12"/>
        <w:tblW w:w="9508" w:type="dxa"/>
        <w:jc w:val="center"/>
        <w:tblInd w:w="93" w:type="dxa"/>
        <w:tblLayout w:type="fixed"/>
        <w:tblCellMar>
          <w:top w:w="0" w:type="dxa"/>
          <w:left w:w="108" w:type="dxa"/>
          <w:bottom w:w="0" w:type="dxa"/>
          <w:right w:w="108" w:type="dxa"/>
        </w:tblCellMar>
      </w:tblPr>
      <w:tblGrid>
        <w:gridCol w:w="2975"/>
        <w:gridCol w:w="2075"/>
        <w:gridCol w:w="2301"/>
        <w:gridCol w:w="2157"/>
      </w:tblGrid>
      <w:tr>
        <w:tblPrEx>
          <w:tblLayout w:type="fixed"/>
          <w:tblCellMar>
            <w:top w:w="0" w:type="dxa"/>
            <w:left w:w="108" w:type="dxa"/>
            <w:bottom w:w="0" w:type="dxa"/>
            <w:right w:w="108" w:type="dxa"/>
          </w:tblCellMar>
        </w:tblPrEx>
        <w:trPr>
          <w:trHeight w:val="382" w:hRule="atLeast"/>
          <w:jc w:val="center"/>
        </w:trPr>
        <w:tc>
          <w:tcPr>
            <w:tcW w:w="2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2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2015年决算数</w:t>
            </w:r>
          </w:p>
        </w:tc>
        <w:tc>
          <w:tcPr>
            <w:tcW w:w="4458" w:type="dxa"/>
            <w:gridSpan w:val="2"/>
            <w:tcBorders>
              <w:top w:val="single" w:color="auto" w:sz="4" w:space="0"/>
              <w:left w:val="nil"/>
              <w:bottom w:val="nil"/>
              <w:right w:val="single" w:color="000000"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382" w:hRule="atLeast"/>
          <w:jc w:val="center"/>
        </w:trPr>
        <w:tc>
          <w:tcPr>
            <w:tcW w:w="2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20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230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21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比上年增长%</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一、税收收入</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102544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108746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6.05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增值税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8545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29517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245.43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其中:改征增值税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营业税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26635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12971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-51.30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企业所得税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10413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9833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-5.57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企业所得税退税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个人所得税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2975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4166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40.03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资源税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3287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4617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40.46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城县维护建设税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2965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4735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59.70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房产税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2033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3825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88.15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印花税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1397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882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-36.86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城镇土地使用税</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3411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5247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53.83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土地增值税</w:t>
            </w:r>
          </w:p>
        </w:tc>
        <w:tc>
          <w:tcPr>
            <w:tcW w:w="207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8454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3251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-61.54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车船税</w:t>
            </w:r>
          </w:p>
        </w:tc>
        <w:tc>
          <w:tcPr>
            <w:tcW w:w="207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1073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832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-22.46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耕地占用税</w:t>
            </w:r>
          </w:p>
        </w:tc>
        <w:tc>
          <w:tcPr>
            <w:tcW w:w="207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26882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22743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-15.40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契税</w:t>
            </w:r>
          </w:p>
        </w:tc>
        <w:tc>
          <w:tcPr>
            <w:tcW w:w="207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4474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6127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36.95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烟叶税</w:t>
            </w:r>
          </w:p>
        </w:tc>
        <w:tc>
          <w:tcPr>
            <w:tcW w:w="207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其他税收收入</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二、非税收入</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43742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65474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49.68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专项收入</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6779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7510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10.78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行政事业性收费收入</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19184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19581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2.07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罚没收入</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3144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4413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40.36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国有资本经营收入</w:t>
            </w:r>
          </w:p>
        </w:tc>
        <w:tc>
          <w:tcPr>
            <w:tcW w:w="207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single" w:color="auto" w:sz="4" w:space="0"/>
            </w:tcBorders>
            <w:shd w:val="clear" w:color="000000" w:fill="FFFFFF"/>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国有资源(资产)有偿使用收入</w:t>
            </w:r>
          </w:p>
        </w:tc>
        <w:tc>
          <w:tcPr>
            <w:tcW w:w="207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14635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33970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132.11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其他收入</w:t>
            </w:r>
          </w:p>
        </w:tc>
        <w:tc>
          <w:tcPr>
            <w:tcW w:w="2075"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301"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157"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82" w:hRule="atLeast"/>
          <w:jc w:val="center"/>
        </w:trPr>
        <w:tc>
          <w:tcPr>
            <w:tcW w:w="2975" w:type="dxa"/>
            <w:tcBorders>
              <w:top w:val="nil"/>
              <w:left w:val="single" w:color="auto" w:sz="4" w:space="0"/>
              <w:bottom w:val="single" w:color="auto" w:sz="4" w:space="0"/>
              <w:right w:val="nil"/>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本年收入合计</w:t>
            </w: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146286 </w:t>
            </w:r>
          </w:p>
        </w:tc>
        <w:tc>
          <w:tcPr>
            <w:tcW w:w="23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174220 </w:t>
            </w:r>
          </w:p>
        </w:tc>
        <w:tc>
          <w:tcPr>
            <w:tcW w:w="215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19.10 </w:t>
            </w:r>
          </w:p>
        </w:tc>
      </w:tr>
    </w:tbl>
    <w:p>
      <w:pPr>
        <w:spacing w:line="560" w:lineRule="exact"/>
        <w:rPr>
          <w:rFonts w:ascii="Times New Roman" w:hAnsi="Times New Roman"/>
          <w:kern w:val="0"/>
          <w:sz w:val="24"/>
          <w:szCs w:val="24"/>
        </w:rPr>
      </w:pPr>
      <w:r>
        <w:rPr>
          <w:rFonts w:ascii="Times New Roman" w:hAnsi="Times New Roman"/>
          <w:kern w:val="0"/>
          <w:sz w:val="24"/>
          <w:szCs w:val="24"/>
        </w:rPr>
        <w:t>备注：预算数是指经人代会或其常委会按照法定程序审查批准的预算（或调整预算）</w:t>
      </w:r>
    </w:p>
    <w:p>
      <w:pPr>
        <w:spacing w:line="560" w:lineRule="exact"/>
        <w:rPr>
          <w:rFonts w:ascii="Times New Roman" w:hAnsi="Times New Roman" w:eastAsia="黑体"/>
          <w:kern w:val="0"/>
          <w:szCs w:val="32"/>
        </w:rPr>
      </w:pPr>
      <w:r>
        <w:rPr>
          <w:rFonts w:ascii="Times New Roman" w:hAnsi="Times New Roman" w:eastAsia="黑体"/>
          <w:kern w:val="0"/>
          <w:szCs w:val="32"/>
        </w:rPr>
        <w:t>表11</w:t>
      </w:r>
    </w:p>
    <w:p>
      <w:pPr>
        <w:spacing w:line="560" w:lineRule="exact"/>
        <w:jc w:val="center"/>
        <w:rPr>
          <w:rFonts w:ascii="Times New Roman" w:hAnsi="Times New Roman" w:eastAsia="方正小标宋简体"/>
          <w:spacing w:val="-10"/>
          <w:kern w:val="0"/>
          <w:sz w:val="44"/>
          <w:szCs w:val="32"/>
        </w:rPr>
      </w:pPr>
      <w:r>
        <w:rPr>
          <w:rFonts w:ascii="Times New Roman" w:hAnsi="Times New Roman" w:eastAsia="方正小标宋简体"/>
          <w:spacing w:val="-10"/>
          <w:kern w:val="0"/>
          <w:sz w:val="44"/>
          <w:szCs w:val="32"/>
        </w:rPr>
        <w:t>2016年沂源县县级一般公共预算支出决算草案表</w:t>
      </w:r>
    </w:p>
    <w:p>
      <w:pPr>
        <w:spacing w:line="560" w:lineRule="exact"/>
        <w:jc w:val="right"/>
        <w:rPr>
          <w:rFonts w:ascii="Times New Roman" w:hAnsi="Times New Roman" w:eastAsia="宋体"/>
          <w:kern w:val="0"/>
          <w:sz w:val="28"/>
          <w:szCs w:val="24"/>
        </w:rPr>
      </w:pPr>
      <w:r>
        <w:rPr>
          <w:rFonts w:ascii="Times New Roman" w:hAnsi="Times New Roman" w:eastAsia="宋体"/>
          <w:kern w:val="0"/>
          <w:sz w:val="21"/>
          <w:szCs w:val="20"/>
        </w:rPr>
        <w:t>单位：万元</w:t>
      </w:r>
    </w:p>
    <w:tbl>
      <w:tblPr>
        <w:tblStyle w:val="12"/>
        <w:tblW w:w="9430" w:type="dxa"/>
        <w:jc w:val="center"/>
        <w:tblInd w:w="0" w:type="dxa"/>
        <w:tblLayout w:type="fixed"/>
        <w:tblCellMar>
          <w:top w:w="0" w:type="dxa"/>
          <w:left w:w="108" w:type="dxa"/>
          <w:bottom w:w="0" w:type="dxa"/>
          <w:right w:w="108" w:type="dxa"/>
        </w:tblCellMar>
      </w:tblPr>
      <w:tblGrid>
        <w:gridCol w:w="2564"/>
        <w:gridCol w:w="1648"/>
        <w:gridCol w:w="3681"/>
        <w:gridCol w:w="1537"/>
      </w:tblGrid>
      <w:tr>
        <w:tblPrEx>
          <w:tblLayout w:type="fixed"/>
          <w:tblCellMar>
            <w:top w:w="0" w:type="dxa"/>
            <w:left w:w="108" w:type="dxa"/>
            <w:bottom w:w="0" w:type="dxa"/>
            <w:right w:w="108" w:type="dxa"/>
          </w:tblCellMar>
        </w:tblPrEx>
        <w:trPr>
          <w:trHeight w:val="397" w:hRule="atLeast"/>
          <w:jc w:val="center"/>
        </w:trPr>
        <w:tc>
          <w:tcPr>
            <w:tcW w:w="2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1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2015年决算数</w:t>
            </w:r>
          </w:p>
        </w:tc>
        <w:tc>
          <w:tcPr>
            <w:tcW w:w="5218" w:type="dxa"/>
            <w:gridSpan w:val="2"/>
            <w:tcBorders>
              <w:top w:val="single" w:color="auto" w:sz="4" w:space="0"/>
              <w:left w:val="nil"/>
              <w:bottom w:val="nil"/>
              <w:right w:val="single" w:color="000000"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Layout w:type="fixed"/>
          <w:tblCellMar>
            <w:top w:w="0" w:type="dxa"/>
            <w:left w:w="108" w:type="dxa"/>
            <w:bottom w:w="0" w:type="dxa"/>
            <w:right w:w="108" w:type="dxa"/>
          </w:tblCellMar>
        </w:tblPrEx>
        <w:trPr>
          <w:trHeight w:val="397" w:hRule="atLeast"/>
          <w:jc w:val="center"/>
        </w:trPr>
        <w:tc>
          <w:tcPr>
            <w:tcW w:w="2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kern w:val="0"/>
                <w:sz w:val="20"/>
                <w:szCs w:val="20"/>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kern w:val="0"/>
                <w:sz w:val="20"/>
                <w:szCs w:val="20"/>
              </w:rPr>
            </w:pPr>
          </w:p>
        </w:tc>
        <w:tc>
          <w:tcPr>
            <w:tcW w:w="368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金额</w:t>
            </w:r>
          </w:p>
        </w:tc>
        <w:tc>
          <w:tcPr>
            <w:tcW w:w="153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比上年增长%</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一、一般公共服务</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16355</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20505</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25.37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二、外交支出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37"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三、国防支出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155</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215</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38.71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四、公共安全支出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9717</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13321</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37.09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五、教育支出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87375</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99804</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14.22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六、科学技术支出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1563</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2980</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90.66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七、文化体育与传媒支出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2371</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2598</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9.57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八、社会保障和就业支出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31805</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37388</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17.55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九、医疗卫生与计划生育支出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30771</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41090</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33.53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十、节能环保支出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5774</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5598</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-3.05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十一、城乡社区支出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7506</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8996</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19.85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十二、农林水支出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43806</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40964</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-6.49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十三、交通运输支出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3456</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6946</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100.98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十四、资源勘探信息等支出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4167</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3999</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-4.03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十五、商业服务业等支出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1852</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2398</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29.48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十六、金融支出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215</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153</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-28.84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十七、援助其他地区支出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722</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742</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2.77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十八、国土海洋气象等支出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3784</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2750</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-27.33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十九、住房保障支出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2564</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11905</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364.31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二十、粮油物资储备支出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497</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695</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39.84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二十一、预备费</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537"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二十二、债务付息支出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402</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1869</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364.93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二十三、其他支出</w:t>
            </w:r>
          </w:p>
        </w:tc>
        <w:tc>
          <w:tcPr>
            <w:tcW w:w="1648"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666</w:t>
            </w:r>
          </w:p>
        </w:tc>
        <w:tc>
          <w:tcPr>
            <w:tcW w:w="36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1120</w:t>
            </w:r>
          </w:p>
        </w:tc>
        <w:tc>
          <w:tcPr>
            <w:tcW w:w="1537" w:type="dxa"/>
            <w:tcBorders>
              <w:top w:val="nil"/>
              <w:left w:val="nil"/>
              <w:bottom w:val="nil"/>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68.17 </w:t>
            </w:r>
          </w:p>
        </w:tc>
      </w:tr>
      <w:tr>
        <w:tblPrEx>
          <w:tblLayout w:type="fixed"/>
          <w:tblCellMar>
            <w:top w:w="0" w:type="dxa"/>
            <w:left w:w="108" w:type="dxa"/>
            <w:bottom w:w="0" w:type="dxa"/>
            <w:right w:w="108" w:type="dxa"/>
          </w:tblCellMar>
        </w:tblPrEx>
        <w:trPr>
          <w:trHeight w:val="397" w:hRule="atLeast"/>
          <w:jc w:val="center"/>
        </w:trPr>
        <w:tc>
          <w:tcPr>
            <w:tcW w:w="256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本年支出合计</w:t>
            </w:r>
          </w:p>
        </w:tc>
        <w:tc>
          <w:tcPr>
            <w:tcW w:w="1648" w:type="dxa"/>
            <w:tcBorders>
              <w:top w:val="nil"/>
              <w:left w:val="nil"/>
              <w:bottom w:val="single" w:color="auto" w:sz="4" w:space="0"/>
              <w:right w:val="nil"/>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255523 </w:t>
            </w:r>
          </w:p>
        </w:tc>
        <w:tc>
          <w:tcPr>
            <w:tcW w:w="36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306036 </w:t>
            </w:r>
          </w:p>
        </w:tc>
        <w:tc>
          <w:tcPr>
            <w:tcW w:w="153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Times New Roman" w:hAnsi="Times New Roman" w:eastAsia="宋体"/>
                <w:kern w:val="0"/>
                <w:sz w:val="20"/>
                <w:szCs w:val="20"/>
              </w:rPr>
            </w:pPr>
            <w:r>
              <w:rPr>
                <w:rFonts w:ascii="Times New Roman" w:hAnsi="Times New Roman" w:eastAsia="宋体"/>
                <w:kern w:val="0"/>
                <w:sz w:val="20"/>
                <w:szCs w:val="20"/>
              </w:rPr>
              <w:t xml:space="preserve">19.77 </w:t>
            </w:r>
          </w:p>
        </w:tc>
      </w:tr>
      <w:tr>
        <w:tblPrEx>
          <w:tblLayout w:type="fixed"/>
          <w:tblCellMar>
            <w:top w:w="0" w:type="dxa"/>
            <w:left w:w="108" w:type="dxa"/>
            <w:bottom w:w="0" w:type="dxa"/>
            <w:right w:w="108" w:type="dxa"/>
          </w:tblCellMar>
        </w:tblPrEx>
        <w:trPr>
          <w:trHeight w:val="397" w:hRule="atLeast"/>
          <w:jc w:val="center"/>
        </w:trPr>
        <w:tc>
          <w:tcPr>
            <w:tcW w:w="9430" w:type="dxa"/>
            <w:gridSpan w:val="4"/>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备注：</w:t>
            </w:r>
            <w:r>
              <w:rPr>
                <w:rFonts w:hint="eastAsia" w:ascii="宋体" w:hAnsi="宋体" w:eastAsia="宋体" w:cs="宋体"/>
                <w:kern w:val="0"/>
                <w:sz w:val="20"/>
                <w:szCs w:val="20"/>
              </w:rPr>
              <w:t>①</w:t>
            </w:r>
            <w:r>
              <w:rPr>
                <w:rFonts w:ascii="Times New Roman" w:hAnsi="Times New Roman" w:eastAsia="宋体"/>
                <w:kern w:val="0"/>
                <w:sz w:val="20"/>
                <w:szCs w:val="20"/>
              </w:rPr>
              <w:t>2016年预算数是指经各级人代会或其常委会按照法定程序审查批准的预算（或调整预算）的汇总数。</w:t>
            </w:r>
          </w:p>
        </w:tc>
      </w:tr>
    </w:tbl>
    <w:p>
      <w:pPr>
        <w:spacing w:line="560" w:lineRule="exact"/>
        <w:rPr>
          <w:rFonts w:ascii="Times New Roman" w:hAnsi="Times New Roman" w:eastAsia="黑体"/>
          <w:kern w:val="0"/>
          <w:szCs w:val="32"/>
        </w:rPr>
      </w:pPr>
    </w:p>
    <w:p>
      <w:pPr>
        <w:spacing w:line="560" w:lineRule="exact"/>
        <w:rPr>
          <w:rFonts w:ascii="Times New Roman" w:hAnsi="Times New Roman" w:eastAsia="黑体"/>
          <w:kern w:val="0"/>
          <w:szCs w:val="32"/>
        </w:rPr>
      </w:pPr>
      <w:r>
        <w:rPr>
          <w:rFonts w:ascii="Times New Roman" w:hAnsi="Times New Roman" w:eastAsia="黑体"/>
          <w:kern w:val="0"/>
          <w:szCs w:val="32"/>
        </w:rPr>
        <w:t>表12</w:t>
      </w:r>
    </w:p>
    <w:p>
      <w:pPr>
        <w:spacing w:line="560" w:lineRule="exact"/>
        <w:jc w:val="center"/>
        <w:rPr>
          <w:rFonts w:ascii="Times New Roman" w:hAnsi="Times New Roman" w:eastAsia="方正小标宋简体"/>
          <w:spacing w:val="-4"/>
          <w:kern w:val="0"/>
          <w:sz w:val="44"/>
          <w:szCs w:val="32"/>
        </w:rPr>
      </w:pPr>
      <w:r>
        <w:rPr>
          <w:rFonts w:ascii="Times New Roman" w:hAnsi="Times New Roman" w:eastAsia="方正小标宋简体"/>
          <w:spacing w:val="-4"/>
          <w:kern w:val="0"/>
          <w:sz w:val="44"/>
          <w:szCs w:val="32"/>
        </w:rPr>
        <w:t>2016年沂源县财政专户管理资金收支决算草案表</w:t>
      </w:r>
    </w:p>
    <w:p>
      <w:pPr>
        <w:spacing w:line="560" w:lineRule="exact"/>
        <w:jc w:val="right"/>
        <w:rPr>
          <w:rFonts w:ascii="Times New Roman" w:hAnsi="Times New Roman"/>
          <w:kern w:val="0"/>
          <w:sz w:val="24"/>
          <w:szCs w:val="24"/>
        </w:rPr>
      </w:pPr>
      <w:r>
        <w:rPr>
          <w:rFonts w:ascii="Times New Roman" w:hAnsi="Times New Roman" w:eastAsia="宋体"/>
          <w:kern w:val="0"/>
          <w:sz w:val="20"/>
          <w:szCs w:val="20"/>
        </w:rPr>
        <w:t>单位:万元</w:t>
      </w:r>
    </w:p>
    <w:tbl>
      <w:tblPr>
        <w:tblStyle w:val="12"/>
        <w:tblW w:w="9464" w:type="dxa"/>
        <w:jc w:val="center"/>
        <w:tblInd w:w="0" w:type="dxa"/>
        <w:tblLayout w:type="fixed"/>
        <w:tblCellMar>
          <w:top w:w="0" w:type="dxa"/>
          <w:left w:w="108" w:type="dxa"/>
          <w:bottom w:w="0" w:type="dxa"/>
          <w:right w:w="108" w:type="dxa"/>
        </w:tblCellMar>
      </w:tblPr>
      <w:tblGrid>
        <w:gridCol w:w="3859"/>
        <w:gridCol w:w="1460"/>
        <w:gridCol w:w="2970"/>
        <w:gridCol w:w="1175"/>
      </w:tblGrid>
      <w:tr>
        <w:tblPrEx>
          <w:tblLayout w:type="fixed"/>
          <w:tblCellMar>
            <w:top w:w="0" w:type="dxa"/>
            <w:left w:w="108" w:type="dxa"/>
            <w:bottom w:w="0" w:type="dxa"/>
            <w:right w:w="108" w:type="dxa"/>
          </w:tblCellMar>
        </w:tblPrEx>
        <w:trPr>
          <w:trHeight w:val="538" w:hRule="atLeast"/>
          <w:jc w:val="center"/>
        </w:trPr>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收入科目</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2016年</w:t>
            </w:r>
            <w:r>
              <w:rPr>
                <w:rFonts w:ascii="Times New Roman" w:hAnsi="Times New Roman" w:eastAsia="黑体"/>
                <w:kern w:val="0"/>
                <w:sz w:val="20"/>
                <w:szCs w:val="20"/>
              </w:rPr>
              <w:br w:type="textWrapping"/>
            </w:r>
            <w:r>
              <w:rPr>
                <w:rFonts w:ascii="Times New Roman" w:hAnsi="Times New Roman" w:eastAsia="黑体"/>
                <w:kern w:val="0"/>
                <w:sz w:val="20"/>
                <w:szCs w:val="20"/>
              </w:rPr>
              <w:t>决算数</w:t>
            </w:r>
          </w:p>
        </w:tc>
        <w:tc>
          <w:tcPr>
            <w:tcW w:w="29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支出科目</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2016年</w:t>
            </w:r>
            <w:r>
              <w:rPr>
                <w:rFonts w:ascii="Times New Roman" w:hAnsi="Times New Roman" w:eastAsia="黑体"/>
                <w:kern w:val="0"/>
                <w:sz w:val="20"/>
                <w:szCs w:val="20"/>
              </w:rPr>
              <w:br w:type="textWrapping"/>
            </w:r>
            <w:r>
              <w:rPr>
                <w:rFonts w:ascii="Times New Roman" w:hAnsi="Times New Roman" w:eastAsia="黑体"/>
                <w:kern w:val="0"/>
                <w:sz w:val="20"/>
                <w:szCs w:val="20"/>
              </w:rPr>
              <w:t>决算数</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一、行政事业性收费收入(教育收费)</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2243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一、一般公共服务支出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二、其他收入</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二、公共安全支出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三、教育支出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2243</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四、科学技术支出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五、文化体育与传媒支出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六、社会保障和就业支出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七、医疗卫生与计划生育支出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八、城乡社区支出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九、农林水支出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十、国土海洋气象等支出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十一、粮油物资储备支出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十二、其他各项支出</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本年收入合计</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2243 </w:t>
            </w:r>
          </w:p>
        </w:tc>
        <w:tc>
          <w:tcPr>
            <w:tcW w:w="297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本年支出合计</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2243</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按规定冲减上年结余</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调出资金</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上年结余</w:t>
            </w:r>
          </w:p>
        </w:tc>
        <w:tc>
          <w:tcPr>
            <w:tcW w:w="146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70" w:type="dxa"/>
            <w:tcBorders>
              <w:top w:val="nil"/>
              <w:left w:val="nil"/>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年终结余</w:t>
            </w:r>
          </w:p>
        </w:tc>
        <w:tc>
          <w:tcPr>
            <w:tcW w:w="1175"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538" w:hRule="atLeast"/>
          <w:jc w:val="center"/>
        </w:trPr>
        <w:tc>
          <w:tcPr>
            <w:tcW w:w="385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收入总计</w:t>
            </w:r>
          </w:p>
        </w:tc>
        <w:tc>
          <w:tcPr>
            <w:tcW w:w="14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2243 </w:t>
            </w:r>
          </w:p>
        </w:tc>
        <w:tc>
          <w:tcPr>
            <w:tcW w:w="29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支出总计</w:t>
            </w:r>
          </w:p>
        </w:tc>
        <w:tc>
          <w:tcPr>
            <w:tcW w:w="117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2243 </w:t>
            </w:r>
          </w:p>
        </w:tc>
      </w:tr>
    </w:tbl>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eastAsia="方正小标宋简体"/>
          <w:kern w:val="0"/>
          <w:szCs w:val="32"/>
        </w:rPr>
      </w:pPr>
      <w:r>
        <w:rPr>
          <w:rFonts w:ascii="Times New Roman" w:hAnsi="Times New Roman" w:eastAsia="黑体"/>
          <w:kern w:val="0"/>
          <w:szCs w:val="32"/>
        </w:rPr>
        <w:t>表13</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2016年沂源县县级对下税收返还及转移支付</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决算草案表</w:t>
      </w:r>
    </w:p>
    <w:p>
      <w:pPr>
        <w:spacing w:line="560" w:lineRule="exact"/>
        <w:jc w:val="right"/>
        <w:rPr>
          <w:rFonts w:ascii="Times New Roman" w:hAnsi="Times New Roman"/>
          <w:b/>
          <w:sz w:val="44"/>
        </w:rPr>
      </w:pPr>
      <w:r>
        <w:rPr>
          <w:rFonts w:ascii="Times New Roman" w:hAnsi="Times New Roman" w:eastAsia="宋体"/>
          <w:kern w:val="0"/>
          <w:sz w:val="20"/>
          <w:szCs w:val="20"/>
        </w:rPr>
        <w:t>单位：万元</w:t>
      </w:r>
    </w:p>
    <w:tbl>
      <w:tblPr>
        <w:tblStyle w:val="12"/>
        <w:tblW w:w="9783" w:type="dxa"/>
        <w:jc w:val="center"/>
        <w:tblInd w:w="0" w:type="dxa"/>
        <w:tblLayout w:type="fixed"/>
        <w:tblCellMar>
          <w:top w:w="0" w:type="dxa"/>
          <w:left w:w="108" w:type="dxa"/>
          <w:bottom w:w="0" w:type="dxa"/>
          <w:right w:w="108" w:type="dxa"/>
        </w:tblCellMar>
      </w:tblPr>
      <w:tblGrid>
        <w:gridCol w:w="981"/>
        <w:gridCol w:w="822"/>
        <w:gridCol w:w="709"/>
        <w:gridCol w:w="992"/>
        <w:gridCol w:w="1134"/>
        <w:gridCol w:w="1276"/>
        <w:gridCol w:w="1134"/>
        <w:gridCol w:w="850"/>
        <w:gridCol w:w="1134"/>
        <w:gridCol w:w="751"/>
      </w:tblGrid>
      <w:tr>
        <w:tblPrEx>
          <w:tblLayout w:type="fixed"/>
          <w:tblCellMar>
            <w:top w:w="0" w:type="dxa"/>
            <w:left w:w="108" w:type="dxa"/>
            <w:bottom w:w="0" w:type="dxa"/>
            <w:right w:w="108" w:type="dxa"/>
          </w:tblCellMar>
        </w:tblPrEx>
        <w:trPr>
          <w:trHeight w:val="680" w:hRule="atLeast"/>
          <w:jc w:val="center"/>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地  区</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合  计</w:t>
            </w:r>
          </w:p>
        </w:tc>
        <w:tc>
          <w:tcPr>
            <w:tcW w:w="709"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税收返还</w:t>
            </w:r>
          </w:p>
        </w:tc>
        <w:tc>
          <w:tcPr>
            <w:tcW w:w="652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4"/>
                <w:szCs w:val="24"/>
              </w:rPr>
            </w:pPr>
            <w:r>
              <w:rPr>
                <w:rFonts w:ascii="Times New Roman" w:hAnsi="Times New Roman" w:eastAsia="宋体"/>
                <w:kern w:val="0"/>
                <w:sz w:val="24"/>
                <w:szCs w:val="24"/>
              </w:rPr>
              <w:t>一般性转移支付</w:t>
            </w:r>
          </w:p>
        </w:tc>
        <w:tc>
          <w:tcPr>
            <w:tcW w:w="7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专项转移支付</w:t>
            </w:r>
          </w:p>
        </w:tc>
      </w:tr>
      <w:tr>
        <w:tblPrEx>
          <w:tblLayout w:type="fixed"/>
          <w:tblCellMar>
            <w:top w:w="0" w:type="dxa"/>
            <w:left w:w="108" w:type="dxa"/>
            <w:bottom w:w="0" w:type="dxa"/>
            <w:right w:w="108" w:type="dxa"/>
          </w:tblCellMar>
        </w:tblPrEx>
        <w:trPr>
          <w:trHeight w:val="680" w:hRule="atLeast"/>
          <w:jc w:val="center"/>
        </w:trPr>
        <w:tc>
          <w:tcPr>
            <w:tcW w:w="9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kern w:val="0"/>
                <w:sz w:val="20"/>
                <w:szCs w:val="20"/>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kern w:val="0"/>
                <w:sz w:val="20"/>
                <w:szCs w:val="20"/>
              </w:rPr>
            </w:pPr>
          </w:p>
        </w:tc>
        <w:tc>
          <w:tcPr>
            <w:tcW w:w="709"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ascii="Times New Roman" w:hAnsi="Times New Roman" w:eastAsia="黑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均衡性转移支付</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县级基本财力保障机制奖补资金</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基本养老金和低保等转移支付</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农村综合改革转移支付</w:t>
            </w:r>
          </w:p>
        </w:tc>
        <w:tc>
          <w:tcPr>
            <w:tcW w:w="850" w:type="dxa"/>
            <w:tcBorders>
              <w:top w:val="nil"/>
              <w:left w:val="nil"/>
              <w:bottom w:val="single" w:color="auto" w:sz="4" w:space="0"/>
              <w:right w:val="nil"/>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固定数额补助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其他一般性转移支付</w:t>
            </w:r>
          </w:p>
        </w:tc>
        <w:tc>
          <w:tcPr>
            <w:tcW w:w="75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黑体"/>
                <w:kern w:val="0"/>
                <w:sz w:val="20"/>
                <w:szCs w:val="20"/>
              </w:rPr>
            </w:pP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合计</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18415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2211</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3528</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0</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217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2238</w:t>
            </w:r>
          </w:p>
        </w:tc>
        <w:tc>
          <w:tcPr>
            <w:tcW w:w="850" w:type="dxa"/>
            <w:tcBorders>
              <w:top w:val="nil"/>
              <w:left w:val="nil"/>
              <w:bottom w:val="nil"/>
              <w:right w:val="nil"/>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0</w:t>
            </w: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10221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0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南鲁山镇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2210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292</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113</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1805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鲁村镇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1778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310</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540</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194</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694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悦庄镇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1552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219</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320</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16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132</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865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东里镇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5569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1066</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79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1163</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3261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西里镇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1665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88</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578</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147</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840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大张庄镇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1400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41</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691</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110</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556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燕崖镇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805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44</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324</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110</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327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中庄镇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1054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29</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594</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83</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336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张家坡镇</w:t>
            </w:r>
          </w:p>
        </w:tc>
        <w:tc>
          <w:tcPr>
            <w:tcW w:w="82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1587 </w:t>
            </w:r>
          </w:p>
        </w:tc>
        <w:tc>
          <w:tcPr>
            <w:tcW w:w="709"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56</w:t>
            </w:r>
          </w:p>
        </w:tc>
        <w:tc>
          <w:tcPr>
            <w:tcW w:w="992"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234</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50 </w:t>
            </w:r>
          </w:p>
        </w:tc>
        <w:tc>
          <w:tcPr>
            <w:tcW w:w="1134"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47</w:t>
            </w:r>
          </w:p>
        </w:tc>
        <w:tc>
          <w:tcPr>
            <w:tcW w:w="850" w:type="dxa"/>
            <w:tcBorders>
              <w:top w:val="nil"/>
              <w:left w:val="nil"/>
              <w:bottom w:val="nil"/>
              <w:right w:val="nil"/>
            </w:tcBorders>
            <w:shd w:val="clear" w:color="auto" w:fill="auto"/>
            <w:vAlign w:val="center"/>
          </w:tcPr>
          <w:p>
            <w:pPr>
              <w:widowControl/>
              <w:spacing w:line="300" w:lineRule="exact"/>
              <w:jc w:val="left"/>
              <w:rPr>
                <w:rFonts w:ascii="Times New Roman" w:hAnsi="Times New Roman" w:eastAsia="宋体"/>
                <w:kern w:val="0"/>
                <w:sz w:val="24"/>
                <w:szCs w:val="24"/>
              </w:rPr>
            </w:pPr>
          </w:p>
        </w:tc>
        <w:tc>
          <w:tcPr>
            <w:tcW w:w="1134"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1200 </w:t>
            </w:r>
          </w:p>
        </w:tc>
        <w:tc>
          <w:tcPr>
            <w:tcW w:w="751"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9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石桥镇</w:t>
            </w:r>
          </w:p>
        </w:tc>
        <w:tc>
          <w:tcPr>
            <w:tcW w:w="8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795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66</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247</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139</w:t>
            </w:r>
          </w:p>
        </w:tc>
        <w:tc>
          <w:tcPr>
            <w:tcW w:w="850" w:type="dxa"/>
            <w:tcBorders>
              <w:top w:val="nil"/>
              <w:left w:val="nil"/>
              <w:bottom w:val="single" w:color="auto" w:sz="4" w:space="0"/>
              <w:right w:val="nil"/>
            </w:tcBorders>
            <w:shd w:val="clear" w:color="auto" w:fill="auto"/>
            <w:vAlign w:val="center"/>
          </w:tcPr>
          <w:p>
            <w:pPr>
              <w:widowControl/>
              <w:spacing w:line="30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337 </w:t>
            </w:r>
          </w:p>
        </w:tc>
        <w:tc>
          <w:tcPr>
            <w:tcW w:w="75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bl>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eastAsia="文星简大标宋"/>
          <w:kern w:val="0"/>
          <w:szCs w:val="32"/>
        </w:rPr>
      </w:pPr>
      <w:r>
        <w:rPr>
          <w:rFonts w:ascii="Times New Roman" w:hAnsi="Times New Roman" w:eastAsia="黑体"/>
          <w:kern w:val="0"/>
          <w:szCs w:val="32"/>
        </w:rPr>
        <w:t>表14</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2016年沂源县一般公共预算支出分类别</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决算草案表</w:t>
      </w:r>
    </w:p>
    <w:p>
      <w:pPr>
        <w:spacing w:line="560" w:lineRule="exact"/>
        <w:ind w:right="90"/>
        <w:jc w:val="right"/>
        <w:rPr>
          <w:rFonts w:ascii="Times New Roman" w:hAnsi="Times New Roman"/>
          <w:b/>
        </w:rPr>
      </w:pPr>
      <w:r>
        <w:rPr>
          <w:rFonts w:ascii="Times New Roman" w:hAnsi="Times New Roman" w:eastAsia="宋体"/>
          <w:kern w:val="0"/>
          <w:sz w:val="20"/>
          <w:szCs w:val="20"/>
        </w:rPr>
        <w:t>单位：万元</w:t>
      </w:r>
    </w:p>
    <w:tbl>
      <w:tblPr>
        <w:tblStyle w:val="12"/>
        <w:tblW w:w="9384" w:type="dxa"/>
        <w:jc w:val="center"/>
        <w:tblInd w:w="0" w:type="dxa"/>
        <w:tblLayout w:type="fixed"/>
        <w:tblCellMar>
          <w:top w:w="0" w:type="dxa"/>
          <w:left w:w="108" w:type="dxa"/>
          <w:bottom w:w="0" w:type="dxa"/>
          <w:right w:w="108" w:type="dxa"/>
        </w:tblCellMar>
      </w:tblPr>
      <w:tblGrid>
        <w:gridCol w:w="4033"/>
        <w:gridCol w:w="1735"/>
        <w:gridCol w:w="1735"/>
        <w:gridCol w:w="1881"/>
      </w:tblGrid>
      <w:tr>
        <w:tblPrEx>
          <w:tblLayout w:type="fixed"/>
          <w:tblCellMar>
            <w:top w:w="0" w:type="dxa"/>
            <w:left w:w="108" w:type="dxa"/>
            <w:bottom w:w="0" w:type="dxa"/>
            <w:right w:w="108" w:type="dxa"/>
          </w:tblCellMar>
        </w:tblPrEx>
        <w:trPr>
          <w:trHeight w:val="438" w:hRule="atLeast"/>
          <w:jc w:val="center"/>
        </w:trPr>
        <w:tc>
          <w:tcPr>
            <w:tcW w:w="4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535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2016年支出决算数</w:t>
            </w:r>
          </w:p>
        </w:tc>
      </w:tr>
      <w:tr>
        <w:tblPrEx>
          <w:tblLayout w:type="fixed"/>
          <w:tblCellMar>
            <w:top w:w="0" w:type="dxa"/>
            <w:left w:w="108" w:type="dxa"/>
            <w:bottom w:w="0" w:type="dxa"/>
            <w:right w:w="108" w:type="dxa"/>
          </w:tblCellMar>
        </w:tblPrEx>
        <w:trPr>
          <w:trHeight w:val="438" w:hRule="atLeast"/>
          <w:jc w:val="center"/>
        </w:trPr>
        <w:tc>
          <w:tcPr>
            <w:tcW w:w="4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黑体"/>
                <w:kern w:val="0"/>
                <w:sz w:val="20"/>
                <w:szCs w:val="20"/>
              </w:rPr>
            </w:pPr>
          </w:p>
        </w:tc>
        <w:tc>
          <w:tcPr>
            <w:tcW w:w="173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金  额</w:t>
            </w:r>
          </w:p>
        </w:tc>
        <w:tc>
          <w:tcPr>
            <w:tcW w:w="173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其中：基本支出</w:t>
            </w:r>
          </w:p>
        </w:tc>
        <w:tc>
          <w:tcPr>
            <w:tcW w:w="188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项目支出</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一、一般公共服务支出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29425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23702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5723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二、国防支出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215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215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三、公共安全支出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13599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11582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2017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四、教育支出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100002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89792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10210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五、科学技术支出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2980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270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2710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六、文化体育与传媒支出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3190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2802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388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七、社会保障和就业支出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40455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24567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15888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八、医疗卫生与计划生育支出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41883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36325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5558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九、节能环保支出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5917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840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5077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十、城乡社区支出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11221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3514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7707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十一、农林水支出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46438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24856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21582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十二、交通运输支出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6946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1108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5838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十三、资源勘探信息等支出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4590</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1395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3195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十四、商业服务业等支出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2398</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697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1701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十五、金融支出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153</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153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十六、援助其他地区支出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742</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742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十七、国土海洋气象等支出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2750</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1740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1010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十八、住房保障支出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12992</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3021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9971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十九、粮油物资储备支出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695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695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二十、其他支出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1120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150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970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二十一、债务付息支出</w:t>
            </w:r>
          </w:p>
        </w:tc>
        <w:tc>
          <w:tcPr>
            <w:tcW w:w="173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1869 </w:t>
            </w:r>
          </w:p>
        </w:tc>
        <w:tc>
          <w:tcPr>
            <w:tcW w:w="1735" w:type="dxa"/>
            <w:tcBorders>
              <w:top w:val="nil"/>
              <w:left w:val="nil"/>
              <w:bottom w:val="nil"/>
              <w:right w:val="nil"/>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1881"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1869 </w:t>
            </w:r>
          </w:p>
        </w:tc>
      </w:tr>
      <w:tr>
        <w:tblPrEx>
          <w:tblLayout w:type="fixed"/>
          <w:tblCellMar>
            <w:top w:w="0" w:type="dxa"/>
            <w:left w:w="108" w:type="dxa"/>
            <w:bottom w:w="0" w:type="dxa"/>
            <w:right w:w="108" w:type="dxa"/>
          </w:tblCellMar>
        </w:tblPrEx>
        <w:trPr>
          <w:trHeight w:val="438" w:hRule="atLeast"/>
          <w:jc w:val="center"/>
        </w:trPr>
        <w:tc>
          <w:tcPr>
            <w:tcW w:w="4033"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本年支出合计</w:t>
            </w:r>
          </w:p>
        </w:tc>
        <w:tc>
          <w:tcPr>
            <w:tcW w:w="173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329580 </w:t>
            </w:r>
          </w:p>
        </w:tc>
        <w:tc>
          <w:tcPr>
            <w:tcW w:w="1735" w:type="dxa"/>
            <w:tcBorders>
              <w:top w:val="nil"/>
              <w:left w:val="nil"/>
              <w:bottom w:val="single" w:color="auto" w:sz="4" w:space="0"/>
              <w:right w:val="nil"/>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227056 </w:t>
            </w:r>
          </w:p>
        </w:tc>
        <w:tc>
          <w:tcPr>
            <w:tcW w:w="1881"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102524 </w:t>
            </w:r>
          </w:p>
        </w:tc>
      </w:tr>
    </w:tbl>
    <w:p>
      <w:pPr>
        <w:spacing w:line="560" w:lineRule="exact"/>
        <w:rPr>
          <w:rFonts w:ascii="Times New Roman" w:hAnsi="Times New Roman" w:eastAsia="文星简大标宋"/>
          <w:kern w:val="0"/>
          <w:szCs w:val="32"/>
        </w:rPr>
      </w:pPr>
      <w:r>
        <w:rPr>
          <w:rFonts w:ascii="Times New Roman" w:hAnsi="Times New Roman" w:eastAsia="黑体"/>
          <w:kern w:val="0"/>
          <w:szCs w:val="32"/>
        </w:rPr>
        <w:t>表15</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2016年沂源县一般公共预算基本支出经济分类决算草案表</w:t>
      </w:r>
    </w:p>
    <w:p>
      <w:pPr>
        <w:spacing w:line="560" w:lineRule="exact"/>
        <w:jc w:val="right"/>
        <w:rPr>
          <w:rFonts w:ascii="Times New Roman" w:hAnsi="Times New Roman"/>
          <w:b/>
        </w:rPr>
      </w:pPr>
      <w:r>
        <w:rPr>
          <w:rFonts w:ascii="Times New Roman" w:hAnsi="Times New Roman" w:eastAsia="宋体"/>
          <w:kern w:val="0"/>
          <w:sz w:val="20"/>
          <w:szCs w:val="20"/>
        </w:rPr>
        <w:t>单位:万元</w:t>
      </w:r>
    </w:p>
    <w:tbl>
      <w:tblPr>
        <w:tblStyle w:val="12"/>
        <w:tblW w:w="9423" w:type="dxa"/>
        <w:jc w:val="center"/>
        <w:tblInd w:w="0" w:type="dxa"/>
        <w:tblLayout w:type="fixed"/>
        <w:tblCellMar>
          <w:top w:w="0" w:type="dxa"/>
          <w:left w:w="108" w:type="dxa"/>
          <w:bottom w:w="0" w:type="dxa"/>
          <w:right w:w="108" w:type="dxa"/>
        </w:tblCellMar>
      </w:tblPr>
      <w:tblGrid>
        <w:gridCol w:w="20"/>
        <w:gridCol w:w="4323"/>
        <w:gridCol w:w="297"/>
        <w:gridCol w:w="4783"/>
      </w:tblGrid>
      <w:tr>
        <w:tblPrEx>
          <w:tblLayout w:type="fixed"/>
          <w:tblCellMar>
            <w:top w:w="0" w:type="dxa"/>
            <w:left w:w="108" w:type="dxa"/>
            <w:bottom w:w="0" w:type="dxa"/>
            <w:right w:w="108" w:type="dxa"/>
          </w:tblCellMar>
        </w:tblPrEx>
        <w:trPr>
          <w:trHeight w:val="369" w:hRule="atLeast"/>
          <w:jc w:val="center"/>
        </w:trPr>
        <w:tc>
          <w:tcPr>
            <w:tcW w:w="4640"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黑体"/>
                <w:color w:val="000000" w:themeColor="text1"/>
                <w:kern w:val="0"/>
                <w:sz w:val="20"/>
                <w:szCs w:val="20"/>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项              目</w:t>
            </w:r>
          </w:p>
        </w:tc>
        <w:tc>
          <w:tcPr>
            <w:tcW w:w="4783"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黑体"/>
                <w:color w:val="000000" w:themeColor="text1"/>
                <w:kern w:val="0"/>
                <w:sz w:val="20"/>
                <w:szCs w:val="20"/>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2016年决算数</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bCs/>
                <w:kern w:val="0"/>
                <w:sz w:val="20"/>
                <w:szCs w:val="20"/>
              </w:rPr>
            </w:pPr>
            <w:r>
              <w:rPr>
                <w:rFonts w:ascii="Times New Roman" w:hAnsi="Times New Roman" w:eastAsia="宋体"/>
                <w:bCs/>
                <w:kern w:val="0"/>
                <w:sz w:val="20"/>
                <w:szCs w:val="20"/>
              </w:rPr>
              <w:t>工资福利支出</w:t>
            </w:r>
          </w:p>
        </w:tc>
        <w:tc>
          <w:tcPr>
            <w:tcW w:w="4783" w:type="dxa"/>
            <w:tcBorders>
              <w:top w:val="single" w:color="auto" w:sz="4" w:space="0"/>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bCs/>
                <w:kern w:val="0"/>
                <w:sz w:val="20"/>
                <w:szCs w:val="20"/>
              </w:rPr>
            </w:pPr>
            <w:r>
              <w:rPr>
                <w:rFonts w:ascii="Times New Roman" w:hAnsi="Times New Roman" w:eastAsia="宋体"/>
                <w:bCs/>
                <w:kern w:val="0"/>
                <w:sz w:val="20"/>
                <w:szCs w:val="20"/>
              </w:rPr>
              <w:t xml:space="preserve">130579 </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基本工资</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48230</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津贴补贴</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39428</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奖金</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1707</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其他社会保障缴费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8942</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伙食补助费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299</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绩效工资</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5443</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机关事业单位基本养老保险缴费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15767</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职业年金缴费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3845</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其他工资福利支出</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6918</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bCs/>
                <w:kern w:val="0"/>
                <w:sz w:val="20"/>
                <w:szCs w:val="20"/>
              </w:rPr>
            </w:pPr>
            <w:r>
              <w:rPr>
                <w:rFonts w:ascii="Times New Roman" w:hAnsi="Times New Roman" w:eastAsia="宋体"/>
                <w:bCs/>
                <w:kern w:val="0"/>
                <w:sz w:val="20"/>
                <w:szCs w:val="20"/>
              </w:rPr>
              <w:t>商品和服务支出</w:t>
            </w:r>
          </w:p>
        </w:tc>
        <w:tc>
          <w:tcPr>
            <w:tcW w:w="4783" w:type="dxa"/>
            <w:tcBorders>
              <w:top w:val="single" w:color="auto" w:sz="4" w:space="0"/>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bCs/>
                <w:kern w:val="0"/>
                <w:sz w:val="20"/>
                <w:szCs w:val="20"/>
              </w:rPr>
            </w:pPr>
            <w:r>
              <w:rPr>
                <w:rFonts w:ascii="Times New Roman" w:hAnsi="Times New Roman" w:eastAsia="宋体"/>
                <w:bCs/>
                <w:kern w:val="0"/>
                <w:sz w:val="20"/>
                <w:szCs w:val="20"/>
              </w:rPr>
              <w:t>52335</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办公费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2027</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印刷费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976</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咨询费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72</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手续费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14</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水费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451</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电费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1316</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邮电费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509</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取暖费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1844</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物业管理费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389</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差旅费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775</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因公出国(境)费用 </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5</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维修(护)费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3126</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租赁费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419</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会议费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123</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培训费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731</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公务接待费</w:t>
            </w:r>
          </w:p>
        </w:tc>
        <w:tc>
          <w:tcPr>
            <w:tcW w:w="4783" w:type="dxa"/>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323</w:t>
            </w:r>
          </w:p>
        </w:tc>
      </w:tr>
      <w:tr>
        <w:tblPrEx>
          <w:tblLayout w:type="fixed"/>
          <w:tblCellMar>
            <w:top w:w="0" w:type="dxa"/>
            <w:left w:w="108" w:type="dxa"/>
            <w:bottom w:w="0" w:type="dxa"/>
            <w:right w:w="108" w:type="dxa"/>
          </w:tblCellMar>
        </w:tblPrEx>
        <w:trPr>
          <w:trHeight w:val="369" w:hRule="atLeast"/>
          <w:jc w:val="center"/>
        </w:trPr>
        <w:tc>
          <w:tcPr>
            <w:tcW w:w="464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专用材料费</w:t>
            </w: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28355</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single" w:color="auto" w:sz="4" w:space="0"/>
              <w:left w:val="single" w:color="auto" w:sz="4" w:space="0"/>
              <w:bottom w:val="nil"/>
              <w:right w:val="nil"/>
            </w:tcBorders>
            <w:shd w:val="clear" w:color="auto" w:fill="auto"/>
            <w:vAlign w:val="center"/>
          </w:tcPr>
          <w:p>
            <w:pPr>
              <w:widowControl/>
              <w:spacing w:line="240" w:lineRule="exact"/>
              <w:jc w:val="center"/>
              <w:rPr>
                <w:rFonts w:ascii="Times New Roman" w:hAnsi="Times New Roman" w:eastAsia="黑体"/>
                <w:color w:val="000000" w:themeColor="text1"/>
                <w:kern w:val="0"/>
                <w:sz w:val="20"/>
                <w:szCs w:val="20"/>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项              目</w:t>
            </w:r>
          </w:p>
        </w:tc>
        <w:tc>
          <w:tcPr>
            <w:tcW w:w="5080" w:type="dxa"/>
            <w:gridSpan w:val="2"/>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黑体"/>
                <w:color w:val="000000" w:themeColor="text1"/>
                <w:kern w:val="0"/>
                <w:sz w:val="20"/>
                <w:szCs w:val="20"/>
                <w14:textFill>
                  <w14:solidFill>
                    <w14:schemeClr w14:val="tx1"/>
                  </w14:solidFill>
                </w14:textFill>
              </w:rPr>
            </w:pPr>
            <w:r>
              <w:rPr>
                <w:rFonts w:ascii="Times New Roman" w:hAnsi="Times New Roman" w:eastAsia="黑体"/>
                <w:color w:val="000000" w:themeColor="text1"/>
                <w:kern w:val="0"/>
                <w:sz w:val="20"/>
                <w:szCs w:val="20"/>
                <w14:textFill>
                  <w14:solidFill>
                    <w14:schemeClr w14:val="tx1"/>
                  </w14:solidFill>
                </w14:textFill>
              </w:rPr>
              <w:t>2016年决算数</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single" w:color="auto" w:sz="4" w:space="0"/>
              <w:left w:val="single" w:color="auto" w:sz="4" w:space="0"/>
              <w:bottom w:val="nil"/>
              <w:right w:val="nil"/>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被装购置费</w:t>
            </w:r>
          </w:p>
        </w:tc>
        <w:tc>
          <w:tcPr>
            <w:tcW w:w="5080" w:type="dxa"/>
            <w:gridSpan w:val="2"/>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61</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专用燃料费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143</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劳务费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2071</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委托业务费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535</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工会经费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241</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福利费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公务用车运行维护费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1321</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其他交通费用</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260</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税金及附加费用</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其他商品和服务支出</w:t>
            </w:r>
          </w:p>
        </w:tc>
        <w:tc>
          <w:tcPr>
            <w:tcW w:w="508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6231</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Times New Roman" w:hAnsi="Times New Roman" w:eastAsia="宋体"/>
                <w:bCs/>
                <w:kern w:val="0"/>
                <w:sz w:val="20"/>
                <w:szCs w:val="20"/>
              </w:rPr>
            </w:pPr>
            <w:r>
              <w:rPr>
                <w:rFonts w:ascii="Times New Roman" w:hAnsi="Times New Roman" w:eastAsia="宋体"/>
                <w:bCs/>
                <w:kern w:val="0"/>
                <w:sz w:val="20"/>
                <w:szCs w:val="20"/>
              </w:rPr>
              <w:t>对个人和家庭的补助</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bCs/>
                <w:kern w:val="0"/>
                <w:sz w:val="20"/>
                <w:szCs w:val="20"/>
              </w:rPr>
            </w:pPr>
            <w:r>
              <w:rPr>
                <w:rFonts w:ascii="Times New Roman" w:hAnsi="Times New Roman" w:eastAsia="宋体"/>
                <w:bCs/>
                <w:kern w:val="0"/>
                <w:sz w:val="20"/>
                <w:szCs w:val="20"/>
              </w:rPr>
              <w:t>38089</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离休费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1194</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退休费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4579</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退职(役)费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79</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抚恤金</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1157</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生活补助</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6371</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救济费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3</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医疗费</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647</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助学金</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55</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奖励金</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178</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生产补贴</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0</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住房公积金</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8791</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提租补贴</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0</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购房补贴</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9888</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采暖补贴</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2102</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物业服务补贴</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1679</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nil"/>
              <w:right w:val="single" w:color="auto" w:sz="4" w:space="0"/>
            </w:tcBorders>
            <w:shd w:val="clear" w:color="auto" w:fill="auto"/>
            <w:vAlign w:val="center"/>
          </w:tcPr>
          <w:p>
            <w:pPr>
              <w:widowControl/>
              <w:spacing w:line="240" w:lineRule="exact"/>
              <w:ind w:firstLine="182"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  其他对个人和家庭的补助支出</w:t>
            </w:r>
          </w:p>
        </w:tc>
        <w:tc>
          <w:tcPr>
            <w:tcW w:w="5080" w:type="dxa"/>
            <w:gridSpan w:val="2"/>
            <w:tcBorders>
              <w:top w:val="nil"/>
              <w:left w:val="nil"/>
              <w:bottom w:val="nil"/>
              <w:right w:val="single" w:color="auto" w:sz="4" w:space="0"/>
            </w:tcBorders>
            <w:shd w:val="clear" w:color="auto" w:fill="auto"/>
            <w:vAlign w:val="center"/>
          </w:tcPr>
          <w:p>
            <w:pPr>
              <w:widowControl/>
              <w:spacing w:line="240" w:lineRule="exact"/>
              <w:jc w:val="center"/>
              <w:rPr>
                <w:rFonts w:ascii="Times New Roman" w:hAnsi="Times New Roman" w:eastAsia="宋体"/>
                <w:kern w:val="0"/>
                <w:sz w:val="20"/>
                <w:szCs w:val="20"/>
              </w:rPr>
            </w:pPr>
            <w:r>
              <w:rPr>
                <w:rFonts w:ascii="Times New Roman" w:hAnsi="Times New Roman" w:eastAsia="宋体"/>
                <w:kern w:val="0"/>
                <w:sz w:val="20"/>
                <w:szCs w:val="20"/>
              </w:rPr>
              <w:t>1366</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bCs/>
                <w:kern w:val="0"/>
                <w:sz w:val="20"/>
                <w:szCs w:val="20"/>
              </w:rPr>
            </w:pPr>
            <w:r>
              <w:rPr>
                <w:rFonts w:ascii="Times New Roman" w:hAnsi="Times New Roman" w:eastAsia="宋体"/>
                <w:bCs/>
                <w:kern w:val="0"/>
                <w:sz w:val="20"/>
                <w:szCs w:val="20"/>
              </w:rPr>
              <w:t>债务利息支出</w:t>
            </w:r>
          </w:p>
        </w:tc>
        <w:tc>
          <w:tcPr>
            <w:tcW w:w="5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bCs/>
                <w:kern w:val="0"/>
                <w:sz w:val="20"/>
                <w:szCs w:val="20"/>
              </w:rPr>
            </w:pPr>
            <w:r>
              <w:rPr>
                <w:rFonts w:ascii="Times New Roman" w:hAnsi="Times New Roman" w:eastAsia="宋体"/>
                <w:bCs/>
                <w:kern w:val="0"/>
                <w:sz w:val="20"/>
                <w:szCs w:val="20"/>
              </w:rPr>
              <w:t>487</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bCs/>
                <w:kern w:val="0"/>
                <w:sz w:val="20"/>
                <w:szCs w:val="20"/>
              </w:rPr>
            </w:pPr>
            <w:r>
              <w:rPr>
                <w:rFonts w:ascii="Times New Roman" w:hAnsi="Times New Roman" w:eastAsia="宋体"/>
                <w:bCs/>
                <w:kern w:val="0"/>
                <w:sz w:val="20"/>
                <w:szCs w:val="20"/>
              </w:rPr>
              <w:t>其他资本性支出</w:t>
            </w:r>
          </w:p>
        </w:tc>
        <w:tc>
          <w:tcPr>
            <w:tcW w:w="508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bCs/>
                <w:kern w:val="0"/>
                <w:sz w:val="20"/>
                <w:szCs w:val="20"/>
              </w:rPr>
            </w:pPr>
            <w:r>
              <w:rPr>
                <w:rFonts w:ascii="Times New Roman" w:hAnsi="Times New Roman" w:eastAsia="宋体"/>
                <w:bCs/>
                <w:kern w:val="0"/>
                <w:sz w:val="20"/>
                <w:szCs w:val="20"/>
              </w:rPr>
              <w:t>5566</w:t>
            </w:r>
          </w:p>
        </w:tc>
      </w:tr>
      <w:tr>
        <w:tblPrEx>
          <w:tblLayout w:type="fixed"/>
          <w:tblCellMar>
            <w:top w:w="0" w:type="dxa"/>
            <w:left w:w="108" w:type="dxa"/>
            <w:bottom w:w="0" w:type="dxa"/>
            <w:right w:w="108" w:type="dxa"/>
          </w:tblCellMar>
        </w:tblPrEx>
        <w:trPr>
          <w:gridBefore w:val="1"/>
          <w:wBefore w:w="20" w:type="dxa"/>
          <w:trHeight w:val="369" w:hRule="atLeast"/>
          <w:jc w:val="center"/>
        </w:trPr>
        <w:tc>
          <w:tcPr>
            <w:tcW w:w="43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bCs/>
                <w:kern w:val="0"/>
                <w:sz w:val="20"/>
                <w:szCs w:val="20"/>
              </w:rPr>
            </w:pPr>
            <w:r>
              <w:rPr>
                <w:rFonts w:ascii="Times New Roman" w:hAnsi="Times New Roman" w:eastAsia="宋体"/>
                <w:bCs/>
                <w:kern w:val="0"/>
                <w:sz w:val="20"/>
                <w:szCs w:val="20"/>
              </w:rPr>
              <w:t>全县支出合计</w:t>
            </w:r>
          </w:p>
        </w:tc>
        <w:tc>
          <w:tcPr>
            <w:tcW w:w="508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bCs/>
                <w:kern w:val="0"/>
                <w:sz w:val="20"/>
                <w:szCs w:val="20"/>
              </w:rPr>
            </w:pPr>
            <w:r>
              <w:rPr>
                <w:rFonts w:ascii="Times New Roman" w:hAnsi="Times New Roman" w:eastAsia="宋体"/>
                <w:bCs/>
                <w:kern w:val="0"/>
                <w:sz w:val="20"/>
                <w:szCs w:val="20"/>
              </w:rPr>
              <w:t>227056</w:t>
            </w:r>
          </w:p>
        </w:tc>
      </w:tr>
    </w:tbl>
    <w:p>
      <w:pPr>
        <w:spacing w:line="240" w:lineRule="exact"/>
        <w:rPr>
          <w:rFonts w:ascii="Times New Roman" w:hAnsi="Times New Roman"/>
          <w:b/>
        </w:rPr>
      </w:pPr>
    </w:p>
    <w:p>
      <w:pPr>
        <w:spacing w:line="24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eastAsia="文星简大标宋"/>
          <w:kern w:val="0"/>
          <w:szCs w:val="32"/>
        </w:rPr>
      </w:pPr>
      <w:r>
        <w:rPr>
          <w:rFonts w:ascii="Times New Roman" w:hAnsi="Times New Roman" w:eastAsia="黑体"/>
          <w:kern w:val="0"/>
          <w:szCs w:val="32"/>
        </w:rPr>
        <w:t>表16</w:t>
      </w:r>
    </w:p>
    <w:p>
      <w:pPr>
        <w:spacing w:line="560" w:lineRule="exact"/>
        <w:jc w:val="center"/>
        <w:rPr>
          <w:rFonts w:ascii="Times New Roman" w:hAnsi="Times New Roman" w:eastAsia="方正小标宋简体"/>
          <w:kern w:val="0"/>
          <w:sz w:val="44"/>
          <w:szCs w:val="32"/>
        </w:rPr>
      </w:pPr>
      <w:r>
        <w:rPr>
          <w:rFonts w:ascii="Times New Roman" w:hAnsi="Times New Roman" w:eastAsia="方正小标宋简体"/>
          <w:kern w:val="0"/>
          <w:sz w:val="44"/>
          <w:szCs w:val="32"/>
        </w:rPr>
        <w:t>2016年沂源县县级一般公共预算支出细化</w:t>
      </w:r>
    </w:p>
    <w:p>
      <w:pPr>
        <w:spacing w:line="560" w:lineRule="exact"/>
        <w:jc w:val="center"/>
        <w:rPr>
          <w:rFonts w:ascii="Times New Roman" w:hAnsi="Times New Roman" w:eastAsia="方正小标宋简体"/>
          <w:kern w:val="0"/>
          <w:szCs w:val="32"/>
        </w:rPr>
      </w:pPr>
      <w:r>
        <w:rPr>
          <w:rFonts w:ascii="Times New Roman" w:hAnsi="Times New Roman" w:eastAsia="方正小标宋简体"/>
          <w:kern w:val="0"/>
          <w:sz w:val="44"/>
          <w:szCs w:val="32"/>
        </w:rPr>
        <w:t>决算草案表</w:t>
      </w:r>
    </w:p>
    <w:p>
      <w:pPr>
        <w:spacing w:line="560" w:lineRule="exact"/>
        <w:jc w:val="right"/>
        <w:rPr>
          <w:rFonts w:ascii="Times New Roman" w:hAnsi="Times New Roman"/>
          <w:b/>
        </w:rPr>
      </w:pPr>
      <w:r>
        <w:rPr>
          <w:rFonts w:ascii="Times New Roman" w:hAnsi="Times New Roman" w:eastAsia="宋体"/>
          <w:kern w:val="0"/>
          <w:sz w:val="20"/>
          <w:szCs w:val="20"/>
        </w:rPr>
        <w:t>单位：万元</w:t>
      </w:r>
    </w:p>
    <w:tbl>
      <w:tblPr>
        <w:tblStyle w:val="12"/>
        <w:tblW w:w="9489" w:type="dxa"/>
        <w:jc w:val="center"/>
        <w:tblInd w:w="-95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089"/>
        <w:gridCol w:w="2739"/>
        <w:gridCol w:w="942"/>
        <w:gridCol w:w="873"/>
        <w:gridCol w:w="2995"/>
        <w:gridCol w:w="85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3828" w:type="dxa"/>
            <w:gridSpan w:val="2"/>
            <w:tcBorders>
              <w:top w:val="single" w:color="auto" w:sz="4" w:space="0"/>
              <w:bottom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942" w:type="dxa"/>
            <w:tcBorders>
              <w:top w:val="single" w:color="auto" w:sz="4" w:space="0"/>
              <w:bottom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w:t>
            </w:r>
          </w:p>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决算数</w:t>
            </w:r>
          </w:p>
        </w:tc>
        <w:tc>
          <w:tcPr>
            <w:tcW w:w="3868" w:type="dxa"/>
            <w:gridSpan w:val="2"/>
            <w:tcBorders>
              <w:top w:val="single" w:color="auto" w:sz="4" w:space="0"/>
              <w:bottom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851" w:type="dxa"/>
            <w:tcBorders>
              <w:top w:val="single" w:color="auto" w:sz="4" w:space="0"/>
              <w:bottom w:val="single" w:color="auto" w:sz="4" w:space="0"/>
            </w:tcBorders>
            <w:shd w:val="clear" w:color="auto" w:fill="auto"/>
            <w:vAlign w:val="center"/>
          </w:tcPr>
          <w:p>
            <w:pPr>
              <w:widowControl/>
              <w:spacing w:line="260" w:lineRule="exact"/>
              <w:jc w:val="center"/>
              <w:rPr>
                <w:rFonts w:ascii="Times New Roman" w:hAnsi="Times New Roman" w:eastAsia="黑体"/>
                <w:kern w:val="0"/>
                <w:sz w:val="20"/>
                <w:szCs w:val="20"/>
              </w:rPr>
            </w:pPr>
            <w:r>
              <w:rPr>
                <w:rFonts w:ascii="Times New Roman" w:hAnsi="Times New Roman" w:eastAsia="黑体"/>
                <w:kern w:val="0"/>
                <w:sz w:val="20"/>
                <w:szCs w:val="20"/>
              </w:rPr>
              <w:t>2016年决算数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一、</w:t>
            </w: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一般公共服务支出</w:t>
            </w:r>
          </w:p>
        </w:tc>
        <w:tc>
          <w:tcPr>
            <w:tcW w:w="942" w:type="dxa"/>
            <w:tcBorders>
              <w:top w:val="single" w:color="auto" w:sz="4" w:space="0"/>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20,505</w:t>
            </w:r>
          </w:p>
        </w:tc>
        <w:tc>
          <w:tcPr>
            <w:tcW w:w="873"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851" w:type="dxa"/>
            <w:tcBorders>
              <w:top w:val="single" w:color="auto" w:sz="4" w:space="0"/>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577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人大事务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712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其他财政事务支出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676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税收事务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3,155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2,524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政协事务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373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626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ind w:right="182"/>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353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其他税收事务支出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审计事务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706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政府办公厅(室)及相关机构事务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6,315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278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3,275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82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390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审计业务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346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法制建设</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211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人力资源事务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207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信访事务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106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其他政府办公厅(室)及相关机构事务支出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2,341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其他人力资源事务支出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84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发展与改革事务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1,179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纪检监察事务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687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543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611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114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物价管理</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354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商贸事务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644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168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260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统计信息事务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288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219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332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其他商贸事务支出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财政事务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1,348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知识产权事务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734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专利试点和产业化推进</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w:t>
            </w:r>
          </w:p>
        </w:tc>
        <w:tc>
          <w:tcPr>
            <w:tcW w:w="873"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工商行政管理事务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947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846</w:t>
            </w:r>
          </w:p>
        </w:tc>
        <w:tc>
          <w:tcPr>
            <w:tcW w:w="873"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其他国防支出(款)</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95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101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其他国防支出(项)</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95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质量技术监督与检验检疫事务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403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三、</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公共安全支出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13,321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380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武装警察</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585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内卫</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91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民族事务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163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消防</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494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145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公安</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7,853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其他民族事务支出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6,275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宗教事务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1,578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其他宗教事务支出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检察</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1,159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档案事务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164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1,080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机关服务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法院</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3,023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档案馆</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146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1,805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群众团体事务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100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1,199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案件审判</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司法</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641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党委办公厅(室)及相关机构事务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2,976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509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1,915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623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法律援助</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71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其他党委办公厅(室)及相关机构事务支出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367</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其他公共安全支出(款)</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宣传事务</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其他公共安全支出(项)</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60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其他宣传事务支出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四、</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教育支出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99,804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其他共产党事务支出(款)</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教育管理事务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2,501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其他共产党事务支出(项)</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2,235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二、</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国防支出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215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52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国防动员</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120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其他教育管理事务支出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214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兵役征集</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普通教育</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87,693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民兵</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116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学前教育</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2,576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其他国防动员支出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w:t>
            </w:r>
          </w:p>
        </w:tc>
        <w:tc>
          <w:tcPr>
            <w:tcW w:w="873"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小学教育</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26,284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初中教育</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31,303</w:t>
            </w:r>
          </w:p>
        </w:tc>
        <w:tc>
          <w:tcPr>
            <w:tcW w:w="873"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995"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其他科学技术普及支出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高中教育</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11,863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科技重大项目</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1131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其他普通教育支出</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15,667</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科技重大专项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1131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职业教育</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4,522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其他科学技术支出(款)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初等职业教育</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3,694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其他科学技术支出(项)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中专教育</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458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六、</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文化体育与传媒支出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2598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技校教育</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220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文化</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1340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职业高中教育</w:t>
            </w:r>
          </w:p>
        </w:tc>
        <w:tc>
          <w:tcPr>
            <w:tcW w:w="942" w:type="dxa"/>
            <w:tcBorders>
              <w:left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150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349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特殊教育</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546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特殊学校教育</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546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图书馆</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进修及培训</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群众文化</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447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干部教育</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文化市场管理</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教育费附加安排的支出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3261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其他文化支出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296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农村中小学校舍建设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1588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文物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spacing w:val="-6"/>
                <w:kern w:val="0"/>
                <w:sz w:val="20"/>
                <w:szCs w:val="20"/>
              </w:rPr>
            </w:pPr>
            <w:r>
              <w:rPr>
                <w:rFonts w:ascii="Times New Roman" w:hAnsi="Times New Roman" w:eastAsia="宋体"/>
                <w:spacing w:val="-6"/>
                <w:kern w:val="0"/>
                <w:sz w:val="20"/>
                <w:szCs w:val="20"/>
              </w:rPr>
              <w:t>其他教育费附加安排的支出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1673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机关服务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其他教育支出(款)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977</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文物保护</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其他教育支出(项)</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977</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博物馆</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五、</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科学技术支出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2980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新闻出版广播影视</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1121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科学技术管理事务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406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电视</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1121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spacing w:val="-10"/>
                <w:kern w:val="0"/>
                <w:sz w:val="20"/>
                <w:szCs w:val="20"/>
              </w:rPr>
            </w:pPr>
            <w:r>
              <w:rPr>
                <w:rFonts w:ascii="Times New Roman" w:hAnsi="Times New Roman" w:eastAsia="宋体"/>
                <w:b/>
                <w:bCs/>
                <w:spacing w:val="-10"/>
                <w:kern w:val="0"/>
                <w:sz w:val="20"/>
                <w:szCs w:val="20"/>
              </w:rPr>
              <w:t>其他文化体育与传媒支出(款)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141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spacing w:val="-8"/>
                <w:kern w:val="0"/>
                <w:sz w:val="20"/>
                <w:szCs w:val="20"/>
              </w:rPr>
            </w:pPr>
            <w:r>
              <w:rPr>
                <w:rFonts w:ascii="Times New Roman" w:hAnsi="Times New Roman" w:eastAsia="宋体"/>
                <w:spacing w:val="-8"/>
                <w:kern w:val="0"/>
                <w:sz w:val="20"/>
                <w:szCs w:val="20"/>
              </w:rPr>
              <w:t>其他文化体育与传媒支出(项)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应用研究</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七、</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社会保障和就业支出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37388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社会公益研究</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人力资源和社会保障管理事务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1737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技术研究与开发</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1202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656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hint="eastAsia" w:ascii="Times New Roman" w:hAnsi="Times New Roman" w:eastAsia="宋体"/>
                <w:b/>
                <w:bCs/>
                <w:kern w:val="0"/>
                <w:sz w:val="20"/>
                <w:szCs w:val="20"/>
              </w:rPr>
              <w:t xml:space="preserve"> </w:t>
            </w: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应用技术研究与开发</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产业技术研究与开发</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349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机关服务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科技成果转化与扩散</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420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劳动保障监察</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其他技术研究与开发支出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133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就业管理事务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科学技术普及</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社会保险业务管理事务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机构运行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社会保险经办机构</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642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科普活动</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w:t>
            </w:r>
          </w:p>
        </w:tc>
        <w:tc>
          <w:tcPr>
            <w:tcW w:w="873"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公共就业服务和职业技能鉴定机构</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劳动人事争议调解仲裁</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w:t>
            </w:r>
          </w:p>
        </w:tc>
        <w:tc>
          <w:tcPr>
            <w:tcW w:w="873"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退役士兵安置</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372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其他人力资源和社会保障管理事务支出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军队移交政府的离退休人员安置</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347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民政管理事务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899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军队移交政府离退休干部管理机构</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507</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退役士兵管理教育</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拥军优属</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其他退役安置支出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老龄事务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社会福利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1022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行政区划和地名管理</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儿童福利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基层政权和社区建设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330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老年福利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721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其他民政管理事务支出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殡葬</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281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财政对社会保险基金的补助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12216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残疾人事业</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639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财政对失业保险基金的补助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财政对工伤保险基金的补助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148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残疾人康复</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财政对城乡居民基本养老保险基金的补助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11888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残疾人就业和扶贫</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235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行政事业单位离退休</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12839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其他残疾人事业支出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归口管理的行政单位离退休</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11250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自然灾害生活救助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事业单位离退休</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1163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中央自然灾害生活补助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其他行政事业单位离退休支出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426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红十字事业</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就业补助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772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就业创业服务补贴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其他红十字事业支出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职业培训补贴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最低生活保障</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2211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公益性岗位补贴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城市最低生活保障金支出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318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其他就业补助支出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农村最低生活保障金支出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1893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抚恤</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3169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临时救助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死亡抚恤</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143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临时救助支出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在乡复员、退伍军人生活补助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1450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特困人员供养</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689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优抚事业单位支出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农村五保供养支出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689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义务兵优待</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其他生活救助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其他优抚支出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1349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其他城市生活救助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退役安置</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808</w:t>
            </w:r>
          </w:p>
        </w:tc>
        <w:tc>
          <w:tcPr>
            <w:tcW w:w="873"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其他农村生活救助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其他社会保障和就业支出(款)</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40</w:t>
            </w:r>
          </w:p>
        </w:tc>
        <w:tc>
          <w:tcPr>
            <w:tcW w:w="873" w:type="dxa"/>
            <w:tcBorders>
              <w:top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single" w:color="auto" w:sz="4" w:space="0"/>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其他计划生育事务支出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其他社会保障和就业支出(项)</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40</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食品和药品监督管理事务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1848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八、</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医疗卫生与计划生育支出</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41090</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995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医疗卫生与计划生育管理事务</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411</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药品事务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328</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医疗器械事务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49</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食品安全事务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661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其他医疗卫生与计划生育管理事务支出</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34</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其他食品和药品监督管理事务支出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168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ind w:left="-6387" w:leftChars="-2115"/>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公立医院</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571</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其他医疗卫生与计划生育支出(款)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综合医院</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其他医疗卫生与计划生育支出(项)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中医(民族)医院</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27</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九、</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节能环保支出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5598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其他公立医院支出</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514</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环境保护管理事务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577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基层医疗卫生机构</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7605</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574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乡镇卫生院</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5816</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其他基层医疗卫生机构支出</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1789</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污染防治</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3697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公共卫生</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4756</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大气</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疾病预防控制机构</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883</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水体</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卫生监督机构</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356</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固体废弃物与化学品</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627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妇幼保健机构</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225</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排污费安排的支出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840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基本公共卫生服务</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2625</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其他污染防治支出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1505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重大公共卫生专项</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538</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自然生态保护</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766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其他公共卫生支出</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129</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生态保护</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600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医疗保障</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22365</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农村环境保护</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166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行政单位医疗</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2489</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能源节约利用(款)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460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事业单位医疗</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412</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能源节约利用(项)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460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优抚对象医疗补助</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284</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污染减排</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城镇居民基本医疗保险</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18866</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环境监测与信息</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城乡医疗救助</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314</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减排专项支出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计划生育事务</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3285</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其他节能环保支出(款)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计划生育机构</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408</w:t>
            </w:r>
          </w:p>
        </w:tc>
        <w:tc>
          <w:tcPr>
            <w:tcW w:w="873" w:type="dxa"/>
            <w:tcBorders>
              <w:righ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single" w:color="auto" w:sz="4" w:space="0"/>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其他节能环保支出(项)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计划生育服务</w:t>
            </w:r>
          </w:p>
        </w:tc>
        <w:tc>
          <w:tcPr>
            <w:tcW w:w="942"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2794</w:t>
            </w:r>
          </w:p>
        </w:tc>
        <w:tc>
          <w:tcPr>
            <w:tcW w:w="873" w:type="dxa"/>
            <w:tcBorders>
              <w:bottom w:val="single" w:color="auto" w:sz="4" w:space="0"/>
              <w:right w:val="single" w:color="auto" w:sz="4" w:space="0"/>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w:t>
            </w:r>
          </w:p>
        </w:tc>
        <w:tc>
          <w:tcPr>
            <w:tcW w:w="299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城乡社区支出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8996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城乡社区管理事务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6165</w:t>
            </w:r>
          </w:p>
        </w:tc>
        <w:tc>
          <w:tcPr>
            <w:tcW w:w="873"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p>
        </w:tc>
        <w:tc>
          <w:tcPr>
            <w:tcW w:w="2995"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对高校毕业生到基层任职补助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1097</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其他农业支出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2074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3515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林业</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3863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机关服务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941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城管执法</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842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森林培育</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1705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工程建设管理</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森林生态效益补偿</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其他城乡社区管理事务支出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448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林业执法与监督</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城乡社区规划与管理(款)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293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林业防灾减灾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城乡社区规划与管理(项)</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293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其他林业支出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1114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城乡社区公共设施</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1704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水利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8806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小城镇基础设施建设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589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1097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其他城乡社区公共设施支出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1115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城乡社区环境卫生(款)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482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水利行业业务管理</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城乡社区环境卫生(项)</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482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水利工程运行与维护</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1386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其他城乡社区支出(款)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352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水利前期工作</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其他城乡社区支出(项)</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352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水土保持</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731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十一、</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农林水支出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40964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防汛</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农业</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6006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抗旱</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1816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农田水利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3287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大中型水库移民后期扶持专项支出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193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314</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水资源费安排的支出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900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科技转化与推广服务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农村人畜饮水</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568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病虫害控制</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219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其他水利支出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农产品质量安全</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350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扶贫</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7536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农业行业业务管理</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农业生产支持补贴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440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其他扶贫支出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7527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农业组织化与产业化经营</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农业综合开发</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农产品加工与促销</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47</w:t>
            </w:r>
          </w:p>
        </w:tc>
        <w:tc>
          <w:tcPr>
            <w:tcW w:w="873"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机构运行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农村公益事业</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150</w:t>
            </w:r>
          </w:p>
        </w:tc>
        <w:tc>
          <w:tcPr>
            <w:tcW w:w="873"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产业化经营</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农业资源保护修复与利用</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180</w:t>
            </w:r>
          </w:p>
        </w:tc>
        <w:tc>
          <w:tcPr>
            <w:tcW w:w="873"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农村综合改革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10840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p>
        </w:tc>
        <w:tc>
          <w:tcPr>
            <w:tcW w:w="873" w:type="dxa"/>
            <w:tcBorders>
              <w:top w:val="nil"/>
              <w:left w:val="single" w:color="auto" w:sz="4" w:space="0"/>
              <w:bottom w:val="single" w:color="auto" w:sz="4" w:space="0"/>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对村级一事一议的补助</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4018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对村民委员会和村党支部的补助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4941</w:t>
            </w:r>
          </w:p>
        </w:tc>
        <w:tc>
          <w:tcPr>
            <w:tcW w:w="873" w:type="dxa"/>
            <w:tcBorders>
              <w:top w:val="single" w:color="auto" w:sz="4" w:space="0"/>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其他工业和信息产业监管支出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农村综合改革示范试点补助</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177</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安全生产监管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466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其他农村综合改革支出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1704</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348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普惠金融发展支出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1241</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涉农贷款增量奖励</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25</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安全监管监察专项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农业保险保费补贴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794</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其他安全生产监管支出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小额担保贷款贴息</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171</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支持中小企业发展和管理支出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774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其他普惠金融发展支出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251</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282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其他农林水支出(款)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2448</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科技型中小企业技术创新基金</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其他农林水支出(项)</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2448</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中小企业发展专项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445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十二、</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交通运输支出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6946</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其他资源勘探信息等支出(款)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公路水路运输</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4255</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其他资源勘探信息等支出(项)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1021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十四、</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商业服务业等支出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2398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254</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商业流通事务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公路养护</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193</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148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公路路政管理</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19</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公路和运输安全</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公路客货运站(场)建设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111</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其他商业流通事务支出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207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其他公路水路运输支出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2647</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旅游业管理与服务支出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878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铁路运输</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87</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147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其他铁路运输支出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87</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成品油价格改革对交通运输的补贴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527</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旅游宣传</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258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对城市公交的补贴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464</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其他旅游业管理与服务支出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461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对出租车的补贴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63</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涉外发展服务支出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车辆购置税支出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2077</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其他涉外发展服务支出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248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车辆购置税用于农村公路建设支出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2077</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其他商业服务业等支出(款)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652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十三、</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资源勘探信息等支出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3999</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其他商业服务业等支出(项)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652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工业和信息产业监管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2689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十五、</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金融支出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机关服务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w:t>
            </w:r>
          </w:p>
        </w:tc>
        <w:tc>
          <w:tcPr>
            <w:tcW w:w="873"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金融发展支出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工业和信息产业支持</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2355</w:t>
            </w:r>
          </w:p>
        </w:tc>
        <w:tc>
          <w:tcPr>
            <w:tcW w:w="873" w:type="dxa"/>
            <w:tcBorders>
              <w:top w:val="nil"/>
              <w:left w:val="single" w:color="auto" w:sz="4" w:space="0"/>
              <w:bottom w:val="single" w:color="auto" w:sz="4" w:space="0"/>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9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其他金融发展支出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其他金融支出(款)</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138</w:t>
            </w:r>
          </w:p>
        </w:tc>
        <w:tc>
          <w:tcPr>
            <w:tcW w:w="873" w:type="dxa"/>
            <w:tcBorders>
              <w:top w:val="single" w:color="auto" w:sz="4" w:space="0"/>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其他保障性安居工程支出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5402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其他金融支出(项)</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138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住房改革支出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2289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十六、</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援助其他地区支出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742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住房公积金</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2289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742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城乡社区住宅</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十七、</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国土海洋气象等支出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2750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其他城乡社区住宅支出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国土资源事务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2642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十九、</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粮油物资储备支出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695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683</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粮油事务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695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国土资源社会公益服务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一般行政管理事务</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国土整治</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956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174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事业运行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886</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其他粮油事务支出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305</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其他国土资源事务支出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47</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二十、</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其他支出(类)</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气象事务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108</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其他支出(款)</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行政运行</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其他支出(项)</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1120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气象服务</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2</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二十一、</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债务付息支出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1869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气象基础设施建设与维修</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100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地方政府一般债务付息支出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1869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其他气象事务支出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地方政府一般债券付息支出</w:t>
            </w: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1869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十八、</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住房保障支出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11905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851" w:type="dxa"/>
            <w:tcBorders>
              <w:lef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xml:space="preserve">  保障性安居工程支出</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9585</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851" w:type="dxa"/>
            <w:tcBorders>
              <w:lef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棚户区改造</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390</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851" w:type="dxa"/>
            <w:tcBorders>
              <w:lef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农村危房改造</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1839</w:t>
            </w:r>
          </w:p>
        </w:tc>
        <w:tc>
          <w:tcPr>
            <w:tcW w:w="873"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c>
          <w:tcPr>
            <w:tcW w:w="851" w:type="dxa"/>
            <w:tcBorders>
              <w:left w:val="single" w:color="auto" w:sz="4" w:space="0"/>
            </w:tcBorders>
            <w:shd w:val="clear" w:color="auto" w:fill="auto"/>
            <w:vAlign w:val="bottom"/>
          </w:tcPr>
          <w:p>
            <w:pPr>
              <w:widowControl/>
              <w:spacing w:line="260" w:lineRule="exact"/>
              <w:jc w:val="left"/>
              <w:rPr>
                <w:rFonts w:ascii="Times New Roman" w:hAnsi="Times New Roman" w:eastAsia="宋体"/>
                <w:kern w:val="0"/>
                <w:sz w:val="24"/>
                <w:szCs w:val="24"/>
              </w:rPr>
            </w:pPr>
            <w:r>
              <w:rPr>
                <w:rFonts w:ascii="Times New Roman" w:hAnsi="Times New Roman" w:eastAsia="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nil"/>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nil"/>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公共租赁住房</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1909</w:t>
            </w:r>
          </w:p>
        </w:tc>
        <w:tc>
          <w:tcPr>
            <w:tcW w:w="873" w:type="dxa"/>
            <w:tcBorders>
              <w:top w:val="nil"/>
              <w:left w:val="single" w:color="auto" w:sz="4" w:space="0"/>
              <w:bottom w:val="nil"/>
              <w:right w:val="nil"/>
            </w:tcBorders>
            <w:shd w:val="clear" w:color="auto" w:fill="auto"/>
            <w:vAlign w:val="center"/>
          </w:tcPr>
          <w:p>
            <w:pPr>
              <w:widowControl/>
              <w:spacing w:line="260" w:lineRule="exact"/>
              <w:jc w:val="lef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995" w:type="dxa"/>
            <w:tcBorders>
              <w:top w:val="nil"/>
              <w:left w:val="nil"/>
              <w:bottom w:val="nil"/>
              <w:right w:val="single" w:color="auto" w:sz="4" w:space="0"/>
            </w:tcBorders>
            <w:shd w:val="clear" w:color="auto" w:fill="auto"/>
            <w:vAlign w:val="center"/>
          </w:tcPr>
          <w:p>
            <w:pPr>
              <w:widowControl/>
              <w:spacing w:line="26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一般公共预算支出</w:t>
            </w:r>
          </w:p>
        </w:tc>
        <w:tc>
          <w:tcPr>
            <w:tcW w:w="851" w:type="dxa"/>
            <w:tcBorders>
              <w:left w:val="single" w:color="auto" w:sz="4" w:space="0"/>
            </w:tcBorders>
            <w:shd w:val="clear" w:color="auto" w:fill="auto"/>
            <w:vAlign w:val="center"/>
          </w:tcPr>
          <w:p>
            <w:pPr>
              <w:widowControl/>
              <w:spacing w:line="260" w:lineRule="exact"/>
              <w:jc w:val="right"/>
              <w:rPr>
                <w:rFonts w:ascii="Times New Roman" w:hAnsi="Times New Roman" w:eastAsia="宋体"/>
                <w:kern w:val="0"/>
                <w:sz w:val="20"/>
                <w:szCs w:val="20"/>
              </w:rPr>
            </w:pPr>
            <w:r>
              <w:rPr>
                <w:rFonts w:ascii="Times New Roman" w:hAnsi="Times New Roman" w:eastAsia="宋体"/>
                <w:kern w:val="0"/>
                <w:sz w:val="20"/>
                <w:szCs w:val="20"/>
              </w:rPr>
              <w:t>306,036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9"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r>
              <w:rPr>
                <w:rFonts w:ascii="Times New Roman" w:hAnsi="Times New Roman" w:eastAsia="宋体"/>
                <w:b/>
                <w:bCs/>
                <w:kern w:val="0"/>
                <w:sz w:val="20"/>
                <w:szCs w:val="20"/>
              </w:rPr>
              <w:t>　</w:t>
            </w:r>
          </w:p>
        </w:tc>
        <w:tc>
          <w:tcPr>
            <w:tcW w:w="273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保障性住房租金补贴</w:t>
            </w:r>
          </w:p>
        </w:tc>
        <w:tc>
          <w:tcPr>
            <w:tcW w:w="942" w:type="dxa"/>
            <w:tcBorders>
              <w:left w:val="single" w:color="auto" w:sz="4" w:space="0"/>
              <w:righ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r>
              <w:rPr>
                <w:rFonts w:ascii="Times New Roman" w:hAnsi="Times New Roman" w:eastAsia="宋体"/>
                <w:kern w:val="0"/>
                <w:sz w:val="24"/>
                <w:szCs w:val="24"/>
              </w:rPr>
              <w:t>45</w:t>
            </w:r>
          </w:p>
        </w:tc>
        <w:tc>
          <w:tcPr>
            <w:tcW w:w="873" w:type="dxa"/>
            <w:tcBorders>
              <w:top w:val="nil"/>
              <w:left w:val="single" w:color="auto" w:sz="4" w:space="0"/>
              <w:bottom w:val="single" w:color="auto" w:sz="4" w:space="0"/>
              <w:right w:val="nil"/>
            </w:tcBorders>
            <w:shd w:val="clear" w:color="auto" w:fill="auto"/>
            <w:vAlign w:val="center"/>
          </w:tcPr>
          <w:p>
            <w:pPr>
              <w:widowControl/>
              <w:spacing w:line="260" w:lineRule="exact"/>
              <w:jc w:val="right"/>
              <w:rPr>
                <w:rFonts w:ascii="Times New Roman" w:hAnsi="Times New Roman" w:eastAsia="宋体"/>
                <w:b/>
                <w:bCs/>
                <w:kern w:val="0"/>
                <w:sz w:val="20"/>
                <w:szCs w:val="20"/>
              </w:rPr>
            </w:pPr>
          </w:p>
        </w:tc>
        <w:tc>
          <w:tcPr>
            <w:tcW w:w="29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kern w:val="0"/>
                <w:sz w:val="20"/>
                <w:szCs w:val="20"/>
              </w:rPr>
            </w:pPr>
          </w:p>
        </w:tc>
        <w:tc>
          <w:tcPr>
            <w:tcW w:w="851" w:type="dxa"/>
            <w:tcBorders>
              <w:left w:val="single" w:color="auto" w:sz="4" w:space="0"/>
            </w:tcBorders>
            <w:shd w:val="clear" w:color="auto" w:fill="auto"/>
            <w:vAlign w:val="bottom"/>
          </w:tcPr>
          <w:p>
            <w:pPr>
              <w:widowControl/>
              <w:spacing w:line="260" w:lineRule="exact"/>
              <w:jc w:val="right"/>
              <w:rPr>
                <w:rFonts w:ascii="Times New Roman" w:hAnsi="Times New Roman" w:eastAsia="宋体"/>
                <w:kern w:val="0"/>
                <w:sz w:val="24"/>
                <w:szCs w:val="24"/>
              </w:rPr>
            </w:pPr>
          </w:p>
        </w:tc>
      </w:tr>
    </w:tbl>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b/>
        </w:rPr>
      </w:pPr>
    </w:p>
    <w:p>
      <w:pPr>
        <w:spacing w:line="560" w:lineRule="exact"/>
        <w:rPr>
          <w:rFonts w:ascii="Times New Roman" w:hAnsi="Times New Roman"/>
          <w:b/>
        </w:rPr>
      </w:pPr>
    </w:p>
    <w:p>
      <w:pPr>
        <w:spacing w:line="560" w:lineRule="exact"/>
        <w:jc w:val="left"/>
        <w:rPr>
          <w:rFonts w:ascii="Times New Roman" w:hAnsi="Times New Roman" w:eastAsia="黑体"/>
          <w:kern w:val="0"/>
          <w:szCs w:val="32"/>
        </w:rPr>
      </w:pPr>
      <w:r>
        <w:rPr>
          <w:rFonts w:ascii="Times New Roman" w:hAnsi="Times New Roman" w:eastAsia="黑体"/>
          <w:kern w:val="0"/>
          <w:szCs w:val="32"/>
        </w:rPr>
        <w:t>表17</w:t>
      </w:r>
    </w:p>
    <w:p>
      <w:pPr>
        <w:spacing w:line="560" w:lineRule="exact"/>
        <w:jc w:val="center"/>
        <w:rPr>
          <w:rFonts w:ascii="Times New Roman" w:hAnsi="Times New Roman" w:eastAsia="方正小标宋简体"/>
          <w:b/>
          <w:spacing w:val="-10"/>
          <w:sz w:val="44"/>
          <w:szCs w:val="44"/>
        </w:rPr>
      </w:pPr>
      <w:r>
        <w:rPr>
          <w:rFonts w:ascii="Times New Roman" w:hAnsi="Times New Roman" w:eastAsia="方正小标宋简体"/>
          <w:spacing w:val="-10"/>
          <w:kern w:val="0"/>
          <w:sz w:val="44"/>
          <w:szCs w:val="44"/>
        </w:rPr>
        <w:t>2016年街道办事处一般公共预算收入决算草案表</w:t>
      </w:r>
    </w:p>
    <w:p>
      <w:pPr>
        <w:spacing w:line="560" w:lineRule="exact"/>
        <w:jc w:val="right"/>
        <w:rPr>
          <w:rFonts w:ascii="Times New Roman" w:hAnsi="Times New Roman"/>
          <w:b/>
        </w:rPr>
      </w:pPr>
      <w:r>
        <w:rPr>
          <w:rFonts w:ascii="Times New Roman" w:hAnsi="Times New Roman" w:eastAsia="宋体"/>
          <w:kern w:val="0"/>
          <w:sz w:val="24"/>
          <w:szCs w:val="24"/>
        </w:rPr>
        <w:t>单位：万元</w:t>
      </w:r>
    </w:p>
    <w:tbl>
      <w:tblPr>
        <w:tblStyle w:val="12"/>
        <w:tblW w:w="8780" w:type="dxa"/>
        <w:tblInd w:w="93" w:type="dxa"/>
        <w:tblLayout w:type="fixed"/>
        <w:tblCellMar>
          <w:top w:w="0" w:type="dxa"/>
          <w:left w:w="108" w:type="dxa"/>
          <w:bottom w:w="0" w:type="dxa"/>
          <w:right w:w="108" w:type="dxa"/>
        </w:tblCellMar>
      </w:tblPr>
      <w:tblGrid>
        <w:gridCol w:w="3320"/>
        <w:gridCol w:w="2540"/>
        <w:gridCol w:w="2920"/>
      </w:tblGrid>
      <w:tr>
        <w:tblPrEx>
          <w:tblLayout w:type="fixed"/>
          <w:tblCellMar>
            <w:top w:w="0" w:type="dxa"/>
            <w:left w:w="108" w:type="dxa"/>
            <w:bottom w:w="0" w:type="dxa"/>
            <w:right w:w="108" w:type="dxa"/>
          </w:tblCellMar>
        </w:tblPrEx>
        <w:trPr>
          <w:trHeight w:val="340" w:hRule="atLeast"/>
        </w:trPr>
        <w:tc>
          <w:tcPr>
            <w:tcW w:w="3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2540" w:type="dxa"/>
            <w:tcBorders>
              <w:top w:val="single" w:color="auto" w:sz="4" w:space="0"/>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黑体"/>
                <w:kern w:val="0"/>
                <w:sz w:val="20"/>
                <w:szCs w:val="20"/>
              </w:rPr>
            </w:pPr>
            <w:r>
              <w:rPr>
                <w:rFonts w:ascii="Times New Roman" w:hAnsi="Times New Roman" w:eastAsia="黑体"/>
                <w:kern w:val="0"/>
                <w:sz w:val="20"/>
                <w:szCs w:val="20"/>
              </w:rPr>
              <w:t>历山街道办</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kern w:val="0"/>
                <w:sz w:val="20"/>
                <w:szCs w:val="20"/>
              </w:rPr>
            </w:pPr>
            <w:r>
              <w:rPr>
                <w:rFonts w:ascii="Times New Roman" w:hAnsi="Times New Roman" w:eastAsia="黑体"/>
                <w:kern w:val="0"/>
                <w:sz w:val="20"/>
                <w:szCs w:val="20"/>
              </w:rPr>
              <w:t>南麻街道办</w:t>
            </w:r>
          </w:p>
        </w:tc>
      </w:tr>
      <w:tr>
        <w:tblPrEx>
          <w:tblLayout w:type="fixed"/>
          <w:tblCellMar>
            <w:top w:w="0" w:type="dxa"/>
            <w:left w:w="108" w:type="dxa"/>
            <w:bottom w:w="0" w:type="dxa"/>
            <w:right w:w="108" w:type="dxa"/>
          </w:tblCellMar>
        </w:tblPrEx>
        <w:trPr>
          <w:trHeight w:val="340" w:hRule="atLeast"/>
        </w:trPr>
        <w:tc>
          <w:tcPr>
            <w:tcW w:w="33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黑体"/>
                <w:kern w:val="0"/>
                <w:sz w:val="20"/>
                <w:szCs w:val="20"/>
              </w:rPr>
            </w:pPr>
          </w:p>
        </w:tc>
        <w:tc>
          <w:tcPr>
            <w:tcW w:w="2540" w:type="dxa"/>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黑体"/>
                <w:kern w:val="0"/>
                <w:sz w:val="20"/>
                <w:szCs w:val="20"/>
              </w:rPr>
            </w:pPr>
            <w:r>
              <w:rPr>
                <w:rFonts w:ascii="Times New Roman" w:hAnsi="Times New Roman" w:eastAsia="黑体"/>
                <w:kern w:val="0"/>
                <w:sz w:val="20"/>
                <w:szCs w:val="20"/>
              </w:rPr>
              <w:t>2016年执行数</w:t>
            </w:r>
          </w:p>
        </w:tc>
        <w:tc>
          <w:tcPr>
            <w:tcW w:w="2920"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kern w:val="0"/>
                <w:sz w:val="20"/>
                <w:szCs w:val="20"/>
              </w:rPr>
            </w:pPr>
            <w:r>
              <w:rPr>
                <w:rFonts w:ascii="Times New Roman" w:hAnsi="Times New Roman" w:eastAsia="黑体"/>
                <w:kern w:val="0"/>
                <w:sz w:val="20"/>
                <w:szCs w:val="20"/>
              </w:rPr>
              <w:t>2016年执行数</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一、税收收入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6049</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9711</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增值税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1555</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4109</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营业税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2139</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1292</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企业所得税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340</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1136</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个人所得税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365</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241</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资源税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城市维护建设税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311</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555</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房产税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654</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450</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印花税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85</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95</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城镇土地使用税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300</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1102</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土地增值税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300</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731</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车船税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契税</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其他税收</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二、非税收入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197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329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专项收入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197</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329</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行政事业性收费收入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国有资源(资产)有偿使用收入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其他收入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本年收入合计</w:t>
            </w:r>
          </w:p>
        </w:tc>
        <w:tc>
          <w:tcPr>
            <w:tcW w:w="254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6246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10040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三、债务收入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0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0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地方政府债券收入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四、转移性收入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1022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2233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税收返还性收入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429</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872</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上级一般性转移支付收入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593</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1361</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上级专项转移支付收入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调入预算稳定调节基金</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调入资金</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nil"/>
              <w:right w:val="nil"/>
            </w:tcBorders>
            <w:shd w:val="clear" w:color="auto" w:fill="auto"/>
            <w:vAlign w:val="center"/>
          </w:tcPr>
          <w:p>
            <w:pPr>
              <w:widowControl/>
              <w:spacing w:line="28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上年结转及结余收入</w:t>
            </w:r>
          </w:p>
        </w:tc>
        <w:tc>
          <w:tcPr>
            <w:tcW w:w="2540" w:type="dxa"/>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2920" w:type="dxa"/>
            <w:tcBorders>
              <w:top w:val="nil"/>
              <w:left w:val="nil"/>
              <w:bottom w:val="nil"/>
              <w:right w:val="single" w:color="auto" w:sz="4" w:space="0"/>
            </w:tcBorders>
            <w:shd w:val="clear" w:color="auto" w:fill="auto"/>
            <w:vAlign w:val="center"/>
          </w:tcPr>
          <w:p>
            <w:pPr>
              <w:widowControl/>
              <w:spacing w:line="28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340" w:hRule="atLeast"/>
        </w:trPr>
        <w:tc>
          <w:tcPr>
            <w:tcW w:w="3320" w:type="dxa"/>
            <w:tcBorders>
              <w:top w:val="nil"/>
              <w:left w:val="single" w:color="auto" w:sz="4" w:space="0"/>
              <w:bottom w:val="single" w:color="auto" w:sz="4" w:space="0"/>
              <w:right w:val="nil"/>
            </w:tcBorders>
            <w:shd w:val="clear" w:color="auto" w:fill="auto"/>
            <w:vAlign w:val="center"/>
          </w:tcPr>
          <w:p>
            <w:pPr>
              <w:widowControl/>
              <w:spacing w:line="28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收入总计</w:t>
            </w:r>
          </w:p>
        </w:tc>
        <w:tc>
          <w:tcPr>
            <w:tcW w:w="2540"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7268 </w:t>
            </w:r>
          </w:p>
        </w:tc>
        <w:tc>
          <w:tcPr>
            <w:tcW w:w="29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12273 </w:t>
            </w:r>
          </w:p>
        </w:tc>
      </w:tr>
    </w:tbl>
    <w:p>
      <w:pPr>
        <w:spacing w:line="560" w:lineRule="exact"/>
        <w:jc w:val="center"/>
        <w:rPr>
          <w:rFonts w:ascii="Times New Roman" w:hAnsi="Times New Roman" w:eastAsia="文星简大标宋"/>
          <w:kern w:val="0"/>
          <w:szCs w:val="32"/>
        </w:rPr>
      </w:pPr>
    </w:p>
    <w:p>
      <w:pPr>
        <w:spacing w:line="560" w:lineRule="exact"/>
        <w:jc w:val="left"/>
        <w:rPr>
          <w:rFonts w:ascii="Times New Roman" w:hAnsi="Times New Roman" w:eastAsia="黑体"/>
          <w:kern w:val="0"/>
          <w:szCs w:val="32"/>
        </w:rPr>
      </w:pPr>
      <w:r>
        <w:rPr>
          <w:rFonts w:ascii="Times New Roman" w:hAnsi="Times New Roman" w:eastAsia="黑体"/>
          <w:kern w:val="0"/>
          <w:szCs w:val="32"/>
        </w:rPr>
        <w:t>表18</w:t>
      </w:r>
    </w:p>
    <w:p>
      <w:pPr>
        <w:spacing w:line="560" w:lineRule="exact"/>
        <w:jc w:val="center"/>
        <w:rPr>
          <w:rFonts w:ascii="Times New Roman" w:hAnsi="Times New Roman" w:eastAsia="方正小标宋简体"/>
          <w:b/>
          <w:spacing w:val="-8"/>
          <w:sz w:val="44"/>
        </w:rPr>
      </w:pPr>
      <w:r>
        <w:rPr>
          <w:rFonts w:ascii="Times New Roman" w:hAnsi="Times New Roman" w:eastAsia="方正小标宋简体"/>
          <w:spacing w:val="-8"/>
          <w:kern w:val="0"/>
          <w:sz w:val="44"/>
          <w:szCs w:val="32"/>
        </w:rPr>
        <w:t>2016年街道办事处一般公共预算支出决算草案表</w:t>
      </w:r>
    </w:p>
    <w:p>
      <w:pPr>
        <w:spacing w:line="560" w:lineRule="exact"/>
        <w:jc w:val="right"/>
        <w:rPr>
          <w:rFonts w:ascii="Times New Roman" w:hAnsi="Times New Roman"/>
          <w:b/>
        </w:rPr>
      </w:pPr>
      <w:r>
        <w:rPr>
          <w:rFonts w:ascii="Times New Roman" w:hAnsi="Times New Roman" w:eastAsia="宋体"/>
          <w:kern w:val="0"/>
          <w:sz w:val="20"/>
          <w:szCs w:val="20"/>
        </w:rPr>
        <w:t>单位：万元</w:t>
      </w:r>
    </w:p>
    <w:tbl>
      <w:tblPr>
        <w:tblStyle w:val="12"/>
        <w:tblW w:w="8927" w:type="dxa"/>
        <w:tblInd w:w="93" w:type="dxa"/>
        <w:tblLayout w:type="fixed"/>
        <w:tblCellMar>
          <w:top w:w="0" w:type="dxa"/>
          <w:left w:w="108" w:type="dxa"/>
          <w:bottom w:w="0" w:type="dxa"/>
          <w:right w:w="108" w:type="dxa"/>
        </w:tblCellMar>
      </w:tblPr>
      <w:tblGrid>
        <w:gridCol w:w="3100"/>
        <w:gridCol w:w="2727"/>
        <w:gridCol w:w="3100"/>
      </w:tblGrid>
      <w:tr>
        <w:tblPrEx>
          <w:tblLayout w:type="fixed"/>
          <w:tblCellMar>
            <w:top w:w="0" w:type="dxa"/>
            <w:left w:w="108" w:type="dxa"/>
            <w:bottom w:w="0" w:type="dxa"/>
            <w:right w:w="108" w:type="dxa"/>
          </w:tblCellMar>
        </w:tblPrEx>
        <w:trPr>
          <w:trHeight w:val="405" w:hRule="atLeast"/>
        </w:trPr>
        <w:tc>
          <w:tcPr>
            <w:tcW w:w="31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项       目</w:t>
            </w:r>
          </w:p>
        </w:tc>
        <w:tc>
          <w:tcPr>
            <w:tcW w:w="2727" w:type="dxa"/>
            <w:tcBorders>
              <w:top w:val="single" w:color="auto" w:sz="4" w:space="0"/>
              <w:left w:val="nil"/>
              <w:bottom w:val="single" w:color="auto" w:sz="4" w:space="0"/>
              <w:right w:val="nil"/>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历山街道办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南麻街道办</w:t>
            </w:r>
          </w:p>
        </w:tc>
      </w:tr>
      <w:tr>
        <w:tblPrEx>
          <w:tblLayout w:type="fixed"/>
          <w:tblCellMar>
            <w:top w:w="0" w:type="dxa"/>
            <w:left w:w="108" w:type="dxa"/>
            <w:bottom w:w="0" w:type="dxa"/>
            <w:right w:w="108" w:type="dxa"/>
          </w:tblCellMar>
        </w:tblPrEx>
        <w:trPr>
          <w:trHeight w:val="549" w:hRule="atLeast"/>
        </w:trPr>
        <w:tc>
          <w:tcPr>
            <w:tcW w:w="31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黑体"/>
                <w:kern w:val="0"/>
                <w:sz w:val="20"/>
                <w:szCs w:val="20"/>
              </w:rPr>
            </w:pPr>
          </w:p>
        </w:tc>
        <w:tc>
          <w:tcPr>
            <w:tcW w:w="2727" w:type="dxa"/>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2016年执行数</w:t>
            </w:r>
          </w:p>
        </w:tc>
        <w:tc>
          <w:tcPr>
            <w:tcW w:w="31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kern w:val="0"/>
                <w:sz w:val="20"/>
                <w:szCs w:val="20"/>
              </w:rPr>
            </w:pPr>
            <w:r>
              <w:rPr>
                <w:rFonts w:ascii="Times New Roman" w:hAnsi="Times New Roman" w:eastAsia="黑体"/>
                <w:kern w:val="0"/>
                <w:sz w:val="20"/>
                <w:szCs w:val="20"/>
              </w:rPr>
              <w:t>2016年执行数</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一、一般公共服务支出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1209</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2700</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二、公共安全支出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60</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三、教育支出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32</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25</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四、科学技术支出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4</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五、文化体育与传媒支出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97</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122</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六、社会保障和就业支出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668</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677</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七、医疗卫生与计划生育支出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202</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76</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八、节能环保支出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九、城乡社区支出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1172</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280</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十、农林水支出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260</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822</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十一、资源勘探信息等支出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140</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69</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十二、住房保障支出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78</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75</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十三、其他各项支出</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本年支出合计</w:t>
            </w:r>
          </w:p>
        </w:tc>
        <w:tc>
          <w:tcPr>
            <w:tcW w:w="2727"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3922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4846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转移性支出</w:t>
            </w:r>
          </w:p>
        </w:tc>
        <w:tc>
          <w:tcPr>
            <w:tcW w:w="2727"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3346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xml:space="preserve">7427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一般转移支付上解支出</w:t>
            </w:r>
          </w:p>
        </w:tc>
        <w:tc>
          <w:tcPr>
            <w:tcW w:w="2727"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3346</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7427</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专项转移支付上解支出</w:t>
            </w:r>
          </w:p>
        </w:tc>
        <w:tc>
          <w:tcPr>
            <w:tcW w:w="2727"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债务还本支出</w:t>
            </w:r>
          </w:p>
        </w:tc>
        <w:tc>
          <w:tcPr>
            <w:tcW w:w="2727"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安排预算稳定调节基金</w:t>
            </w:r>
          </w:p>
        </w:tc>
        <w:tc>
          <w:tcPr>
            <w:tcW w:w="2727"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结转下年支出</w:t>
            </w:r>
          </w:p>
        </w:tc>
        <w:tc>
          <w:tcPr>
            <w:tcW w:w="2727"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nil"/>
              <w:right w:val="nil"/>
            </w:tcBorders>
            <w:shd w:val="clear" w:color="auto" w:fill="auto"/>
            <w:vAlign w:val="center"/>
          </w:tcPr>
          <w:p>
            <w:pPr>
              <w:widowControl/>
              <w:spacing w:line="300" w:lineRule="exact"/>
              <w:jc w:val="left"/>
              <w:rPr>
                <w:rFonts w:ascii="Times New Roman" w:hAnsi="Times New Roman" w:eastAsia="宋体"/>
                <w:kern w:val="0"/>
                <w:sz w:val="20"/>
                <w:szCs w:val="20"/>
              </w:rPr>
            </w:pPr>
            <w:r>
              <w:rPr>
                <w:rFonts w:ascii="Times New Roman" w:hAnsi="Times New Roman" w:eastAsia="宋体"/>
                <w:kern w:val="0"/>
                <w:sz w:val="20"/>
                <w:szCs w:val="20"/>
              </w:rPr>
              <w:t xml:space="preserve">   累计净结余</w:t>
            </w:r>
          </w:p>
        </w:tc>
        <w:tc>
          <w:tcPr>
            <w:tcW w:w="2727" w:type="dxa"/>
            <w:tcBorders>
              <w:top w:val="nil"/>
              <w:left w:val="single" w:color="auto" w:sz="4" w:space="0"/>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c>
          <w:tcPr>
            <w:tcW w:w="3100" w:type="dxa"/>
            <w:tcBorders>
              <w:top w:val="nil"/>
              <w:left w:val="nil"/>
              <w:bottom w:val="nil"/>
              <w:right w:val="single" w:color="auto" w:sz="4" w:space="0"/>
            </w:tcBorders>
            <w:shd w:val="clear" w:color="auto" w:fill="auto"/>
            <w:vAlign w:val="center"/>
          </w:tcPr>
          <w:p>
            <w:pPr>
              <w:widowControl/>
              <w:spacing w:line="300" w:lineRule="exact"/>
              <w:jc w:val="center"/>
              <w:rPr>
                <w:rFonts w:ascii="Times New Roman" w:hAnsi="Times New Roman" w:eastAsia="宋体"/>
                <w:kern w:val="0"/>
                <w:sz w:val="20"/>
                <w:szCs w:val="20"/>
              </w:rPr>
            </w:pPr>
            <w:r>
              <w:rPr>
                <w:rFonts w:ascii="Times New Roman" w:hAnsi="Times New Roman" w:eastAsia="宋体"/>
                <w:kern w:val="0"/>
                <w:sz w:val="20"/>
                <w:szCs w:val="20"/>
              </w:rPr>
              <w:t>　</w:t>
            </w:r>
          </w:p>
        </w:tc>
      </w:tr>
      <w:tr>
        <w:tblPrEx>
          <w:tblLayout w:type="fixed"/>
          <w:tblCellMar>
            <w:top w:w="0" w:type="dxa"/>
            <w:left w:w="108" w:type="dxa"/>
            <w:bottom w:w="0" w:type="dxa"/>
            <w:right w:w="108" w:type="dxa"/>
          </w:tblCellMar>
        </w:tblPrEx>
        <w:trPr>
          <w:trHeight w:val="405" w:hRule="atLeast"/>
        </w:trPr>
        <w:tc>
          <w:tcPr>
            <w:tcW w:w="310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支出总计</w:t>
            </w:r>
          </w:p>
        </w:tc>
        <w:tc>
          <w:tcPr>
            <w:tcW w:w="2727"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7268 </w:t>
            </w:r>
          </w:p>
        </w:tc>
        <w:tc>
          <w:tcPr>
            <w:tcW w:w="310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12273 </w:t>
            </w:r>
          </w:p>
        </w:tc>
      </w:tr>
    </w:tbl>
    <w:p>
      <w:pPr>
        <w:spacing w:line="560" w:lineRule="exact"/>
        <w:rPr>
          <w:rFonts w:ascii="Times New Roman" w:hAnsi="Times New Roman"/>
          <w:b/>
        </w:rPr>
      </w:pPr>
    </w:p>
    <w:sectPr>
      <w:headerReference r:id="rId3" w:type="default"/>
      <w:footerReference r:id="rId4" w:type="default"/>
      <w:pgSz w:w="11906" w:h="16838"/>
      <w:pgMar w:top="1871" w:right="1588" w:bottom="1701" w:left="1588" w:header="851" w:footer="1418" w:gutter="0"/>
      <w:cols w:space="0" w:num="1"/>
      <w:docGrid w:type="linesAndChars" w:linePitch="549" w:charSpace="-3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roman"/>
    <w:pitch w:val="default"/>
    <w:sig w:usb0="00000000" w:usb1="00000000" w:usb2="00000010" w:usb3="00000000" w:csb0="00040000" w:csb1="00000000"/>
  </w:font>
  <w:font w:name="文星简大标宋">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9"/>
        <w:rFonts w:ascii="宋体" w:hAnsi="宋体" w:eastAsia="宋体"/>
        <w:sz w:val="28"/>
        <w:szCs w:val="28"/>
      </w:rPr>
    </w:pPr>
    <w:r>
      <w:rPr>
        <w:rStyle w:val="9"/>
        <w:rFonts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w:t>
    </w:r>
    <w:r>
      <w:rPr>
        <w:rStyle w:val="9"/>
        <w:rFonts w:ascii="宋体" w:hAnsi="宋体" w:eastAsia="宋体"/>
        <w:sz w:val="28"/>
        <w:szCs w:val="28"/>
      </w:rPr>
      <w:fldChar w:fldCharType="end"/>
    </w:r>
    <w:r>
      <w:rPr>
        <w:rStyle w:val="9"/>
        <w:rFonts w:ascii="宋体" w:hAnsi="宋体" w:eastAsia="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DF018"/>
    <w:multiLevelType w:val="singleLevel"/>
    <w:tmpl w:val="577DF018"/>
    <w:lvl w:ilvl="0" w:tentative="0">
      <w:start w:val="3"/>
      <w:numFmt w:val="chineseCounting"/>
      <w:suff w:val="nothing"/>
      <w:lvlText w:val="%1、"/>
      <w:lvlJc w:val="left"/>
      <w:rPr>
        <w:rFonts w:cs="Times New Roman"/>
      </w:rPr>
    </w:lvl>
  </w:abstractNum>
  <w:abstractNum w:abstractNumId="1">
    <w:nsid w:val="59469E49"/>
    <w:multiLevelType w:val="singleLevel"/>
    <w:tmpl w:val="59469E49"/>
    <w:lvl w:ilvl="0" w:tentative="0">
      <w:start w:val="2"/>
      <w:numFmt w:val="chineseCounting"/>
      <w:suff w:val="nothing"/>
      <w:lvlText w:val="（%1）"/>
      <w:lvlJc w:val="left"/>
    </w:lvl>
  </w:abstractNum>
  <w:abstractNum w:abstractNumId="2">
    <w:nsid w:val="5946B4A3"/>
    <w:multiLevelType w:val="singleLevel"/>
    <w:tmpl w:val="5946B4A3"/>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1"/>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7309D"/>
    <w:rsid w:val="00034C36"/>
    <w:rsid w:val="00062112"/>
    <w:rsid w:val="0007665B"/>
    <w:rsid w:val="00086132"/>
    <w:rsid w:val="0014552A"/>
    <w:rsid w:val="0016262A"/>
    <w:rsid w:val="001643FC"/>
    <w:rsid w:val="00167856"/>
    <w:rsid w:val="00175495"/>
    <w:rsid w:val="00181DAC"/>
    <w:rsid w:val="001830B7"/>
    <w:rsid w:val="001F2F61"/>
    <w:rsid w:val="00201636"/>
    <w:rsid w:val="00204D72"/>
    <w:rsid w:val="00221CE4"/>
    <w:rsid w:val="0023180D"/>
    <w:rsid w:val="002A0ED1"/>
    <w:rsid w:val="002B0D5C"/>
    <w:rsid w:val="002B543D"/>
    <w:rsid w:val="002C7517"/>
    <w:rsid w:val="002D3DE2"/>
    <w:rsid w:val="002D6036"/>
    <w:rsid w:val="003074CE"/>
    <w:rsid w:val="003128CB"/>
    <w:rsid w:val="00346140"/>
    <w:rsid w:val="003932F2"/>
    <w:rsid w:val="003A292C"/>
    <w:rsid w:val="003B2821"/>
    <w:rsid w:val="003C2E8F"/>
    <w:rsid w:val="003E1261"/>
    <w:rsid w:val="003F4C5B"/>
    <w:rsid w:val="00432C86"/>
    <w:rsid w:val="0045758A"/>
    <w:rsid w:val="004A4FF1"/>
    <w:rsid w:val="004C3E53"/>
    <w:rsid w:val="004D4DDB"/>
    <w:rsid w:val="004F3668"/>
    <w:rsid w:val="005C2CDB"/>
    <w:rsid w:val="005D3691"/>
    <w:rsid w:val="005F5E59"/>
    <w:rsid w:val="00606C7E"/>
    <w:rsid w:val="00607702"/>
    <w:rsid w:val="00612FFB"/>
    <w:rsid w:val="006220A7"/>
    <w:rsid w:val="00627F00"/>
    <w:rsid w:val="0063085A"/>
    <w:rsid w:val="00674A1C"/>
    <w:rsid w:val="006A396D"/>
    <w:rsid w:val="006B39DD"/>
    <w:rsid w:val="00721783"/>
    <w:rsid w:val="00722AED"/>
    <w:rsid w:val="00723862"/>
    <w:rsid w:val="00730C89"/>
    <w:rsid w:val="0073127C"/>
    <w:rsid w:val="00741F6C"/>
    <w:rsid w:val="007424BF"/>
    <w:rsid w:val="00744E66"/>
    <w:rsid w:val="00770AB7"/>
    <w:rsid w:val="00770FCC"/>
    <w:rsid w:val="007807C8"/>
    <w:rsid w:val="007D01EC"/>
    <w:rsid w:val="007F10F9"/>
    <w:rsid w:val="008067E1"/>
    <w:rsid w:val="00825B0C"/>
    <w:rsid w:val="0086608A"/>
    <w:rsid w:val="008816B2"/>
    <w:rsid w:val="008A6782"/>
    <w:rsid w:val="00903E42"/>
    <w:rsid w:val="00946BCF"/>
    <w:rsid w:val="00951C2D"/>
    <w:rsid w:val="00975D3C"/>
    <w:rsid w:val="009B0EF9"/>
    <w:rsid w:val="009B64E7"/>
    <w:rsid w:val="00A02F5B"/>
    <w:rsid w:val="00A83481"/>
    <w:rsid w:val="00A927EC"/>
    <w:rsid w:val="00AB41A4"/>
    <w:rsid w:val="00AD0B03"/>
    <w:rsid w:val="00B34EA4"/>
    <w:rsid w:val="00B461C5"/>
    <w:rsid w:val="00B9091F"/>
    <w:rsid w:val="00BB7DEF"/>
    <w:rsid w:val="00BC1074"/>
    <w:rsid w:val="00BE083F"/>
    <w:rsid w:val="00BE6171"/>
    <w:rsid w:val="00C06E6B"/>
    <w:rsid w:val="00C10158"/>
    <w:rsid w:val="00C63921"/>
    <w:rsid w:val="00C974DB"/>
    <w:rsid w:val="00CE5F5F"/>
    <w:rsid w:val="00D64E4A"/>
    <w:rsid w:val="00D712FE"/>
    <w:rsid w:val="00D76903"/>
    <w:rsid w:val="00DC34CD"/>
    <w:rsid w:val="00DF5830"/>
    <w:rsid w:val="00E245F3"/>
    <w:rsid w:val="00E25687"/>
    <w:rsid w:val="00E31D6B"/>
    <w:rsid w:val="00E77C01"/>
    <w:rsid w:val="00EB5A10"/>
    <w:rsid w:val="00EB7BDF"/>
    <w:rsid w:val="00ED2D3B"/>
    <w:rsid w:val="00ED4698"/>
    <w:rsid w:val="00F466B4"/>
    <w:rsid w:val="00FC2A65"/>
    <w:rsid w:val="0255478C"/>
    <w:rsid w:val="025719F8"/>
    <w:rsid w:val="03821AD6"/>
    <w:rsid w:val="063B5554"/>
    <w:rsid w:val="066B01DD"/>
    <w:rsid w:val="07186BDD"/>
    <w:rsid w:val="090F4D3E"/>
    <w:rsid w:val="09256556"/>
    <w:rsid w:val="099340B3"/>
    <w:rsid w:val="09A739E0"/>
    <w:rsid w:val="09E01AF2"/>
    <w:rsid w:val="0A3D7A79"/>
    <w:rsid w:val="0A564F26"/>
    <w:rsid w:val="0A7F10BC"/>
    <w:rsid w:val="0A863265"/>
    <w:rsid w:val="0AB5765A"/>
    <w:rsid w:val="0BE34EFC"/>
    <w:rsid w:val="0C223F18"/>
    <w:rsid w:val="0C7D5518"/>
    <w:rsid w:val="0CD36DCF"/>
    <w:rsid w:val="0D1B71D5"/>
    <w:rsid w:val="0D645C0E"/>
    <w:rsid w:val="0DA17ABD"/>
    <w:rsid w:val="0DB55988"/>
    <w:rsid w:val="0E8E19D0"/>
    <w:rsid w:val="0E9C34E4"/>
    <w:rsid w:val="0EF67578"/>
    <w:rsid w:val="10B7539F"/>
    <w:rsid w:val="11A11739"/>
    <w:rsid w:val="124F420B"/>
    <w:rsid w:val="12E07F70"/>
    <w:rsid w:val="12F431B9"/>
    <w:rsid w:val="13830A7A"/>
    <w:rsid w:val="14BF0C39"/>
    <w:rsid w:val="14EA1FE0"/>
    <w:rsid w:val="153D49B4"/>
    <w:rsid w:val="15482CBC"/>
    <w:rsid w:val="17DF5099"/>
    <w:rsid w:val="182C2E35"/>
    <w:rsid w:val="196A49A7"/>
    <w:rsid w:val="1AE12AC5"/>
    <w:rsid w:val="1B213F8F"/>
    <w:rsid w:val="1B304B5E"/>
    <w:rsid w:val="1B871E68"/>
    <w:rsid w:val="1B98451D"/>
    <w:rsid w:val="1BAC7C40"/>
    <w:rsid w:val="1BD25B00"/>
    <w:rsid w:val="1C156233"/>
    <w:rsid w:val="1C957903"/>
    <w:rsid w:val="1E336F22"/>
    <w:rsid w:val="1EFB44E1"/>
    <w:rsid w:val="1FE4593F"/>
    <w:rsid w:val="20433E1A"/>
    <w:rsid w:val="205E5978"/>
    <w:rsid w:val="211340A2"/>
    <w:rsid w:val="213452ED"/>
    <w:rsid w:val="22074008"/>
    <w:rsid w:val="224B3005"/>
    <w:rsid w:val="23312BDD"/>
    <w:rsid w:val="23D37912"/>
    <w:rsid w:val="23DC0152"/>
    <w:rsid w:val="23E97D52"/>
    <w:rsid w:val="240D3DBE"/>
    <w:rsid w:val="24A14925"/>
    <w:rsid w:val="25462959"/>
    <w:rsid w:val="257B40DC"/>
    <w:rsid w:val="26473490"/>
    <w:rsid w:val="265553CB"/>
    <w:rsid w:val="273C4952"/>
    <w:rsid w:val="273E1581"/>
    <w:rsid w:val="2A46222C"/>
    <w:rsid w:val="2AF77CD3"/>
    <w:rsid w:val="2B41552A"/>
    <w:rsid w:val="2BE949BF"/>
    <w:rsid w:val="2C2B1F77"/>
    <w:rsid w:val="2CA2379F"/>
    <w:rsid w:val="2CAF2302"/>
    <w:rsid w:val="2CC44C53"/>
    <w:rsid w:val="2CCD4CDB"/>
    <w:rsid w:val="2D07309D"/>
    <w:rsid w:val="2D9A1C89"/>
    <w:rsid w:val="2DCC234E"/>
    <w:rsid w:val="2F0D41AD"/>
    <w:rsid w:val="2F1C54F3"/>
    <w:rsid w:val="2F21523E"/>
    <w:rsid w:val="2FB653D1"/>
    <w:rsid w:val="2FBB4A8D"/>
    <w:rsid w:val="314F7E65"/>
    <w:rsid w:val="315E21A8"/>
    <w:rsid w:val="317B567B"/>
    <w:rsid w:val="32D47656"/>
    <w:rsid w:val="330C51CC"/>
    <w:rsid w:val="33455DE9"/>
    <w:rsid w:val="33746292"/>
    <w:rsid w:val="339A33DE"/>
    <w:rsid w:val="34464D0A"/>
    <w:rsid w:val="344A55B2"/>
    <w:rsid w:val="34A7184C"/>
    <w:rsid w:val="359A1BB4"/>
    <w:rsid w:val="368510C6"/>
    <w:rsid w:val="36A6322F"/>
    <w:rsid w:val="373C5C6A"/>
    <w:rsid w:val="380F17FA"/>
    <w:rsid w:val="38C0390B"/>
    <w:rsid w:val="3A823AC7"/>
    <w:rsid w:val="3B116DD4"/>
    <w:rsid w:val="3B457853"/>
    <w:rsid w:val="3B512B2C"/>
    <w:rsid w:val="3B5C7506"/>
    <w:rsid w:val="3B9A690C"/>
    <w:rsid w:val="3C4F1649"/>
    <w:rsid w:val="3D21277C"/>
    <w:rsid w:val="3DB12FBD"/>
    <w:rsid w:val="3DC723DA"/>
    <w:rsid w:val="3E0238AD"/>
    <w:rsid w:val="3E306468"/>
    <w:rsid w:val="3EAB3B16"/>
    <w:rsid w:val="3EC21507"/>
    <w:rsid w:val="3F29645A"/>
    <w:rsid w:val="3FB031E8"/>
    <w:rsid w:val="419D0F1E"/>
    <w:rsid w:val="41DD7A09"/>
    <w:rsid w:val="426C7733"/>
    <w:rsid w:val="42931C74"/>
    <w:rsid w:val="431B62CA"/>
    <w:rsid w:val="43ED7119"/>
    <w:rsid w:val="4526349A"/>
    <w:rsid w:val="454455B4"/>
    <w:rsid w:val="45877121"/>
    <w:rsid w:val="47F416EE"/>
    <w:rsid w:val="49591726"/>
    <w:rsid w:val="49B6362D"/>
    <w:rsid w:val="4B162AC2"/>
    <w:rsid w:val="4B4A6FAB"/>
    <w:rsid w:val="4B722961"/>
    <w:rsid w:val="4BA0438A"/>
    <w:rsid w:val="4C40569F"/>
    <w:rsid w:val="4CCA6C62"/>
    <w:rsid w:val="4CD15B39"/>
    <w:rsid w:val="4D257BAD"/>
    <w:rsid w:val="4DD126CC"/>
    <w:rsid w:val="4E44797B"/>
    <w:rsid w:val="4E513BC4"/>
    <w:rsid w:val="4ECF7538"/>
    <w:rsid w:val="4F265D89"/>
    <w:rsid w:val="506F43BE"/>
    <w:rsid w:val="50B72A13"/>
    <w:rsid w:val="51C6265B"/>
    <w:rsid w:val="520012ED"/>
    <w:rsid w:val="5250077C"/>
    <w:rsid w:val="52FA3922"/>
    <w:rsid w:val="53B034D0"/>
    <w:rsid w:val="5473376C"/>
    <w:rsid w:val="54DC73D5"/>
    <w:rsid w:val="56872DD4"/>
    <w:rsid w:val="56F5298A"/>
    <w:rsid w:val="574777E4"/>
    <w:rsid w:val="57BF29AC"/>
    <w:rsid w:val="581C3470"/>
    <w:rsid w:val="58985B57"/>
    <w:rsid w:val="59AA3408"/>
    <w:rsid w:val="59D92BE1"/>
    <w:rsid w:val="59F71E18"/>
    <w:rsid w:val="5ACF7E68"/>
    <w:rsid w:val="5BAA760D"/>
    <w:rsid w:val="5BE87AFB"/>
    <w:rsid w:val="5C62681F"/>
    <w:rsid w:val="5D3E037C"/>
    <w:rsid w:val="5DA235AA"/>
    <w:rsid w:val="5DDB7C40"/>
    <w:rsid w:val="5F5B2BC3"/>
    <w:rsid w:val="5F7B6288"/>
    <w:rsid w:val="5F7C0450"/>
    <w:rsid w:val="60651F0A"/>
    <w:rsid w:val="61E1385D"/>
    <w:rsid w:val="62AC643F"/>
    <w:rsid w:val="63DE7C39"/>
    <w:rsid w:val="64025591"/>
    <w:rsid w:val="658F371D"/>
    <w:rsid w:val="659A5AF7"/>
    <w:rsid w:val="65BD47D1"/>
    <w:rsid w:val="668C1DFC"/>
    <w:rsid w:val="669754E8"/>
    <w:rsid w:val="670E2B66"/>
    <w:rsid w:val="676F52F1"/>
    <w:rsid w:val="67D37240"/>
    <w:rsid w:val="688823F2"/>
    <w:rsid w:val="69DF61AE"/>
    <w:rsid w:val="6AEA00E8"/>
    <w:rsid w:val="6B2467BB"/>
    <w:rsid w:val="6B7D101A"/>
    <w:rsid w:val="6C4A07B1"/>
    <w:rsid w:val="6C853CD7"/>
    <w:rsid w:val="6CC25FBE"/>
    <w:rsid w:val="6D5F52C8"/>
    <w:rsid w:val="6DCC7F9D"/>
    <w:rsid w:val="71A31445"/>
    <w:rsid w:val="71C605AF"/>
    <w:rsid w:val="71ED7A54"/>
    <w:rsid w:val="723770E3"/>
    <w:rsid w:val="727C1EA2"/>
    <w:rsid w:val="73976ED2"/>
    <w:rsid w:val="73E10948"/>
    <w:rsid w:val="74B66539"/>
    <w:rsid w:val="74EC5B04"/>
    <w:rsid w:val="75D42BBB"/>
    <w:rsid w:val="76F127D9"/>
    <w:rsid w:val="77363FBD"/>
    <w:rsid w:val="775F2F5A"/>
    <w:rsid w:val="78290CB3"/>
    <w:rsid w:val="79720F6E"/>
    <w:rsid w:val="79CA7B7F"/>
    <w:rsid w:val="79EF6725"/>
    <w:rsid w:val="7A037D5D"/>
    <w:rsid w:val="7A08602B"/>
    <w:rsid w:val="7A180828"/>
    <w:rsid w:val="7A632D8D"/>
    <w:rsid w:val="7AC4721C"/>
    <w:rsid w:val="7B012928"/>
    <w:rsid w:val="7B8A471B"/>
    <w:rsid w:val="7C6F4C23"/>
    <w:rsid w:val="7CA374BB"/>
    <w:rsid w:val="7D967521"/>
    <w:rsid w:val="7DE20927"/>
    <w:rsid w:val="7E4A075A"/>
    <w:rsid w:val="7E875F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ody Text Indent 2"/>
    <w:basedOn w:val="1"/>
    <w:link w:val="14"/>
    <w:qFormat/>
    <w:uiPriority w:val="99"/>
    <w:pPr>
      <w:spacing w:line="480" w:lineRule="auto"/>
      <w:ind w:left="420" w:leftChars="200"/>
    </w:p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 w:type="character" w:styleId="10">
    <w:name w:val="FollowedHyperlink"/>
    <w:basedOn w:val="8"/>
    <w:qFormat/>
    <w:uiPriority w:val="99"/>
    <w:rPr>
      <w:rFonts w:cs="Times New Roman"/>
      <w:color w:val="800080"/>
      <w:u w:val="single"/>
    </w:rPr>
  </w:style>
  <w:style w:type="character" w:styleId="11">
    <w:name w:val="Hyperlink"/>
    <w:basedOn w:val="8"/>
    <w:qFormat/>
    <w:uiPriority w:val="99"/>
    <w:rPr>
      <w:rFonts w:cs="Times New Roman"/>
      <w:color w:val="0000FF"/>
      <w:u w:val="single"/>
    </w:rPr>
  </w:style>
  <w:style w:type="character" w:customStyle="1" w:styleId="13">
    <w:name w:val="日期 Char"/>
    <w:basedOn w:val="8"/>
    <w:link w:val="2"/>
    <w:semiHidden/>
    <w:qFormat/>
    <w:locked/>
    <w:uiPriority w:val="99"/>
    <w:rPr>
      <w:rFonts w:eastAsia="仿宋_GB2312" w:cs="Times New Roman"/>
      <w:sz w:val="32"/>
    </w:rPr>
  </w:style>
  <w:style w:type="character" w:customStyle="1" w:styleId="14">
    <w:name w:val="正文文本缩进 2 Char"/>
    <w:basedOn w:val="8"/>
    <w:link w:val="3"/>
    <w:semiHidden/>
    <w:qFormat/>
    <w:locked/>
    <w:uiPriority w:val="99"/>
    <w:rPr>
      <w:rFonts w:eastAsia="仿宋_GB2312" w:cs="Times New Roman"/>
      <w:sz w:val="32"/>
    </w:rPr>
  </w:style>
  <w:style w:type="character" w:customStyle="1" w:styleId="15">
    <w:name w:val="批注框文本 Char"/>
    <w:basedOn w:val="8"/>
    <w:link w:val="4"/>
    <w:semiHidden/>
    <w:qFormat/>
    <w:uiPriority w:val="99"/>
    <w:rPr>
      <w:rFonts w:ascii="Calibri" w:hAnsi="Calibri" w:eastAsia="仿宋_GB2312"/>
      <w:kern w:val="2"/>
      <w:sz w:val="18"/>
      <w:szCs w:val="18"/>
    </w:rPr>
  </w:style>
  <w:style w:type="character" w:customStyle="1" w:styleId="16">
    <w:name w:val="页脚 Char"/>
    <w:basedOn w:val="8"/>
    <w:link w:val="5"/>
    <w:semiHidden/>
    <w:qFormat/>
    <w:locked/>
    <w:uiPriority w:val="99"/>
    <w:rPr>
      <w:rFonts w:eastAsia="仿宋_GB2312" w:cs="Times New Roman"/>
      <w:sz w:val="18"/>
      <w:szCs w:val="18"/>
    </w:rPr>
  </w:style>
  <w:style w:type="character" w:customStyle="1" w:styleId="17">
    <w:name w:val="页眉 Char"/>
    <w:basedOn w:val="8"/>
    <w:link w:val="6"/>
    <w:semiHidden/>
    <w:qFormat/>
    <w:locked/>
    <w:uiPriority w:val="99"/>
    <w:rPr>
      <w:rFonts w:eastAsia="仿宋_GB2312" w:cs="Times New Roman"/>
      <w:sz w:val="18"/>
      <w:szCs w:val="18"/>
    </w:rPr>
  </w:style>
  <w:style w:type="paragraph" w:customStyle="1" w:styleId="18">
    <w:name w:val="p15"/>
    <w:basedOn w:val="1"/>
    <w:qFormat/>
    <w:uiPriority w:val="99"/>
    <w:pPr>
      <w:widowControl/>
    </w:pPr>
    <w:rPr>
      <w:kern w:val="0"/>
      <w:szCs w:val="21"/>
    </w:rPr>
  </w:style>
  <w:style w:type="paragraph" w:customStyle="1" w:styleId="19">
    <w:name w:val="p0"/>
    <w:basedOn w:val="1"/>
    <w:qFormat/>
    <w:uiPriority w:val="99"/>
    <w:pPr>
      <w:widowControl/>
    </w:pPr>
    <w:rPr>
      <w:kern w:val="0"/>
      <w:szCs w:val="32"/>
    </w:rPr>
  </w:style>
  <w:style w:type="paragraph" w:customStyle="1" w:styleId="20">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1">
    <w:name w:val="xl3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3173"/>
    <w:basedOn w:val="1"/>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3">
    <w:name w:val="xl3174"/>
    <w:basedOn w:val="1"/>
    <w:qFormat/>
    <w:uiPriority w:val="99"/>
    <w:pPr>
      <w:widowControl/>
      <w:spacing w:before="100" w:beforeAutospacing="1" w:after="100" w:afterAutospacing="1"/>
      <w:jc w:val="right"/>
      <w:textAlignment w:val="center"/>
    </w:pPr>
    <w:rPr>
      <w:rFonts w:ascii="宋体" w:hAnsi="宋体" w:eastAsia="宋体" w:cs="宋体"/>
      <w:kern w:val="0"/>
      <w:sz w:val="20"/>
      <w:szCs w:val="20"/>
    </w:rPr>
  </w:style>
  <w:style w:type="paragraph" w:customStyle="1" w:styleId="24">
    <w:name w:val="xl317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5">
    <w:name w:val="xl317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6">
    <w:name w:val="xl3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
    <w:name w:val="xl3178"/>
    <w:basedOn w:val="1"/>
    <w:qFormat/>
    <w:uiPriority w:val="99"/>
    <w:pPr>
      <w:widowControl/>
      <w:spacing w:before="100" w:beforeAutospacing="1" w:after="100" w:afterAutospacing="1"/>
      <w:jc w:val="center"/>
      <w:textAlignment w:val="center"/>
    </w:pPr>
    <w:rPr>
      <w:rFonts w:ascii="Courier New" w:hAnsi="Courier New" w:eastAsia="宋体" w:cs="Courier New"/>
      <w:kern w:val="0"/>
      <w:sz w:val="40"/>
      <w:szCs w:val="40"/>
    </w:rPr>
  </w:style>
  <w:style w:type="paragraph" w:customStyle="1" w:styleId="2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4494</Words>
  <Characters>25617</Characters>
  <Lines>213</Lines>
  <Paragraphs>60</Paragraphs>
  <ScaleCrop>false</ScaleCrop>
  <LinksUpToDate>false</LinksUpToDate>
  <CharactersWithSpaces>30051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2017-07-21T05:27:00Z</dcterms:created>
  <dc:creator>admin</dc:creator>
  <cp:lastModifiedBy>Administrator</cp:lastModifiedBy>
  <cp:lastPrinted>2017-07-21T09:59:00Z</cp:lastPrinted>
  <dcterms:modified xsi:type="dcterms:W3CDTF">2017-08-09T09:11:30Z</dcterms:modified>
  <dc:title>关于沂源县2015年财政决算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