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color w:val="000000"/>
          <w:spacing w:val="0"/>
          <w:sz w:val="44"/>
          <w:szCs w:val="44"/>
          <w:shd w:val="clear" w:fill="FFFFFF"/>
        </w:rPr>
        <w:t>沂源县财政局2023年政府信息公开工作年度报告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shd w:val="clear" w:fill="FFFFFF"/>
        </w:rPr>
        <w:t>  </w:t>
      </w:r>
      <w:r>
        <w:rPr>
          <w:rFonts w:hint="eastAsia" w:ascii="仿宋_GB2312" w:hAnsi="仿宋_GB2312" w:eastAsia="仿宋_GB2312" w:cs="仿宋_GB2312"/>
          <w:color w:val="000000"/>
          <w:spacing w:val="0"/>
          <w:sz w:val="32"/>
          <w:szCs w:val="32"/>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shd w:val="clear" w:fill="FFFFFF"/>
        </w:rPr>
        <w:t>本年度报告根据《中华人民共和国政府信息公开条例》</w:t>
      </w:r>
      <w:r>
        <w:rPr>
          <w:rFonts w:hint="eastAsia" w:ascii="仿宋_GB2312" w:hAnsi="仿宋_GB2312" w:eastAsia="仿宋_GB2312" w:cs="仿宋_GB2312"/>
          <w:color w:val="000000"/>
          <w:spacing w:val="0"/>
          <w:sz w:val="32"/>
          <w:szCs w:val="32"/>
          <w:shd w:val="clear" w:fill="FFFFFF"/>
        </w:rPr>
        <w:t>(以下简称《条例》)和《国务院办公厅政府信息与政务公开办公室关于印发&lt;中华人民共和国政府信息公开工作年度报告格式&gt;的通知》（国办公开办函〔2021〕30号）相关要求编制，结合我局信息公开工作实际，由沂源县财政局根据政府信息公开工作情况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shd w:val="clear" w:fill="FFFFFF"/>
        </w:rPr>
        <w:t>现向社会公开沂源县财政局2023年政府信息公开工作年度报告。本报告中所列数据的统计期限自2023年1月1日至12月31日止。报告电子版可从沂源县人民政府门户网站（www.yiyuan.gov.cn）下载。如对报告内容有疑问，请与沂源县财政局联系（地址：沂源县胜利路12号；邮编：256100；电话：0533-3241445；邮箱：czjbgs@zb.shandong.c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pacing w:val="0"/>
          <w:sz w:val="32"/>
          <w:szCs w:val="32"/>
          <w:shd w:val="clear" w:fill="FFFFFF"/>
        </w:rPr>
        <w:t>沂源县财政局严格按照县委、县政府对于政务公开工作的部署要求，结合我局工作实际，</w:t>
      </w: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color w:val="000000"/>
          <w:sz w:val="32"/>
          <w:szCs w:val="32"/>
          <w:shd w:val="clear" w:fill="FFFFFF"/>
        </w:rPr>
        <w:t>认真贯彻落实《中华人民共和国政府信息公开条例》，动态调整政务公开领导小组成员，严格规范政务公开相关相关工作机制政务公开相关工作机制和公开发布程序，开展政务公开业务培训，实现政务公开与法制政府建设的双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（一）主动公开工作情况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2023年沂源县财政局主动公开政府信息194条，其中月度财政收支信息12条、政府债务信息4条、政府采购实施情况8条，财政资金直达基层10条，其他类型信息160条。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2023年沂源县财政局共收到依申请公开2件，用途为课题研究及论文写作。均在规定时限内进行答复。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firstLine="129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（三）政府信息管理情况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我局结合“三提三争”活动要求，优化信息管理方式，不断畅通政府信息公开渠道。</w:t>
      </w:r>
      <w:r>
        <w:rPr>
          <w:rFonts w:hint="eastAsia" w:ascii="仿宋_GB2312" w:hAnsi="仿宋_GB2312" w:eastAsia="仿宋_GB2312" w:cs="仿宋_GB2312"/>
          <w:color w:val="000000"/>
          <w:sz w:val="32"/>
          <w:szCs w:val="32"/>
          <w:shd w:val="clear" w:fill="FFFFFF"/>
        </w:rPr>
        <w:t>由局长为组长，其他党组成员为副组长，各科室负责人为成员。各科室把推行政务公开工作作为加强党风廉政建设和机关作风建设的一项重要工作来抓，对法定公开内容做到了全部公开。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firstLine="129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我局</w:t>
      </w:r>
      <w:r>
        <w:rPr>
          <w:rFonts w:hint="eastAsia" w:ascii="仿宋_GB2312" w:hAnsi="仿宋_GB2312" w:eastAsia="仿宋_GB2312" w:cs="仿宋_GB2312"/>
          <w:color w:val="000000"/>
          <w:sz w:val="32"/>
          <w:szCs w:val="32"/>
          <w:bdr w:val="none" w:color="auto" w:sz="0" w:space="0"/>
          <w:shd w:val="clear" w:fill="FFFFFF"/>
        </w:rPr>
        <w:t>积极配合市县做好政府网站信息发布保障工作，同时，充分发挥政务新媒体推介宣传作用，及时发布相关信息，确保人民群众及时了解我局新动态。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（五）监督保障情况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全局上下高度重视，定期参加县政府举办的培训会议，各科室严格按照政务公开工作的要求，组织专人认真做好政务信息的搜集、整理和报批，确保工作质量，做到及时、完整、准确、规范。在责任层面强化监督，把政府信息公开工作纳入本年度考核体系。每周对政府网站更新情况进行检查，每季度进行全面自查，每年进行总结回顾，全方位推进政府信息公开。</w:t>
      </w:r>
      <w:r>
        <w:rPr>
          <w:rFonts w:hint="eastAsia" w:ascii="仿宋_GB2312" w:hAnsi="仿宋_GB2312" w:eastAsia="仿宋_GB2312" w:cs="仿宋_GB2312"/>
          <w:sz w:val="32"/>
          <w:szCs w:val="32"/>
          <w:shd w:val="clear" w:fill="FFFFFF"/>
        </w:rPr>
        <w:t>2023年沂源县财政局信息公开工作无社会评议和责任追究结果情况。开展</w:t>
      </w:r>
      <w:r>
        <w:rPr>
          <w:rFonts w:hint="eastAsia" w:ascii="仿宋_GB2312" w:hAnsi="仿宋_GB2312" w:eastAsia="仿宋_GB2312" w:cs="仿宋_GB2312"/>
          <w:caps w:val="0"/>
          <w:spacing w:val="0"/>
          <w:sz w:val="32"/>
          <w:szCs w:val="32"/>
          <w:shd w:val="clear" w:fill="FFFFFF"/>
        </w:rPr>
        <w:t>“政府开放日”活动，提升了政务公开标准化建设。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二、主动公开政府信息情况</w:t>
      </w:r>
    </w:p>
    <w:tbl>
      <w:tblPr>
        <w:tblW w:w="8715"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96"/>
        <w:gridCol w:w="2034"/>
        <w:gridCol w:w="1897"/>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8715" w:type="dxa"/>
            <w:gridSpan w:val="4"/>
            <w:tcBorders>
              <w:top w:val="single" w:color="auto" w:sz="8" w:space="0"/>
              <w:left w:val="single" w:color="auto" w:sz="8" w:space="0"/>
              <w:bottom w:val="single" w:color="auto" w:sz="8" w:space="0"/>
              <w:right w:val="single" w:color="auto" w:sz="8" w:space="0"/>
            </w:tcBorders>
            <w:shd w:val="clear" w:color="auto" w:fill="BDD6EE"/>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第二十条</w:t>
            </w:r>
            <w:r>
              <w:rPr>
                <w:rFonts w:hint="eastAsia" w:ascii="仿宋_GB2312" w:hAnsi="仿宋_GB2312" w:eastAsia="仿宋_GB2312" w:cs="仿宋_GB2312"/>
                <w:caps w:val="0"/>
                <w:color w:val="000000"/>
                <w:spacing w:val="0"/>
                <w:sz w:val="32"/>
                <w:szCs w:val="32"/>
              </w:rPr>
              <w:t>  </w:t>
            </w:r>
            <w:r>
              <w:rPr>
                <w:rFonts w:hint="eastAsia" w:ascii="仿宋_GB2312" w:hAnsi="仿宋_GB2312" w:eastAsia="仿宋_GB2312" w:cs="仿宋_GB2312"/>
                <w:caps w:val="0"/>
                <w:color w:val="000000"/>
                <w:spacing w:val="0"/>
                <w:sz w:val="32"/>
                <w:szCs w:val="32"/>
              </w:rPr>
              <w:t>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9"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信息内容</w:t>
            </w:r>
          </w:p>
        </w:tc>
        <w:tc>
          <w:tcPr>
            <w:tcW w:w="2034"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本年制发件数</w:t>
            </w:r>
          </w:p>
        </w:tc>
        <w:tc>
          <w:tcPr>
            <w:tcW w:w="1897"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本年废止件数</w:t>
            </w:r>
          </w:p>
        </w:tc>
        <w:tc>
          <w:tcPr>
            <w:tcW w:w="188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规章</w:t>
            </w:r>
          </w:p>
        </w:tc>
        <w:tc>
          <w:tcPr>
            <w:tcW w:w="203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c>
          <w:tcPr>
            <w:tcW w:w="189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c>
          <w:tcPr>
            <w:tcW w:w="188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行政规范性文件</w:t>
            </w:r>
          </w:p>
        </w:tc>
        <w:tc>
          <w:tcPr>
            <w:tcW w:w="203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c>
          <w:tcPr>
            <w:tcW w:w="189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c>
          <w:tcPr>
            <w:tcW w:w="188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第二十条</w:t>
            </w:r>
            <w:r>
              <w:rPr>
                <w:rFonts w:hint="eastAsia" w:ascii="仿宋_GB2312" w:hAnsi="仿宋_GB2312" w:eastAsia="仿宋_GB2312" w:cs="仿宋_GB2312"/>
                <w:caps w:val="0"/>
                <w:color w:val="000000"/>
                <w:spacing w:val="0"/>
                <w:sz w:val="32"/>
                <w:szCs w:val="32"/>
              </w:rPr>
              <w:t>  </w:t>
            </w:r>
            <w:r>
              <w:rPr>
                <w:rFonts w:hint="eastAsia" w:ascii="仿宋_GB2312" w:hAnsi="仿宋_GB2312" w:eastAsia="仿宋_GB2312" w:cs="仿宋_GB2312"/>
                <w:caps w:val="0"/>
                <w:color w:val="000000"/>
                <w:spacing w:val="0"/>
                <w:sz w:val="32"/>
                <w:szCs w:val="32"/>
              </w:rPr>
              <w:t>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行政许可</w:t>
            </w:r>
          </w:p>
        </w:tc>
        <w:tc>
          <w:tcPr>
            <w:tcW w:w="5819"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15" w:type="dxa"/>
            <w:gridSpan w:val="4"/>
            <w:tcBorders>
              <w:top w:val="nil"/>
              <w:left w:val="single" w:color="auto" w:sz="8" w:space="0"/>
              <w:bottom w:val="single" w:color="auto" w:sz="8" w:space="0"/>
              <w:right w:val="single" w:color="auto" w:sz="8" w:space="0"/>
            </w:tcBorders>
            <w:shd w:val="clear" w:color="auto" w:fill="BDD6EE"/>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第二十条</w:t>
            </w:r>
            <w:r>
              <w:rPr>
                <w:rFonts w:hint="eastAsia" w:ascii="仿宋_GB2312" w:hAnsi="仿宋_GB2312" w:eastAsia="仿宋_GB2312" w:cs="仿宋_GB2312"/>
                <w:caps w:val="0"/>
                <w:color w:val="000000"/>
                <w:spacing w:val="0"/>
                <w:sz w:val="32"/>
                <w:szCs w:val="32"/>
              </w:rPr>
              <w:t>  </w:t>
            </w:r>
            <w:r>
              <w:rPr>
                <w:rFonts w:hint="eastAsia" w:ascii="仿宋_GB2312" w:hAnsi="仿宋_GB2312" w:eastAsia="仿宋_GB2312" w:cs="仿宋_GB2312"/>
                <w:caps w:val="0"/>
                <w:color w:val="000000"/>
                <w:spacing w:val="0"/>
                <w:sz w:val="32"/>
                <w:szCs w:val="32"/>
              </w:rPr>
              <w:t>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信息内容</w:t>
            </w:r>
          </w:p>
        </w:tc>
        <w:tc>
          <w:tcPr>
            <w:tcW w:w="5819"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行政处罚</w:t>
            </w:r>
          </w:p>
        </w:tc>
        <w:tc>
          <w:tcPr>
            <w:tcW w:w="5819"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行政强制</w:t>
            </w:r>
          </w:p>
        </w:tc>
        <w:tc>
          <w:tcPr>
            <w:tcW w:w="5819"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15" w:type="dxa"/>
            <w:gridSpan w:val="4"/>
            <w:tcBorders>
              <w:top w:val="nil"/>
              <w:left w:val="single" w:color="auto" w:sz="8" w:space="0"/>
              <w:bottom w:val="single" w:color="auto" w:sz="8" w:space="0"/>
              <w:right w:val="single" w:color="auto" w:sz="8" w:space="0"/>
            </w:tcBorders>
            <w:shd w:val="clear" w:color="auto" w:fill="BDD6EE"/>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第二十条</w:t>
            </w:r>
            <w:r>
              <w:rPr>
                <w:rFonts w:hint="eastAsia" w:ascii="仿宋_GB2312" w:hAnsi="仿宋_GB2312" w:eastAsia="仿宋_GB2312" w:cs="仿宋_GB2312"/>
                <w:caps w:val="0"/>
                <w:color w:val="000000"/>
                <w:spacing w:val="0"/>
                <w:sz w:val="32"/>
                <w:szCs w:val="32"/>
              </w:rPr>
              <w:t>  </w:t>
            </w:r>
            <w:r>
              <w:rPr>
                <w:rFonts w:hint="eastAsia" w:ascii="仿宋_GB2312" w:hAnsi="仿宋_GB2312" w:eastAsia="仿宋_GB2312" w:cs="仿宋_GB2312"/>
                <w:caps w:val="0"/>
                <w:color w:val="000000"/>
                <w:spacing w:val="0"/>
                <w:sz w:val="32"/>
                <w:szCs w:val="32"/>
              </w:rPr>
              <w:t>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信息内容</w:t>
            </w:r>
          </w:p>
        </w:tc>
        <w:tc>
          <w:tcPr>
            <w:tcW w:w="5819" w:type="dxa"/>
            <w:gridSpan w:val="3"/>
            <w:tcBorders>
              <w:top w:val="nil"/>
              <w:left w:val="nil"/>
              <w:bottom w:val="single" w:color="auto" w:sz="8" w:space="0"/>
              <w:right w:val="single" w:color="000000"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896"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行政事业性收费</w:t>
            </w:r>
          </w:p>
        </w:tc>
        <w:tc>
          <w:tcPr>
            <w:tcW w:w="5819" w:type="dxa"/>
            <w:gridSpan w:val="3"/>
            <w:tcBorders>
              <w:top w:val="nil"/>
              <w:left w:val="nil"/>
              <w:bottom w:val="single" w:color="auto" w:sz="8" w:space="0"/>
              <w:right w:val="single" w:color="000000" w:sz="8"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0"/>
        <w:gridCol w:w="1280"/>
        <w:gridCol w:w="2071"/>
        <w:gridCol w:w="535"/>
        <w:gridCol w:w="749"/>
        <w:gridCol w:w="749"/>
        <w:gridCol w:w="496"/>
        <w:gridCol w:w="749"/>
        <w:gridCol w:w="495"/>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2" w:hRule="atLeast"/>
          <w:jc w:val="center"/>
        </w:trPr>
        <w:tc>
          <w:tcPr>
            <w:tcW w:w="4662" w:type="dxa"/>
            <w:gridSpan w:val="3"/>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（本列数据的勾稽关系为：第一项加第二项之和，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等于第三项加第四项之和）</w:t>
            </w:r>
          </w:p>
        </w:tc>
        <w:tc>
          <w:tcPr>
            <w:tcW w:w="4098" w:type="dxa"/>
            <w:gridSpan w:val="7"/>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4662" w:type="dxa"/>
            <w:gridSpan w:val="3"/>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627"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自然人</w:t>
            </w:r>
          </w:p>
        </w:tc>
        <w:tc>
          <w:tcPr>
            <w:tcW w:w="2834" w:type="dxa"/>
            <w:gridSpan w:val="5"/>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法人或其他组织</w:t>
            </w:r>
          </w:p>
        </w:tc>
        <w:tc>
          <w:tcPr>
            <w:tcW w:w="637" w:type="dxa"/>
            <w:vMerge w:val="restart"/>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1" w:hRule="atLeast"/>
          <w:jc w:val="center"/>
        </w:trPr>
        <w:tc>
          <w:tcPr>
            <w:tcW w:w="4662" w:type="dxa"/>
            <w:gridSpan w:val="3"/>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627"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商业</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企业</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科研</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机构</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社会公益组织</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法律</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服务 机构</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其他</w:t>
            </w:r>
          </w:p>
        </w:tc>
        <w:tc>
          <w:tcPr>
            <w:tcW w:w="637" w:type="dxa"/>
            <w:vMerge w:val="continue"/>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4662" w:type="dxa"/>
            <w:gridSpan w:val="3"/>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一、本年新收政府信息公开申请数量</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4662" w:type="dxa"/>
            <w:gridSpan w:val="3"/>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二、上年结转政府信息公开申请数量</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三、本年度办理结果</w:t>
            </w:r>
          </w:p>
        </w:tc>
        <w:tc>
          <w:tcPr>
            <w:tcW w:w="4142"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（一）予以公开</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4142"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（二）部分公开（区分处理的，只计这一情</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形，不计其他情形）</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（三）不予公开</w:t>
            </w: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属于国家秘密</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其他法律行政法规禁止公开</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危及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三安全一稳定</w:t>
            </w:r>
            <w:r>
              <w:rPr>
                <w:rFonts w:hint="eastAsia" w:ascii="仿宋_GB2312" w:hAnsi="仿宋_GB2312" w:eastAsia="仿宋_GB2312" w:cs="仿宋_GB2312"/>
                <w:color w:val="000000"/>
                <w:sz w:val="32"/>
                <w:szCs w:val="32"/>
              </w:rPr>
              <w:t>”</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保护第三方合法权益</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属于三类内部事务信息</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属于四类过程性信息</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属于行政执法案卷</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属于行政查询事项</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（四）无法提供</w:t>
            </w: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本机关不掌握相关政府信息</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没有现成信息需要另行制作</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补正后申请内容仍不明确</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（五）不予处理</w:t>
            </w: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信访举报投诉类申请</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重复申请</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要求提供公开出版物</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无正当理由大量反复申请</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40" w:right="0" w:hanging="3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要求行政机关确认或重新出具已获取信息</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1"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（六）其他处理</w:t>
            </w: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申请人无正当理由逾期不补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正、行政机关不再处理其政府信息公开申请</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1"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tc>
        <w:tc>
          <w:tcPr>
            <w:tcW w:w="27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申请人逾期未按收费通知要求缴纳费用、行政机关不再处理其政府信息公开申请</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142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tc>
        <w:tc>
          <w:tcPr>
            <w:tcW w:w="2722"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其他</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2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4142" w:type="dxa"/>
            <w:gridSpan w:val="2"/>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（七）总计</w:t>
            </w:r>
          </w:p>
        </w:tc>
        <w:tc>
          <w:tcPr>
            <w:tcW w:w="6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c>
          <w:tcPr>
            <w:tcW w:w="56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jc w:val="center"/>
        </w:trPr>
        <w:tc>
          <w:tcPr>
            <w:tcW w:w="4662" w:type="dxa"/>
            <w:gridSpan w:val="3"/>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四、结转下年度继续办理</w:t>
            </w:r>
          </w:p>
        </w:tc>
        <w:tc>
          <w:tcPr>
            <w:tcW w:w="627"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4"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9"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37"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收到行政复议为0；收到行政诉讼为0。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58"/>
        <w:gridCol w:w="558"/>
        <w:gridCol w:w="559"/>
        <w:gridCol w:w="559"/>
        <w:gridCol w:w="644"/>
        <w:gridCol w:w="517"/>
        <w:gridCol w:w="560"/>
        <w:gridCol w:w="560"/>
        <w:gridCol w:w="560"/>
        <w:gridCol w:w="603"/>
        <w:gridCol w:w="560"/>
        <w:gridCol w:w="560"/>
        <w:gridCol w:w="560"/>
        <w:gridCol w:w="560"/>
        <w:gridCol w:w="6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行政复议</w:t>
            </w:r>
          </w:p>
        </w:tc>
        <w:tc>
          <w:tcPr>
            <w:tcW w:w="6148"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70" w:right="-194"/>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70" w:right="-194"/>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维持</w:t>
            </w:r>
          </w:p>
        </w:tc>
        <w:tc>
          <w:tcPr>
            <w:tcW w:w="61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49" w:right="-151" w:hanging="1"/>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结果纠正</w:t>
            </w:r>
          </w:p>
        </w:tc>
        <w:tc>
          <w:tcPr>
            <w:tcW w:w="61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94" w:right="-11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其他结果</w:t>
            </w:r>
          </w:p>
        </w:tc>
        <w:tc>
          <w:tcPr>
            <w:tcW w:w="61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34" w:right="-134"/>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尚未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34" w:right="-134"/>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审结</w:t>
            </w:r>
          </w:p>
        </w:tc>
        <w:tc>
          <w:tcPr>
            <w:tcW w:w="67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计</w:t>
            </w:r>
          </w:p>
        </w:tc>
        <w:tc>
          <w:tcPr>
            <w:tcW w:w="304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未经复议直接起诉</w:t>
            </w:r>
          </w:p>
        </w:tc>
        <w:tc>
          <w:tcPr>
            <w:tcW w:w="3103"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6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61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61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67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tc>
        <w:tc>
          <w:tcPr>
            <w:tcW w:w="5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20" w:right="-144"/>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结果维持</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98" w:right="-101"/>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结果纠正</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44" w:right="-156"/>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其他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44" w:right="-156"/>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结果</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87" w:right="-175"/>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尚未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87" w:right="-175"/>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审结</w:t>
            </w:r>
          </w:p>
        </w:tc>
        <w:tc>
          <w:tcPr>
            <w:tcW w:w="6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总计</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13" w:right="-89"/>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结果维持</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6" w:right="-142"/>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6" w:right="-142"/>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纠正</w:t>
            </w:r>
          </w:p>
        </w:tc>
        <w:tc>
          <w:tcPr>
            <w:tcW w:w="6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8" w:right="-154" w:hanging="1"/>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其他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8" w:right="-154" w:hanging="1"/>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结果</w:t>
            </w:r>
          </w:p>
        </w:tc>
        <w:tc>
          <w:tcPr>
            <w:tcW w:w="6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77" w:right="-120" w:hanging="2"/>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尚未审结</w:t>
            </w:r>
          </w:p>
        </w:tc>
        <w:tc>
          <w:tcPr>
            <w:tcW w:w="62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4" w:hRule="atLeast"/>
          <w:jc w:val="center"/>
        </w:trPr>
        <w:tc>
          <w:tcPr>
            <w:tcW w:w="6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5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五、存在的主要问题及改进情况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（一）工作中存在的主要问题和困难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bdr w:val="none" w:color="auto" w:sz="0" w:space="0"/>
          <w:shd w:val="clear" w:fill="FFFFFF"/>
        </w:rPr>
        <w:t>2023年，我局存在以下问题：一是政务公开培训针对性有待提高，培训人员范围有待进一步扩大；二是信息主动公开内容不够深入、格式不够规范。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（二）具体解决办法和改进措施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针对上述问题，一</w:t>
      </w:r>
      <w:r>
        <w:rPr>
          <w:rFonts w:hint="eastAsia" w:ascii="仿宋_GB2312" w:hAnsi="仿宋_GB2312" w:eastAsia="仿宋_GB2312" w:cs="仿宋_GB2312"/>
          <w:caps w:val="0"/>
          <w:spacing w:val="0"/>
          <w:sz w:val="32"/>
          <w:szCs w:val="32"/>
          <w:shd w:val="clear" w:fill="FFFFFF"/>
        </w:rPr>
        <w:t>是进一步扩大参训人员范围，</w:t>
      </w:r>
      <w:r>
        <w:rPr>
          <w:rFonts w:hint="eastAsia" w:ascii="仿宋_GB2312" w:hAnsi="仿宋_GB2312" w:eastAsia="仿宋_GB2312" w:cs="仿宋_GB2312"/>
          <w:sz w:val="32"/>
          <w:szCs w:val="32"/>
        </w:rPr>
        <w:t>加强业务学习培训，着力提升</w:t>
      </w:r>
      <w:r>
        <w:rPr>
          <w:rFonts w:hint="eastAsia" w:ascii="仿宋_GB2312" w:hAnsi="仿宋_GB2312" w:eastAsia="仿宋_GB2312" w:cs="仿宋_GB2312"/>
          <w:color w:val="000000"/>
          <w:sz w:val="32"/>
          <w:szCs w:val="32"/>
          <w:shd w:val="clear" w:fill="FFFFFF"/>
        </w:rPr>
        <w:t>工作人员信息公开意识、开展多种形式的交流，开阔视野，</w:t>
      </w:r>
      <w:r>
        <w:rPr>
          <w:rFonts w:hint="eastAsia" w:ascii="仿宋_GB2312" w:hAnsi="仿宋_GB2312" w:eastAsia="仿宋_GB2312" w:cs="仿宋_GB2312"/>
          <w:sz w:val="32"/>
          <w:szCs w:val="32"/>
        </w:rPr>
        <w:t>提升整体</w:t>
      </w:r>
      <w:r>
        <w:rPr>
          <w:rFonts w:hint="eastAsia" w:ascii="仿宋_GB2312" w:hAnsi="仿宋_GB2312" w:eastAsia="仿宋_GB2312" w:cs="仿宋_GB2312"/>
          <w:color w:val="000000"/>
          <w:sz w:val="32"/>
          <w:szCs w:val="32"/>
          <w:shd w:val="clear" w:fill="FFFFFF"/>
        </w:rPr>
        <w:t>综合素质和业务能力；二是加强政府信息公开队伍建设；三是严把公开信息质量关；</w:t>
      </w:r>
      <w:r>
        <w:rPr>
          <w:rFonts w:hint="eastAsia" w:ascii="仿宋_GB2312" w:hAnsi="仿宋_GB2312" w:eastAsia="仿宋_GB2312" w:cs="仿宋_GB2312"/>
          <w:color w:val="000000"/>
          <w:spacing w:val="0"/>
          <w:sz w:val="32"/>
          <w:szCs w:val="32"/>
          <w:shd w:val="clear" w:fill="FFFFFF"/>
        </w:rPr>
        <w:t>四是建立长效工作机制，使政府信息公开常态化、制度化、信息化。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2023年度未收取任何政府信息公开信息处理费。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aps w:val="0"/>
          <w:spacing w:val="0"/>
          <w:sz w:val="32"/>
          <w:szCs w:val="32"/>
          <w:shd w:val="clear" w:fill="FFFFFF"/>
        </w:rPr>
        <w:t>落实上级年度政务公开工作要点情况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严格按照《政务公开工作计划》完成工作任务，按时编制完成主动公开基本目录、政务公开年报等信息。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（三）人大代表建议和政协提案办理结果公开情况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shd w:val="clear" w:fill="FFFFFF"/>
        </w:rPr>
        <w:t>2023年沂源县财政局未收到和办理人大代表建议和政协委员提案。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bdr w:val="none" w:color="auto" w:sz="0" w:space="0"/>
          <w:shd w:val="clear" w:fill="FFFFFF"/>
        </w:rPr>
        <w:t>（四）政务公开工作创新实践情况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shd w:val="clear" w:fill="FFFFFF"/>
        </w:rPr>
        <w:t>一是筑牢政务公开“主阵地”，有效发挥政务新媒体作用。二是政务公开程序更加规范化。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bdr w:val="none" w:color="auto" w:sz="0" w:space="0"/>
          <w:shd w:val="clear" w:fill="FFFFFF"/>
        </w:rPr>
        <w:t>（五）政务公开工作落实情况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shd w:val="clear" w:fill="FFFFFF"/>
        </w:rPr>
        <w:t>我局严格按照县政府要求，梳理年度重点任务，明确公开责任，形成工作台账，扎实做好信息公开公作。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0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沂源县财政局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   2024年1月17日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3597303"/>
    <w:rsid w:val="1E1B7E1F"/>
    <w:rsid w:val="23A759E9"/>
    <w:rsid w:val="32901F78"/>
    <w:rsid w:val="5B7C6A87"/>
    <w:rsid w:val="7B31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2024-04-16T00:48:00Z</dcterms:created>
  <dc:creator>Administrator</dc:creator>
  <cp:lastModifiedBy>白白白白</cp:lastModifiedBy>
  <dcterms:modified xsi:type="dcterms:W3CDTF">2024-04-16T01:03:24Z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1D1F8FFB1B1D4396A1490A760509FBF2_12</vt:lpwstr>
  </property>
</Properties>
</file>