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sz w:val="44"/>
          <w:szCs w:val="44"/>
          <w:highlight w:val="none"/>
        </w:rPr>
      </w:pPr>
      <w:r>
        <w:rPr>
          <w:rFonts w:eastAsia="方正小标宋简体"/>
          <w:bCs/>
          <w:sz w:val="44"/>
          <w:szCs w:val="44"/>
          <w:highlight w:val="none"/>
        </w:rPr>
        <w:t>沂源县</w:t>
      </w:r>
      <w:r>
        <w:rPr>
          <w:rFonts w:hint="eastAsia" w:eastAsia="方正小标宋简体"/>
          <w:bCs/>
          <w:sz w:val="44"/>
          <w:szCs w:val="44"/>
          <w:highlight w:val="none"/>
          <w:lang w:val="en-US" w:eastAsia="zh-CN"/>
        </w:rPr>
        <w:t>残疾人联合会</w:t>
      </w:r>
      <w:r>
        <w:rPr>
          <w:rFonts w:eastAsia="方正小标宋简体"/>
          <w:bCs/>
          <w:sz w:val="44"/>
          <w:szCs w:val="44"/>
          <w:highlight w:val="none"/>
        </w:rPr>
        <w:t>信息主动公开基本目录（202</w:t>
      </w:r>
      <w:r>
        <w:rPr>
          <w:rFonts w:hint="eastAsia" w:eastAsia="方正小标宋简体"/>
          <w:bCs/>
          <w:sz w:val="44"/>
          <w:szCs w:val="44"/>
          <w:highlight w:val="none"/>
          <w:lang w:val="en-US" w:eastAsia="zh-CN"/>
        </w:rPr>
        <w:t>1</w:t>
      </w:r>
      <w:bookmarkStart w:id="0" w:name="_GoBack"/>
      <w:bookmarkEnd w:id="0"/>
      <w:r>
        <w:rPr>
          <w:rFonts w:eastAsia="方正小标宋简体"/>
          <w:bCs/>
          <w:sz w:val="44"/>
          <w:szCs w:val="44"/>
          <w:highlight w:val="none"/>
        </w:rPr>
        <w:t>版）</w:t>
      </w:r>
    </w:p>
    <w:p>
      <w:pPr>
        <w:spacing w:line="560" w:lineRule="exact"/>
        <w:jc w:val="center"/>
        <w:rPr>
          <w:rFonts w:eastAsia="方正小标宋简体"/>
          <w:bCs/>
          <w:sz w:val="44"/>
          <w:szCs w:val="44"/>
          <w:highlight w:val="none"/>
        </w:rPr>
      </w:pPr>
    </w:p>
    <w:tbl>
      <w:tblPr>
        <w:tblStyle w:val="6"/>
        <w:tblW w:w="14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24"/>
        <w:gridCol w:w="1095"/>
        <w:gridCol w:w="1454"/>
        <w:gridCol w:w="1353"/>
        <w:gridCol w:w="851"/>
        <w:gridCol w:w="3029"/>
        <w:gridCol w:w="3420"/>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blHeader/>
          <w:jc w:val="center"/>
        </w:trPr>
        <w:tc>
          <w:tcPr>
            <w:tcW w:w="72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kern w:val="0"/>
                <w:szCs w:val="21"/>
                <w:highlight w:val="none"/>
              </w:rPr>
            </w:pPr>
            <w:r>
              <w:rPr>
                <w:rFonts w:hAnsi="黑体" w:eastAsia="黑体"/>
                <w:bCs/>
                <w:kern w:val="0"/>
                <w:szCs w:val="21"/>
                <w:highlight w:val="none"/>
              </w:rPr>
              <w:t>一级</w:t>
            </w:r>
          </w:p>
          <w:p>
            <w:pPr>
              <w:widowControl/>
              <w:spacing w:line="280" w:lineRule="exact"/>
              <w:jc w:val="center"/>
              <w:textAlignment w:val="top"/>
              <w:rPr>
                <w:rFonts w:eastAsia="黑体"/>
                <w:bCs/>
                <w:szCs w:val="21"/>
                <w:highlight w:val="none"/>
              </w:rPr>
            </w:pPr>
            <w:r>
              <w:rPr>
                <w:rFonts w:hAnsi="黑体" w:eastAsia="黑体"/>
                <w:bCs/>
                <w:kern w:val="0"/>
                <w:szCs w:val="21"/>
                <w:highlight w:val="none"/>
              </w:rPr>
              <w:t>指标</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二级指标</w:t>
            </w:r>
          </w:p>
        </w:tc>
        <w:tc>
          <w:tcPr>
            <w:tcW w:w="145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三级指标</w:t>
            </w:r>
          </w:p>
        </w:tc>
        <w:tc>
          <w:tcPr>
            <w:tcW w:w="1353"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kern w:val="0"/>
                <w:szCs w:val="21"/>
                <w:highlight w:val="none"/>
              </w:rPr>
            </w:pPr>
            <w:r>
              <w:rPr>
                <w:rFonts w:hAnsi="黑体" w:eastAsia="黑体"/>
                <w:bCs/>
                <w:kern w:val="0"/>
                <w:szCs w:val="21"/>
                <w:highlight w:val="none"/>
              </w:rPr>
              <w:t>四级</w:t>
            </w:r>
          </w:p>
          <w:p>
            <w:pPr>
              <w:widowControl/>
              <w:spacing w:line="280" w:lineRule="exact"/>
              <w:jc w:val="center"/>
              <w:textAlignment w:val="top"/>
              <w:rPr>
                <w:rFonts w:eastAsia="黑体"/>
                <w:bCs/>
                <w:szCs w:val="21"/>
                <w:highlight w:val="none"/>
              </w:rPr>
            </w:pPr>
            <w:r>
              <w:rPr>
                <w:rFonts w:hAnsi="黑体" w:eastAsia="黑体"/>
                <w:bCs/>
                <w:kern w:val="0"/>
                <w:szCs w:val="21"/>
                <w:highlight w:val="none"/>
              </w:rPr>
              <w:t>指标</w:t>
            </w:r>
          </w:p>
        </w:tc>
        <w:tc>
          <w:tcPr>
            <w:tcW w:w="851"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w w:val="90"/>
                <w:kern w:val="0"/>
                <w:szCs w:val="21"/>
                <w:highlight w:val="none"/>
              </w:rPr>
            </w:pPr>
            <w:r>
              <w:rPr>
                <w:rFonts w:hAnsi="黑体" w:eastAsia="黑体"/>
                <w:bCs/>
                <w:w w:val="90"/>
                <w:kern w:val="0"/>
                <w:szCs w:val="21"/>
                <w:highlight w:val="none"/>
              </w:rPr>
              <w:t>五级</w:t>
            </w:r>
          </w:p>
          <w:p>
            <w:pPr>
              <w:widowControl/>
              <w:spacing w:line="280" w:lineRule="exact"/>
              <w:jc w:val="center"/>
              <w:textAlignment w:val="top"/>
              <w:rPr>
                <w:rFonts w:eastAsia="黑体"/>
                <w:bCs/>
                <w:w w:val="90"/>
                <w:kern w:val="0"/>
                <w:szCs w:val="21"/>
                <w:highlight w:val="none"/>
              </w:rPr>
            </w:pPr>
            <w:r>
              <w:rPr>
                <w:rFonts w:hAnsi="黑体" w:eastAsia="黑体"/>
                <w:bCs/>
                <w:w w:val="90"/>
                <w:kern w:val="0"/>
                <w:szCs w:val="21"/>
                <w:highlight w:val="none"/>
              </w:rPr>
              <w:t>指标</w:t>
            </w: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维护内容及要求</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责任主体</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黑体"/>
                <w:bCs/>
                <w:szCs w:val="21"/>
                <w:highlight w:val="none"/>
              </w:rPr>
            </w:pPr>
            <w:r>
              <w:rPr>
                <w:rFonts w:hAnsi="黑体" w:eastAsia="黑体"/>
                <w:bCs/>
                <w:kern w:val="0"/>
                <w:szCs w:val="21"/>
                <w:highlight w:val="none"/>
              </w:rPr>
              <w:t>时限要求及方式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highlight w:val="none"/>
              </w:rPr>
            </w:pPr>
            <w:r>
              <w:rPr>
                <w:rFonts w:eastAsia="仿宋_GB2312"/>
                <w:color w:val="000000"/>
                <w:kern w:val="0"/>
                <w:szCs w:val="21"/>
                <w:highlight w:val="none"/>
              </w:rPr>
              <w:t>机构</w:t>
            </w:r>
          </w:p>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职能</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工作部门职能配置及内设机构</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val="en-US" w:eastAsia="zh-CN"/>
              </w:rPr>
              <w:t>本</w:t>
            </w:r>
            <w:r>
              <w:rPr>
                <w:rFonts w:eastAsia="仿宋_GB2312"/>
                <w:color w:val="000000"/>
                <w:kern w:val="0"/>
                <w:szCs w:val="21"/>
                <w:highlight w:val="none"/>
              </w:rPr>
              <w:t>单位机构职能信息（包括单位地址、邮政编码、联系方式，单位职责，领导姓名及分工，内设机构职责及联系方式，所属单位名称及联系方式等信息）</w:t>
            </w:r>
          </w:p>
        </w:tc>
        <w:tc>
          <w:tcPr>
            <w:tcW w:w="3420"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default" w:eastAsia="仿宋_GB2312"/>
                <w:color w:val="000000"/>
                <w:szCs w:val="21"/>
                <w:highlight w:val="none"/>
                <w:lang w:val="en-US" w:eastAsia="zh-CN"/>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残联办公室</w:t>
            </w:r>
          </w:p>
        </w:tc>
        <w:tc>
          <w:tcPr>
            <w:tcW w:w="266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一次性公开并动态调整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工作部门职责任务清单</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val="en-US" w:eastAsia="zh-CN"/>
              </w:rPr>
              <w:t>本</w:t>
            </w:r>
            <w:r>
              <w:rPr>
                <w:rFonts w:eastAsia="仿宋_GB2312"/>
                <w:color w:val="000000"/>
                <w:kern w:val="0"/>
                <w:szCs w:val="21"/>
                <w:highlight w:val="none"/>
              </w:rPr>
              <w:t>单位职责任务清单</w:t>
            </w: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权责清单</w:t>
            </w:r>
          </w:p>
        </w:tc>
        <w:tc>
          <w:tcPr>
            <w:tcW w:w="145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县级政府部门权责清单</w:t>
            </w: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9113" w:type="dxa"/>
            <w:gridSpan w:val="3"/>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链接县政务服务网相关栏目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highlight w:val="none"/>
              </w:rPr>
            </w:pPr>
            <w:r>
              <w:rPr>
                <w:rFonts w:eastAsia="仿宋_GB2312"/>
                <w:color w:val="000000"/>
                <w:kern w:val="0"/>
                <w:szCs w:val="21"/>
                <w:highlight w:val="none"/>
              </w:rPr>
              <w:t>法规</w:t>
            </w:r>
          </w:p>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公文</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default" w:eastAsia="仿宋_GB2312"/>
                <w:color w:val="000000"/>
                <w:szCs w:val="21"/>
                <w:highlight w:val="none"/>
                <w:lang w:val="en-US" w:eastAsia="zh-CN"/>
              </w:rPr>
            </w:pPr>
            <w:r>
              <w:rPr>
                <w:rFonts w:hint="eastAsia" w:eastAsia="仿宋_GB2312"/>
                <w:color w:val="000000"/>
                <w:kern w:val="0"/>
                <w:szCs w:val="21"/>
                <w:highlight w:val="none"/>
                <w:lang w:val="en-US" w:eastAsia="zh-CN"/>
              </w:rPr>
              <w:t>部门文件</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szCs w:val="21"/>
                <w:highlight w:val="none"/>
              </w:rPr>
              <w:t>本部门印发的单位、部门文件</w:t>
            </w:r>
          </w:p>
        </w:tc>
        <w:tc>
          <w:tcPr>
            <w:tcW w:w="3420" w:type="dxa"/>
            <w:tcBorders>
              <w:right w:val="single" w:color="auto" w:sz="4" w:space="0"/>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仿宋_GB2312"/>
                <w:color w:val="000000"/>
                <w:szCs w:val="21"/>
                <w:highlight w:val="none"/>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w:t>
            </w:r>
          </w:p>
        </w:tc>
        <w:tc>
          <w:tcPr>
            <w:tcW w:w="2664" w:type="dxa"/>
            <w:tcBorders>
              <w:left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43"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政策解读</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文件解读材料，需与对应政策文件双向关联</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hint="eastAsia" w:eastAsia="仿宋_GB2312"/>
                <w:color w:val="000000"/>
                <w:szCs w:val="21"/>
                <w:highlight w:val="none"/>
                <w:lang w:val="en-US" w:eastAsia="zh-CN"/>
              </w:rPr>
            </w:pPr>
            <w:r>
              <w:rPr>
                <w:rFonts w:eastAsia="仿宋_GB2312"/>
                <w:color w:val="000000"/>
                <w:kern w:val="0"/>
                <w:szCs w:val="21"/>
                <w:highlight w:val="none"/>
              </w:rPr>
              <w:t>文件起草</w:t>
            </w:r>
            <w:r>
              <w:rPr>
                <w:rFonts w:hint="eastAsia" w:eastAsia="仿宋_GB2312"/>
                <w:color w:val="000000"/>
                <w:kern w:val="0"/>
                <w:szCs w:val="21"/>
                <w:highlight w:val="none"/>
                <w:lang w:val="en-US" w:eastAsia="zh-CN"/>
              </w:rPr>
              <w:t>科室</w:t>
            </w:r>
            <w:r>
              <w:rPr>
                <w:rFonts w:eastAsia="仿宋_GB2312"/>
                <w:color w:val="000000"/>
                <w:kern w:val="0"/>
                <w:szCs w:val="21"/>
                <w:highlight w:val="none"/>
              </w:rPr>
              <w:t>、</w:t>
            </w:r>
            <w:r>
              <w:rPr>
                <w:rFonts w:hint="eastAsia" w:eastAsia="仿宋_GB2312"/>
                <w:color w:val="000000"/>
                <w:kern w:val="0"/>
                <w:szCs w:val="21"/>
                <w:highlight w:val="none"/>
                <w:lang w:val="en-US" w:eastAsia="zh-CN"/>
              </w:rPr>
              <w:t>部门</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与所解读文件同步公开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3"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pacing w:val="-20"/>
                <w:szCs w:val="21"/>
                <w:highlight w:val="none"/>
              </w:rPr>
            </w:pPr>
            <w:r>
              <w:rPr>
                <w:rFonts w:eastAsia="仿宋_GB2312"/>
                <w:color w:val="000000"/>
                <w:spacing w:val="-20"/>
                <w:kern w:val="0"/>
                <w:szCs w:val="21"/>
                <w:highlight w:val="none"/>
              </w:rPr>
              <w:t>文件修改废止</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包含文件清理结果的文件</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hint="default" w:eastAsia="仿宋_GB2312"/>
                <w:color w:val="000000"/>
                <w:szCs w:val="21"/>
                <w:highlight w:val="none"/>
                <w:lang w:val="en-US"/>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残联办公室</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highlight w:val="none"/>
              </w:rPr>
            </w:pPr>
            <w:r>
              <w:rPr>
                <w:rFonts w:eastAsia="仿宋_GB2312"/>
                <w:color w:val="000000"/>
                <w:kern w:val="0"/>
                <w:szCs w:val="21"/>
                <w:highlight w:val="none"/>
              </w:rPr>
              <w:t>法规</w:t>
            </w:r>
          </w:p>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公文</w:t>
            </w:r>
          </w:p>
        </w:tc>
        <w:tc>
          <w:tcPr>
            <w:tcW w:w="1095" w:type="dxa"/>
            <w:tcBorders>
              <w:bottom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规范性文件</w:t>
            </w:r>
          </w:p>
        </w:tc>
        <w:tc>
          <w:tcPr>
            <w:tcW w:w="1454" w:type="dxa"/>
            <w:tcBorders>
              <w:bottom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pacing w:val="-10"/>
                <w:kern w:val="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r>
              <w:rPr>
                <w:rFonts w:hint="eastAsia" w:eastAsia="仿宋_GB2312"/>
                <w:color w:val="000000"/>
                <w:kern w:val="0"/>
                <w:szCs w:val="21"/>
                <w:highlight w:val="none"/>
                <w:lang w:val="en-US" w:eastAsia="zh-CN"/>
              </w:rPr>
              <w:t>本单位</w:t>
            </w:r>
            <w:r>
              <w:rPr>
                <w:rFonts w:eastAsia="仿宋_GB2312"/>
                <w:color w:val="000000"/>
                <w:kern w:val="0"/>
                <w:szCs w:val="21"/>
                <w:highlight w:val="none"/>
              </w:rPr>
              <w:t>制定的规范性文件</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w:t>
            </w:r>
            <w:r>
              <w:rPr>
                <w:rFonts w:eastAsia="仿宋_GB2312"/>
                <w:color w:val="000000"/>
                <w:kern w:val="0"/>
                <w:szCs w:val="21"/>
                <w:highlight w:val="none"/>
              </w:rPr>
              <w:t>办公室</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bottom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政策库</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针对当前社会热点、惠民政策等，整合梳理成的财政政策汇编、政策库等。</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县残联办公室</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kern w:val="0"/>
                <w:szCs w:val="21"/>
                <w:highlight w:val="none"/>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bottom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人事任免</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重要人事任免信息</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县残联办公室</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hint="eastAsia"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bottom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公示公告</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公示公告信息</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default" w:eastAsia="仿宋_GB2312"/>
                <w:color w:val="000000"/>
                <w:szCs w:val="21"/>
                <w:highlight w:val="none"/>
                <w:lang w:val="en-US" w:eastAsia="zh-CN"/>
              </w:rPr>
            </w:pPr>
            <w:r>
              <w:rPr>
                <w:rFonts w:hint="eastAsia" w:eastAsia="仿宋_GB2312"/>
                <w:color w:val="000000"/>
                <w:kern w:val="0"/>
                <w:szCs w:val="21"/>
                <w:highlight w:val="none"/>
                <w:lang w:val="en-US" w:eastAsia="zh-CN"/>
              </w:rPr>
              <w:t>信息发布科室、部门</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5" w:hRule="atLeast"/>
          <w:jc w:val="center"/>
        </w:trPr>
        <w:tc>
          <w:tcPr>
            <w:tcW w:w="724" w:type="dxa"/>
            <w:vMerge w:val="restart"/>
            <w:tcBorders>
              <w:top w:val="single" w:color="auto" w:sz="4" w:space="0"/>
              <w:tl2br w:val="nil"/>
              <w:tr2bl w:val="nil"/>
            </w:tcBorders>
            <w:shd w:val="clear" w:color="auto" w:fill="auto"/>
            <w:tcMar>
              <w:top w:w="15" w:type="dxa"/>
              <w:left w:w="15" w:type="dxa"/>
              <w:right w:w="15" w:type="dxa"/>
            </w:tcMar>
            <w:vAlign w:val="center"/>
          </w:tcPr>
          <w:p>
            <w:pPr>
              <w:spacing w:line="280" w:lineRule="exact"/>
              <w:jc w:val="center"/>
              <w:rPr>
                <w:rFonts w:hint="default" w:eastAsia="仿宋_GB2312"/>
                <w:color w:val="000000"/>
                <w:szCs w:val="21"/>
                <w:highlight w:val="none"/>
                <w:lang w:val="en-US" w:eastAsia="zh-CN"/>
              </w:rPr>
            </w:pPr>
            <w:r>
              <w:rPr>
                <w:rFonts w:hint="eastAsia" w:eastAsia="仿宋_GB2312"/>
                <w:color w:val="000000"/>
                <w:szCs w:val="21"/>
                <w:highlight w:val="none"/>
                <w:lang w:val="en-US" w:eastAsia="zh-CN"/>
              </w:rPr>
              <w:t>规划 计划</w:t>
            </w:r>
          </w:p>
        </w:tc>
        <w:tc>
          <w:tcPr>
            <w:tcW w:w="1095" w:type="dxa"/>
            <w:tcBorders>
              <w:top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kern w:val="0"/>
                <w:szCs w:val="21"/>
                <w:highlight w:val="none"/>
                <w:lang w:eastAsia="zh-CN"/>
              </w:rPr>
            </w:pPr>
            <w:r>
              <w:rPr>
                <w:rFonts w:hint="eastAsia" w:eastAsia="仿宋_GB2312"/>
                <w:color w:val="000000"/>
                <w:kern w:val="0"/>
                <w:szCs w:val="21"/>
                <w:highlight w:val="none"/>
                <w:lang w:eastAsia="zh-CN"/>
              </w:rPr>
              <w:t>专项规划</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kern w:val="0"/>
                <w:szCs w:val="21"/>
                <w:highlight w:val="none"/>
                <w:lang w:val="en-US" w:eastAsia="zh-CN"/>
              </w:rPr>
            </w:pPr>
            <w:r>
              <w:rPr>
                <w:rFonts w:eastAsia="仿宋_GB2312"/>
                <w:color w:val="000000"/>
                <w:kern w:val="0"/>
                <w:szCs w:val="21"/>
                <w:highlight w:val="none"/>
              </w:rPr>
              <w:t>交通、能源、水利、农业、信息、市政、公共服务、生态保护、文物保护、林业</w:t>
            </w:r>
            <w:r>
              <w:rPr>
                <w:rFonts w:hint="eastAsia" w:eastAsia="仿宋_GB2312"/>
                <w:color w:val="000000"/>
                <w:kern w:val="0"/>
                <w:szCs w:val="21"/>
                <w:highlight w:val="none"/>
                <w:lang w:eastAsia="zh-CN"/>
              </w:rPr>
              <w:t>、医疗卫生、电子商务、民生</w:t>
            </w:r>
            <w:r>
              <w:rPr>
                <w:rFonts w:eastAsia="仿宋_GB2312"/>
                <w:color w:val="000000"/>
                <w:kern w:val="0"/>
                <w:szCs w:val="21"/>
                <w:highlight w:val="none"/>
              </w:rPr>
              <w:t>等涉及空间利用的专项规划脱密后的文本及图纸等</w:t>
            </w:r>
          </w:p>
        </w:tc>
        <w:tc>
          <w:tcPr>
            <w:tcW w:w="3420" w:type="dxa"/>
            <w:tcBorders>
              <w:tl2br w:val="nil"/>
              <w:tr2bl w:val="nil"/>
            </w:tcBorders>
            <w:shd w:val="clear" w:color="auto" w:fill="auto"/>
            <w:tcMar>
              <w:top w:w="15" w:type="dxa"/>
              <w:left w:w="15" w:type="dxa"/>
              <w:right w:w="15" w:type="dxa"/>
            </w:tcMar>
            <w:vAlign w:val="center"/>
          </w:tcPr>
          <w:p>
            <w:pPr>
              <w:spacing w:line="280" w:lineRule="exact"/>
              <w:jc w:val="center"/>
              <w:rPr>
                <w:rFonts w:hint="eastAsia" w:ascii="Times New Roman" w:hAnsi="Times New Roman" w:eastAsia="仿宋_GB2312" w:cs="Times New Roman"/>
                <w:color w:val="000000"/>
                <w:kern w:val="2"/>
                <w:sz w:val="21"/>
                <w:szCs w:val="21"/>
                <w:highlight w:val="none"/>
                <w:lang w:val="en-US" w:eastAsia="zh-CN" w:bidi="ar-SA"/>
              </w:rPr>
            </w:pPr>
            <w:r>
              <w:rPr>
                <w:rFonts w:eastAsia="仿宋_GB2312"/>
                <w:kern w:val="0"/>
                <w:szCs w:val="21"/>
                <w:highlight w:val="none"/>
              </w:rPr>
              <w:t>县残联</w:t>
            </w:r>
            <w:r>
              <w:rPr>
                <w:rFonts w:hint="eastAsia" w:eastAsia="仿宋_GB2312"/>
                <w:kern w:val="0"/>
                <w:szCs w:val="21"/>
                <w:highlight w:val="none"/>
                <w:lang w:val="en-US" w:eastAsia="zh-CN"/>
              </w:rPr>
              <w:t>相关科室、部门</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kern w:val="0"/>
                <w:szCs w:val="21"/>
                <w:highlight w:val="none"/>
              </w:rPr>
            </w:pPr>
            <w:r>
              <w:rPr>
                <w:rFonts w:eastAsia="仿宋_GB2312"/>
                <w:color w:val="000000"/>
                <w:kern w:val="0"/>
                <w:szCs w:val="21"/>
                <w:highlight w:val="none"/>
              </w:rPr>
              <w:t>信息形成或变更之日起20个工作日内及时公开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5"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hint="eastAsia" w:eastAsia="仿宋_GB2312"/>
                <w:color w:val="000000"/>
                <w:szCs w:val="21"/>
                <w:highlight w:val="none"/>
                <w:lang w:val="en-US" w:eastAsia="zh-CN"/>
              </w:rPr>
            </w:pPr>
          </w:p>
        </w:tc>
        <w:tc>
          <w:tcPr>
            <w:tcW w:w="1095" w:type="dxa"/>
            <w:tcBorders>
              <w:top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kern w:val="0"/>
                <w:szCs w:val="21"/>
                <w:highlight w:val="none"/>
                <w:lang w:eastAsia="zh-CN"/>
              </w:rPr>
            </w:pPr>
            <w:r>
              <w:rPr>
                <w:rFonts w:hint="eastAsia" w:eastAsia="仿宋_GB2312"/>
                <w:color w:val="000000"/>
                <w:kern w:val="0"/>
                <w:szCs w:val="21"/>
                <w:highlight w:val="none"/>
                <w:lang w:eastAsia="zh-CN"/>
              </w:rPr>
              <w:t>历史规划</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hint="eastAsia" w:eastAsia="仿宋_GB2312"/>
                <w:color w:val="000000"/>
                <w:kern w:val="0"/>
                <w:szCs w:val="21"/>
                <w:highlight w:val="none"/>
                <w:lang w:val="en-US" w:eastAsia="zh-CN"/>
              </w:rPr>
            </w:pPr>
            <w:r>
              <w:rPr>
                <w:rFonts w:eastAsia="仿宋_GB2312"/>
                <w:color w:val="000000"/>
                <w:kern w:val="0"/>
                <w:szCs w:val="21"/>
                <w:highlight w:val="none"/>
              </w:rPr>
              <w:t>推动本地区、本系统历史规划（计划）的归集整理和主动公开工作</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highlight w:val="none"/>
              </w:rPr>
            </w:pPr>
            <w:r>
              <w:rPr>
                <w:rFonts w:eastAsia="仿宋_GB2312"/>
                <w:kern w:val="0"/>
                <w:szCs w:val="21"/>
                <w:highlight w:val="none"/>
              </w:rPr>
              <w:t>县残联</w:t>
            </w:r>
            <w:r>
              <w:rPr>
                <w:rFonts w:hint="eastAsia" w:eastAsia="仿宋_GB2312"/>
                <w:kern w:val="0"/>
                <w:szCs w:val="21"/>
                <w:highlight w:val="none"/>
                <w:lang w:val="en-US" w:eastAsia="zh-CN"/>
              </w:rPr>
              <w:t>相关科室、部门</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仿宋_GB2312"/>
                <w:color w:val="000000"/>
                <w:kern w:val="0"/>
                <w:szCs w:val="21"/>
                <w:highlight w:val="none"/>
              </w:rPr>
            </w:pPr>
            <w:r>
              <w:rPr>
                <w:rFonts w:hint="eastAsia" w:eastAsia="仿宋_GB2312"/>
                <w:color w:val="000000"/>
                <w:szCs w:val="21"/>
                <w:highlight w:val="none"/>
                <w:lang w:val="en-US" w:eastAsia="zh-CN"/>
              </w:rPr>
              <w:t>2021年9月底之前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hint="default" w:eastAsia="仿宋_GB2312"/>
                <w:color w:val="000000"/>
                <w:szCs w:val="21"/>
                <w:highlight w:val="none"/>
                <w:lang w:val="en-US" w:eastAsia="zh-CN"/>
              </w:rPr>
            </w:pPr>
          </w:p>
        </w:tc>
        <w:tc>
          <w:tcPr>
            <w:tcW w:w="1095" w:type="dxa"/>
            <w:tcBorders>
              <w:top w:val="single" w:color="auto" w:sz="4" w:space="0"/>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工作计划及完成情况</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lang w:val="en-US" w:eastAsia="zh-CN"/>
              </w:rPr>
              <w:t>本单位</w:t>
            </w:r>
            <w:r>
              <w:rPr>
                <w:rFonts w:eastAsia="仿宋_GB2312"/>
                <w:color w:val="000000"/>
                <w:kern w:val="0"/>
                <w:szCs w:val="21"/>
                <w:highlight w:val="none"/>
              </w:rPr>
              <w:t>年度工作计划、其他计划及完成情况等相关信息</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default" w:eastAsia="仿宋_GB2312"/>
                <w:color w:val="000000"/>
                <w:szCs w:val="21"/>
                <w:highlight w:val="none"/>
                <w:lang w:val="en-US" w:eastAsia="zh-CN"/>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残联办公室</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信息形成或变更之日起20个工作日内及时公开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69" w:hRule="atLeast"/>
          <w:jc w:val="center"/>
        </w:trPr>
        <w:tc>
          <w:tcPr>
            <w:tcW w:w="724" w:type="dxa"/>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r>
              <w:rPr>
                <w:rFonts w:eastAsia="仿宋_GB2312"/>
                <w:color w:val="000000"/>
                <w:kern w:val="0"/>
                <w:szCs w:val="21"/>
                <w:highlight w:val="none"/>
              </w:rPr>
              <w:t>部门</w:t>
            </w:r>
            <w:r>
              <w:rPr>
                <w:rFonts w:hint="eastAsia" w:eastAsia="仿宋_GB2312"/>
                <w:color w:val="000000"/>
                <w:kern w:val="0"/>
                <w:szCs w:val="21"/>
                <w:highlight w:val="none"/>
                <w:lang w:val="en-US" w:eastAsia="zh-CN"/>
              </w:rPr>
              <w:t xml:space="preserve"> </w:t>
            </w:r>
            <w:r>
              <w:rPr>
                <w:rFonts w:eastAsia="仿宋_GB2312"/>
                <w:color w:val="000000"/>
                <w:kern w:val="0"/>
                <w:szCs w:val="21"/>
                <w:highlight w:val="none"/>
              </w:rPr>
              <w:t>会议</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部门会议</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hint="eastAsia" w:eastAsia="仿宋_GB2312"/>
                <w:color w:val="000000"/>
                <w:kern w:val="0"/>
                <w:szCs w:val="21"/>
                <w:highlight w:val="none"/>
              </w:rPr>
              <w:t>办公会议召开情况（包括会议名称、时间、地点、与会人员、主持人，会议研究的事项</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default" w:eastAsia="仿宋_GB2312"/>
                <w:color w:val="000000"/>
                <w:szCs w:val="21"/>
                <w:highlight w:val="none"/>
                <w:lang w:val="en-US" w:eastAsia="zh-CN"/>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残联办公室</w:t>
            </w:r>
          </w:p>
        </w:tc>
        <w:tc>
          <w:tcPr>
            <w:tcW w:w="266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r>
              <w:rPr>
                <w:rFonts w:hint="eastAsia" w:eastAsia="仿宋_GB2312"/>
                <w:color w:val="000000"/>
                <w:kern w:val="0"/>
                <w:szCs w:val="21"/>
                <w:highlight w:val="none"/>
              </w:rPr>
              <w:t>信息形成或变更之日起20个工作日内及时公开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69"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eastAsia" w:eastAsia="仿宋_GB2312"/>
                <w:kern w:val="0"/>
                <w:szCs w:val="21"/>
                <w:highlight w:val="none"/>
                <w:lang w:eastAsia="zh-CN"/>
              </w:rPr>
            </w:pPr>
            <w:r>
              <w:rPr>
                <w:rFonts w:hint="eastAsia" w:eastAsia="仿宋_GB2312"/>
                <w:kern w:val="0"/>
                <w:szCs w:val="21"/>
                <w:highlight w:val="none"/>
                <w:lang w:eastAsia="zh-CN"/>
              </w:rPr>
              <w:t>法治</w:t>
            </w:r>
          </w:p>
          <w:p>
            <w:pPr>
              <w:spacing w:line="280" w:lineRule="exact"/>
              <w:jc w:val="center"/>
              <w:rPr>
                <w:rFonts w:eastAsia="仿宋_GB2312"/>
                <w:color w:val="000000"/>
                <w:kern w:val="0"/>
                <w:szCs w:val="21"/>
                <w:highlight w:val="none"/>
              </w:rPr>
            </w:pPr>
            <w:r>
              <w:rPr>
                <w:rFonts w:hint="eastAsia" w:eastAsia="仿宋_GB2312"/>
                <w:kern w:val="0"/>
                <w:szCs w:val="21"/>
                <w:highlight w:val="none"/>
                <w:lang w:eastAsia="zh-CN"/>
              </w:rPr>
              <w:t>建设</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法治建设报告</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kern w:val="2"/>
                <w:sz w:val="21"/>
                <w:szCs w:val="21"/>
                <w:highlight w:val="none"/>
                <w:lang w:val="en-US" w:eastAsia="zh-CN" w:bidi="ar-SA"/>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法治建设报告相关信息</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val="en-US" w:eastAsia="zh-CN"/>
              </w:rPr>
              <w:t>县残联办公室</w:t>
            </w:r>
          </w:p>
        </w:tc>
        <w:tc>
          <w:tcPr>
            <w:tcW w:w="2664" w:type="dxa"/>
            <w:vMerge w:val="restart"/>
            <w:tcBorders>
              <w:tl2br w:val="nil"/>
              <w:tr2bl w:val="nil"/>
            </w:tcBorders>
            <w:shd w:val="clear" w:color="auto" w:fill="auto"/>
            <w:tcMar>
              <w:top w:w="15" w:type="dxa"/>
              <w:left w:w="15" w:type="dxa"/>
              <w:right w:w="15" w:type="dxa"/>
            </w:tcMar>
            <w:vAlign w:val="center"/>
          </w:tcPr>
          <w:p>
            <w:pPr>
              <w:spacing w:line="280" w:lineRule="exact"/>
              <w:rPr>
                <w:rFonts w:hint="eastAsia" w:eastAsia="仿宋_GB2312"/>
                <w:color w:val="000000"/>
                <w:kern w:val="0"/>
                <w:szCs w:val="21"/>
                <w:highlight w:val="none"/>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69"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kern w:val="0"/>
                <w:szCs w:val="21"/>
                <w:highlight w:val="none"/>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县级法治建设动态</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FF0000"/>
                <w:kern w:val="2"/>
                <w:sz w:val="21"/>
                <w:szCs w:val="21"/>
                <w:highlight w:val="none"/>
                <w:lang w:val="en-US" w:eastAsia="zh-CN" w:bidi="ar-SA"/>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kern w:val="2"/>
                <w:sz w:val="21"/>
                <w:szCs w:val="21"/>
                <w:highlight w:val="none"/>
                <w:lang w:val="en-US" w:eastAsia="zh-CN" w:bidi="ar-SA"/>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eastAsia="zh-CN"/>
              </w:rPr>
              <w:t>县级法治建设动态相关信息</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eastAsia" w:ascii="Times New Roman" w:hAnsi="Times New Roman" w:eastAsia="仿宋_GB2312" w:cs="Times New Roman"/>
                <w:kern w:val="0"/>
                <w:sz w:val="21"/>
                <w:szCs w:val="21"/>
                <w:highlight w:val="none"/>
                <w:lang w:val="en-US" w:eastAsia="zh-CN" w:bidi="ar-SA"/>
              </w:rPr>
            </w:pPr>
            <w:r>
              <w:rPr>
                <w:rFonts w:hint="eastAsia" w:eastAsia="仿宋_GB2312"/>
                <w:kern w:val="0"/>
                <w:szCs w:val="21"/>
                <w:highlight w:val="none"/>
                <w:lang w:val="en-US" w:eastAsia="zh-CN"/>
              </w:rPr>
              <w:t>县残联办公室</w:t>
            </w: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hint="eastAsia" w:eastAsia="仿宋_GB2312"/>
                <w:color w:val="000000"/>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34" w:hRule="atLeast"/>
          <w:jc w:val="center"/>
        </w:trPr>
        <w:tc>
          <w:tcPr>
            <w:tcW w:w="724" w:type="dxa"/>
            <w:vMerge w:val="restart"/>
            <w:tcBorders>
              <w:top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hint="default" w:eastAsia="仿宋_GB2312"/>
                <w:color w:val="000000"/>
                <w:szCs w:val="21"/>
                <w:highlight w:val="none"/>
                <w:lang w:val="en-US" w:eastAsia="zh-CN"/>
              </w:rPr>
            </w:pPr>
            <w:r>
              <w:rPr>
                <w:rFonts w:hint="eastAsia" w:eastAsia="仿宋_GB2312"/>
                <w:color w:val="000000"/>
                <w:szCs w:val="21"/>
                <w:highlight w:val="none"/>
                <w:lang w:val="en-US" w:eastAsia="zh-CN"/>
              </w:rPr>
              <w:t>重要部署执行公开</w:t>
            </w:r>
          </w:p>
        </w:tc>
        <w:tc>
          <w:tcPr>
            <w:tcW w:w="1095" w:type="dxa"/>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eastAsia="仿宋_GB2312"/>
                <w:color w:val="000000"/>
                <w:szCs w:val="21"/>
                <w:highlight w:val="none"/>
              </w:rPr>
            </w:pPr>
            <w:r>
              <w:rPr>
                <w:rFonts w:hint="eastAsia" w:eastAsia="仿宋_GB2312"/>
                <w:color w:val="000000"/>
                <w:szCs w:val="21"/>
                <w:highlight w:val="none"/>
              </w:rPr>
              <w:t>2021年度沂源县重大民生实事项目季度目标任务</w:t>
            </w:r>
          </w:p>
        </w:tc>
        <w:tc>
          <w:tcPr>
            <w:tcW w:w="1454" w:type="dxa"/>
            <w:tcBorders>
              <w:tl2br w:val="nil"/>
              <w:tr2bl w:val="nil"/>
            </w:tcBorders>
            <w:shd w:val="clear" w:color="auto" w:fill="auto"/>
            <w:tcMar>
              <w:top w:w="15" w:type="dxa"/>
              <w:left w:w="15" w:type="dxa"/>
              <w:right w:w="15" w:type="dxa"/>
            </w:tcMar>
            <w:vAlign w:val="center"/>
          </w:tcPr>
          <w:p>
            <w:pPr>
              <w:spacing w:line="280" w:lineRule="exact"/>
              <w:jc w:val="center"/>
              <w:rPr>
                <w:rFonts w:hint="eastAsia" w:eastAsia="仿宋_GB2312"/>
                <w:color w:val="000000"/>
                <w:szCs w:val="21"/>
                <w:highlight w:val="none"/>
              </w:rPr>
            </w:pPr>
            <w:r>
              <w:rPr>
                <w:rFonts w:hint="eastAsia" w:eastAsia="仿宋_GB2312"/>
                <w:color w:val="000000"/>
                <w:szCs w:val="21"/>
                <w:highlight w:val="none"/>
              </w:rPr>
              <w:t>更加关爱</w:t>
            </w:r>
          </w:p>
          <w:p>
            <w:pPr>
              <w:spacing w:line="280" w:lineRule="exact"/>
              <w:jc w:val="center"/>
              <w:rPr>
                <w:rFonts w:hint="eastAsia" w:eastAsia="仿宋_GB2312"/>
                <w:color w:val="000000"/>
                <w:szCs w:val="21"/>
                <w:highlight w:val="none"/>
              </w:rPr>
            </w:pPr>
            <w:r>
              <w:rPr>
                <w:rFonts w:hint="eastAsia" w:eastAsia="仿宋_GB2312"/>
                <w:color w:val="000000"/>
                <w:szCs w:val="21"/>
                <w:highlight w:val="none"/>
              </w:rPr>
              <w:t>特殊群体</w:t>
            </w:r>
          </w:p>
          <w:p>
            <w:pPr>
              <w:spacing w:line="280" w:lineRule="exact"/>
              <w:jc w:val="center"/>
              <w:rPr>
                <w:rFonts w:eastAsia="仿宋_GB2312"/>
                <w:color w:val="000000"/>
                <w:szCs w:val="21"/>
                <w:highlight w:val="none"/>
              </w:rPr>
            </w:pPr>
            <w:r>
              <w:rPr>
                <w:rFonts w:hint="eastAsia" w:eastAsia="仿宋_GB2312"/>
                <w:color w:val="000000"/>
                <w:szCs w:val="21"/>
                <w:highlight w:val="none"/>
              </w:rPr>
              <w:t>项目</w:t>
            </w:r>
          </w:p>
        </w:tc>
        <w:tc>
          <w:tcPr>
            <w:tcW w:w="1353" w:type="dxa"/>
            <w:tcBorders>
              <w:tl2br w:val="nil"/>
              <w:tr2bl w:val="nil"/>
            </w:tcBorders>
            <w:shd w:val="clear" w:color="auto" w:fill="auto"/>
            <w:tcMar>
              <w:top w:w="15" w:type="dxa"/>
              <w:left w:w="15" w:type="dxa"/>
              <w:right w:w="15" w:type="dxa"/>
            </w:tcMar>
            <w:vAlign w:val="center"/>
          </w:tcPr>
          <w:p>
            <w:pPr>
              <w:widowControl/>
              <w:spacing w:line="280" w:lineRule="exact"/>
              <w:jc w:val="both"/>
              <w:textAlignment w:val="top"/>
              <w:rPr>
                <w:rFonts w:hint="eastAsia" w:eastAsia="仿宋_GB2312"/>
                <w:color w:val="000000"/>
                <w:szCs w:val="21"/>
                <w:highlight w:val="none"/>
              </w:rPr>
            </w:pPr>
            <w:r>
              <w:rPr>
                <w:rFonts w:hint="eastAsia" w:eastAsia="仿宋_GB2312"/>
                <w:color w:val="000000"/>
                <w:szCs w:val="21"/>
                <w:highlight w:val="none"/>
              </w:rPr>
              <w:t>对 1500 名</w:t>
            </w:r>
          </w:p>
          <w:p>
            <w:pPr>
              <w:widowControl/>
              <w:spacing w:line="280" w:lineRule="exact"/>
              <w:jc w:val="both"/>
              <w:textAlignment w:val="top"/>
              <w:rPr>
                <w:rFonts w:eastAsia="仿宋_GB2312"/>
                <w:color w:val="000000"/>
                <w:szCs w:val="21"/>
                <w:highlight w:val="none"/>
              </w:rPr>
            </w:pPr>
            <w:r>
              <w:rPr>
                <w:rFonts w:hint="eastAsia" w:eastAsia="仿宋_GB2312"/>
                <w:color w:val="000000"/>
                <w:szCs w:val="21"/>
                <w:highlight w:val="none"/>
              </w:rPr>
              <w:t>残疾人、残疾儿童开展托养</w:t>
            </w:r>
            <w:r>
              <w:rPr>
                <w:rFonts w:hint="eastAsia" w:eastAsia="仿宋_GB2312"/>
                <w:color w:val="000000"/>
                <w:szCs w:val="21"/>
                <w:highlight w:val="none"/>
                <w:lang w:eastAsia="zh-CN"/>
              </w:rPr>
              <w:t>、</w:t>
            </w:r>
            <w:r>
              <w:rPr>
                <w:rFonts w:hint="eastAsia" w:eastAsia="仿宋_GB2312"/>
                <w:color w:val="000000"/>
                <w:szCs w:val="21"/>
                <w:highlight w:val="none"/>
              </w:rPr>
              <w:t>辅具适配、康复救助等</w:t>
            </w:r>
            <w:r>
              <w:rPr>
                <w:rFonts w:hint="eastAsia" w:eastAsia="仿宋_GB2312"/>
                <w:color w:val="000000"/>
                <w:szCs w:val="21"/>
                <w:highlight w:val="none"/>
                <w:lang w:val="en-US" w:eastAsia="zh-CN"/>
              </w:rPr>
              <w:t>服务</w:t>
            </w:r>
            <w:r>
              <w:rPr>
                <w:rFonts w:hint="eastAsia" w:eastAsia="仿宋_GB2312"/>
                <w:color w:val="000000"/>
                <w:szCs w:val="21"/>
                <w:highlight w:val="none"/>
              </w:rPr>
              <w:t>。</w:t>
            </w:r>
          </w:p>
        </w:tc>
        <w:tc>
          <w:tcPr>
            <w:tcW w:w="851" w:type="dxa"/>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hint="default" w:eastAsia="仿宋_GB2312"/>
                <w:szCs w:val="21"/>
                <w:highlight w:val="none"/>
                <w:lang w:val="en-US" w:eastAsia="zh-CN"/>
              </w:rPr>
            </w:pPr>
            <w:r>
              <w:rPr>
                <w:rFonts w:hint="eastAsia" w:eastAsia="仿宋_GB2312"/>
                <w:szCs w:val="21"/>
                <w:highlight w:val="none"/>
                <w:lang w:val="en-US" w:eastAsia="zh-CN"/>
              </w:rPr>
              <w:t>按季度公开重大民生实事项目工作推进情况</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hint="default" w:eastAsia="仿宋_GB2312"/>
                <w:kern w:val="0"/>
                <w:szCs w:val="21"/>
                <w:highlight w:val="none"/>
                <w:lang w:val="en-US" w:eastAsia="zh-CN"/>
              </w:rPr>
            </w:pPr>
            <w:r>
              <w:rPr>
                <w:rFonts w:eastAsia="仿宋_GB2312"/>
                <w:kern w:val="0"/>
                <w:szCs w:val="21"/>
                <w:highlight w:val="none"/>
              </w:rPr>
              <w:t>县残联</w:t>
            </w:r>
            <w:r>
              <w:rPr>
                <w:rFonts w:hint="eastAsia" w:eastAsia="仿宋_GB2312"/>
                <w:kern w:val="0"/>
                <w:szCs w:val="21"/>
                <w:highlight w:val="none"/>
                <w:lang w:val="en-US" w:eastAsia="zh-CN"/>
              </w:rPr>
              <w:t>相关科室、部门</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hint="default" w:eastAsia="仿宋_GB2312"/>
                <w:color w:val="000000"/>
                <w:szCs w:val="21"/>
                <w:highlight w:val="none"/>
                <w:lang w:val="en-US" w:eastAsia="zh-CN"/>
              </w:rPr>
            </w:pPr>
            <w:r>
              <w:rPr>
                <w:rFonts w:hint="eastAsia" w:eastAsia="仿宋_GB2312"/>
                <w:color w:val="000000"/>
                <w:szCs w:val="21"/>
                <w:highlight w:val="none"/>
                <w:lang w:val="en-US" w:eastAsia="zh-CN"/>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02" w:hRule="atLeast"/>
          <w:jc w:val="center"/>
        </w:trPr>
        <w:tc>
          <w:tcPr>
            <w:tcW w:w="724" w:type="dxa"/>
            <w:vMerge w:val="continue"/>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督查发现问题及整改落实</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60" w:lineRule="exact"/>
              <w:textAlignment w:val="center"/>
              <w:rPr>
                <w:rFonts w:eastAsia="仿宋_GB2312"/>
                <w:color w:val="000000"/>
                <w:szCs w:val="21"/>
                <w:highlight w:val="none"/>
              </w:rPr>
            </w:pPr>
            <w:r>
              <w:rPr>
                <w:rFonts w:eastAsia="仿宋_GB2312"/>
                <w:color w:val="000000"/>
                <w:kern w:val="0"/>
                <w:szCs w:val="21"/>
                <w:highlight w:val="none"/>
              </w:rPr>
              <w:t>督查发现问题及整改落实情况</w:t>
            </w:r>
          </w:p>
        </w:tc>
        <w:tc>
          <w:tcPr>
            <w:tcW w:w="3420"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top"/>
              <w:rPr>
                <w:rFonts w:eastAsia="仿宋_GB2312"/>
                <w:color w:val="000000"/>
                <w:szCs w:val="21"/>
                <w:highlight w:val="none"/>
              </w:rPr>
            </w:pPr>
            <w:r>
              <w:rPr>
                <w:rFonts w:hint="eastAsia" w:eastAsia="仿宋_GB2312"/>
                <w:color w:val="000000"/>
                <w:kern w:val="0"/>
                <w:szCs w:val="21"/>
                <w:highlight w:val="none"/>
                <w:lang w:val="en-US" w:eastAsia="zh-CN"/>
              </w:rPr>
              <w:t>县残联相关科室、</w:t>
            </w:r>
            <w:r>
              <w:rPr>
                <w:rFonts w:eastAsia="仿宋_GB2312"/>
                <w:color w:val="000000"/>
                <w:kern w:val="0"/>
                <w:szCs w:val="21"/>
                <w:highlight w:val="none"/>
              </w:rPr>
              <w:t>部门</w:t>
            </w:r>
          </w:p>
        </w:tc>
        <w:tc>
          <w:tcPr>
            <w:tcW w:w="2664"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eastAsia="仿宋_GB2312"/>
                <w:color w:val="000000"/>
                <w:szCs w:val="21"/>
                <w:highlight w:val="none"/>
              </w:rPr>
            </w:pPr>
            <w:r>
              <w:rPr>
                <w:rFonts w:eastAsia="仿宋_GB2312"/>
                <w:color w:val="000000"/>
                <w:kern w:val="0"/>
                <w:szCs w:val="21"/>
                <w:highlight w:val="none"/>
              </w:rPr>
              <w:t>及时公开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78" w:hRule="atLeast"/>
          <w:jc w:val="center"/>
        </w:trPr>
        <w:tc>
          <w:tcPr>
            <w:tcW w:w="724" w:type="dxa"/>
            <w:vMerge w:val="restart"/>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hint="eastAsia" w:eastAsia="仿宋_GB2312"/>
                <w:color w:val="000000"/>
                <w:szCs w:val="21"/>
                <w:highlight w:val="none"/>
                <w:lang w:val="en-US" w:eastAsia="zh-CN"/>
              </w:rPr>
            </w:pPr>
            <w:r>
              <w:rPr>
                <w:rFonts w:hint="eastAsia" w:eastAsia="仿宋_GB2312"/>
                <w:color w:val="000000"/>
                <w:szCs w:val="21"/>
                <w:highlight w:val="none"/>
                <w:lang w:val="en-US" w:eastAsia="zh-CN"/>
              </w:rPr>
              <w:t>财政</w:t>
            </w:r>
          </w:p>
          <w:p>
            <w:pPr>
              <w:spacing w:line="280" w:lineRule="exact"/>
              <w:jc w:val="center"/>
              <w:textAlignment w:val="center"/>
              <w:rPr>
                <w:rFonts w:hint="eastAsia" w:eastAsia="仿宋_GB2312"/>
                <w:color w:val="000000"/>
                <w:szCs w:val="21"/>
                <w:highlight w:val="none"/>
                <w:lang w:val="en-US" w:eastAsia="zh-CN"/>
              </w:rPr>
            </w:pPr>
            <w:r>
              <w:rPr>
                <w:rFonts w:hint="eastAsia" w:eastAsia="仿宋_GB2312"/>
                <w:color w:val="000000"/>
                <w:szCs w:val="21"/>
                <w:highlight w:val="none"/>
                <w:lang w:val="en-US" w:eastAsia="zh-CN"/>
              </w:rPr>
              <w:t>信息</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财政预决算</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财政预算和决算信息</w:t>
            </w:r>
            <w:r>
              <w:rPr>
                <w:rFonts w:hint="eastAsia" w:eastAsia="仿宋_GB2312"/>
                <w:color w:val="000000"/>
                <w:kern w:val="0"/>
                <w:szCs w:val="21"/>
                <w:highlight w:val="none"/>
                <w:lang w:eastAsia="zh-CN"/>
              </w:rPr>
              <w:t>，需在政府网站和财政预决算平台进行“双公开”</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eastAsia" w:eastAsia="仿宋_GB2312"/>
                <w:color w:val="000000"/>
                <w:kern w:val="0"/>
                <w:szCs w:val="21"/>
                <w:highlight w:val="none"/>
                <w:lang w:val="en-US" w:eastAsia="zh-CN"/>
              </w:rPr>
              <w:t>县残联相关科室、</w:t>
            </w:r>
            <w:r>
              <w:rPr>
                <w:rFonts w:eastAsia="仿宋_GB2312"/>
                <w:color w:val="000000"/>
                <w:kern w:val="0"/>
                <w:szCs w:val="21"/>
                <w:highlight w:val="none"/>
              </w:rPr>
              <w:t>部门</w:t>
            </w:r>
          </w:p>
        </w:tc>
        <w:tc>
          <w:tcPr>
            <w:tcW w:w="2664" w:type="dxa"/>
            <w:tcBorders>
              <w:tl2br w:val="nil"/>
              <w:tr2bl w:val="nil"/>
            </w:tcBorders>
            <w:shd w:val="clear" w:color="auto" w:fill="auto"/>
            <w:tcMar>
              <w:top w:w="15" w:type="dxa"/>
              <w:left w:w="15" w:type="dxa"/>
              <w:right w:w="15" w:type="dxa"/>
            </w:tcMar>
            <w:vAlign w:val="center"/>
          </w:tcPr>
          <w:p>
            <w:pPr>
              <w:widowControl/>
              <w:spacing w:line="260" w:lineRule="exact"/>
              <w:textAlignment w:val="top"/>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链接“县预决算公开平台 ”，政府预决算应当在本级人民代表大会或其常务委员会批准后20日内通过此平台公开；各部门单位应自财政部门批复其预决算及相关信息形成或变更之日起20日内通过此平台主动公开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78" w:hRule="atLeast"/>
          <w:jc w:val="center"/>
        </w:trPr>
        <w:tc>
          <w:tcPr>
            <w:tcW w:w="724" w:type="dxa"/>
            <w:vMerge w:val="continue"/>
            <w:tcBorders>
              <w:top w:val="single" w:color="auto" w:sz="4" w:space="0"/>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hint="eastAsia" w:eastAsia="仿宋_GB2312"/>
                <w:color w:val="000000"/>
                <w:szCs w:val="21"/>
                <w:highlight w:val="none"/>
                <w:lang w:val="en-US" w:eastAsia="zh-CN"/>
              </w:rPr>
            </w:pP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kern w:val="0"/>
                <w:szCs w:val="21"/>
                <w:highlight w:val="none"/>
              </w:rPr>
              <w:t>专项资金使用管理</w:t>
            </w:r>
          </w:p>
        </w:tc>
        <w:tc>
          <w:tcPr>
            <w:tcW w:w="145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eastAsia="仿宋_GB2312" w:cs="Times New Roman"/>
                <w:kern w:val="2"/>
                <w:sz w:val="21"/>
                <w:szCs w:val="21"/>
                <w:highlight w:val="none"/>
                <w:lang w:val="en-US" w:eastAsia="zh-CN" w:bidi="ar-SA"/>
              </w:rPr>
            </w:pPr>
            <w:r>
              <w:rPr>
                <w:rFonts w:eastAsia="仿宋_GB2312"/>
                <w:kern w:val="0"/>
                <w:szCs w:val="21"/>
                <w:highlight w:val="none"/>
              </w:rPr>
              <w:t>专项资金使用管理</w:t>
            </w: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kern w:val="2"/>
                <w:sz w:val="21"/>
                <w:szCs w:val="21"/>
                <w:highlight w:val="none"/>
                <w:lang w:val="en-US" w:eastAsia="zh-CN" w:bidi="ar-SA"/>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kern w:val="2"/>
                <w:sz w:val="21"/>
                <w:szCs w:val="21"/>
                <w:highlight w:val="none"/>
                <w:lang w:val="en-US" w:eastAsia="zh-CN" w:bidi="ar-SA"/>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ascii="Times New Roman" w:hAnsi="Times New Roman" w:eastAsia="仿宋_GB2312" w:cs="Times New Roman"/>
                <w:kern w:val="2"/>
                <w:sz w:val="21"/>
                <w:szCs w:val="21"/>
                <w:highlight w:val="none"/>
                <w:lang w:val="en-US" w:eastAsia="zh-CN" w:bidi="ar-SA"/>
              </w:rPr>
            </w:pPr>
            <w:r>
              <w:rPr>
                <w:rFonts w:eastAsia="仿宋_GB2312"/>
                <w:kern w:val="0"/>
                <w:szCs w:val="21"/>
                <w:highlight w:val="none"/>
              </w:rPr>
              <w:t>省、市专项资金申报指南、专项资金分配公式和因素、专项资金分配结果、专项资金绩效评价结果和其他按规定应公开的内容（按因素法分配且无申报环节的，不需公开专项资金申报指南及申报环节的其他相关信息；按项目法分配的资金，不需公开专项资金分配公示和因素）</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hint="eastAsia" w:ascii="Times New Roman" w:hAnsi="Times New Roman" w:eastAsia="仿宋_GB2312" w:cs="Times New Roman"/>
                <w:kern w:val="2"/>
                <w:sz w:val="21"/>
                <w:szCs w:val="21"/>
                <w:highlight w:val="none"/>
                <w:lang w:val="en-US" w:eastAsia="zh-CN" w:bidi="ar-SA"/>
              </w:rPr>
            </w:pPr>
            <w:r>
              <w:rPr>
                <w:rFonts w:hint="eastAsia" w:eastAsia="仿宋_GB2312"/>
                <w:color w:val="000000"/>
                <w:kern w:val="0"/>
                <w:szCs w:val="21"/>
                <w:highlight w:val="none"/>
                <w:lang w:val="en-US" w:eastAsia="zh-CN"/>
              </w:rPr>
              <w:t>县残联相关科室、</w:t>
            </w:r>
            <w:r>
              <w:rPr>
                <w:rFonts w:eastAsia="仿宋_GB2312"/>
                <w:color w:val="000000"/>
                <w:kern w:val="0"/>
                <w:szCs w:val="21"/>
                <w:highlight w:val="none"/>
              </w:rPr>
              <w:t>部门</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kern w:val="0"/>
                <w:szCs w:val="21"/>
                <w:highlight w:val="none"/>
              </w:rPr>
            </w:pPr>
            <w:r>
              <w:rPr>
                <w:rFonts w:eastAsia="仿宋_GB2312"/>
                <w:color w:val="000000"/>
                <w:kern w:val="0"/>
                <w:szCs w:val="21"/>
                <w:highlight w:val="none"/>
              </w:rPr>
              <w:t>及时转发国家、省、市相关专项资金政策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78" w:hRule="atLeast"/>
          <w:jc w:val="center"/>
        </w:trPr>
        <w:tc>
          <w:tcPr>
            <w:tcW w:w="724" w:type="dxa"/>
            <w:tcBorders>
              <w:top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hint="default" w:eastAsia="仿宋_GB2312"/>
                <w:color w:val="000000"/>
                <w:szCs w:val="21"/>
                <w:highlight w:val="none"/>
                <w:lang w:val="en-US" w:eastAsia="zh-CN"/>
              </w:rPr>
            </w:pPr>
            <w:r>
              <w:rPr>
                <w:rFonts w:hint="eastAsia" w:eastAsia="仿宋_GB2312"/>
                <w:color w:val="000000"/>
                <w:szCs w:val="21"/>
                <w:highlight w:val="none"/>
                <w:lang w:val="en-US" w:eastAsia="zh-CN"/>
              </w:rPr>
              <w:t>灾害事故救援</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应急预案</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突发事件总体应急预案、事故灾害类预案、社会安全事件类预案、自然灾害类预案和公共卫生事件类预案等。对确需保密的应急预案，按有关规定执行。</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hint="eastAsia" w:eastAsia="仿宋_GB2312"/>
                <w:color w:val="000000"/>
                <w:szCs w:val="21"/>
                <w:highlight w:val="none"/>
                <w:lang w:val="en-US" w:eastAsia="zh-CN"/>
              </w:rPr>
            </w:pPr>
            <w:r>
              <w:rPr>
                <w:rFonts w:hint="eastAsia" w:eastAsia="仿宋_GB2312"/>
                <w:color w:val="000000"/>
                <w:kern w:val="0"/>
                <w:szCs w:val="21"/>
                <w:highlight w:val="none"/>
                <w:lang w:val="en-US" w:eastAsia="zh-CN"/>
              </w:rPr>
              <w:t>县残联相关科室、</w:t>
            </w:r>
            <w:r>
              <w:rPr>
                <w:rFonts w:eastAsia="仿宋_GB2312"/>
                <w:color w:val="000000"/>
                <w:kern w:val="0"/>
                <w:szCs w:val="21"/>
                <w:highlight w:val="none"/>
              </w:rPr>
              <w:t>部门</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信息形成或变更之日起20个工作日内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34" w:hRule="atLeast"/>
          <w:jc w:val="center"/>
        </w:trPr>
        <w:tc>
          <w:tcPr>
            <w:tcW w:w="72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政府信息公开指南</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hint="eastAsia" w:eastAsia="仿宋_GB2312"/>
                <w:color w:val="000000"/>
                <w:kern w:val="0"/>
                <w:szCs w:val="21"/>
                <w:highlight w:val="none"/>
                <w:lang w:val="en-US" w:eastAsia="zh-CN"/>
              </w:rPr>
              <w:t>工作部门</w:t>
            </w:r>
            <w:r>
              <w:rPr>
                <w:rFonts w:eastAsia="仿宋_GB2312"/>
                <w:color w:val="000000"/>
                <w:kern w:val="0"/>
                <w:szCs w:val="21"/>
                <w:highlight w:val="none"/>
              </w:rPr>
              <w:t>信息公开指南</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40" w:lineRule="exact"/>
              <w:textAlignment w:val="top"/>
              <w:rPr>
                <w:rFonts w:eastAsia="仿宋_GB2312"/>
                <w:color w:val="000000"/>
                <w:szCs w:val="21"/>
                <w:highlight w:val="none"/>
              </w:rPr>
            </w:pPr>
            <w:r>
              <w:rPr>
                <w:rFonts w:hint="eastAsia" w:eastAsia="仿宋_GB2312"/>
                <w:color w:val="000000"/>
                <w:kern w:val="0"/>
                <w:szCs w:val="21"/>
                <w:highlight w:val="none"/>
                <w:lang w:val="en-US" w:eastAsia="zh-CN"/>
              </w:rPr>
              <w:t>本</w:t>
            </w:r>
            <w:r>
              <w:rPr>
                <w:rFonts w:eastAsia="仿宋_GB2312"/>
                <w:color w:val="000000"/>
                <w:kern w:val="0"/>
                <w:szCs w:val="21"/>
                <w:highlight w:val="none"/>
              </w:rPr>
              <w:t>单位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w:t>
            </w:r>
            <w:r>
              <w:rPr>
                <w:rFonts w:eastAsia="仿宋_GB2312"/>
                <w:color w:val="000000"/>
                <w:kern w:val="0"/>
                <w:szCs w:val="21"/>
                <w:highlight w:val="none"/>
              </w:rPr>
              <w:t>办公室</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及时公开并动态调整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86" w:hRule="atLeast"/>
          <w:jc w:val="center"/>
        </w:trPr>
        <w:tc>
          <w:tcPr>
            <w:tcW w:w="724"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政府信息公开目录</w:t>
            </w:r>
          </w:p>
        </w:tc>
        <w:tc>
          <w:tcPr>
            <w:tcW w:w="1095" w:type="dxa"/>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ascii="Times New Roman" w:hAnsi="Times New Roman" w:eastAsia="仿宋_GB2312" w:cs="Times New Roman"/>
                <w:color w:val="000000"/>
                <w:kern w:val="2"/>
                <w:sz w:val="21"/>
                <w:szCs w:val="21"/>
                <w:highlight w:val="none"/>
                <w:lang w:val="en-US" w:eastAsia="zh-CN" w:bidi="ar-SA"/>
              </w:rPr>
            </w:pPr>
            <w:r>
              <w:rPr>
                <w:rFonts w:eastAsia="仿宋_GB2312"/>
                <w:color w:val="000000"/>
                <w:kern w:val="0"/>
                <w:szCs w:val="21"/>
                <w:highlight w:val="none"/>
              </w:rPr>
              <w:t>工作部门信息公开目录</w:t>
            </w:r>
          </w:p>
        </w:tc>
        <w:tc>
          <w:tcPr>
            <w:tcW w:w="1454" w:type="dxa"/>
            <w:tcBorders>
              <w:tl2br w:val="nil"/>
              <w:tr2bl w:val="nil"/>
            </w:tcBorders>
            <w:shd w:val="clear" w:color="auto" w:fill="auto"/>
            <w:tcMar>
              <w:top w:w="15" w:type="dxa"/>
              <w:left w:w="15" w:type="dxa"/>
              <w:right w:w="15" w:type="dxa"/>
            </w:tcMar>
            <w:vAlign w:val="center"/>
          </w:tcPr>
          <w:p>
            <w:pPr>
              <w:spacing w:line="280" w:lineRule="exact"/>
              <w:rPr>
                <w:rFonts w:ascii="Times New Roman" w:hAnsi="Times New Roman" w:eastAsia="仿宋_GB2312" w:cs="Times New Roman"/>
                <w:color w:val="000000"/>
                <w:kern w:val="2"/>
                <w:sz w:val="21"/>
                <w:szCs w:val="21"/>
                <w:highlight w:val="none"/>
                <w:lang w:val="en-US" w:eastAsia="zh-CN" w:bidi="ar-SA"/>
              </w:rPr>
            </w:pPr>
          </w:p>
        </w:tc>
        <w:tc>
          <w:tcPr>
            <w:tcW w:w="1353"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hint="eastAsia" w:eastAsia="仿宋_GB2312"/>
                <w:color w:val="000000"/>
                <w:kern w:val="0"/>
                <w:szCs w:val="21"/>
                <w:highlight w:val="none"/>
                <w:lang w:val="en-US" w:eastAsia="zh-CN"/>
              </w:rPr>
              <w:t>本</w:t>
            </w:r>
            <w:r>
              <w:rPr>
                <w:rFonts w:eastAsia="仿宋_GB2312"/>
                <w:color w:val="000000"/>
                <w:kern w:val="0"/>
                <w:szCs w:val="21"/>
                <w:highlight w:val="none"/>
              </w:rPr>
              <w:t>单位政府信息主动公开基本目录</w:t>
            </w:r>
          </w:p>
        </w:tc>
        <w:tc>
          <w:tcPr>
            <w:tcW w:w="3420" w:type="dxa"/>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kern w:val="0"/>
                <w:szCs w:val="21"/>
                <w:highlight w:val="none"/>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w:t>
            </w:r>
            <w:r>
              <w:rPr>
                <w:rFonts w:eastAsia="仿宋_GB2312"/>
                <w:color w:val="000000"/>
                <w:kern w:val="0"/>
                <w:szCs w:val="21"/>
                <w:highlight w:val="none"/>
              </w:rPr>
              <w:t>办公室</w:t>
            </w:r>
          </w:p>
        </w:tc>
        <w:tc>
          <w:tcPr>
            <w:tcW w:w="2664" w:type="dxa"/>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及时公开并动态调整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top"/>
              <w:rPr>
                <w:rFonts w:eastAsia="仿宋_GB2312"/>
                <w:color w:val="000000"/>
                <w:szCs w:val="21"/>
                <w:highlight w:val="none"/>
              </w:rPr>
            </w:pPr>
            <w:r>
              <w:rPr>
                <w:rFonts w:eastAsia="仿宋_GB2312"/>
                <w:color w:val="000000"/>
                <w:kern w:val="0"/>
                <w:szCs w:val="21"/>
                <w:highlight w:val="none"/>
              </w:rPr>
              <w:t>政府信息公开</w:t>
            </w:r>
            <w:r>
              <w:rPr>
                <w:rFonts w:eastAsia="仿宋_GB2312"/>
                <w:color w:val="000000"/>
                <w:kern w:val="0"/>
                <w:szCs w:val="21"/>
                <w:highlight w:val="none"/>
              </w:rPr>
              <w:br w:type="textWrapping"/>
            </w:r>
            <w:r>
              <w:rPr>
                <w:rFonts w:eastAsia="仿宋_GB2312"/>
                <w:color w:val="000000"/>
                <w:kern w:val="0"/>
                <w:szCs w:val="21"/>
                <w:highlight w:val="none"/>
              </w:rPr>
              <w:t>年度报告</w:t>
            </w:r>
          </w:p>
        </w:tc>
        <w:tc>
          <w:tcPr>
            <w:tcW w:w="1095"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top"/>
              <w:rPr>
                <w:rFonts w:eastAsia="仿宋_GB2312"/>
                <w:color w:val="000000"/>
                <w:szCs w:val="21"/>
                <w:highlight w:val="none"/>
              </w:rPr>
            </w:pPr>
            <w:r>
              <w:rPr>
                <w:rFonts w:eastAsia="仿宋_GB2312"/>
                <w:color w:val="000000"/>
                <w:kern w:val="0"/>
                <w:szCs w:val="21"/>
                <w:highlight w:val="none"/>
              </w:rPr>
              <w:t>工作部门信息公开年度报告</w:t>
            </w:r>
          </w:p>
        </w:tc>
        <w:tc>
          <w:tcPr>
            <w:tcW w:w="1454"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restart"/>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bottom"/>
              <w:rPr>
                <w:rFonts w:hint="eastAsia" w:eastAsia="仿宋_GB2312"/>
                <w:color w:val="000000"/>
                <w:szCs w:val="21"/>
                <w:highlight w:val="none"/>
                <w:lang w:eastAsia="zh-CN"/>
              </w:rPr>
            </w:pPr>
            <w:r>
              <w:rPr>
                <w:rFonts w:hint="eastAsia" w:eastAsia="仿宋_GB2312"/>
                <w:color w:val="000000"/>
                <w:kern w:val="0"/>
                <w:szCs w:val="21"/>
                <w:highlight w:val="none"/>
                <w:lang w:val="en-US" w:eastAsia="zh-CN"/>
              </w:rPr>
              <w:t>本</w:t>
            </w:r>
            <w:r>
              <w:rPr>
                <w:rFonts w:eastAsia="仿宋_GB2312"/>
                <w:color w:val="000000"/>
                <w:kern w:val="0"/>
                <w:szCs w:val="21"/>
                <w:highlight w:val="none"/>
              </w:rPr>
              <w:t>单位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r>
              <w:rPr>
                <w:rFonts w:hint="eastAsia" w:eastAsia="仿宋_GB2312"/>
                <w:color w:val="000000"/>
                <w:kern w:val="0"/>
                <w:szCs w:val="21"/>
                <w:highlight w:val="none"/>
                <w:lang w:eastAsia="zh-CN"/>
              </w:rPr>
              <w:t>。</w:t>
            </w:r>
          </w:p>
        </w:tc>
        <w:tc>
          <w:tcPr>
            <w:tcW w:w="3420" w:type="dxa"/>
            <w:vMerge w:val="restart"/>
            <w:tcBorders>
              <w:tl2br w:val="nil"/>
              <w:tr2bl w:val="nil"/>
            </w:tcBorders>
            <w:shd w:val="clear" w:color="auto" w:fill="auto"/>
            <w:tcMar>
              <w:top w:w="15" w:type="dxa"/>
              <w:left w:w="15" w:type="dxa"/>
              <w:right w:w="15" w:type="dxa"/>
            </w:tcMar>
            <w:vAlign w:val="center"/>
          </w:tcPr>
          <w:p>
            <w:pPr>
              <w:widowControl/>
              <w:spacing w:line="280" w:lineRule="exact"/>
              <w:jc w:val="center"/>
              <w:textAlignment w:val="center"/>
              <w:rPr>
                <w:rFonts w:eastAsia="仿宋_GB2312"/>
                <w:color w:val="000000"/>
                <w:szCs w:val="21"/>
                <w:highlight w:val="none"/>
              </w:rPr>
            </w:pPr>
            <w:r>
              <w:rPr>
                <w:rFonts w:eastAsia="仿宋_GB2312"/>
                <w:color w:val="000000"/>
                <w:kern w:val="0"/>
                <w:szCs w:val="21"/>
                <w:highlight w:val="none"/>
              </w:rPr>
              <w:t>县</w:t>
            </w:r>
            <w:r>
              <w:rPr>
                <w:rFonts w:hint="eastAsia" w:eastAsia="仿宋_GB2312"/>
                <w:color w:val="000000"/>
                <w:kern w:val="0"/>
                <w:szCs w:val="21"/>
                <w:highlight w:val="none"/>
                <w:lang w:val="en-US" w:eastAsia="zh-CN"/>
              </w:rPr>
              <w:t>残联</w:t>
            </w:r>
            <w:r>
              <w:rPr>
                <w:rFonts w:eastAsia="仿宋_GB2312"/>
                <w:color w:val="000000"/>
                <w:kern w:val="0"/>
                <w:szCs w:val="21"/>
                <w:highlight w:val="none"/>
              </w:rPr>
              <w:t>办公室</w:t>
            </w:r>
          </w:p>
        </w:tc>
        <w:tc>
          <w:tcPr>
            <w:tcW w:w="2664" w:type="dxa"/>
            <w:vMerge w:val="restart"/>
            <w:tcBorders>
              <w:tl2br w:val="nil"/>
              <w:tr2bl w:val="nil"/>
            </w:tcBorders>
            <w:shd w:val="clear" w:color="auto" w:fill="auto"/>
            <w:tcMar>
              <w:top w:w="15" w:type="dxa"/>
              <w:left w:w="15" w:type="dxa"/>
              <w:right w:w="15" w:type="dxa"/>
            </w:tcMar>
            <w:vAlign w:val="center"/>
          </w:tcPr>
          <w:p>
            <w:pPr>
              <w:widowControl/>
              <w:spacing w:line="280" w:lineRule="exact"/>
              <w:textAlignment w:val="center"/>
              <w:rPr>
                <w:rFonts w:eastAsia="仿宋_GB2312"/>
                <w:color w:val="000000"/>
                <w:szCs w:val="21"/>
                <w:highlight w:val="none"/>
              </w:rPr>
            </w:pPr>
            <w:r>
              <w:rPr>
                <w:rFonts w:eastAsia="仿宋_GB2312"/>
                <w:color w:val="000000"/>
                <w:kern w:val="0"/>
                <w:szCs w:val="21"/>
                <w:highlight w:val="none"/>
              </w:rPr>
              <w:t>每年3月31日前公开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2" w:hRule="atLeast"/>
          <w:jc w:val="center"/>
        </w:trPr>
        <w:tc>
          <w:tcPr>
            <w:tcW w:w="724" w:type="dxa"/>
            <w:vMerge w:val="continue"/>
            <w:tcBorders>
              <w:tl2br w:val="nil"/>
              <w:tr2bl w:val="nil"/>
            </w:tcBorders>
            <w:shd w:val="clear" w:color="auto" w:fill="auto"/>
            <w:tcMar>
              <w:top w:w="15" w:type="dxa"/>
              <w:left w:w="15" w:type="dxa"/>
              <w:right w:w="15" w:type="dxa"/>
            </w:tcMar>
            <w:vAlign w:val="center"/>
          </w:tcPr>
          <w:p>
            <w:pPr>
              <w:spacing w:line="280" w:lineRule="exact"/>
              <w:jc w:val="center"/>
              <w:rPr>
                <w:rFonts w:eastAsia="仿宋_GB2312"/>
                <w:color w:val="000000"/>
                <w:szCs w:val="21"/>
                <w:highlight w:val="none"/>
              </w:rPr>
            </w:pPr>
          </w:p>
        </w:tc>
        <w:tc>
          <w:tcPr>
            <w:tcW w:w="1095"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45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1353"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851"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029"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3420"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c>
          <w:tcPr>
            <w:tcW w:w="2664" w:type="dxa"/>
            <w:vMerge w:val="continue"/>
            <w:tcBorders>
              <w:tl2br w:val="nil"/>
              <w:tr2bl w:val="nil"/>
            </w:tcBorders>
            <w:shd w:val="clear" w:color="auto" w:fill="auto"/>
            <w:tcMar>
              <w:top w:w="15" w:type="dxa"/>
              <w:left w:w="15" w:type="dxa"/>
              <w:right w:w="15" w:type="dxa"/>
            </w:tcMar>
            <w:vAlign w:val="center"/>
          </w:tcPr>
          <w:p>
            <w:pPr>
              <w:spacing w:line="280" w:lineRule="exact"/>
              <w:rPr>
                <w:rFonts w:eastAsia="仿宋_GB2312"/>
                <w:color w:val="000000"/>
                <w:szCs w:val="21"/>
                <w:highlight w:val="none"/>
              </w:rPr>
            </w:pPr>
          </w:p>
        </w:tc>
      </w:tr>
    </w:tbl>
    <w:p>
      <w:pPr>
        <w:spacing w:line="80" w:lineRule="exact"/>
        <w:rPr>
          <w:highlight w:val="none"/>
        </w:rPr>
      </w:pPr>
    </w:p>
    <w:sectPr>
      <w:footerReference r:id="rId3" w:type="default"/>
      <w:footerReference r:id="rId4" w:type="even"/>
      <w:pgSz w:w="16840" w:h="11907"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00146"/>
    </w:sdtPr>
    <w:sdtEndPr>
      <w:rPr>
        <w:rFonts w:asciiTheme="minorEastAsia" w:hAnsiTheme="minorEastAsia" w:eastAsiaTheme="minorEastAsia"/>
        <w:sz w:val="21"/>
      </w:rPr>
    </w:sdtEndPr>
    <w:sdtContent>
      <w:p>
        <w:pPr>
          <w:pStyle w:val="3"/>
          <w:ind w:left="210" w:leftChars="100" w:right="210" w:rightChars="100"/>
          <w:jc w:val="right"/>
          <w:rPr>
            <w:rFonts w:asciiTheme="minorEastAsia" w:hAnsiTheme="minorEastAsia" w:eastAsiaTheme="minorEastAsia"/>
            <w:sz w:val="21"/>
          </w:rPr>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00166"/>
    </w:sdtPr>
    <w:sdtEndPr>
      <w:rPr>
        <w:rFonts w:asciiTheme="minorEastAsia" w:hAnsiTheme="minorEastAsia" w:eastAsiaTheme="minorEastAsia"/>
        <w:sz w:val="21"/>
      </w:rPr>
    </w:sdtEndPr>
    <w:sdtContent>
      <w:p>
        <w:pPr>
          <w:pStyle w:val="3"/>
          <w:ind w:left="210" w:leftChars="100" w:right="210" w:rightChars="100"/>
          <w:rPr>
            <w:rFonts w:asciiTheme="minorEastAsia" w:hAnsiTheme="minorEastAsia" w:eastAsiaTheme="minorEastAsia"/>
            <w:sz w:val="21"/>
          </w:rPr>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06033"/>
    <w:rsid w:val="0004227F"/>
    <w:rsid w:val="001254B4"/>
    <w:rsid w:val="00310C47"/>
    <w:rsid w:val="003E02E2"/>
    <w:rsid w:val="00480E14"/>
    <w:rsid w:val="00483489"/>
    <w:rsid w:val="004C40BB"/>
    <w:rsid w:val="00503494"/>
    <w:rsid w:val="00517655"/>
    <w:rsid w:val="005D5B72"/>
    <w:rsid w:val="0064477A"/>
    <w:rsid w:val="00786147"/>
    <w:rsid w:val="00843C02"/>
    <w:rsid w:val="009048F0"/>
    <w:rsid w:val="00962ED9"/>
    <w:rsid w:val="00A274C2"/>
    <w:rsid w:val="00A47AB9"/>
    <w:rsid w:val="00AD1964"/>
    <w:rsid w:val="00BD3BB7"/>
    <w:rsid w:val="00C52934"/>
    <w:rsid w:val="00CF2616"/>
    <w:rsid w:val="00D20F3D"/>
    <w:rsid w:val="00E12879"/>
    <w:rsid w:val="01AA67D1"/>
    <w:rsid w:val="06A724A4"/>
    <w:rsid w:val="07B65DE9"/>
    <w:rsid w:val="0CB57BA2"/>
    <w:rsid w:val="1CA67538"/>
    <w:rsid w:val="1E0E0995"/>
    <w:rsid w:val="22312D5A"/>
    <w:rsid w:val="25506033"/>
    <w:rsid w:val="31BE1A9B"/>
    <w:rsid w:val="344C37B2"/>
    <w:rsid w:val="34FC0390"/>
    <w:rsid w:val="37943E0B"/>
    <w:rsid w:val="39225103"/>
    <w:rsid w:val="3A620DAD"/>
    <w:rsid w:val="3B856768"/>
    <w:rsid w:val="3BFB1E53"/>
    <w:rsid w:val="3CE810A1"/>
    <w:rsid w:val="412B3063"/>
    <w:rsid w:val="41DF1C86"/>
    <w:rsid w:val="43513031"/>
    <w:rsid w:val="482111B4"/>
    <w:rsid w:val="4C9447DA"/>
    <w:rsid w:val="4EC503DF"/>
    <w:rsid w:val="4F917D1C"/>
    <w:rsid w:val="50C63143"/>
    <w:rsid w:val="52071CF1"/>
    <w:rsid w:val="55483CA0"/>
    <w:rsid w:val="593453FA"/>
    <w:rsid w:val="5ACB36A2"/>
    <w:rsid w:val="5DB16735"/>
    <w:rsid w:val="5E71288C"/>
    <w:rsid w:val="5FBF3051"/>
    <w:rsid w:val="6EE82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30513</Words>
  <Characters>5963</Characters>
  <Lines>49</Lines>
  <Paragraphs>72</Paragraphs>
  <TotalTime>1</TotalTime>
  <ScaleCrop>false</ScaleCrop>
  <LinksUpToDate>false</LinksUpToDate>
  <CharactersWithSpaces>36404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2020-10-16T05:25:00Z</dcterms:created>
  <dc:creator>Darren</dc:creator>
  <cp:lastModifiedBy>Administrator</cp:lastModifiedBy>
  <dcterms:modified xsi:type="dcterms:W3CDTF">2021-08-02T03:24:08Z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6EDF49B0100C4599A123F6FF19A21830</vt:lpwstr>
  </property>
</Properties>
</file>