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方正小标宋简体" w:eastAsia="方正小标宋简体"/>
          <w:color w:val="auto"/>
          <w:sz w:val="44"/>
          <w:szCs w:val="44"/>
          <w:lang w:eastAsia="zh-CN"/>
        </w:rPr>
      </w:pPr>
      <w:r>
        <w:rPr>
          <w:rFonts w:hint="eastAsia" w:ascii="方正小标宋简体" w:hAnsi="方正小标宋简体" w:eastAsia="方正小标宋简体"/>
          <w:color w:val="auto"/>
          <w:sz w:val="44"/>
          <w:szCs w:val="44"/>
          <w:lang w:eastAsia="zh-CN"/>
        </w:rPr>
        <w:t>沂源县人民政府</w:t>
      </w:r>
      <w:r>
        <w:rPr>
          <w:rFonts w:hint="eastAsia" w:ascii="方正小标宋简体" w:eastAsia="方正小标宋简体"/>
          <w:color w:val="auto"/>
          <w:sz w:val="44"/>
          <w:szCs w:val="44"/>
          <w:lang w:eastAsia="zh-CN"/>
        </w:rPr>
        <w:t>20</w:t>
      </w:r>
      <w:r>
        <w:rPr>
          <w:rFonts w:hint="eastAsia" w:ascii="方正小标宋简体" w:eastAsia="方正小标宋简体"/>
          <w:color w:val="auto"/>
          <w:sz w:val="44"/>
          <w:szCs w:val="44"/>
          <w:lang w:val="en-US" w:eastAsia="zh-CN"/>
        </w:rPr>
        <w:t>20</w:t>
      </w:r>
      <w:r>
        <w:rPr>
          <w:rFonts w:hint="eastAsia" w:ascii="方正小标宋简体" w:hAnsi="方正小标宋简体" w:eastAsia="方正小标宋简体"/>
          <w:color w:val="auto"/>
          <w:sz w:val="44"/>
          <w:szCs w:val="44"/>
          <w:lang w:eastAsia="zh-CN"/>
        </w:rPr>
        <w:t>年政府信息公开工作年度报告</w:t>
      </w:r>
    </w:p>
    <w:p>
      <w:pPr>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本报告按照新修订的《中华人民共和国政府信息公开条例》（以下简称《条例》）</w:t>
      </w:r>
      <w:r>
        <w:rPr>
          <w:rFonts w:eastAsia="仿宋_GB2312"/>
          <w:color w:val="auto"/>
          <w:sz w:val="32"/>
          <w:szCs w:val="32"/>
          <w:shd w:val="clear" w:color="auto" w:fill="FFFFFF"/>
          <w:lang w:eastAsia="zh-CN"/>
        </w:rPr>
        <w:t>《国务院办公厅政府信息与政务公开办公室关于政府信息公开工作年度报告有关事项的通知》（国办公开办函〔2019〕60号）</w:t>
      </w:r>
      <w:r>
        <w:rPr>
          <w:rFonts w:hint="eastAsia" w:ascii="仿宋" w:hAnsi="仿宋" w:eastAsia="仿宋" w:cs="仿宋_GB2312"/>
          <w:sz w:val="32"/>
          <w:szCs w:val="32"/>
        </w:rPr>
        <w:t>和《山东省政府信息公开办法》（以下简称《办法》）规定，由沂源县人民政府综合各镇人民政府、街道办事处、开发区管委会和县政府各部门、单位政府信息公开工作情况编制。</w:t>
      </w:r>
    </w:p>
    <w:p>
      <w:pPr>
        <w:pStyle w:val="4"/>
        <w:widowControl/>
        <w:shd w:val="clear" w:color="auto" w:fill="FFFFFF"/>
        <w:spacing w:beforeAutospacing="0" w:afterAutospacing="0" w:line="560" w:lineRule="exact"/>
        <w:ind w:firstLine="640" w:firstLineChars="200"/>
        <w:jc w:val="both"/>
        <w:rPr>
          <w:rFonts w:ascii="仿宋" w:hAnsi="仿宋" w:eastAsia="仿宋" w:cs="仿宋_GB2312"/>
          <w:color w:val="333333"/>
          <w:sz w:val="32"/>
          <w:szCs w:val="32"/>
        </w:rPr>
      </w:pPr>
      <w:r>
        <w:rPr>
          <w:rFonts w:hint="eastAsia" w:ascii="仿宋" w:hAnsi="仿宋" w:eastAsia="仿宋" w:cs="仿宋_GB2312"/>
          <w:sz w:val="32"/>
          <w:szCs w:val="32"/>
        </w:rPr>
        <w:t>报告全文由总体情况、主动公开政府信息情况、收到和处理政府信息公开申请情况、因政府信息公开工作被申请行政复议与提起行政诉讼情况、政府信息公开工作存在的主要问题及改进情况、其他需要报告的事项等六个部分组成。</w:t>
      </w:r>
    </w:p>
    <w:p>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报告中所列数据统计期限自20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年1月1日始，至20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12月31日止。报告电子版可从沂源县人民政府门户网站（www.yiyuan.gov.cn）下载。如对报告内容有疑问，请与沂源县大数据发展服务中心联系（地址：沂源县振兴路61号；邮编：256100；电话：0533-3241369；邮箱:yyxdsjzx@zb.shandong.cn）。</w:t>
      </w:r>
    </w:p>
    <w:p>
      <w:pPr>
        <w:spacing w:line="600" w:lineRule="exact"/>
        <w:rPr>
          <w:rFonts w:ascii="黑体" w:hAnsi="黑体" w:eastAsia="黑体"/>
          <w:color w:val="auto"/>
          <w:sz w:val="32"/>
          <w:szCs w:val="32"/>
          <w:shd w:val="clear" w:color="auto" w:fill="FFFFFF"/>
          <w:lang w:eastAsia="zh-CN"/>
        </w:rPr>
      </w:pPr>
    </w:p>
    <w:p>
      <w:pPr>
        <w:spacing w:line="600" w:lineRule="exact"/>
        <w:ind w:firstLine="640" w:firstLineChars="200"/>
        <w:rPr>
          <w:rFonts w:ascii="黑体" w:hAnsi="黑体" w:eastAsia="黑体"/>
          <w:color w:val="auto"/>
          <w:sz w:val="32"/>
          <w:szCs w:val="32"/>
          <w:shd w:val="clear" w:color="auto" w:fill="FFFFFF"/>
          <w:lang w:eastAsia="zh-CN"/>
        </w:rPr>
      </w:pPr>
      <w:r>
        <w:rPr>
          <w:rFonts w:ascii="黑体" w:hAnsi="黑体" w:eastAsia="黑体"/>
          <w:color w:val="auto"/>
          <w:sz w:val="32"/>
          <w:szCs w:val="32"/>
          <w:shd w:val="clear" w:color="auto" w:fill="FFFFFF"/>
          <w:lang w:eastAsia="zh-CN"/>
        </w:rPr>
        <w:t>—、总体情况</w:t>
      </w:r>
    </w:p>
    <w:p>
      <w:pPr>
        <w:widowControl/>
        <w:spacing w:line="600" w:lineRule="exact"/>
        <w:ind w:firstLine="640" w:firstLineChars="200"/>
        <w:contextualSpacing/>
        <w:rPr>
          <w:rFonts w:hint="eastAsia" w:eastAsia="仿宋_GB2312"/>
          <w:color w:val="auto"/>
          <w:sz w:val="32"/>
          <w:szCs w:val="32"/>
          <w:shd w:val="clear" w:color="auto" w:fill="FFFFFF"/>
          <w:lang w:eastAsia="zh-CN"/>
        </w:rPr>
      </w:pPr>
      <w:r>
        <w:rPr>
          <w:rFonts w:eastAsia="仿宋_GB2312"/>
          <w:color w:val="auto"/>
          <w:sz w:val="32"/>
          <w:szCs w:val="32"/>
          <w:shd w:val="clear" w:color="auto" w:fill="FFFFFF"/>
          <w:lang w:eastAsia="zh-CN"/>
        </w:rPr>
        <w:t>20</w:t>
      </w:r>
      <w:r>
        <w:rPr>
          <w:rFonts w:hint="eastAsia" w:eastAsia="仿宋_GB2312"/>
          <w:color w:val="auto"/>
          <w:sz w:val="32"/>
          <w:szCs w:val="32"/>
          <w:shd w:val="clear" w:color="auto" w:fill="FFFFFF"/>
          <w:lang w:val="en-US" w:eastAsia="zh-CN"/>
        </w:rPr>
        <w:t>20</w:t>
      </w:r>
      <w:r>
        <w:rPr>
          <w:rFonts w:eastAsia="仿宋_GB2312"/>
          <w:color w:val="auto"/>
          <w:sz w:val="32"/>
          <w:szCs w:val="32"/>
          <w:shd w:val="clear" w:color="auto" w:fill="FFFFFF"/>
          <w:lang w:eastAsia="zh-CN"/>
        </w:rPr>
        <w:t>年以来，</w:t>
      </w:r>
      <w:r>
        <w:rPr>
          <w:rFonts w:hint="eastAsia" w:eastAsia="仿宋_GB2312"/>
          <w:color w:val="auto"/>
          <w:sz w:val="32"/>
          <w:szCs w:val="32"/>
          <w:shd w:val="clear" w:color="auto" w:fill="FFFFFF"/>
          <w:lang w:eastAsia="zh-CN"/>
        </w:rPr>
        <w:t>沂源县</w:t>
      </w:r>
      <w:r>
        <w:rPr>
          <w:rFonts w:eastAsia="仿宋_GB2312"/>
          <w:color w:val="auto"/>
          <w:sz w:val="32"/>
          <w:szCs w:val="32"/>
          <w:shd w:val="clear" w:color="auto" w:fill="FFFFFF"/>
          <w:lang w:eastAsia="zh-CN"/>
        </w:rPr>
        <w:t xml:space="preserve">严格依据新修订的《中华人民共和国政府信息公开条例》和省、市关于政务公开工作的相关决策部署，坚持以公开为常态、不公开为例外，进一步推进决策、执行、管理、服务、结果“五公开”，不断回应社会关切，推进政务公开平台建设，以提升政务公开质量为主线，深化重点领域信息公开，创新公开方式，全面推进权力运行全流程、政务服务全过程公开，以公开助力深化放管服改革、优化营商环境，切实增强了人民群众满意度和获得感。 </w:t>
      </w:r>
    </w:p>
    <w:p>
      <w:pPr>
        <w:widowControl/>
        <w:spacing w:line="600" w:lineRule="exact"/>
        <w:ind w:firstLine="640" w:firstLineChars="200"/>
        <w:contextualSpacing/>
        <w:rPr>
          <w:rFonts w:hint="eastAsia" w:ascii="黑体" w:hAnsi="黑体" w:eastAsia="黑体"/>
          <w:bCs/>
          <w:color w:val="auto"/>
          <w:sz w:val="32"/>
          <w:szCs w:val="32"/>
          <w:lang w:eastAsia="zh-CN" w:bidi="ar"/>
        </w:rPr>
      </w:pPr>
      <w:r>
        <w:rPr>
          <w:rFonts w:hint="eastAsia" w:ascii="黑体" w:hAnsi="黑体" w:eastAsia="黑体"/>
          <w:bCs/>
          <w:color w:val="auto"/>
          <w:sz w:val="32"/>
          <w:szCs w:val="32"/>
          <w:lang w:eastAsia="zh-CN" w:bidi="ar"/>
        </w:rPr>
        <w:t>（一）新《条例》贯彻落实情况。</w:t>
      </w:r>
    </w:p>
    <w:p>
      <w:pPr>
        <w:widowControl/>
        <w:numPr>
          <w:ilvl w:val="0"/>
          <w:numId w:val="0"/>
        </w:numPr>
        <w:spacing w:line="600" w:lineRule="exact"/>
        <w:ind w:firstLine="640" w:firstLineChars="200"/>
        <w:contextualSpacing/>
        <w:rPr>
          <w:rFonts w:eastAsia="仿宋_GB2312"/>
          <w:color w:val="auto"/>
          <w:sz w:val="32"/>
          <w:szCs w:val="32"/>
          <w:shd w:val="clear" w:color="auto" w:fill="FFFFFF"/>
          <w:lang w:eastAsia="zh-CN"/>
        </w:rPr>
      </w:pPr>
      <w:r>
        <w:rPr>
          <w:rFonts w:hint="eastAsia" w:eastAsia="仿宋_GB2312"/>
          <w:color w:val="auto"/>
          <w:sz w:val="32"/>
          <w:szCs w:val="32"/>
          <w:shd w:val="clear" w:color="auto" w:fill="FFFFFF"/>
          <w:lang w:eastAsia="zh-CN"/>
        </w:rPr>
        <w:t>新条例实施一周年</w:t>
      </w:r>
      <w:r>
        <w:rPr>
          <w:rFonts w:eastAsia="仿宋_GB2312"/>
          <w:color w:val="auto"/>
          <w:sz w:val="32"/>
          <w:szCs w:val="32"/>
          <w:shd w:val="clear" w:color="auto" w:fill="FFFFFF"/>
          <w:lang w:eastAsia="zh-CN"/>
        </w:rPr>
        <w:t>组织全</w:t>
      </w:r>
      <w:r>
        <w:rPr>
          <w:rFonts w:hint="eastAsia" w:eastAsia="仿宋_GB2312"/>
          <w:color w:val="auto"/>
          <w:sz w:val="32"/>
          <w:szCs w:val="32"/>
          <w:shd w:val="clear" w:color="auto" w:fill="FFFFFF"/>
          <w:lang w:eastAsia="zh-CN"/>
        </w:rPr>
        <w:t>县</w:t>
      </w:r>
      <w:r>
        <w:rPr>
          <w:rFonts w:eastAsia="仿宋_GB2312"/>
          <w:color w:val="auto"/>
          <w:sz w:val="32"/>
          <w:szCs w:val="32"/>
          <w:shd w:val="clear" w:color="auto" w:fill="FFFFFF"/>
          <w:lang w:eastAsia="zh-CN"/>
        </w:rPr>
        <w:t>各级各部门开展新《条例》的学习宣传贯彻工作</w:t>
      </w:r>
      <w:r>
        <w:rPr>
          <w:rFonts w:hint="eastAsia" w:eastAsia="仿宋_GB2312"/>
          <w:color w:val="auto"/>
          <w:sz w:val="32"/>
          <w:szCs w:val="32"/>
          <w:shd w:val="clear" w:color="auto" w:fill="FFFFFF"/>
          <w:lang w:eastAsia="zh-CN"/>
        </w:rPr>
        <w:t>。利用县</w:t>
      </w:r>
      <w:r>
        <w:rPr>
          <w:rFonts w:eastAsia="仿宋_GB2312"/>
          <w:color w:val="auto"/>
          <w:sz w:val="32"/>
          <w:szCs w:val="32"/>
          <w:shd w:val="clear" w:color="auto" w:fill="FFFFFF"/>
          <w:lang w:eastAsia="zh-CN"/>
        </w:rPr>
        <w:t>政府门户网站</w:t>
      </w:r>
      <w:r>
        <w:rPr>
          <w:rFonts w:hint="eastAsia" w:eastAsia="仿宋_GB2312"/>
          <w:color w:val="auto"/>
          <w:sz w:val="32"/>
          <w:szCs w:val="32"/>
          <w:shd w:val="clear" w:color="auto" w:fill="FFFFFF"/>
          <w:lang w:eastAsia="zh-CN"/>
        </w:rPr>
        <w:t>、</w:t>
      </w:r>
      <w:r>
        <w:rPr>
          <w:rFonts w:eastAsia="仿宋_GB2312"/>
          <w:color w:val="auto"/>
          <w:sz w:val="32"/>
          <w:szCs w:val="32"/>
          <w:shd w:val="clear" w:color="auto" w:fill="FFFFFF"/>
          <w:lang w:eastAsia="zh-CN"/>
        </w:rPr>
        <w:t>电子屏等公开平台宣传新《条例》，在政务公开</w:t>
      </w:r>
      <w:r>
        <w:rPr>
          <w:rFonts w:hint="eastAsia" w:eastAsia="仿宋_GB2312"/>
          <w:color w:val="auto"/>
          <w:sz w:val="32"/>
          <w:szCs w:val="32"/>
          <w:shd w:val="clear" w:color="auto" w:fill="FFFFFF"/>
          <w:lang w:eastAsia="zh-CN"/>
        </w:rPr>
        <w:t>专</w:t>
      </w:r>
      <w:r>
        <w:rPr>
          <w:rFonts w:eastAsia="仿宋_GB2312"/>
          <w:color w:val="auto"/>
          <w:sz w:val="32"/>
          <w:szCs w:val="32"/>
          <w:shd w:val="clear" w:color="auto" w:fill="FFFFFF"/>
          <w:lang w:eastAsia="zh-CN"/>
        </w:rPr>
        <w:t>区摆放新《条例》读本，营造“学条例、用条例”的良好氛围。充分利用全</w:t>
      </w:r>
      <w:r>
        <w:rPr>
          <w:rFonts w:hint="eastAsia" w:eastAsia="仿宋_GB2312"/>
          <w:color w:val="auto"/>
          <w:sz w:val="32"/>
          <w:szCs w:val="32"/>
          <w:shd w:val="clear" w:color="auto" w:fill="FFFFFF"/>
          <w:lang w:eastAsia="zh-CN"/>
        </w:rPr>
        <w:t>县</w:t>
      </w:r>
      <w:r>
        <w:rPr>
          <w:rFonts w:eastAsia="仿宋_GB2312"/>
          <w:color w:val="auto"/>
          <w:sz w:val="32"/>
          <w:szCs w:val="32"/>
          <w:shd w:val="clear" w:color="auto" w:fill="FFFFFF"/>
          <w:lang w:eastAsia="zh-CN"/>
        </w:rPr>
        <w:t>政务公开工作培训会的机会，加强新《条例》的宣传和解读</w:t>
      </w:r>
      <w:r>
        <w:rPr>
          <w:rFonts w:hint="eastAsia" w:eastAsia="仿宋_GB2312"/>
          <w:color w:val="auto"/>
          <w:sz w:val="32"/>
          <w:szCs w:val="32"/>
          <w:shd w:val="clear" w:color="auto" w:fill="FFFFFF"/>
          <w:lang w:eastAsia="zh-CN"/>
        </w:rPr>
        <w:t>。依据新《条例》内容优化网站栏目设置，</w:t>
      </w:r>
      <w:r>
        <w:rPr>
          <w:rFonts w:eastAsia="仿宋_GB2312"/>
          <w:color w:val="auto"/>
          <w:sz w:val="32"/>
          <w:szCs w:val="32"/>
          <w:shd w:val="clear" w:color="auto" w:fill="FFFFFF"/>
          <w:lang w:eastAsia="zh-CN"/>
        </w:rPr>
        <w:t>围绕主动公开基本目录、政府信息公开指南、依申请公开流程等重点工作，不断完善机制和规程，确保新旧《条例》的有序衔接，推进新《条例》实施工作落到实处。</w:t>
      </w:r>
    </w:p>
    <w:p>
      <w:pPr>
        <w:widowControl/>
        <w:numPr>
          <w:ilvl w:val="0"/>
          <w:numId w:val="1"/>
        </w:numPr>
        <w:spacing w:line="600" w:lineRule="exact"/>
        <w:ind w:firstLine="640" w:firstLineChars="200"/>
        <w:contextualSpacing/>
        <w:rPr>
          <w:rFonts w:hint="eastAsia" w:ascii="黑体" w:hAnsi="黑体" w:eastAsia="黑体"/>
          <w:bCs/>
          <w:color w:val="auto"/>
          <w:sz w:val="32"/>
          <w:szCs w:val="32"/>
          <w:lang w:eastAsia="zh-CN" w:bidi="ar"/>
        </w:rPr>
      </w:pPr>
      <w:r>
        <w:rPr>
          <w:rFonts w:hint="eastAsia" w:ascii="黑体" w:hAnsi="黑体" w:eastAsia="黑体"/>
          <w:bCs/>
          <w:color w:val="auto"/>
          <w:sz w:val="32"/>
          <w:szCs w:val="32"/>
          <w:lang w:eastAsia="zh-CN" w:bidi="ar"/>
        </w:rPr>
        <w:t>主动公开工作情况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22" w:firstLineChars="200"/>
        <w:textAlignment w:val="auto"/>
        <w:rPr>
          <w:rFonts w:hint="eastAsia" w:ascii="Times New Roman" w:hAnsi="Times New Roman" w:eastAsia="仿宋_GB2312" w:cs="Times New Roman"/>
          <w:b w:val="0"/>
          <w:bCs w:val="0"/>
          <w:color w:val="auto"/>
          <w:sz w:val="32"/>
          <w:szCs w:val="32"/>
          <w:shd w:val="clear" w:color="auto" w:fill="FFFFFF"/>
          <w:lang w:val="en-US" w:eastAsia="zh-CN" w:bidi="en-US"/>
        </w:rPr>
      </w:pPr>
      <w:r>
        <w:rPr>
          <w:rFonts w:ascii="仿宋" w:hAnsi="仿宋" w:eastAsia="仿宋" w:cs="仿宋"/>
          <w:i w:val="0"/>
          <w:iCs w:val="0"/>
          <w:caps w:val="0"/>
          <w:color w:val="000000"/>
          <w:spacing w:val="0"/>
          <w:sz w:val="31"/>
          <w:szCs w:val="31"/>
        </w:rPr>
        <w:t> </w:t>
      </w:r>
      <w:r>
        <w:rPr>
          <w:rFonts w:hint="eastAsia" w:ascii="Times New Roman" w:hAnsi="Times New Roman" w:eastAsia="仿宋_GB2312" w:cs="Times New Roman"/>
          <w:b w:val="0"/>
          <w:bCs w:val="0"/>
          <w:color w:val="auto"/>
          <w:sz w:val="32"/>
          <w:szCs w:val="32"/>
          <w:shd w:val="clear" w:color="auto" w:fill="FFFFFF"/>
          <w:lang w:val="en-US" w:eastAsia="zh-CN" w:bidi="en-US"/>
        </w:rPr>
        <w:t>2020年各镇政府、街道办事处和县政府各部门、单位共主动公开政府信息12264条，比上年增长2%。其中，政府网站公开信息6479条，政务微博公开信息784条，比上年增长17.3%，政务微信公开信息4576条，比上年增长22.7%，政府公报公开信息43条，其他方式公开信息382条。2020年比去年政府信息公开范围不断扩大，信息公开数量进一步增长，公开水平进一步提升。</w:t>
      </w:r>
    </w:p>
    <w:p>
      <w:pPr>
        <w:rPr>
          <w:rFonts w:hint="eastAsia"/>
          <w:lang w:val="en-US" w:eastAsia="zh-CN"/>
        </w:rPr>
      </w:pPr>
      <w:r>
        <w:rPr>
          <w:rFonts w:hint="eastAsia"/>
          <w:lang w:val="en-US" w:eastAsia="zh-CN"/>
        </w:rPr>
        <w:drawing>
          <wp:inline distT="0" distB="0" distL="114300" distR="114300">
            <wp:extent cx="5850890" cy="3977005"/>
            <wp:effectExtent l="4445" t="4445" r="12065" b="1905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4"/>
        <w:shd w:val="clear" w:color="auto" w:fill="FFFFFF"/>
        <w:spacing w:before="0" w:beforeAutospacing="0" w:after="0" w:afterAutospacing="0" w:line="600" w:lineRule="exact"/>
        <w:ind w:firstLine="803" w:firstLineChars="250"/>
        <w:outlineLvl w:val="2"/>
        <w:rPr>
          <w:rFonts w:ascii="Times New Roman" w:hAnsi="Times New Roman" w:eastAsia="仿宋_GB2312" w:cs="Times New Roman"/>
          <w:b/>
          <w:color w:val="auto"/>
          <w:sz w:val="32"/>
          <w:szCs w:val="32"/>
          <w:shd w:val="clear" w:color="auto" w:fill="FFFFFF"/>
          <w:lang w:eastAsia="zh-CN"/>
        </w:rPr>
      </w:pPr>
      <w:r>
        <w:rPr>
          <w:rFonts w:ascii="Times New Roman" w:hAnsi="Times New Roman" w:eastAsia="仿宋_GB2312" w:cs="Times New Roman"/>
          <w:b/>
          <w:color w:val="auto"/>
          <w:sz w:val="32"/>
          <w:szCs w:val="32"/>
          <w:shd w:val="clear" w:color="auto" w:fill="FFFFFF"/>
          <w:lang w:eastAsia="zh-CN"/>
        </w:rPr>
        <w:t>1.深入推进</w:t>
      </w:r>
      <w:r>
        <w:rPr>
          <w:rFonts w:hint="eastAsia" w:ascii="Times New Roman" w:hAnsi="Times New Roman" w:eastAsia="仿宋_GB2312" w:cs="Times New Roman"/>
          <w:b/>
          <w:color w:val="auto"/>
          <w:sz w:val="32"/>
          <w:szCs w:val="32"/>
          <w:shd w:val="clear" w:color="auto" w:fill="FFFFFF"/>
          <w:lang w:eastAsia="zh-CN"/>
        </w:rPr>
        <w:t>行政权力运行领域</w:t>
      </w:r>
      <w:r>
        <w:rPr>
          <w:rFonts w:ascii="Times New Roman" w:hAnsi="Times New Roman" w:eastAsia="仿宋_GB2312" w:cs="Times New Roman"/>
          <w:b/>
          <w:color w:val="auto"/>
          <w:sz w:val="32"/>
          <w:szCs w:val="32"/>
          <w:shd w:val="clear" w:color="auto" w:fill="FFFFFF"/>
          <w:lang w:eastAsia="zh-CN"/>
        </w:rPr>
        <w:t>公开</w:t>
      </w:r>
      <w:r>
        <w:rPr>
          <w:rFonts w:hint="eastAsia" w:ascii="Times New Roman" w:hAnsi="Times New Roman" w:eastAsia="仿宋_GB2312" w:cs="Times New Roman"/>
          <w:b/>
          <w:color w:val="auto"/>
          <w:sz w:val="32"/>
          <w:szCs w:val="32"/>
          <w:shd w:val="clear" w:color="auto" w:fill="FFFFFF"/>
          <w:lang w:eastAsia="zh-CN"/>
        </w:rPr>
        <w:t>。</w:t>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shd w:val="clear" w:color="auto" w:fill="FFFFFF"/>
          <w:lang w:eastAsia="zh-CN"/>
        </w:rPr>
      </w:pPr>
      <w:r>
        <w:rPr>
          <w:rFonts w:ascii="Times New Roman" w:hAnsi="Times New Roman" w:eastAsia="仿宋_GB2312" w:cs="Times New Roman"/>
          <w:color w:val="auto"/>
          <w:sz w:val="32"/>
          <w:szCs w:val="32"/>
          <w:shd w:val="clear" w:color="auto" w:fill="FFFFFF"/>
          <w:lang w:eastAsia="zh-CN"/>
        </w:rPr>
        <w:t>（1）推进决策公开</w:t>
      </w:r>
      <w:r>
        <w:rPr>
          <w:rFonts w:hint="eastAsia" w:ascii="Times New Roman" w:hAnsi="Times New Roman" w:eastAsia="仿宋_GB2312" w:cs="Times New Roman"/>
          <w:color w:val="auto"/>
          <w:sz w:val="32"/>
          <w:szCs w:val="32"/>
          <w:shd w:val="clear" w:color="auto" w:fill="FFFFFF"/>
          <w:lang w:eastAsia="zh-CN"/>
        </w:rPr>
        <w:t>。</w:t>
      </w:r>
    </w:p>
    <w:p>
      <w:pPr>
        <w:widowControl/>
        <w:shd w:val="clear" w:color="auto" w:fill="FFFFFF"/>
        <w:spacing w:line="600" w:lineRule="exact"/>
        <w:ind w:firstLine="640" w:firstLineChars="200"/>
        <w:rPr>
          <w:rFonts w:hint="eastAsia" w:eastAsia="仿宋_GB2312"/>
          <w:color w:val="auto"/>
          <w:sz w:val="32"/>
          <w:szCs w:val="32"/>
          <w:lang w:eastAsia="zh-CN" w:bidi="ar-SA"/>
        </w:rPr>
      </w:pPr>
      <w:r>
        <w:rPr>
          <w:rFonts w:eastAsia="仿宋_GB2312"/>
          <w:color w:val="auto"/>
          <w:sz w:val="32"/>
          <w:szCs w:val="32"/>
          <w:lang w:eastAsia="zh-CN" w:bidi="ar-SA"/>
        </w:rPr>
        <w:t>严格落实《</w:t>
      </w:r>
      <w:r>
        <w:rPr>
          <w:rFonts w:hint="eastAsia" w:eastAsia="仿宋_GB2312"/>
          <w:color w:val="auto"/>
          <w:sz w:val="32"/>
          <w:szCs w:val="32"/>
          <w:lang w:eastAsia="zh-CN" w:bidi="ar-SA"/>
        </w:rPr>
        <w:t>沂源县重大决策预公开制度</w:t>
      </w:r>
      <w:r>
        <w:rPr>
          <w:rFonts w:eastAsia="仿宋_GB2312"/>
          <w:color w:val="auto"/>
          <w:sz w:val="32"/>
          <w:szCs w:val="32"/>
          <w:lang w:eastAsia="zh-CN" w:bidi="ar-SA"/>
        </w:rPr>
        <w:t>》，</w:t>
      </w:r>
      <w:r>
        <w:rPr>
          <w:rFonts w:hint="eastAsia" w:eastAsia="仿宋_GB2312"/>
          <w:color w:val="auto"/>
          <w:sz w:val="32"/>
          <w:szCs w:val="32"/>
          <w:lang w:eastAsia="zh-CN" w:bidi="ar-SA"/>
        </w:rPr>
        <w:t>在政府</w:t>
      </w:r>
      <w:r>
        <w:rPr>
          <w:rFonts w:eastAsia="仿宋_GB2312"/>
          <w:color w:val="auto"/>
          <w:sz w:val="32"/>
          <w:szCs w:val="32"/>
          <w:lang w:eastAsia="zh-CN" w:bidi="ar-SA"/>
        </w:rPr>
        <w:t>门户网站开设</w:t>
      </w:r>
      <w:r>
        <w:rPr>
          <w:rFonts w:hint="eastAsia" w:eastAsia="仿宋_GB2312"/>
          <w:color w:val="auto"/>
          <w:sz w:val="32"/>
          <w:szCs w:val="32"/>
          <w:lang w:eastAsia="zh-CN" w:bidi="ar-SA"/>
        </w:rPr>
        <w:t>“重大决策预公开”</w:t>
      </w:r>
      <w:r>
        <w:rPr>
          <w:rFonts w:eastAsia="仿宋_GB2312"/>
          <w:color w:val="auto"/>
          <w:sz w:val="32"/>
          <w:szCs w:val="32"/>
          <w:lang w:eastAsia="zh-CN" w:bidi="ar-SA"/>
        </w:rPr>
        <w:t>专栏，</w:t>
      </w:r>
      <w:r>
        <w:rPr>
          <w:rFonts w:hint="eastAsia" w:eastAsia="仿宋_GB2312"/>
          <w:color w:val="auto"/>
          <w:sz w:val="32"/>
          <w:szCs w:val="32"/>
          <w:lang w:eastAsia="zh-CN" w:bidi="ar-SA"/>
        </w:rPr>
        <w:t>设立“决策事项目录”栏目公开发布</w:t>
      </w:r>
      <w:r>
        <w:rPr>
          <w:rFonts w:hint="eastAsia" w:eastAsia="仿宋_GB2312"/>
          <w:color w:val="auto"/>
          <w:sz w:val="32"/>
          <w:szCs w:val="32"/>
          <w:lang w:val="en-US" w:eastAsia="zh-CN" w:bidi="ar-SA"/>
        </w:rPr>
        <w:t>2020年</w:t>
      </w:r>
      <w:r>
        <w:rPr>
          <w:rFonts w:hint="eastAsia" w:eastAsia="仿宋_GB2312"/>
          <w:color w:val="auto"/>
          <w:sz w:val="32"/>
          <w:szCs w:val="32"/>
          <w:lang w:eastAsia="zh-CN" w:bidi="ar-SA"/>
        </w:rPr>
        <w:t>重大行政决策事项目录，并设立“意见征集”栏目，</w:t>
      </w:r>
      <w:r>
        <w:rPr>
          <w:rFonts w:eastAsia="仿宋_GB2312"/>
          <w:color w:val="auto"/>
          <w:sz w:val="32"/>
          <w:szCs w:val="32"/>
          <w:lang w:eastAsia="zh-CN" w:bidi="ar-SA"/>
        </w:rPr>
        <w:t>在</w:t>
      </w:r>
      <w:r>
        <w:rPr>
          <w:rFonts w:hint="eastAsia" w:eastAsia="仿宋_GB2312"/>
          <w:color w:val="auto"/>
          <w:sz w:val="32"/>
          <w:szCs w:val="32"/>
          <w:lang w:eastAsia="zh-CN" w:bidi="ar-SA"/>
        </w:rPr>
        <w:t>县重大行政决策事项立项</w:t>
      </w:r>
      <w:r>
        <w:rPr>
          <w:rFonts w:eastAsia="仿宋_GB2312"/>
          <w:color w:val="auto"/>
          <w:sz w:val="32"/>
          <w:szCs w:val="32"/>
          <w:lang w:eastAsia="zh-CN" w:bidi="ar-SA"/>
        </w:rPr>
        <w:t>过程中，</w:t>
      </w:r>
      <w:r>
        <w:rPr>
          <w:rFonts w:hint="eastAsia" w:eastAsia="仿宋_GB2312"/>
          <w:color w:val="auto"/>
          <w:sz w:val="32"/>
          <w:szCs w:val="32"/>
          <w:lang w:eastAsia="zh-CN" w:bidi="ar-SA"/>
        </w:rPr>
        <w:t>通过沂源县人民政府网站意见征集的形式</w:t>
      </w:r>
      <w:r>
        <w:rPr>
          <w:rFonts w:eastAsia="仿宋_GB2312"/>
          <w:color w:val="auto"/>
          <w:sz w:val="32"/>
          <w:szCs w:val="32"/>
          <w:lang w:eastAsia="zh-CN" w:bidi="ar-SA"/>
        </w:rPr>
        <w:t>广泛听取市民群众、人大代表和政协委员</w:t>
      </w:r>
      <w:r>
        <w:rPr>
          <w:rFonts w:hint="eastAsia" w:eastAsia="仿宋_GB2312"/>
          <w:color w:val="auto"/>
          <w:sz w:val="32"/>
          <w:szCs w:val="32"/>
          <w:lang w:eastAsia="zh-CN" w:bidi="ar-SA"/>
        </w:rPr>
        <w:t>等</w:t>
      </w:r>
      <w:r>
        <w:rPr>
          <w:rFonts w:eastAsia="仿宋_GB2312"/>
          <w:color w:val="auto"/>
          <w:sz w:val="32"/>
          <w:szCs w:val="32"/>
          <w:lang w:eastAsia="zh-CN" w:bidi="ar-SA"/>
        </w:rPr>
        <w:t>的意见建议，</w:t>
      </w:r>
      <w:r>
        <w:rPr>
          <w:rFonts w:hint="eastAsia" w:eastAsia="仿宋_GB2312"/>
          <w:color w:val="auto"/>
          <w:sz w:val="32"/>
          <w:szCs w:val="32"/>
          <w:lang w:eastAsia="zh-CN" w:bidi="ar-SA"/>
        </w:rPr>
        <w:t>及时对征集意见进行反馈，</w:t>
      </w:r>
      <w:r>
        <w:rPr>
          <w:rFonts w:eastAsia="仿宋_GB2312"/>
          <w:color w:val="auto"/>
          <w:sz w:val="32"/>
          <w:szCs w:val="32"/>
          <w:lang w:eastAsia="zh-CN" w:bidi="ar-SA"/>
        </w:rPr>
        <w:t>问需于民，问计于民，确保</w:t>
      </w:r>
      <w:r>
        <w:rPr>
          <w:rFonts w:hint="eastAsia" w:eastAsia="仿宋_GB2312"/>
          <w:color w:val="auto"/>
          <w:sz w:val="32"/>
          <w:szCs w:val="32"/>
          <w:lang w:eastAsia="zh-CN" w:bidi="ar-SA"/>
        </w:rPr>
        <w:t>重大</w:t>
      </w:r>
      <w:r>
        <w:rPr>
          <w:rFonts w:eastAsia="仿宋_GB2312"/>
          <w:color w:val="auto"/>
          <w:sz w:val="32"/>
          <w:szCs w:val="32"/>
          <w:lang w:eastAsia="zh-CN" w:bidi="ar-SA"/>
        </w:rPr>
        <w:t>项目“看得见、摸得着、能感受、更实在”，让市民群众更好感受到城市温度。</w:t>
      </w:r>
    </w:p>
    <w:p>
      <w:pPr>
        <w:widowControl/>
        <w:shd w:val="clear" w:color="auto" w:fill="FFFFFF"/>
        <w:jc w:val="center"/>
        <w:rPr>
          <w:rFonts w:eastAsia="仿宋_GB2312"/>
          <w:color w:val="auto"/>
          <w:sz w:val="32"/>
          <w:szCs w:val="32"/>
          <w:lang w:eastAsia="zh-CN" w:bidi="ar-SA"/>
        </w:rPr>
      </w:pPr>
      <w:r>
        <w:rPr>
          <w:rFonts w:eastAsia="仿宋_GB2312"/>
          <w:color w:val="auto"/>
          <w:sz w:val="32"/>
          <w:szCs w:val="32"/>
          <w:lang w:eastAsia="zh-CN" w:bidi="ar-SA"/>
        </w:rPr>
        <w:drawing>
          <wp:inline distT="0" distB="0" distL="114300" distR="114300">
            <wp:extent cx="5600065" cy="2966720"/>
            <wp:effectExtent l="0" t="0" r="635" b="5080"/>
            <wp:docPr id="7" name="图片 7" descr="1611559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1559985(1)"/>
                    <pic:cNvPicPr>
                      <a:picLocks noChangeAspect="1"/>
                    </pic:cNvPicPr>
                  </pic:nvPicPr>
                  <pic:blipFill>
                    <a:blip r:embed="rId9"/>
                    <a:stretch>
                      <a:fillRect/>
                    </a:stretch>
                  </pic:blipFill>
                  <pic:spPr>
                    <a:xfrm>
                      <a:off x="0" y="0"/>
                      <a:ext cx="5600065" cy="2966720"/>
                    </a:xfrm>
                    <a:prstGeom prst="rect">
                      <a:avLst/>
                    </a:prstGeom>
                  </pic:spPr>
                </pic:pic>
              </a:graphicData>
            </a:graphic>
          </wp:inline>
        </w:drawing>
      </w:r>
    </w:p>
    <w:p>
      <w:pPr>
        <w:pStyle w:val="4"/>
        <w:shd w:val="clear" w:color="auto" w:fill="FFFFFF"/>
        <w:spacing w:before="0" w:beforeAutospacing="0" w:after="0" w:afterAutospacing="0" w:line="600" w:lineRule="exact"/>
        <w:rPr>
          <w:rFonts w:ascii="Times New Roman" w:hAnsi="Times New Roman" w:eastAsia="仿宋_GB2312" w:cs="Times New Roman"/>
          <w:color w:val="auto"/>
          <w:sz w:val="32"/>
          <w:szCs w:val="32"/>
          <w:shd w:val="clear" w:color="auto" w:fill="FFFFFF"/>
          <w:lang w:eastAsia="zh-CN"/>
        </w:rPr>
      </w:pP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shd w:val="clear" w:color="auto" w:fill="FFFFFF"/>
          <w:lang w:eastAsia="zh-CN"/>
        </w:rPr>
      </w:pPr>
      <w:r>
        <w:rPr>
          <w:rFonts w:ascii="Times New Roman" w:hAnsi="Times New Roman" w:eastAsia="仿宋_GB2312" w:cs="Times New Roman"/>
          <w:color w:val="auto"/>
          <w:sz w:val="32"/>
          <w:szCs w:val="32"/>
          <w:shd w:val="clear" w:color="auto" w:fill="FFFFFF"/>
          <w:lang w:eastAsia="zh-CN"/>
        </w:rPr>
        <w:t>（2）推进会议公开</w:t>
      </w:r>
      <w:r>
        <w:rPr>
          <w:rFonts w:hint="eastAsia" w:ascii="Times New Roman" w:hAnsi="Times New Roman" w:eastAsia="仿宋_GB2312" w:cs="Times New Roman"/>
          <w:color w:val="auto"/>
          <w:sz w:val="32"/>
          <w:szCs w:val="32"/>
          <w:shd w:val="clear" w:color="auto" w:fill="FFFFFF"/>
          <w:lang w:eastAsia="zh-CN"/>
        </w:rPr>
        <w:t>。</w:t>
      </w:r>
    </w:p>
    <w:p>
      <w:pPr>
        <w:pStyle w:val="4"/>
        <w:shd w:val="clear" w:color="auto" w:fill="FFFFFF"/>
        <w:spacing w:before="0" w:beforeAutospacing="0" w:after="0" w:afterAutospacing="0" w:line="600" w:lineRule="exact"/>
        <w:ind w:firstLine="616" w:firstLineChars="200"/>
        <w:rPr>
          <w:rFonts w:hint="eastAsia" w:ascii="Times New Roman" w:hAnsi="Times New Roman" w:eastAsia="仿宋_GB2312" w:cs="Times New Roman"/>
          <w:bCs/>
          <w:color w:val="auto"/>
          <w:spacing w:val="-6"/>
          <w:sz w:val="32"/>
          <w:szCs w:val="32"/>
          <w:lang w:eastAsia="zh-CN"/>
        </w:rPr>
      </w:pPr>
      <w:r>
        <w:rPr>
          <w:rFonts w:hint="eastAsia" w:ascii="Times New Roman" w:hAnsi="Times New Roman" w:eastAsia="仿宋_GB2312" w:cs="Times New Roman"/>
          <w:bCs/>
          <w:color w:val="auto"/>
          <w:spacing w:val="-6"/>
          <w:sz w:val="32"/>
          <w:szCs w:val="32"/>
          <w:lang w:eastAsia="zh-CN"/>
        </w:rPr>
        <w:t>制定《沂源县政务会议开放制度》，</w:t>
      </w:r>
      <w:r>
        <w:rPr>
          <w:rFonts w:hint="eastAsia" w:ascii="Times New Roman" w:hAnsi="Times New Roman" w:eastAsia="仿宋_GB2312" w:cs="Times New Roman"/>
          <w:bCs/>
          <w:color w:val="auto"/>
          <w:spacing w:val="-6"/>
          <w:sz w:val="32"/>
          <w:szCs w:val="32"/>
          <w:lang w:val="en-US" w:eastAsia="zh-CN"/>
        </w:rPr>
        <w:t>2020年各单位按照</w:t>
      </w:r>
      <w:r>
        <w:rPr>
          <w:rFonts w:hint="eastAsia" w:ascii="Times New Roman" w:hAnsi="Times New Roman" w:eastAsia="仿宋_GB2312" w:cs="Times New Roman"/>
          <w:bCs/>
          <w:color w:val="auto"/>
          <w:spacing w:val="-6"/>
          <w:sz w:val="32"/>
          <w:szCs w:val="32"/>
          <w:lang w:eastAsia="zh-CN"/>
        </w:rPr>
        <w:t>重大行政决策行为的科学性、民主性，保障公众对政府工作的知情权、参与权、表达权和监督权，</w:t>
      </w:r>
      <w:r>
        <w:rPr>
          <w:rFonts w:ascii="Times New Roman" w:hAnsi="Times New Roman" w:eastAsia="仿宋_GB2312" w:cs="Times New Roman"/>
          <w:bCs/>
          <w:color w:val="auto"/>
          <w:spacing w:val="-6"/>
          <w:sz w:val="32"/>
          <w:szCs w:val="32"/>
          <w:lang w:eastAsia="zh-CN"/>
        </w:rPr>
        <w:t>不断推进透明政府、法治政府和服务型政府建设。对政府全体会议和常务会议讨论决定的事项、政府及其部门制定的政策，除依法需要保密的以外，及时进行了公开</w:t>
      </w:r>
      <w:r>
        <w:rPr>
          <w:rFonts w:hint="eastAsia" w:ascii="Times New Roman" w:hAnsi="Times New Roman" w:eastAsia="仿宋_GB2312" w:cs="Times New Roman"/>
          <w:bCs/>
          <w:color w:val="auto"/>
          <w:spacing w:val="-6"/>
          <w:sz w:val="32"/>
          <w:szCs w:val="32"/>
          <w:lang w:eastAsia="zh-CN"/>
        </w:rPr>
        <w:t>。</w:t>
      </w:r>
      <w:r>
        <w:rPr>
          <w:rFonts w:eastAsia="仿宋_GB2312"/>
          <w:color w:val="auto"/>
          <w:sz w:val="32"/>
          <w:szCs w:val="32"/>
          <w:lang w:eastAsia="zh-CN" w:bidi="ar-SA"/>
        </w:rPr>
        <w:t>通过</w:t>
      </w:r>
      <w:r>
        <w:rPr>
          <w:rFonts w:hint="eastAsia" w:eastAsia="仿宋_GB2312"/>
          <w:color w:val="auto"/>
          <w:sz w:val="32"/>
          <w:szCs w:val="32"/>
          <w:lang w:eastAsia="zh-CN" w:bidi="ar-SA"/>
        </w:rPr>
        <w:t>图文解读、文稿</w:t>
      </w:r>
      <w:r>
        <w:rPr>
          <w:rFonts w:eastAsia="仿宋_GB2312"/>
          <w:color w:val="auto"/>
          <w:sz w:val="32"/>
          <w:szCs w:val="32"/>
          <w:lang w:eastAsia="zh-CN" w:bidi="ar-SA"/>
        </w:rPr>
        <w:t>解读</w:t>
      </w:r>
      <w:r>
        <w:rPr>
          <w:rFonts w:hint="eastAsia" w:eastAsia="仿宋_GB2312"/>
          <w:color w:val="auto"/>
          <w:sz w:val="32"/>
          <w:szCs w:val="32"/>
          <w:lang w:eastAsia="zh-CN" w:bidi="ar-SA"/>
        </w:rPr>
        <w:t>等</w:t>
      </w:r>
      <w:r>
        <w:rPr>
          <w:rFonts w:eastAsia="仿宋_GB2312"/>
          <w:color w:val="auto"/>
          <w:sz w:val="32"/>
          <w:szCs w:val="32"/>
          <w:lang w:eastAsia="zh-CN" w:bidi="ar-SA"/>
        </w:rPr>
        <w:t>方式，</w:t>
      </w:r>
      <w:r>
        <w:rPr>
          <w:rFonts w:hint="eastAsia" w:eastAsia="仿宋_GB2312"/>
          <w:color w:val="auto"/>
          <w:sz w:val="32"/>
          <w:szCs w:val="32"/>
          <w:lang w:eastAsia="zh-CN" w:bidi="ar-SA"/>
        </w:rPr>
        <w:t>对每次常务会议以及议定事项进行解读，</w:t>
      </w:r>
      <w:r>
        <w:rPr>
          <w:rFonts w:eastAsia="仿宋_GB2312"/>
          <w:color w:val="auto"/>
          <w:sz w:val="32"/>
          <w:szCs w:val="32"/>
          <w:lang w:eastAsia="zh-CN" w:bidi="ar-SA"/>
        </w:rPr>
        <w:t>方便公众查看会议内容，提升</w:t>
      </w:r>
      <w:r>
        <w:rPr>
          <w:rFonts w:hint="eastAsia" w:eastAsia="仿宋_GB2312"/>
          <w:color w:val="auto"/>
          <w:sz w:val="32"/>
          <w:szCs w:val="32"/>
          <w:lang w:eastAsia="zh-CN" w:bidi="ar-SA"/>
        </w:rPr>
        <w:t>县</w:t>
      </w:r>
      <w:r>
        <w:rPr>
          <w:rFonts w:eastAsia="仿宋_GB2312"/>
          <w:color w:val="auto"/>
          <w:sz w:val="32"/>
          <w:szCs w:val="32"/>
          <w:lang w:eastAsia="zh-CN" w:bidi="ar-SA"/>
        </w:rPr>
        <w:t>政府会议内容的展示度。</w:t>
      </w:r>
      <w:r>
        <w:rPr>
          <w:rFonts w:hint="eastAsia" w:eastAsia="仿宋_GB2312"/>
          <w:color w:val="auto"/>
          <w:sz w:val="32"/>
          <w:szCs w:val="32"/>
          <w:lang w:eastAsia="zh-CN" w:bidi="ar-SA"/>
        </w:rPr>
        <w:t>同时</w:t>
      </w:r>
      <w:r>
        <w:rPr>
          <w:rFonts w:ascii="Times New Roman" w:hAnsi="Times New Roman" w:eastAsia="仿宋_GB2312" w:cs="Times New Roman"/>
          <w:bCs/>
          <w:color w:val="auto"/>
          <w:spacing w:val="-6"/>
          <w:sz w:val="32"/>
          <w:szCs w:val="32"/>
          <w:lang w:eastAsia="zh-CN"/>
        </w:rPr>
        <w:t>建立了</w:t>
      </w:r>
      <w:r>
        <w:rPr>
          <w:rFonts w:eastAsia="仿宋_GB2312"/>
          <w:color w:val="auto"/>
          <w:sz w:val="32"/>
          <w:szCs w:val="32"/>
          <w:lang w:eastAsia="zh-CN" w:bidi="ar-SA"/>
        </w:rPr>
        <w:t>人大代表、政协委员、</w:t>
      </w:r>
      <w:r>
        <w:rPr>
          <w:rFonts w:ascii="Times New Roman" w:hAnsi="Times New Roman" w:eastAsia="仿宋_GB2312" w:cs="Times New Roman"/>
          <w:bCs/>
          <w:color w:val="auto"/>
          <w:spacing w:val="-6"/>
          <w:sz w:val="32"/>
          <w:szCs w:val="32"/>
          <w:lang w:eastAsia="zh-CN"/>
        </w:rPr>
        <w:t>利益相关方、公众代表等列席政府</w:t>
      </w:r>
      <w:r>
        <w:rPr>
          <w:rFonts w:hint="eastAsia" w:ascii="Times New Roman" w:hAnsi="Times New Roman" w:eastAsia="仿宋_GB2312" w:cs="Times New Roman"/>
          <w:bCs/>
          <w:color w:val="auto"/>
          <w:spacing w:val="-6"/>
          <w:sz w:val="32"/>
          <w:szCs w:val="32"/>
          <w:lang w:eastAsia="zh-CN"/>
        </w:rPr>
        <w:t>常务会议</w:t>
      </w:r>
      <w:r>
        <w:rPr>
          <w:rFonts w:ascii="Times New Roman" w:hAnsi="Times New Roman" w:eastAsia="仿宋_GB2312" w:cs="Times New Roman"/>
          <w:bCs/>
          <w:color w:val="auto"/>
          <w:spacing w:val="-6"/>
          <w:sz w:val="32"/>
          <w:szCs w:val="32"/>
          <w:lang w:eastAsia="zh-CN"/>
        </w:rPr>
        <w:t>制度。20</w:t>
      </w:r>
      <w:r>
        <w:rPr>
          <w:rFonts w:hint="eastAsia" w:ascii="Times New Roman" w:hAnsi="Times New Roman" w:eastAsia="仿宋_GB2312" w:cs="Times New Roman"/>
          <w:bCs/>
          <w:color w:val="auto"/>
          <w:spacing w:val="-6"/>
          <w:sz w:val="32"/>
          <w:szCs w:val="32"/>
          <w:lang w:val="en-US" w:eastAsia="zh-CN"/>
        </w:rPr>
        <w:t>20</w:t>
      </w:r>
      <w:r>
        <w:rPr>
          <w:rFonts w:ascii="Times New Roman" w:hAnsi="Times New Roman" w:eastAsia="仿宋_GB2312" w:cs="Times New Roman"/>
          <w:bCs/>
          <w:color w:val="auto"/>
          <w:spacing w:val="-6"/>
          <w:sz w:val="32"/>
          <w:szCs w:val="32"/>
          <w:lang w:eastAsia="zh-CN"/>
        </w:rPr>
        <w:t>年</w:t>
      </w:r>
      <w:r>
        <w:rPr>
          <w:rFonts w:hint="eastAsia" w:ascii="Times New Roman" w:hAnsi="Times New Roman" w:eastAsia="仿宋_GB2312" w:cs="Times New Roman"/>
          <w:bCs/>
          <w:color w:val="auto"/>
          <w:spacing w:val="-6"/>
          <w:sz w:val="32"/>
          <w:szCs w:val="32"/>
          <w:lang w:eastAsia="zh-CN"/>
        </w:rPr>
        <w:t>共公开</w:t>
      </w:r>
      <w:r>
        <w:rPr>
          <w:rFonts w:ascii="Times New Roman" w:hAnsi="Times New Roman" w:eastAsia="仿宋_GB2312" w:cs="Times New Roman"/>
          <w:bCs/>
          <w:color w:val="auto"/>
          <w:spacing w:val="-6"/>
          <w:sz w:val="32"/>
          <w:szCs w:val="32"/>
          <w:lang w:eastAsia="zh-CN"/>
        </w:rPr>
        <w:t>15次政府常务会议</w:t>
      </w:r>
      <w:r>
        <w:rPr>
          <w:rFonts w:hint="eastAsia" w:ascii="Times New Roman" w:hAnsi="Times New Roman" w:eastAsia="仿宋_GB2312" w:cs="Times New Roman"/>
          <w:bCs/>
          <w:color w:val="auto"/>
          <w:spacing w:val="-6"/>
          <w:sz w:val="32"/>
          <w:szCs w:val="32"/>
          <w:lang w:eastAsia="zh-CN"/>
        </w:rPr>
        <w:t>，</w:t>
      </w:r>
      <w:r>
        <w:rPr>
          <w:rFonts w:hint="eastAsia" w:ascii="Times New Roman" w:hAnsi="Times New Roman" w:eastAsia="仿宋_GB2312" w:cs="Times New Roman"/>
          <w:bCs/>
          <w:color w:val="auto"/>
          <w:spacing w:val="-6"/>
          <w:sz w:val="32"/>
          <w:szCs w:val="32"/>
          <w:lang w:val="en-US" w:eastAsia="zh-CN"/>
        </w:rPr>
        <w:t>24次专题会议</w:t>
      </w:r>
      <w:r>
        <w:rPr>
          <w:rFonts w:hint="eastAsia" w:ascii="Times New Roman" w:hAnsi="Times New Roman" w:eastAsia="仿宋_GB2312" w:cs="Times New Roman"/>
          <w:bCs/>
          <w:color w:val="auto"/>
          <w:spacing w:val="-6"/>
          <w:sz w:val="32"/>
          <w:szCs w:val="32"/>
          <w:lang w:eastAsia="zh-CN"/>
        </w:rPr>
        <w:t>，其中</w:t>
      </w:r>
      <w:r>
        <w:rPr>
          <w:rFonts w:ascii="Times New Roman" w:hAnsi="Times New Roman" w:eastAsia="仿宋_GB2312" w:cs="Times New Roman"/>
          <w:bCs/>
          <w:color w:val="auto"/>
          <w:spacing w:val="-6"/>
          <w:sz w:val="32"/>
          <w:szCs w:val="32"/>
          <w:lang w:eastAsia="zh-CN"/>
        </w:rPr>
        <w:t>邀请利益相关方、公众代表、专家、媒体等列席政府常务会议3次</w:t>
      </w:r>
      <w:r>
        <w:rPr>
          <w:rFonts w:hint="eastAsia" w:ascii="Times New Roman" w:hAnsi="Times New Roman" w:eastAsia="仿宋_GB2312" w:cs="Times New Roman"/>
          <w:bCs/>
          <w:color w:val="auto"/>
          <w:spacing w:val="-6"/>
          <w:sz w:val="32"/>
          <w:szCs w:val="32"/>
          <w:lang w:eastAsia="zh-CN"/>
        </w:rPr>
        <w:t>。</w:t>
      </w:r>
    </w:p>
    <w:p>
      <w:pPr>
        <w:pStyle w:val="4"/>
        <w:shd w:val="clear" w:color="auto" w:fill="FFFFFF"/>
        <w:spacing w:before="0" w:beforeAutospacing="0" w:after="0" w:afterAutospacing="0" w:line="600" w:lineRule="exact"/>
        <w:rPr>
          <w:rFonts w:ascii="Times New Roman" w:hAnsi="Times New Roman" w:eastAsia="仿宋_GB2312" w:cs="Times New Roman"/>
          <w:bCs/>
          <w:color w:val="auto"/>
          <w:spacing w:val="-6"/>
          <w:sz w:val="32"/>
          <w:szCs w:val="32"/>
          <w:lang w:eastAsia="zh-CN"/>
        </w:rPr>
      </w:pPr>
      <w:r>
        <w:drawing>
          <wp:anchor distT="0" distB="0" distL="114300" distR="114300" simplePos="0" relativeHeight="251659264" behindDoc="0" locked="0" layoutInCell="1" allowOverlap="1">
            <wp:simplePos x="0" y="0"/>
            <wp:positionH relativeFrom="column">
              <wp:posOffset>247650</wp:posOffset>
            </wp:positionH>
            <wp:positionV relativeFrom="paragraph">
              <wp:posOffset>75565</wp:posOffset>
            </wp:positionV>
            <wp:extent cx="5598795" cy="3707130"/>
            <wp:effectExtent l="0" t="0" r="1905" b="762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598795" cy="3707130"/>
                    </a:xfrm>
                    <a:prstGeom prst="rect">
                      <a:avLst/>
                    </a:prstGeom>
                    <a:noFill/>
                    <a:ln>
                      <a:noFill/>
                    </a:ln>
                  </pic:spPr>
                </pic:pic>
              </a:graphicData>
            </a:graphic>
          </wp:anchor>
        </w:drawing>
      </w:r>
      <w:r>
        <w:rPr>
          <w:rFonts w:hint="eastAsia" w:eastAsia="宋体"/>
          <w:lang w:val="en-US" w:eastAsia="zh-CN"/>
        </w:rPr>
        <w:t xml:space="preserve">   </w:t>
      </w:r>
      <w:r>
        <w:rPr>
          <w:rFonts w:ascii="Times New Roman" w:hAnsi="Times New Roman" w:eastAsia="仿宋_GB2312" w:cs="Times New Roman"/>
          <w:bCs/>
          <w:color w:val="auto"/>
          <w:spacing w:val="-6"/>
          <w:sz w:val="32"/>
          <w:szCs w:val="32"/>
          <w:lang w:eastAsia="zh-CN"/>
        </w:rPr>
        <w:t>（3）推进行政执法信息公开</w:t>
      </w:r>
      <w:r>
        <w:rPr>
          <w:rFonts w:hint="eastAsia" w:ascii="Times New Roman" w:hAnsi="Times New Roman" w:eastAsia="仿宋_GB2312" w:cs="Times New Roman"/>
          <w:bCs/>
          <w:color w:val="auto"/>
          <w:spacing w:val="-6"/>
          <w:sz w:val="32"/>
          <w:szCs w:val="32"/>
          <w:lang w:eastAsia="zh-CN"/>
        </w:rPr>
        <w:t>。</w:t>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加快行政执法信息公开，按照“谁执法谁公示”原则，严格落实行政执法公示制度，规范行政执法行为。</w:t>
      </w:r>
      <w:r>
        <w:rPr>
          <w:rFonts w:hint="eastAsia" w:ascii="Times New Roman" w:hAnsi="Times New Roman" w:eastAsia="仿宋_GB2312" w:cs="Times New Roman"/>
          <w:color w:val="auto"/>
          <w:sz w:val="32"/>
          <w:szCs w:val="32"/>
          <w:lang w:eastAsia="zh-CN"/>
        </w:rPr>
        <w:t>在政府网站建立“政执法公示”专栏，对行政执法的事前、事后和执法总体情况进行全面公开。</w:t>
      </w:r>
    </w:p>
    <w:p>
      <w:pPr>
        <w:pStyle w:val="4"/>
        <w:shd w:val="clear" w:color="auto" w:fill="FFFFFF"/>
        <w:spacing w:before="0" w:beforeAutospacing="0" w:after="0" w:afterAutospacing="0" w:line="600" w:lineRule="exact"/>
        <w:ind w:firstLine="640" w:firstLineChars="200"/>
        <w:outlineLvl w:val="3"/>
        <w:rPr>
          <w:rFonts w:hint="eastAsia" w:ascii="Times New Roman" w:hAnsi="Times New Roman" w:eastAsia="仿宋_GB2312" w:cs="Times New Roman"/>
          <w:color w:val="auto"/>
          <w:sz w:val="32"/>
          <w:szCs w:val="32"/>
          <w:shd w:val="clear" w:color="auto" w:fill="FFFFFF"/>
          <w:lang w:eastAsia="zh-CN"/>
        </w:rPr>
      </w:pPr>
    </w:p>
    <w:p>
      <w:pPr>
        <w:pStyle w:val="4"/>
        <w:shd w:val="clear" w:color="auto" w:fill="FFFFFF"/>
        <w:spacing w:before="0" w:beforeAutospacing="0" w:after="0" w:afterAutospacing="0" w:line="600" w:lineRule="exact"/>
        <w:ind w:firstLine="480" w:firstLineChars="200"/>
        <w:outlineLvl w:val="3"/>
        <w:rPr>
          <w:rFonts w:hint="eastAsia" w:ascii="Times New Roman" w:hAnsi="Times New Roman" w:eastAsia="仿宋_GB2312" w:cs="Times New Roman"/>
          <w:color w:val="auto"/>
          <w:sz w:val="32"/>
          <w:szCs w:val="32"/>
          <w:shd w:val="clear" w:color="auto" w:fill="FFFFFF"/>
          <w:lang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294640</wp:posOffset>
            </wp:positionV>
            <wp:extent cx="5605145" cy="3072130"/>
            <wp:effectExtent l="0" t="0" r="14605" b="13970"/>
            <wp:wrapSquare wrapText="bothSides"/>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1"/>
                    <a:stretch>
                      <a:fillRect/>
                    </a:stretch>
                  </pic:blipFill>
                  <pic:spPr>
                    <a:xfrm>
                      <a:off x="0" y="0"/>
                      <a:ext cx="5605145" cy="3072130"/>
                    </a:xfrm>
                    <a:prstGeom prst="rect">
                      <a:avLst/>
                    </a:prstGeom>
                    <a:noFill/>
                    <a:ln>
                      <a:noFill/>
                    </a:ln>
                  </pic:spPr>
                </pic:pic>
              </a:graphicData>
            </a:graphic>
          </wp:anchor>
        </w:drawing>
      </w:r>
    </w:p>
    <w:p>
      <w:pPr>
        <w:pStyle w:val="4"/>
        <w:shd w:val="clear" w:color="auto" w:fill="FFFFFF"/>
        <w:spacing w:before="0" w:beforeAutospacing="0" w:after="0" w:afterAutospacing="0" w:line="600" w:lineRule="exact"/>
        <w:ind w:firstLine="640" w:firstLineChars="200"/>
        <w:outlineLvl w:val="3"/>
        <w:rPr>
          <w:rFonts w:ascii="Times New Roman" w:hAnsi="Times New Roman" w:eastAsia="仿宋_GB2312" w:cs="Times New Roman"/>
          <w:color w:val="auto"/>
          <w:sz w:val="32"/>
          <w:szCs w:val="32"/>
          <w:shd w:val="clear" w:color="auto" w:fill="FFFFFF"/>
          <w:lang w:eastAsia="zh-CN"/>
        </w:rPr>
      </w:pPr>
      <w:r>
        <w:rPr>
          <w:rFonts w:hint="eastAsia" w:ascii="Times New Roman" w:hAnsi="Times New Roman" w:eastAsia="仿宋_GB2312" w:cs="Times New Roman"/>
          <w:color w:val="auto"/>
          <w:sz w:val="32"/>
          <w:szCs w:val="32"/>
          <w:shd w:val="clear" w:color="auto" w:fill="FFFFFF"/>
          <w:lang w:eastAsia="zh-CN"/>
        </w:rPr>
        <w:t>（</w:t>
      </w:r>
      <w:r>
        <w:rPr>
          <w:rFonts w:hint="eastAsia" w:ascii="Times New Roman" w:hAnsi="Times New Roman" w:eastAsia="仿宋_GB2312" w:cs="Times New Roman"/>
          <w:color w:val="auto"/>
          <w:sz w:val="32"/>
          <w:szCs w:val="32"/>
          <w:shd w:val="clear" w:color="auto" w:fill="FFFFFF"/>
          <w:lang w:val="en-US" w:eastAsia="zh-CN"/>
        </w:rPr>
        <w:t>4</w:t>
      </w:r>
      <w:r>
        <w:rPr>
          <w:rFonts w:hint="eastAsia" w:ascii="Times New Roman" w:hAnsi="Times New Roman" w:eastAsia="仿宋_GB2312" w:cs="Times New Roman"/>
          <w:color w:val="auto"/>
          <w:sz w:val="32"/>
          <w:szCs w:val="32"/>
          <w:shd w:val="clear" w:color="auto" w:fill="FFFFFF"/>
          <w:lang w:eastAsia="zh-CN"/>
        </w:rPr>
        <w:t>）</w:t>
      </w:r>
      <w:r>
        <w:rPr>
          <w:rFonts w:ascii="Times New Roman" w:hAnsi="Times New Roman" w:eastAsia="仿宋_GB2312" w:cs="Times New Roman"/>
          <w:color w:val="auto"/>
          <w:sz w:val="32"/>
          <w:szCs w:val="32"/>
          <w:shd w:val="clear" w:color="auto" w:fill="FFFFFF"/>
          <w:lang w:eastAsia="zh-CN"/>
        </w:rPr>
        <w:t>做好人大代表建议和政协委员提案办理结果公开。</w:t>
      </w:r>
    </w:p>
    <w:p>
      <w:pPr>
        <w:spacing w:line="600" w:lineRule="exact"/>
        <w:ind w:firstLine="640" w:firstLineChars="200"/>
        <w:rPr>
          <w:rFonts w:hint="eastAsia" w:ascii="仿宋" w:hAnsi="仿宋" w:eastAsia="仿宋" w:cs="仿宋_GB2312"/>
          <w:sz w:val="32"/>
          <w:szCs w:val="32"/>
        </w:rPr>
      </w:pPr>
      <w:r>
        <w:rPr>
          <w:rFonts w:eastAsia="仿宋_GB2312"/>
          <w:color w:val="auto"/>
          <w:sz w:val="32"/>
          <w:szCs w:val="32"/>
          <w:lang w:eastAsia="zh-CN"/>
        </w:rPr>
        <w:t>在政府门户网站设立</w:t>
      </w:r>
      <w:r>
        <w:rPr>
          <w:rFonts w:hint="eastAsia" w:eastAsia="仿宋_GB2312"/>
          <w:color w:val="auto"/>
          <w:sz w:val="32"/>
          <w:szCs w:val="32"/>
          <w:lang w:eastAsia="zh-CN"/>
        </w:rPr>
        <w:t>“人大建议、政协提案办理”</w:t>
      </w:r>
      <w:r>
        <w:rPr>
          <w:rFonts w:eastAsia="仿宋_GB2312"/>
          <w:color w:val="auto"/>
          <w:sz w:val="32"/>
          <w:szCs w:val="32"/>
          <w:lang w:eastAsia="zh-CN"/>
        </w:rPr>
        <w:t>专栏，集中发布了人大代表建议和政协委员提案办理结果情况。高度重视建议和提案办理结果公开工作</w:t>
      </w:r>
      <w:r>
        <w:rPr>
          <w:rFonts w:hint="eastAsia" w:eastAsia="仿宋_GB2312"/>
          <w:color w:val="auto"/>
          <w:sz w:val="32"/>
          <w:szCs w:val="32"/>
          <w:lang w:eastAsia="zh-CN"/>
        </w:rPr>
        <w:t>，</w:t>
      </w:r>
      <w:r>
        <w:rPr>
          <w:rFonts w:hint="eastAsia" w:ascii="仿宋" w:hAnsi="仿宋" w:eastAsia="仿宋" w:cs="仿宋_GB2312"/>
          <w:sz w:val="32"/>
          <w:szCs w:val="32"/>
        </w:rPr>
        <w:t>对涉及公共利益、公众权益、社会关切及需要社会广泛知晓的建议和提案，在县政府网站公开答复全文。20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年全县政府系统共承办人大代表建议</w:t>
      </w:r>
      <w:r>
        <w:rPr>
          <w:rFonts w:hint="eastAsia" w:ascii="仿宋" w:hAnsi="仿宋" w:eastAsia="仿宋" w:cs="仿宋_GB2312"/>
          <w:sz w:val="32"/>
          <w:szCs w:val="32"/>
          <w:lang w:val="en-US" w:eastAsia="zh-CN"/>
        </w:rPr>
        <w:t>74</w:t>
      </w:r>
      <w:r>
        <w:rPr>
          <w:rFonts w:hint="eastAsia" w:ascii="仿宋" w:hAnsi="仿宋" w:eastAsia="仿宋" w:cs="仿宋_GB2312"/>
          <w:sz w:val="32"/>
          <w:szCs w:val="32"/>
        </w:rPr>
        <w:t>件，办复率100%；承办政协提案</w:t>
      </w:r>
      <w:r>
        <w:rPr>
          <w:rFonts w:hint="eastAsia" w:ascii="仿宋" w:hAnsi="仿宋" w:eastAsia="仿宋" w:cs="仿宋_GB2312"/>
          <w:sz w:val="32"/>
          <w:szCs w:val="32"/>
          <w:lang w:val="en-US" w:eastAsia="zh-CN"/>
        </w:rPr>
        <w:t>119</w:t>
      </w:r>
      <w:r>
        <w:rPr>
          <w:rFonts w:hint="eastAsia" w:ascii="仿宋" w:hAnsi="仿宋" w:eastAsia="仿宋" w:cs="仿宋_GB2312"/>
          <w:sz w:val="32"/>
          <w:szCs w:val="32"/>
        </w:rPr>
        <w:t>件，办复率100%。</w:t>
      </w:r>
    </w:p>
    <w:p>
      <w:pPr>
        <w:pStyle w:val="2"/>
        <w:rPr>
          <w:rFonts w:hint="eastAsia" w:ascii="仿宋" w:hAnsi="仿宋" w:eastAsia="仿宋" w:cs="仿宋_GB2312"/>
          <w:sz w:val="32"/>
          <w:szCs w:val="32"/>
        </w:rPr>
      </w:pPr>
    </w:p>
    <w:p>
      <w:pPr>
        <w:rPr>
          <w:rFonts w:hint="eastAsia"/>
        </w:rPr>
      </w:pPr>
      <w:r>
        <w:drawing>
          <wp:anchor distT="0" distB="0" distL="114300" distR="114300" simplePos="0" relativeHeight="251665408" behindDoc="0" locked="0" layoutInCell="1" allowOverlap="1">
            <wp:simplePos x="0" y="0"/>
            <wp:positionH relativeFrom="column">
              <wp:posOffset>225425</wp:posOffset>
            </wp:positionH>
            <wp:positionV relativeFrom="paragraph">
              <wp:posOffset>44450</wp:posOffset>
            </wp:positionV>
            <wp:extent cx="5604510" cy="2413635"/>
            <wp:effectExtent l="0" t="0" r="15240" b="5715"/>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2"/>
                    <a:stretch>
                      <a:fillRect/>
                    </a:stretch>
                  </pic:blipFill>
                  <pic:spPr>
                    <a:xfrm>
                      <a:off x="0" y="0"/>
                      <a:ext cx="5604510" cy="2413635"/>
                    </a:xfrm>
                    <a:prstGeom prst="rect">
                      <a:avLst/>
                    </a:prstGeom>
                    <a:noFill/>
                    <a:ln>
                      <a:noFill/>
                    </a:ln>
                  </pic:spPr>
                </pic:pic>
              </a:graphicData>
            </a:graphic>
          </wp:anchor>
        </w:drawing>
      </w:r>
    </w:p>
    <w:p>
      <w:pPr>
        <w:pStyle w:val="4"/>
        <w:numPr>
          <w:ilvl w:val="0"/>
          <w:numId w:val="2"/>
        </w:numPr>
        <w:shd w:val="clear" w:color="auto" w:fill="FFFFFF"/>
        <w:spacing w:before="0" w:beforeAutospacing="0" w:after="0" w:afterAutospacing="0" w:line="600" w:lineRule="exact"/>
        <w:ind w:firstLine="640" w:firstLineChars="200"/>
        <w:outlineLvl w:val="3"/>
        <w:rPr>
          <w:rFonts w:hint="eastAsia" w:ascii="Times New Roman" w:hAnsi="Times New Roman" w:eastAsia="仿宋_GB2312" w:cs="Times New Roman"/>
          <w:color w:val="auto"/>
          <w:sz w:val="32"/>
          <w:szCs w:val="32"/>
          <w:shd w:val="clear" w:color="auto" w:fill="FFFFFF"/>
          <w:lang w:eastAsia="zh-CN"/>
        </w:rPr>
      </w:pPr>
      <w:r>
        <w:rPr>
          <w:rFonts w:hint="eastAsia" w:ascii="Times New Roman" w:hAnsi="Times New Roman" w:eastAsia="仿宋_GB2312" w:cs="Times New Roman"/>
          <w:color w:val="auto"/>
          <w:sz w:val="32"/>
          <w:szCs w:val="32"/>
          <w:shd w:val="clear" w:color="auto" w:fill="FFFFFF"/>
          <w:lang w:eastAsia="zh-CN"/>
        </w:rPr>
        <w:t>推进政府规章、政策文件和规范性文件清理结果公开。</w:t>
      </w:r>
    </w:p>
    <w:p>
      <w:pPr>
        <w:pStyle w:val="4"/>
        <w:numPr>
          <w:ilvl w:val="0"/>
          <w:numId w:val="0"/>
        </w:numPr>
        <w:shd w:val="clear" w:color="auto" w:fill="FFFFFF"/>
        <w:spacing w:before="0" w:beforeAutospacing="0" w:after="0" w:afterAutospacing="0" w:line="600" w:lineRule="exact"/>
        <w:ind w:firstLine="640" w:firstLineChars="200"/>
        <w:outlineLvl w:val="3"/>
        <w:rPr>
          <w:rFonts w:hint="eastAsia" w:ascii="Times New Roman" w:hAnsi="Times New Roman" w:eastAsia="仿宋_GB2312" w:cs="Times New Roman"/>
          <w:color w:val="auto"/>
          <w:sz w:val="32"/>
          <w:szCs w:val="32"/>
          <w:shd w:val="clear" w:color="auto" w:fill="FFFFFF"/>
          <w:lang w:eastAsia="zh-CN"/>
        </w:rPr>
      </w:pPr>
      <w:r>
        <w:rPr>
          <w:rFonts w:hint="eastAsia" w:ascii="Times New Roman" w:hAnsi="Times New Roman" w:eastAsia="仿宋_GB2312" w:cs="Times New Roman"/>
          <w:color w:val="auto"/>
          <w:sz w:val="32"/>
          <w:szCs w:val="32"/>
          <w:shd w:val="clear" w:color="auto" w:fill="FFFFFF"/>
          <w:lang w:eastAsia="zh-CN"/>
        </w:rPr>
        <w:t>公开规范性文件制定主体清单、20</w:t>
      </w:r>
      <w:r>
        <w:rPr>
          <w:rFonts w:hint="eastAsia" w:ascii="Times New Roman" w:hAnsi="Times New Roman" w:eastAsia="仿宋_GB2312" w:cs="Times New Roman"/>
          <w:color w:val="auto"/>
          <w:sz w:val="32"/>
          <w:szCs w:val="32"/>
          <w:shd w:val="clear" w:color="auto" w:fill="FFFFFF"/>
          <w:lang w:val="en-US" w:eastAsia="zh-CN"/>
        </w:rPr>
        <w:t>20</w:t>
      </w:r>
      <w:r>
        <w:rPr>
          <w:rFonts w:hint="eastAsia" w:ascii="Times New Roman" w:hAnsi="Times New Roman" w:eastAsia="仿宋_GB2312" w:cs="Times New Roman"/>
          <w:color w:val="auto"/>
          <w:sz w:val="32"/>
          <w:szCs w:val="32"/>
          <w:shd w:val="clear" w:color="auto" w:fill="FFFFFF"/>
          <w:lang w:eastAsia="zh-CN"/>
        </w:rPr>
        <w:t>年政府规范性文件备案目录、规范性文件清理结果等信息，并对已发布的规范性文件进行属性标注。</w:t>
      </w:r>
    </w:p>
    <w:p>
      <w:pPr>
        <w:pStyle w:val="4"/>
        <w:numPr>
          <w:ilvl w:val="0"/>
          <w:numId w:val="0"/>
        </w:numPr>
        <w:shd w:val="clear" w:color="auto" w:fill="FFFFFF"/>
        <w:spacing w:before="0" w:beforeAutospacing="0" w:after="0" w:afterAutospacing="0" w:line="600" w:lineRule="exact"/>
        <w:ind w:firstLine="480" w:firstLineChars="200"/>
        <w:outlineLvl w:val="3"/>
        <w:rPr>
          <w:rFonts w:hint="eastAsia" w:ascii="Times New Roman" w:hAnsi="Times New Roman" w:eastAsia="仿宋_GB2312" w:cs="Times New Roman"/>
          <w:color w:val="auto"/>
          <w:sz w:val="32"/>
          <w:szCs w:val="32"/>
          <w:shd w:val="clear" w:color="auto" w:fill="FFFFFF"/>
          <w:lang w:eastAsia="zh-CN"/>
        </w:rPr>
      </w:pPr>
      <w:r>
        <w:drawing>
          <wp:anchor distT="0" distB="0" distL="114300" distR="114300" simplePos="0" relativeHeight="251667456" behindDoc="0" locked="0" layoutInCell="1" allowOverlap="1">
            <wp:simplePos x="0" y="0"/>
            <wp:positionH relativeFrom="column">
              <wp:posOffset>47625</wp:posOffset>
            </wp:positionH>
            <wp:positionV relativeFrom="paragraph">
              <wp:posOffset>40005</wp:posOffset>
            </wp:positionV>
            <wp:extent cx="5604510" cy="3223895"/>
            <wp:effectExtent l="0" t="0" r="15240" b="14605"/>
            <wp:wrapSquare wrapText="bothSides"/>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3"/>
                    <a:stretch>
                      <a:fillRect/>
                    </a:stretch>
                  </pic:blipFill>
                  <pic:spPr>
                    <a:xfrm>
                      <a:off x="0" y="0"/>
                      <a:ext cx="5604510" cy="3223895"/>
                    </a:xfrm>
                    <a:prstGeom prst="rect">
                      <a:avLst/>
                    </a:prstGeom>
                    <a:noFill/>
                    <a:ln>
                      <a:noFill/>
                    </a:ln>
                  </pic:spPr>
                </pic:pic>
              </a:graphicData>
            </a:graphic>
          </wp:anchor>
        </w:drawing>
      </w:r>
    </w:p>
    <w:p>
      <w:pPr>
        <w:pStyle w:val="4"/>
        <w:numPr>
          <w:ilvl w:val="0"/>
          <w:numId w:val="0"/>
        </w:numPr>
        <w:shd w:val="clear" w:color="auto" w:fill="FFFFFF"/>
        <w:spacing w:before="0" w:beforeAutospacing="0" w:after="0" w:afterAutospacing="0" w:line="600" w:lineRule="exact"/>
        <w:ind w:firstLine="480" w:firstLineChars="200"/>
        <w:outlineLvl w:val="3"/>
        <w:rPr>
          <w:rFonts w:hint="eastAsia" w:ascii="Times New Roman" w:hAnsi="Times New Roman" w:eastAsia="仿宋_GB2312" w:cs="Times New Roman"/>
          <w:color w:val="auto"/>
          <w:sz w:val="32"/>
          <w:szCs w:val="32"/>
          <w:shd w:val="clear" w:color="auto" w:fill="FFFFFF"/>
          <w:lang w:eastAsia="zh-CN"/>
        </w:rPr>
      </w:pPr>
      <w:r>
        <w:drawing>
          <wp:anchor distT="0" distB="0" distL="114300" distR="114300" simplePos="0" relativeHeight="251668480" behindDoc="0" locked="0" layoutInCell="1" allowOverlap="1">
            <wp:simplePos x="0" y="0"/>
            <wp:positionH relativeFrom="column">
              <wp:posOffset>9525</wp:posOffset>
            </wp:positionH>
            <wp:positionV relativeFrom="paragraph">
              <wp:posOffset>256540</wp:posOffset>
            </wp:positionV>
            <wp:extent cx="5603240" cy="2792730"/>
            <wp:effectExtent l="0" t="0" r="16510" b="7620"/>
            <wp:wrapSquare wrapText="bothSides"/>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14"/>
                    <a:stretch>
                      <a:fillRect/>
                    </a:stretch>
                  </pic:blipFill>
                  <pic:spPr>
                    <a:xfrm>
                      <a:off x="0" y="0"/>
                      <a:ext cx="5603240" cy="2792730"/>
                    </a:xfrm>
                    <a:prstGeom prst="rect">
                      <a:avLst/>
                    </a:prstGeom>
                    <a:noFill/>
                    <a:ln>
                      <a:noFill/>
                    </a:ln>
                  </pic:spPr>
                </pic:pic>
              </a:graphicData>
            </a:graphic>
          </wp:anchor>
        </w:drawing>
      </w:r>
    </w:p>
    <w:p>
      <w:pPr>
        <w:numPr>
          <w:ilvl w:val="0"/>
          <w:numId w:val="3"/>
        </w:numPr>
        <w:spacing w:line="56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推进</w:t>
      </w:r>
      <w:r>
        <w:rPr>
          <w:rFonts w:hint="eastAsia" w:ascii="仿宋" w:hAnsi="仿宋" w:eastAsia="仿宋" w:cs="仿宋_GB2312"/>
          <w:sz w:val="32"/>
          <w:szCs w:val="32"/>
        </w:rPr>
        <w:t>“双随机、一公开”</w:t>
      </w:r>
      <w:r>
        <w:rPr>
          <w:rFonts w:hint="eastAsia" w:ascii="仿宋" w:hAnsi="仿宋" w:eastAsia="仿宋" w:cs="仿宋_GB2312"/>
          <w:sz w:val="32"/>
          <w:szCs w:val="32"/>
          <w:lang w:eastAsia="zh-CN"/>
        </w:rPr>
        <w:t>领域信息公开。</w:t>
      </w:r>
    </w:p>
    <w:p>
      <w:pPr>
        <w:numPr>
          <w:ilvl w:val="0"/>
          <w:numId w:val="0"/>
        </w:num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按照要求及时、准确、规范向社会公开随机抽查事项、抽查结果，并根据法律、法规和工作实际情况等进行动态调整。</w:t>
      </w:r>
      <w:r>
        <w:rPr>
          <w:rFonts w:eastAsia="仿宋_GB2312"/>
          <w:color w:val="auto"/>
          <w:sz w:val="32"/>
          <w:szCs w:val="32"/>
          <w:lang w:eastAsia="zh-CN" w:bidi="ar"/>
        </w:rPr>
        <w:t>建立健全以“双随机、一公开”监管为基本手段、以重点监管为补充、以信用监管为基础的新型监管机制，</w:t>
      </w:r>
      <w:r>
        <w:rPr>
          <w:rFonts w:hint="eastAsia" w:ascii="仿宋" w:hAnsi="仿宋" w:eastAsia="仿宋" w:cs="仿宋_GB2312"/>
          <w:sz w:val="32"/>
          <w:szCs w:val="32"/>
        </w:rPr>
        <w:t>检查结果及时通过国家企业信用信息公示系统(山东)（http://sd.gsxt.gov.cn/index.html）</w:t>
      </w:r>
      <w:r>
        <w:rPr>
          <w:rFonts w:hint="eastAsia" w:ascii="仿宋" w:hAnsi="仿宋" w:eastAsia="仿宋" w:cs="仿宋_GB2312"/>
          <w:sz w:val="32"/>
          <w:szCs w:val="32"/>
          <w:lang w:eastAsia="zh-CN"/>
        </w:rPr>
        <w:t>、</w:t>
      </w:r>
      <w:r>
        <w:rPr>
          <w:rFonts w:hint="eastAsia" w:ascii="仿宋" w:hAnsi="仿宋" w:eastAsia="仿宋" w:cs="仿宋_GB2312"/>
          <w:sz w:val="32"/>
          <w:szCs w:val="32"/>
        </w:rPr>
        <w:t>“信用中国（山东淄博）（http://credit.zibo.gov.cn）”网站公开。20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年通过县政府网站“双随机、一公开”栏目公开“双随机、一公开”类信息53条。</w:t>
      </w:r>
    </w:p>
    <w:p>
      <w:pPr>
        <w:pStyle w:val="2"/>
        <w:rPr>
          <w:rFonts w:hint="eastAsia" w:ascii="仿宋" w:hAnsi="仿宋" w:eastAsia="仿宋" w:cs="仿宋_GB2312"/>
          <w:sz w:val="32"/>
          <w:szCs w:val="32"/>
        </w:rPr>
      </w:pPr>
    </w:p>
    <w:p>
      <w:pPr>
        <w:rPr>
          <w:rFonts w:hint="eastAsia" w:ascii="仿宋" w:hAnsi="仿宋" w:eastAsia="仿宋" w:cs="仿宋_GB2312"/>
          <w:sz w:val="32"/>
          <w:szCs w:val="32"/>
        </w:rPr>
      </w:pPr>
    </w:p>
    <w:p>
      <w:pPr>
        <w:pStyle w:val="2"/>
        <w:rPr>
          <w:rFonts w:hint="eastAsia" w:ascii="仿宋" w:hAnsi="仿宋" w:eastAsia="仿宋" w:cs="仿宋_GB2312"/>
          <w:sz w:val="32"/>
          <w:szCs w:val="32"/>
        </w:rPr>
      </w:pPr>
    </w:p>
    <w:p>
      <w:pPr>
        <w:rPr>
          <w:rFonts w:hint="eastAsia" w:ascii="仿宋" w:hAnsi="仿宋" w:eastAsia="仿宋" w:cs="仿宋_GB2312"/>
          <w:sz w:val="32"/>
          <w:szCs w:val="32"/>
        </w:rPr>
      </w:pPr>
    </w:p>
    <w:p>
      <w:pPr>
        <w:pStyle w:val="2"/>
        <w:rPr>
          <w:rFonts w:hint="eastAsia" w:ascii="仿宋" w:hAnsi="仿宋" w:eastAsia="仿宋" w:cs="仿宋_GB2312"/>
          <w:sz w:val="32"/>
          <w:szCs w:val="32"/>
        </w:rPr>
      </w:pPr>
    </w:p>
    <w:p>
      <w:pPr>
        <w:rPr>
          <w:rFonts w:hint="eastAsia" w:ascii="仿宋" w:hAnsi="仿宋" w:eastAsia="仿宋" w:cs="仿宋_GB2312"/>
          <w:sz w:val="32"/>
          <w:szCs w:val="32"/>
        </w:rPr>
      </w:pPr>
      <w:r>
        <w:drawing>
          <wp:anchor distT="0" distB="0" distL="114300" distR="114300" simplePos="0" relativeHeight="251670528" behindDoc="0" locked="0" layoutInCell="1" allowOverlap="1">
            <wp:simplePos x="0" y="0"/>
            <wp:positionH relativeFrom="column">
              <wp:posOffset>-19050</wp:posOffset>
            </wp:positionH>
            <wp:positionV relativeFrom="paragraph">
              <wp:posOffset>88900</wp:posOffset>
            </wp:positionV>
            <wp:extent cx="5601335" cy="2874645"/>
            <wp:effectExtent l="0" t="0" r="18415" b="1905"/>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5"/>
                    <a:stretch>
                      <a:fillRect/>
                    </a:stretch>
                  </pic:blipFill>
                  <pic:spPr>
                    <a:xfrm>
                      <a:off x="0" y="0"/>
                      <a:ext cx="5601335" cy="2874645"/>
                    </a:xfrm>
                    <a:prstGeom prst="rect">
                      <a:avLst/>
                    </a:prstGeom>
                    <a:noFill/>
                    <a:ln>
                      <a:noFill/>
                    </a:ln>
                  </pic:spPr>
                </pic:pic>
              </a:graphicData>
            </a:graphic>
          </wp:anchor>
        </w:drawing>
      </w:r>
    </w:p>
    <w:p>
      <w:pPr>
        <w:spacing w:line="600" w:lineRule="exact"/>
        <w:ind w:firstLine="640" w:firstLineChars="200"/>
        <w:rPr>
          <w:rFonts w:eastAsia="仿宋_GB2312"/>
          <w:color w:val="auto"/>
          <w:sz w:val="32"/>
          <w:szCs w:val="32"/>
          <w:lang w:eastAsia="zh-CN" w:bidi="ar"/>
        </w:rPr>
      </w:pPr>
      <w:r>
        <w:rPr>
          <w:rFonts w:ascii="Times New Roman" w:hAnsi="Times New Roman" w:eastAsia="仿宋_GB2312" w:cs="Times New Roman"/>
          <w:color w:val="auto"/>
          <w:sz w:val="32"/>
          <w:szCs w:val="32"/>
          <w:shd w:val="clear" w:color="auto" w:fill="FFFFFF"/>
          <w:lang w:eastAsia="zh-CN"/>
        </w:rPr>
        <w:t>（</w:t>
      </w:r>
      <w:r>
        <w:rPr>
          <w:rFonts w:hint="eastAsia" w:eastAsia="仿宋_GB2312" w:cs="Times New Roman"/>
          <w:color w:val="auto"/>
          <w:sz w:val="32"/>
          <w:szCs w:val="32"/>
          <w:shd w:val="clear" w:color="auto" w:fill="FFFFFF"/>
          <w:lang w:val="en-US" w:eastAsia="zh-CN"/>
        </w:rPr>
        <w:t>7</w:t>
      </w:r>
      <w:r>
        <w:rPr>
          <w:rFonts w:ascii="Times New Roman" w:hAnsi="Times New Roman" w:eastAsia="仿宋_GB2312" w:cs="Times New Roman"/>
          <w:color w:val="auto"/>
          <w:sz w:val="32"/>
          <w:szCs w:val="32"/>
          <w:shd w:val="clear" w:color="auto" w:fill="FFFFFF"/>
          <w:lang w:eastAsia="zh-CN"/>
        </w:rPr>
        <w:t>）</w:t>
      </w:r>
      <w:r>
        <w:rPr>
          <w:rFonts w:eastAsia="仿宋_GB2312"/>
          <w:color w:val="auto"/>
          <w:sz w:val="32"/>
          <w:szCs w:val="32"/>
          <w:lang w:eastAsia="zh-CN" w:bidi="ar"/>
        </w:rPr>
        <w:t>做好</w:t>
      </w:r>
      <w:r>
        <w:rPr>
          <w:rFonts w:hint="eastAsia" w:eastAsia="仿宋_GB2312"/>
          <w:color w:val="auto"/>
          <w:sz w:val="32"/>
          <w:szCs w:val="32"/>
          <w:lang w:eastAsia="zh-CN" w:bidi="ar"/>
        </w:rPr>
        <w:t>行政事业性收费信息</w:t>
      </w:r>
      <w:r>
        <w:rPr>
          <w:rFonts w:eastAsia="仿宋_GB2312"/>
          <w:color w:val="auto"/>
          <w:sz w:val="32"/>
          <w:szCs w:val="32"/>
          <w:lang w:eastAsia="zh-CN" w:bidi="ar"/>
        </w:rPr>
        <w:t>公开</w:t>
      </w:r>
      <w:r>
        <w:rPr>
          <w:rFonts w:hint="eastAsia" w:eastAsia="仿宋_GB2312"/>
          <w:color w:val="auto"/>
          <w:sz w:val="32"/>
          <w:szCs w:val="32"/>
          <w:lang w:eastAsia="zh-CN" w:bidi="ar"/>
        </w:rPr>
        <w:t>。</w:t>
      </w:r>
    </w:p>
    <w:p>
      <w:pPr>
        <w:spacing w:line="56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lang w:eastAsia="zh-CN"/>
        </w:rPr>
        <w:t>在“减税降费”栏目公开</w:t>
      </w:r>
      <w:r>
        <w:rPr>
          <w:rFonts w:hint="eastAsia" w:ascii="仿宋" w:hAnsi="仿宋" w:eastAsia="仿宋" w:cs="仿宋_GB2312"/>
          <w:sz w:val="32"/>
          <w:szCs w:val="32"/>
        </w:rPr>
        <w:t>政府定价的涉企经营服务性收费目录清单、行政事业性收费项目取消清单等信息。</w:t>
      </w:r>
    </w:p>
    <w:p>
      <w:pPr>
        <w:pStyle w:val="2"/>
        <w:rPr>
          <w:rFonts w:hint="eastAsia"/>
        </w:rPr>
      </w:pPr>
    </w:p>
    <w:p>
      <w:pPr>
        <w:pStyle w:val="4"/>
        <w:numPr>
          <w:ilvl w:val="0"/>
          <w:numId w:val="0"/>
        </w:numPr>
        <w:shd w:val="clear" w:color="auto" w:fill="FFFFFF"/>
        <w:spacing w:before="0" w:beforeAutospacing="0" w:after="0" w:afterAutospacing="0" w:line="600" w:lineRule="exact"/>
        <w:ind w:firstLine="643" w:firstLineChars="200"/>
        <w:outlineLvl w:val="2"/>
        <w:rPr>
          <w:rFonts w:hint="eastAsia" w:eastAsia="宋体"/>
          <w:lang w:val="en-US" w:eastAsia="zh-CN"/>
        </w:rPr>
      </w:pPr>
      <w:r>
        <w:rPr>
          <w:rFonts w:hint="eastAsia" w:ascii="Times New Roman" w:hAnsi="Times New Roman" w:eastAsia="仿宋_GB2312" w:cs="Times New Roman"/>
          <w:b/>
          <w:color w:val="auto"/>
          <w:sz w:val="32"/>
          <w:szCs w:val="32"/>
          <w:shd w:val="clear" w:color="auto" w:fill="FFFFFF"/>
          <w:lang w:val="en-US" w:eastAsia="zh-CN"/>
        </w:rPr>
        <w:t>2.</w:t>
      </w:r>
      <w:r>
        <w:rPr>
          <w:rFonts w:ascii="Times New Roman" w:hAnsi="Times New Roman" w:eastAsia="仿宋_GB2312" w:cs="Times New Roman"/>
          <w:b/>
          <w:color w:val="auto"/>
          <w:sz w:val="32"/>
          <w:szCs w:val="32"/>
          <w:shd w:val="clear" w:color="auto" w:fill="FFFFFF"/>
          <w:lang w:eastAsia="zh-CN"/>
        </w:rPr>
        <w:t>深化重点领域信息公开</w:t>
      </w:r>
      <w:r>
        <w:rPr>
          <w:rFonts w:hint="eastAsia" w:ascii="Times New Roman" w:hAnsi="Times New Roman" w:eastAsia="仿宋_GB2312" w:cs="Times New Roman"/>
          <w:b/>
          <w:color w:val="auto"/>
          <w:sz w:val="32"/>
          <w:szCs w:val="32"/>
          <w:shd w:val="clear" w:color="auto" w:fill="FFFFFF"/>
          <w:lang w:eastAsia="zh-CN"/>
        </w:rPr>
        <w:t>。</w:t>
      </w:r>
      <w:r>
        <w:rPr>
          <w:rFonts w:hint="eastAsia" w:eastAsia="宋体"/>
          <w:lang w:val="en-US" w:eastAsia="zh-CN"/>
        </w:rPr>
        <w:t xml:space="preserve"> </w:t>
      </w:r>
    </w:p>
    <w:p>
      <w:pPr>
        <w:pStyle w:val="4"/>
        <w:numPr>
          <w:ilvl w:val="0"/>
          <w:numId w:val="0"/>
        </w:numPr>
        <w:shd w:val="clear" w:color="auto" w:fill="FFFFFF"/>
        <w:spacing w:before="0" w:beforeAutospacing="0" w:after="0" w:afterAutospacing="0" w:line="600" w:lineRule="exact"/>
        <w:ind w:firstLine="640" w:firstLineChars="200"/>
        <w:outlineLvl w:val="2"/>
        <w:rPr>
          <w:rFonts w:ascii="Times New Roman" w:hAnsi="Times New Roman" w:eastAsia="仿宋_GB2312" w:cs="Times New Roman"/>
          <w:color w:val="auto"/>
          <w:sz w:val="32"/>
          <w:szCs w:val="32"/>
          <w:shd w:val="clear" w:color="auto" w:fill="FFFFFF"/>
          <w:lang w:eastAsia="zh-CN"/>
        </w:rPr>
      </w:pPr>
      <w:r>
        <w:rPr>
          <w:rFonts w:ascii="Times New Roman" w:hAnsi="Times New Roman" w:eastAsia="仿宋_GB2312" w:cs="Times New Roman"/>
          <w:color w:val="auto"/>
          <w:sz w:val="32"/>
          <w:szCs w:val="32"/>
          <w:shd w:val="clear" w:color="auto" w:fill="FFFFFF"/>
          <w:lang w:eastAsia="zh-CN"/>
        </w:rPr>
        <w:t>（</w:t>
      </w:r>
      <w:r>
        <w:rPr>
          <w:rFonts w:hint="eastAsia" w:ascii="Times New Roman" w:hAnsi="Times New Roman" w:eastAsia="仿宋_GB2312" w:cs="Times New Roman"/>
          <w:color w:val="auto"/>
          <w:sz w:val="32"/>
          <w:szCs w:val="32"/>
          <w:shd w:val="clear" w:color="auto" w:fill="FFFFFF"/>
          <w:lang w:val="en-US" w:eastAsia="zh-CN"/>
        </w:rPr>
        <w:t>1</w:t>
      </w:r>
      <w:r>
        <w:rPr>
          <w:rFonts w:ascii="Times New Roman" w:hAnsi="Times New Roman" w:eastAsia="仿宋_GB2312" w:cs="Times New Roman"/>
          <w:color w:val="auto"/>
          <w:sz w:val="32"/>
          <w:szCs w:val="32"/>
          <w:shd w:val="clear" w:color="auto" w:fill="FFFFFF"/>
          <w:lang w:eastAsia="zh-CN"/>
        </w:rPr>
        <w:t>）</w:t>
      </w:r>
      <w:r>
        <w:rPr>
          <w:rFonts w:hint="eastAsia" w:eastAsia="宋体"/>
          <w:lang w:val="en-US" w:eastAsia="zh-CN"/>
        </w:rPr>
        <w:t xml:space="preserve"> </w:t>
      </w:r>
      <w:r>
        <w:rPr>
          <w:rFonts w:ascii="Times New Roman" w:hAnsi="Times New Roman" w:eastAsia="仿宋_GB2312" w:cs="Times New Roman"/>
          <w:color w:val="auto"/>
          <w:sz w:val="32"/>
          <w:szCs w:val="32"/>
          <w:lang w:eastAsia="zh-CN"/>
        </w:rPr>
        <w:t>推进</w:t>
      </w:r>
      <w:r>
        <w:rPr>
          <w:rFonts w:ascii="Times New Roman" w:hAnsi="Times New Roman" w:eastAsia="仿宋_GB2312" w:cs="Times New Roman"/>
          <w:color w:val="auto"/>
          <w:sz w:val="32"/>
          <w:szCs w:val="32"/>
          <w:shd w:val="clear" w:color="auto" w:fill="FFFFFF"/>
          <w:lang w:eastAsia="zh-CN"/>
        </w:rPr>
        <w:t>财政信息细化公开。</w:t>
      </w:r>
    </w:p>
    <w:p>
      <w:pPr>
        <w:pStyle w:val="4"/>
        <w:numPr>
          <w:ilvl w:val="0"/>
          <w:numId w:val="0"/>
        </w:numPr>
        <w:shd w:val="clear" w:color="auto" w:fill="FFFFFF"/>
        <w:spacing w:before="0" w:beforeAutospacing="0" w:after="0" w:afterAutospacing="0" w:line="600" w:lineRule="exact"/>
        <w:ind w:firstLine="640" w:firstLineChars="200"/>
        <w:outlineLvl w:val="2"/>
        <w:rPr>
          <w:rFonts w:ascii="Times New Roman" w:hAnsi="Times New Roman" w:eastAsia="仿宋_GB2312" w:cs="Times New Roman"/>
          <w:b/>
          <w:color w:val="auto"/>
          <w:sz w:val="32"/>
          <w:szCs w:val="32"/>
          <w:shd w:val="clear" w:color="auto" w:fill="FFFFFF"/>
          <w:lang w:eastAsia="zh-CN"/>
        </w:rPr>
      </w:pPr>
      <w:r>
        <w:rPr>
          <w:rFonts w:hint="eastAsia" w:ascii="仿宋" w:hAnsi="仿宋" w:eastAsia="仿宋" w:cs="楷体_GB2312"/>
          <w:sz w:val="32"/>
          <w:szCs w:val="32"/>
        </w:rPr>
        <w:t>继续深化全县政府预决算信息公开工作</w:t>
      </w:r>
      <w:r>
        <w:rPr>
          <w:rFonts w:hint="eastAsia" w:ascii="仿宋" w:hAnsi="仿宋" w:eastAsia="仿宋" w:cs="楷体_GB2312"/>
          <w:sz w:val="32"/>
          <w:szCs w:val="32"/>
          <w:lang w:eastAsia="zh-CN"/>
        </w:rPr>
        <w:t>，</w:t>
      </w:r>
      <w:r>
        <w:rPr>
          <w:rFonts w:hint="eastAsia" w:ascii="仿宋" w:hAnsi="仿宋" w:eastAsia="仿宋" w:cs="仿宋_GB2312"/>
          <w:sz w:val="32"/>
          <w:szCs w:val="32"/>
        </w:rPr>
        <w:t>通过县政府网站设立的</w:t>
      </w:r>
      <w:r>
        <w:rPr>
          <w:rFonts w:hint="eastAsia" w:ascii="仿宋" w:hAnsi="仿宋" w:eastAsia="仿宋" w:cs="仿宋_GB2312"/>
          <w:sz w:val="32"/>
          <w:szCs w:val="32"/>
          <w:lang w:eastAsia="zh-CN"/>
        </w:rPr>
        <w:t>“</w:t>
      </w:r>
      <w:r>
        <w:rPr>
          <w:rFonts w:hint="eastAsia" w:ascii="仿宋" w:hAnsi="仿宋" w:eastAsia="仿宋" w:cs="仿宋_GB2312"/>
          <w:sz w:val="32"/>
          <w:szCs w:val="32"/>
        </w:rPr>
        <w:t>财政预决算</w:t>
      </w:r>
      <w:r>
        <w:rPr>
          <w:rFonts w:hint="eastAsia" w:ascii="仿宋" w:hAnsi="仿宋" w:eastAsia="仿宋" w:cs="仿宋_GB2312"/>
          <w:sz w:val="32"/>
          <w:szCs w:val="32"/>
          <w:lang w:eastAsia="zh-CN"/>
        </w:rPr>
        <w:t>”专</w:t>
      </w:r>
      <w:r>
        <w:rPr>
          <w:rFonts w:hint="eastAsia" w:ascii="仿宋" w:hAnsi="仿宋" w:eastAsia="仿宋" w:cs="仿宋_GB2312"/>
          <w:sz w:val="32"/>
          <w:szCs w:val="32"/>
        </w:rPr>
        <w:t>栏，链接到淄博市预决算公开统一平台（http://czyjs.zibo.gov.cn），将政府预决算、部门预决算</w:t>
      </w:r>
      <w:r>
        <w:rPr>
          <w:rFonts w:hint="eastAsia" w:ascii="仿宋" w:hAnsi="仿宋" w:eastAsia="仿宋" w:cs="仿宋_GB2312"/>
          <w:sz w:val="32"/>
          <w:szCs w:val="32"/>
          <w:lang w:eastAsia="zh-CN"/>
        </w:rPr>
        <w:t>等信息</w:t>
      </w:r>
      <w:r>
        <w:rPr>
          <w:rFonts w:hint="eastAsia" w:ascii="仿宋" w:hAnsi="仿宋" w:eastAsia="仿宋" w:cs="仿宋_GB2312"/>
          <w:sz w:val="32"/>
          <w:szCs w:val="32"/>
        </w:rPr>
        <w:t>在平台公开，方便公众查阅和监督。</w:t>
      </w:r>
      <w:r>
        <w:rPr>
          <w:rFonts w:hint="eastAsia" w:ascii="Times New Roman" w:hAnsi="Times New Roman" w:eastAsia="仿宋_GB2312" w:cs="Times New Roman"/>
          <w:color w:val="auto"/>
          <w:sz w:val="32"/>
          <w:szCs w:val="32"/>
          <w:lang w:eastAsia="zh-CN"/>
        </w:rPr>
        <w:t>通过在政府网站设立“财政预决算”“财政专项资金”“月度财政收支信息”“政府债务信息”等栏目</w:t>
      </w:r>
      <w:r>
        <w:rPr>
          <w:rFonts w:ascii="Times New Roman" w:hAnsi="Times New Roman" w:eastAsia="仿宋_GB2312" w:cs="Times New Roman"/>
          <w:color w:val="auto"/>
          <w:sz w:val="32"/>
          <w:szCs w:val="32"/>
          <w:lang w:eastAsia="zh-CN"/>
        </w:rPr>
        <w:t>，及时公开</w:t>
      </w:r>
      <w:r>
        <w:rPr>
          <w:rFonts w:hint="eastAsia" w:ascii="Times New Roman" w:hAnsi="Times New Roman" w:eastAsia="仿宋_GB2312" w:cs="Times New Roman"/>
          <w:color w:val="auto"/>
          <w:sz w:val="32"/>
          <w:szCs w:val="32"/>
          <w:lang w:eastAsia="zh-CN"/>
        </w:rPr>
        <w:t>财政专项资金、财政收支情况及财政收入预判、政府债券发行和债务余额情况</w:t>
      </w:r>
      <w:r>
        <w:rPr>
          <w:rFonts w:ascii="Times New Roman" w:hAnsi="Times New Roman" w:eastAsia="仿宋_GB2312" w:cs="Times New Roman"/>
          <w:color w:val="auto"/>
          <w:sz w:val="32"/>
          <w:szCs w:val="32"/>
          <w:lang w:eastAsia="zh-CN"/>
        </w:rPr>
        <w:t>，公开内容更全面、细致。</w:t>
      </w:r>
    </w:p>
    <w:p>
      <w:pPr>
        <w:pStyle w:val="4"/>
        <w:shd w:val="clear" w:color="auto" w:fill="FFFFFF"/>
        <w:spacing w:before="0" w:beforeAutospacing="0" w:after="0" w:afterAutospacing="0" w:line="600" w:lineRule="exact"/>
        <w:outlineLvl w:val="2"/>
        <w:rPr>
          <w:rFonts w:hint="eastAsia" w:eastAsia="宋体"/>
          <w:lang w:val="en-US" w:eastAsia="zh-CN"/>
        </w:rPr>
      </w:pPr>
      <w:r>
        <w:drawing>
          <wp:anchor distT="0" distB="0" distL="114300" distR="114300" simplePos="0" relativeHeight="251671552" behindDoc="0" locked="0" layoutInCell="1" allowOverlap="1">
            <wp:simplePos x="0" y="0"/>
            <wp:positionH relativeFrom="column">
              <wp:posOffset>9525</wp:posOffset>
            </wp:positionH>
            <wp:positionV relativeFrom="paragraph">
              <wp:posOffset>85725</wp:posOffset>
            </wp:positionV>
            <wp:extent cx="5598795" cy="3032125"/>
            <wp:effectExtent l="0" t="0" r="1905" b="15875"/>
            <wp:wrapSquare wrapText="bothSides"/>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stretch>
                      <a:fillRect/>
                    </a:stretch>
                  </pic:blipFill>
                  <pic:spPr>
                    <a:xfrm>
                      <a:off x="0" y="0"/>
                      <a:ext cx="5598795" cy="3032125"/>
                    </a:xfrm>
                    <a:prstGeom prst="rect">
                      <a:avLst/>
                    </a:prstGeom>
                    <a:noFill/>
                    <a:ln>
                      <a:noFill/>
                    </a:ln>
                  </pic:spPr>
                </pic:pic>
              </a:graphicData>
            </a:graphic>
          </wp:anchor>
        </w:drawing>
      </w:r>
      <w:r>
        <w:rPr>
          <w:rFonts w:hint="eastAsia" w:eastAsia="宋体"/>
          <w:lang w:val="en-US" w:eastAsia="zh-CN"/>
        </w:rPr>
        <w:t xml:space="preserve"> </w:t>
      </w:r>
    </w:p>
    <w:p>
      <w:pPr>
        <w:numPr>
          <w:ilvl w:val="0"/>
          <w:numId w:val="0"/>
        </w:numPr>
        <w:tabs>
          <w:tab w:val="left" w:pos="1112"/>
        </w:tabs>
        <w:spacing w:line="600" w:lineRule="exact"/>
        <w:ind w:leftChars="200"/>
        <w:rPr>
          <w:rFonts w:ascii="Times New Roman" w:hAnsi="Times New Roman" w:eastAsia="仿宋_GB2312" w:cs="Times New Roman"/>
          <w:color w:val="auto"/>
          <w:sz w:val="32"/>
          <w:szCs w:val="32"/>
          <w:lang w:eastAsia="zh-CN"/>
        </w:rPr>
      </w:pP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2</w:t>
      </w:r>
      <w:r>
        <w:rPr>
          <w:rFonts w:hint="eastAsia"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推进重大建设项目领域信息公开。</w:t>
      </w:r>
    </w:p>
    <w:p>
      <w:pPr>
        <w:numPr>
          <w:ilvl w:val="0"/>
          <w:numId w:val="0"/>
        </w:numPr>
        <w:spacing w:line="600" w:lineRule="exact"/>
        <w:ind w:firstLine="640" w:firstLineChars="200"/>
        <w:rPr>
          <w:rFonts w:ascii="仿宋" w:hAnsi="仿宋" w:eastAsia="仿宋" w:cs="仿宋_GB2312"/>
          <w:b/>
          <w:bCs/>
          <w:sz w:val="32"/>
          <w:szCs w:val="32"/>
        </w:rPr>
      </w:pPr>
      <w:r>
        <w:rPr>
          <w:rFonts w:ascii="Times New Roman" w:hAnsi="Times New Roman" w:eastAsia="仿宋_GB2312" w:cs="Times New Roman"/>
          <w:color w:val="auto"/>
          <w:sz w:val="32"/>
          <w:szCs w:val="32"/>
          <w:lang w:eastAsia="zh-CN"/>
        </w:rPr>
        <w:t>通过政府门户网站、政务服务</w:t>
      </w:r>
      <w:r>
        <w:rPr>
          <w:rFonts w:hint="eastAsia" w:ascii="Times New Roman" w:hAnsi="Times New Roman" w:eastAsia="仿宋_GB2312" w:cs="Times New Roman"/>
          <w:color w:val="auto"/>
          <w:sz w:val="32"/>
          <w:szCs w:val="32"/>
          <w:lang w:eastAsia="zh-CN"/>
        </w:rPr>
        <w:t>平台、土地征收网站、</w:t>
      </w:r>
      <w:r>
        <w:rPr>
          <w:rFonts w:hint="eastAsia" w:eastAsia="仿宋_GB2312" w:cs="Times New Roman"/>
          <w:color w:val="auto"/>
          <w:sz w:val="32"/>
          <w:szCs w:val="32"/>
          <w:lang w:eastAsia="zh-CN"/>
        </w:rPr>
        <w:t>淄博市</w:t>
      </w:r>
      <w:r>
        <w:rPr>
          <w:rFonts w:hint="eastAsia" w:ascii="Times New Roman" w:hAnsi="Times New Roman" w:eastAsia="仿宋_GB2312" w:cs="Times New Roman"/>
          <w:color w:val="auto"/>
          <w:sz w:val="32"/>
          <w:szCs w:val="32"/>
          <w:lang w:eastAsia="zh-CN"/>
        </w:rPr>
        <w:t>公共资源交易网</w:t>
      </w:r>
      <w:r>
        <w:rPr>
          <w:rFonts w:ascii="Times New Roman" w:hAnsi="Times New Roman" w:eastAsia="仿宋_GB2312" w:cs="Times New Roman"/>
          <w:color w:val="auto"/>
          <w:sz w:val="32"/>
          <w:szCs w:val="32"/>
          <w:lang w:eastAsia="zh-CN"/>
        </w:rPr>
        <w:t>等平台，重点公开了批准服务、批准结果、招投标、征收土地、重大设计变更、施工、质量安全监督、竣工等信息。</w:t>
      </w:r>
      <w:r>
        <w:rPr>
          <w:rFonts w:hint="eastAsia" w:ascii="Times New Roman" w:hAnsi="Times New Roman" w:eastAsia="仿宋_GB2312" w:cs="Times New Roman"/>
          <w:color w:val="auto"/>
          <w:sz w:val="32"/>
          <w:szCs w:val="32"/>
          <w:lang w:eastAsia="zh-CN"/>
        </w:rPr>
        <w:t>在政府网站</w:t>
      </w:r>
      <w:r>
        <w:rPr>
          <w:rFonts w:ascii="Times New Roman" w:hAnsi="Times New Roman" w:eastAsia="仿宋_GB2312" w:cs="Times New Roman"/>
          <w:color w:val="auto"/>
          <w:sz w:val="32"/>
          <w:szCs w:val="32"/>
          <w:lang w:eastAsia="zh-CN"/>
        </w:rPr>
        <w:t>建立了“</w:t>
      </w:r>
      <w:r>
        <w:rPr>
          <w:rFonts w:hint="eastAsia" w:ascii="Times New Roman" w:hAnsi="Times New Roman" w:eastAsia="仿宋_GB2312" w:cs="Times New Roman"/>
          <w:color w:val="auto"/>
          <w:sz w:val="32"/>
          <w:szCs w:val="32"/>
          <w:lang w:eastAsia="zh-CN"/>
        </w:rPr>
        <w:t xml:space="preserve"> 重大建设项目批准和实施</w:t>
      </w:r>
      <w:r>
        <w:rPr>
          <w:rFonts w:ascii="Times New Roman" w:hAnsi="Times New Roman" w:eastAsia="仿宋_GB2312" w:cs="Times New Roman"/>
          <w:color w:val="auto"/>
          <w:sz w:val="32"/>
          <w:szCs w:val="32"/>
          <w:lang w:eastAsia="zh-CN"/>
        </w:rPr>
        <w:t>”栏</w:t>
      </w:r>
      <w:r>
        <w:rPr>
          <w:rFonts w:hint="eastAsia" w:ascii="Times New Roman" w:hAnsi="Times New Roman" w:eastAsia="仿宋_GB2312" w:cs="Times New Roman"/>
          <w:color w:val="auto"/>
          <w:sz w:val="32"/>
          <w:szCs w:val="32"/>
          <w:lang w:eastAsia="zh-CN"/>
        </w:rPr>
        <w:t>目</w:t>
      </w:r>
      <w:r>
        <w:rPr>
          <w:rFonts w:ascii="Times New Roman" w:hAnsi="Times New Roman" w:eastAsia="仿宋_GB2312" w:cs="Times New Roman"/>
          <w:color w:val="auto"/>
          <w:sz w:val="32"/>
          <w:szCs w:val="32"/>
          <w:lang w:eastAsia="zh-CN"/>
        </w:rPr>
        <w:t>，集中公开了20</w:t>
      </w:r>
      <w:r>
        <w:rPr>
          <w:rFonts w:hint="eastAsia" w:ascii="Times New Roman" w:hAnsi="Times New Roman" w:eastAsia="仿宋_GB2312" w:cs="Times New Roman"/>
          <w:color w:val="auto"/>
          <w:sz w:val="32"/>
          <w:szCs w:val="32"/>
          <w:lang w:val="en-US" w:eastAsia="zh-CN"/>
        </w:rPr>
        <w:t>20</w:t>
      </w:r>
      <w:r>
        <w:rPr>
          <w:rFonts w:ascii="Times New Roman" w:hAnsi="Times New Roman" w:eastAsia="仿宋_GB2312" w:cs="Times New Roman"/>
          <w:color w:val="auto"/>
          <w:sz w:val="32"/>
          <w:szCs w:val="32"/>
          <w:lang w:eastAsia="zh-CN"/>
        </w:rPr>
        <w:t>年全</w:t>
      </w:r>
      <w:r>
        <w:rPr>
          <w:rFonts w:hint="eastAsia" w:ascii="Times New Roman" w:hAnsi="Times New Roman" w:eastAsia="仿宋_GB2312" w:cs="Times New Roman"/>
          <w:color w:val="auto"/>
          <w:sz w:val="32"/>
          <w:szCs w:val="32"/>
          <w:lang w:eastAsia="zh-CN"/>
        </w:rPr>
        <w:t>县</w:t>
      </w:r>
      <w:r>
        <w:rPr>
          <w:rFonts w:ascii="Times New Roman" w:hAnsi="Times New Roman" w:eastAsia="仿宋_GB2312" w:cs="Times New Roman"/>
          <w:color w:val="auto"/>
          <w:sz w:val="32"/>
          <w:szCs w:val="32"/>
          <w:lang w:eastAsia="zh-CN"/>
        </w:rPr>
        <w:t>重大项目建设进展情况，实现项目审批、核准、备案等全过程公开。</w:t>
      </w:r>
      <w:r>
        <w:rPr>
          <w:rFonts w:hint="eastAsia" w:ascii="仿宋" w:hAnsi="仿宋" w:eastAsia="仿宋" w:cs="仿宋_GB2312"/>
          <w:sz w:val="32"/>
          <w:szCs w:val="32"/>
        </w:rPr>
        <w:t>依托淄博市公共资源交易网及时公开公共资源交易公告、交易过程等信息，推动实现公共资源交易全流程透明化。</w:t>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drawing>
          <wp:anchor distT="0" distB="0" distL="114300" distR="114300" simplePos="0" relativeHeight="251672576" behindDoc="0" locked="0" layoutInCell="1" allowOverlap="1">
            <wp:simplePos x="0" y="0"/>
            <wp:positionH relativeFrom="column">
              <wp:posOffset>25400</wp:posOffset>
            </wp:positionH>
            <wp:positionV relativeFrom="paragraph">
              <wp:posOffset>69215</wp:posOffset>
            </wp:positionV>
            <wp:extent cx="5596890" cy="3070860"/>
            <wp:effectExtent l="0" t="0" r="3810" b="15240"/>
            <wp:wrapSquare wrapText="bothSides"/>
            <wp:docPr id="16" name="图片 16" descr="1611805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1805685(1)"/>
                    <pic:cNvPicPr>
                      <a:picLocks noChangeAspect="1"/>
                    </pic:cNvPicPr>
                  </pic:nvPicPr>
                  <pic:blipFill>
                    <a:blip r:embed="rId17"/>
                    <a:stretch>
                      <a:fillRect/>
                    </a:stretch>
                  </pic:blipFill>
                  <pic:spPr>
                    <a:xfrm>
                      <a:off x="0" y="0"/>
                      <a:ext cx="5596890" cy="3070860"/>
                    </a:xfrm>
                    <a:prstGeom prst="rect">
                      <a:avLst/>
                    </a:prstGeom>
                  </pic:spPr>
                </pic:pic>
              </a:graphicData>
            </a:graphic>
          </wp:anchor>
        </w:drawing>
      </w:r>
    </w:p>
    <w:p>
      <w:pPr>
        <w:numPr>
          <w:ilvl w:val="0"/>
          <w:numId w:val="0"/>
        </w:numPr>
        <w:spacing w:line="560" w:lineRule="exact"/>
        <w:ind w:leftChars="200" w:firstLine="320" w:firstLineChars="100"/>
        <w:rPr>
          <w:rFonts w:ascii="Times New Roman" w:hAnsi="Times New Roman" w:eastAsia="仿宋_GB2312" w:cs="Times New Roman"/>
          <w:color w:val="auto"/>
          <w:sz w:val="32"/>
          <w:szCs w:val="32"/>
          <w:lang w:eastAsia="zh-CN"/>
        </w:rPr>
      </w:pP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3</w:t>
      </w:r>
      <w:r>
        <w:rPr>
          <w:rFonts w:hint="eastAsia"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推进公共资源配置领域信息公开。</w:t>
      </w:r>
    </w:p>
    <w:p>
      <w:pPr>
        <w:numPr>
          <w:ilvl w:val="0"/>
          <w:numId w:val="0"/>
        </w:numPr>
        <w:spacing w:line="560" w:lineRule="exact"/>
        <w:ind w:firstLine="640" w:firstLineChars="200"/>
        <w:rPr>
          <w:rFonts w:ascii="Times New Roman" w:hAnsi="Times New Roman" w:cs="Times New Roman"/>
          <w:color w:val="auto"/>
          <w:sz w:val="32"/>
          <w:szCs w:val="32"/>
          <w:lang w:eastAsia="zh-CN"/>
        </w:rPr>
      </w:pPr>
      <w:r>
        <w:rPr>
          <w:rFonts w:hint="eastAsia" w:ascii="仿宋" w:hAnsi="仿宋" w:eastAsia="仿宋" w:cs="仿宋_GB2312"/>
          <w:sz w:val="32"/>
          <w:szCs w:val="32"/>
        </w:rPr>
        <w:t>依托淄博市公共资源交易网（http://ggzyjy.zibo.gov.cn）及时公开</w:t>
      </w:r>
      <w:r>
        <w:rPr>
          <w:rFonts w:hint="eastAsia" w:ascii="仿宋_GB2312" w:eastAsia="仿宋_GB2312"/>
          <w:color w:val="auto"/>
          <w:sz w:val="32"/>
          <w:szCs w:val="32"/>
          <w:lang w:eastAsia="zh-CN"/>
        </w:rPr>
        <w:t>公共资源项目基本信息、配置（交易）过程信息、中标（成交）信息、合同履约信息等信息</w:t>
      </w:r>
      <w:r>
        <w:rPr>
          <w:rFonts w:hint="eastAsia" w:ascii="仿宋" w:hAnsi="仿宋" w:eastAsia="仿宋" w:cs="仿宋_GB2312"/>
          <w:sz w:val="32"/>
          <w:szCs w:val="32"/>
        </w:rPr>
        <w:t>，推动实现公共资源交易全流程透明化。加大政府采购信息公开力度，通过县政府网站的政府采购栏目链接到中国山东政府采购网（http://www.ccgp-shandong.gov.cn）及时公开招投标、采购公告等信息。</w:t>
      </w:r>
      <w:r>
        <w:rPr>
          <w:rFonts w:ascii="Times New Roman" w:hAnsi="Times New Roman" w:cs="Times New Roman"/>
          <w:color w:val="auto"/>
          <w:sz w:val="32"/>
          <w:szCs w:val="32"/>
          <w:lang w:eastAsia="zh-CN"/>
        </w:rPr>
        <w:t>20</w:t>
      </w:r>
      <w:r>
        <w:rPr>
          <w:rFonts w:hint="eastAsia" w:cs="Times New Roman"/>
          <w:color w:val="auto"/>
          <w:sz w:val="32"/>
          <w:szCs w:val="32"/>
          <w:lang w:val="en-US" w:eastAsia="zh-CN"/>
        </w:rPr>
        <w:t>20</w:t>
      </w:r>
      <w:r>
        <w:rPr>
          <w:rFonts w:hint="eastAsia" w:ascii="仿宋_GB2312" w:eastAsia="仿宋_GB2312"/>
          <w:color w:val="auto"/>
          <w:sz w:val="32"/>
          <w:szCs w:val="32"/>
          <w:lang w:eastAsia="zh-CN"/>
        </w:rPr>
        <w:t>年，公开住房保障等信息</w:t>
      </w:r>
      <w:r>
        <w:rPr>
          <w:rFonts w:hint="eastAsia" w:ascii="Times New Roman" w:hAnsi="Times New Roman" w:eastAsia="宋体" w:cs="Times New Roman"/>
          <w:color w:val="auto"/>
          <w:sz w:val="32"/>
          <w:szCs w:val="32"/>
          <w:lang w:eastAsia="zh-CN"/>
        </w:rPr>
        <w:t>17</w:t>
      </w:r>
      <w:r>
        <w:rPr>
          <w:rFonts w:hint="eastAsia" w:ascii="仿宋_GB2312" w:eastAsia="仿宋_GB2312"/>
          <w:color w:val="auto"/>
          <w:sz w:val="32"/>
          <w:szCs w:val="32"/>
          <w:lang w:eastAsia="zh-CN"/>
        </w:rPr>
        <w:t>条，农村危旧房改造信息</w:t>
      </w:r>
      <w:r>
        <w:rPr>
          <w:rFonts w:hint="eastAsia" w:ascii="Times New Roman" w:hAnsi="Times New Roman" w:eastAsia="宋体" w:cs="Times New Roman"/>
          <w:color w:val="auto"/>
          <w:sz w:val="32"/>
          <w:szCs w:val="32"/>
          <w:lang w:eastAsia="zh-CN"/>
        </w:rPr>
        <w:t>1</w:t>
      </w:r>
      <w:r>
        <w:rPr>
          <w:rFonts w:hint="eastAsia" w:eastAsia="宋体" w:cs="Times New Roman"/>
          <w:color w:val="auto"/>
          <w:sz w:val="32"/>
          <w:szCs w:val="32"/>
          <w:lang w:val="en-US" w:eastAsia="zh-CN"/>
        </w:rPr>
        <w:t>4</w:t>
      </w:r>
      <w:r>
        <w:rPr>
          <w:rFonts w:hint="eastAsia" w:ascii="仿宋_GB2312" w:eastAsia="仿宋_GB2312"/>
          <w:color w:val="auto"/>
          <w:sz w:val="32"/>
          <w:szCs w:val="32"/>
          <w:lang w:eastAsia="zh-CN"/>
        </w:rPr>
        <w:t>条。</w:t>
      </w:r>
      <w:r>
        <w:rPr>
          <w:rFonts w:ascii="Times New Roman" w:hAnsi="Times New Roman" w:cs="Times New Roman"/>
          <w:color w:val="auto"/>
          <w:sz w:val="32"/>
          <w:szCs w:val="32"/>
          <w:lang w:eastAsia="zh-CN"/>
        </w:rPr>
        <w:t> </w:t>
      </w: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r>
        <w:drawing>
          <wp:anchor distT="0" distB="0" distL="114300" distR="114300" simplePos="0" relativeHeight="251674624" behindDoc="0" locked="0" layoutInCell="1" allowOverlap="1">
            <wp:simplePos x="0" y="0"/>
            <wp:positionH relativeFrom="column">
              <wp:posOffset>-123825</wp:posOffset>
            </wp:positionH>
            <wp:positionV relativeFrom="paragraph">
              <wp:posOffset>4104640</wp:posOffset>
            </wp:positionV>
            <wp:extent cx="5603240" cy="2947670"/>
            <wp:effectExtent l="0" t="0" r="16510" b="5080"/>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8"/>
                    <a:stretch>
                      <a:fillRect/>
                    </a:stretch>
                  </pic:blipFill>
                  <pic:spPr>
                    <a:xfrm>
                      <a:off x="0" y="0"/>
                      <a:ext cx="5603240" cy="294767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-28575</wp:posOffset>
            </wp:positionH>
            <wp:positionV relativeFrom="paragraph">
              <wp:posOffset>113665</wp:posOffset>
            </wp:positionV>
            <wp:extent cx="5600700" cy="3626485"/>
            <wp:effectExtent l="0" t="0" r="0" b="12065"/>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5600700" cy="3626485"/>
                    </a:xfrm>
                    <a:prstGeom prst="rect">
                      <a:avLst/>
                    </a:prstGeom>
                    <a:noFill/>
                    <a:ln>
                      <a:noFill/>
                    </a:ln>
                  </pic:spPr>
                </pic:pic>
              </a:graphicData>
            </a:graphic>
          </wp:anchor>
        </w:drawing>
      </w: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rPr>
          <w:rFonts w:ascii="Times New Roman" w:hAnsi="Times New Roman" w:eastAsia="仿宋_GB2312" w:cs="Times New Roman"/>
          <w:color w:val="auto"/>
          <w:sz w:val="32"/>
          <w:szCs w:val="32"/>
          <w:lang w:eastAsia="zh-CN"/>
        </w:rPr>
      </w:pPr>
    </w:p>
    <w:p>
      <w:pPr>
        <w:pStyle w:val="4"/>
        <w:shd w:val="clear" w:color="auto" w:fill="FFFFFF"/>
        <w:spacing w:before="0" w:beforeAutospacing="0" w:after="0" w:afterAutospacing="0" w:line="600" w:lineRule="exact"/>
        <w:ind w:firstLine="640" w:firstLineChars="200"/>
        <w:outlineLvl w:val="3"/>
        <w:rPr>
          <w:rFonts w:hint="eastAsia" w:ascii="仿宋" w:hAnsi="仿宋" w:eastAsia="仿宋" w:cs="仿宋_GB2312"/>
          <w:color w:val="000000"/>
          <w:sz w:val="32"/>
          <w:szCs w:val="32"/>
          <w:lang w:val="en-US" w:eastAsia="en-US" w:bidi="en-US"/>
        </w:rPr>
      </w:pPr>
      <w:r>
        <w:rPr>
          <w:rFonts w:hint="eastAsia" w:ascii="Times New Roman" w:hAnsi="Times New Roman" w:eastAsia="仿宋_GB2312" w:cs="Times New Roman"/>
          <w:color w:val="auto"/>
          <w:sz w:val="32"/>
          <w:szCs w:val="32"/>
          <w:shd w:val="clear" w:color="auto" w:fill="FFFFFF"/>
          <w:lang w:val="en-US" w:eastAsia="en-US"/>
        </w:rPr>
        <w:t>（</w:t>
      </w:r>
      <w:r>
        <w:rPr>
          <w:rFonts w:hint="eastAsia" w:ascii="Times New Roman" w:hAnsi="Times New Roman" w:eastAsia="仿宋_GB2312" w:cs="Times New Roman"/>
          <w:color w:val="auto"/>
          <w:sz w:val="32"/>
          <w:szCs w:val="32"/>
          <w:shd w:val="clear" w:color="auto" w:fill="FFFFFF"/>
          <w:lang w:val="en-US" w:eastAsia="zh-CN"/>
        </w:rPr>
        <w:t>4</w:t>
      </w:r>
      <w:r>
        <w:rPr>
          <w:rFonts w:hint="eastAsia" w:ascii="Times New Roman" w:hAnsi="Times New Roman" w:eastAsia="仿宋_GB2312" w:cs="Times New Roman"/>
          <w:color w:val="auto"/>
          <w:sz w:val="32"/>
          <w:szCs w:val="32"/>
          <w:shd w:val="clear" w:color="auto" w:fill="FFFFFF"/>
          <w:lang w:val="en-US" w:eastAsia="en-US"/>
        </w:rPr>
        <w:t>）</w:t>
      </w:r>
      <w:r>
        <w:rPr>
          <w:rFonts w:hint="eastAsia" w:ascii="Times New Roman" w:hAnsi="Times New Roman" w:eastAsia="仿宋_GB2312" w:cs="Times New Roman"/>
          <w:color w:val="auto"/>
          <w:sz w:val="32"/>
          <w:szCs w:val="32"/>
          <w:shd w:val="clear" w:color="auto" w:fill="FFFFFF"/>
          <w:lang w:val="en-US" w:eastAsia="zh-CN"/>
        </w:rPr>
        <w:t>推进</w:t>
      </w:r>
      <w:r>
        <w:rPr>
          <w:rFonts w:hint="eastAsia" w:ascii="仿宋" w:hAnsi="仿宋" w:eastAsia="仿宋" w:cs="仿宋_GB2312"/>
          <w:color w:val="000000"/>
          <w:sz w:val="32"/>
          <w:szCs w:val="32"/>
          <w:lang w:val="en-US" w:eastAsia="en-US" w:bidi="en-US"/>
        </w:rPr>
        <w:t>公共监管</w:t>
      </w:r>
      <w:r>
        <w:rPr>
          <w:rFonts w:hint="eastAsia" w:ascii="仿宋" w:hAnsi="仿宋" w:eastAsia="仿宋" w:cs="仿宋_GB2312"/>
          <w:color w:val="000000"/>
          <w:sz w:val="32"/>
          <w:szCs w:val="32"/>
          <w:lang w:val="en-US" w:eastAsia="zh-CN" w:bidi="en-US"/>
        </w:rPr>
        <w:t>领域</w:t>
      </w:r>
      <w:r>
        <w:rPr>
          <w:rFonts w:hint="eastAsia" w:ascii="仿宋" w:hAnsi="仿宋" w:eastAsia="仿宋" w:cs="仿宋_GB2312"/>
          <w:color w:val="000000"/>
          <w:sz w:val="32"/>
          <w:szCs w:val="32"/>
          <w:lang w:val="en-US" w:eastAsia="en-US" w:bidi="en-US"/>
        </w:rPr>
        <w:t>信息公开。</w:t>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hint="eastAsia" w:ascii="仿宋" w:hAnsi="仿宋" w:eastAsia="仿宋" w:cs="仿宋_GB2312"/>
          <w:color w:val="000000"/>
          <w:sz w:val="32"/>
          <w:szCs w:val="32"/>
          <w:lang w:val="en-US" w:eastAsia="en-US" w:bidi="en-US"/>
        </w:rPr>
        <w:t>设立</w:t>
      </w:r>
      <w:r>
        <w:rPr>
          <w:rFonts w:hint="eastAsia" w:ascii="仿宋" w:hAnsi="仿宋" w:eastAsia="仿宋" w:cs="仿宋_GB2312"/>
          <w:color w:val="000000"/>
          <w:sz w:val="32"/>
          <w:szCs w:val="32"/>
          <w:lang w:val="en-US" w:eastAsia="zh-CN" w:bidi="en-US"/>
        </w:rPr>
        <w:t>“市场监管与安全生产”栏目</w:t>
      </w:r>
      <w:r>
        <w:rPr>
          <w:rFonts w:hint="eastAsia" w:ascii="仿宋" w:hAnsi="仿宋" w:eastAsia="仿宋" w:cs="仿宋_GB2312"/>
          <w:color w:val="000000"/>
          <w:sz w:val="32"/>
          <w:szCs w:val="32"/>
          <w:lang w:val="en-US" w:eastAsia="en-US" w:bidi="en-US"/>
        </w:rPr>
        <w:t>集中公开</w:t>
      </w:r>
      <w:r>
        <w:rPr>
          <w:rFonts w:hint="eastAsia" w:ascii="仿宋" w:hAnsi="仿宋" w:eastAsia="仿宋" w:cs="仿宋_GB2312"/>
          <w:color w:val="000000"/>
          <w:sz w:val="32"/>
          <w:szCs w:val="32"/>
          <w:lang w:val="en-US" w:eastAsia="zh-CN" w:bidi="en-US"/>
        </w:rPr>
        <w:t>食品药品安全信息109条，公开</w:t>
      </w:r>
      <w:r>
        <w:rPr>
          <w:rFonts w:hint="eastAsia" w:ascii="仿宋" w:hAnsi="仿宋" w:eastAsia="仿宋" w:cs="仿宋_GB2312"/>
          <w:color w:val="000000"/>
          <w:sz w:val="32"/>
          <w:szCs w:val="32"/>
          <w:lang w:val="en-US" w:eastAsia="en-US" w:bidi="en-US"/>
        </w:rPr>
        <w:t>食品药品和产品质量公开食品抽检、产品质量监管信息</w:t>
      </w:r>
      <w:r>
        <w:rPr>
          <w:rFonts w:hint="eastAsia" w:ascii="仿宋" w:hAnsi="仿宋" w:eastAsia="仿宋" w:cs="仿宋_GB2312"/>
          <w:color w:val="000000"/>
          <w:sz w:val="32"/>
          <w:szCs w:val="32"/>
          <w:lang w:val="en-US" w:eastAsia="zh-CN" w:bidi="en-US"/>
        </w:rPr>
        <w:t>11条，发布安全生产执法检查等信息24条，公开</w:t>
      </w:r>
      <w:r>
        <w:rPr>
          <w:rFonts w:hint="eastAsia" w:ascii="仿宋" w:hAnsi="仿宋" w:eastAsia="仿宋" w:cs="仿宋_GB2312"/>
          <w:color w:val="000000"/>
          <w:sz w:val="32"/>
          <w:szCs w:val="32"/>
          <w:lang w:val="en-US" w:eastAsia="en-US" w:bidi="en-US"/>
        </w:rPr>
        <w:t>建筑市场主体不良信息记录</w:t>
      </w:r>
      <w:r>
        <w:rPr>
          <w:rFonts w:hint="eastAsia" w:ascii="仿宋" w:hAnsi="仿宋" w:eastAsia="仿宋" w:cs="仿宋_GB2312"/>
          <w:color w:val="000000"/>
          <w:sz w:val="32"/>
          <w:szCs w:val="32"/>
          <w:lang w:val="en-US" w:eastAsia="zh-CN" w:bidi="en-US"/>
        </w:rPr>
        <w:t>等信息15条。</w:t>
      </w:r>
      <w:r>
        <w:rPr>
          <w:rFonts w:ascii="Times New Roman" w:hAnsi="Times New Roman" w:eastAsia="仿宋_GB2312" w:cs="Times New Roman"/>
          <w:color w:val="auto"/>
          <w:sz w:val="32"/>
          <w:szCs w:val="32"/>
          <w:lang w:eastAsia="zh-CN"/>
        </w:rPr>
        <w:t>公开了</w:t>
      </w:r>
      <w:r>
        <w:rPr>
          <w:rFonts w:hint="eastAsia" w:ascii="Times New Roman" w:hAnsi="Times New Roman" w:eastAsia="仿宋_GB2312" w:cs="Times New Roman"/>
          <w:color w:val="auto"/>
          <w:sz w:val="32"/>
          <w:szCs w:val="32"/>
          <w:lang w:eastAsia="zh-CN"/>
        </w:rPr>
        <w:t>国有</w:t>
      </w:r>
      <w:r>
        <w:rPr>
          <w:rFonts w:ascii="Times New Roman" w:hAnsi="Times New Roman" w:eastAsia="仿宋_GB2312" w:cs="Times New Roman"/>
          <w:color w:val="auto"/>
          <w:sz w:val="32"/>
          <w:szCs w:val="32"/>
          <w:lang w:eastAsia="zh-CN"/>
        </w:rPr>
        <w:t>企业</w:t>
      </w:r>
      <w:r>
        <w:rPr>
          <w:rFonts w:hint="eastAsia" w:ascii="Times New Roman" w:hAnsi="Times New Roman" w:eastAsia="仿宋_GB2312" w:cs="Times New Roman"/>
          <w:color w:val="auto"/>
          <w:sz w:val="32"/>
          <w:szCs w:val="32"/>
          <w:lang w:eastAsia="zh-CN"/>
        </w:rPr>
        <w:t>考核</w:t>
      </w:r>
      <w:r>
        <w:rPr>
          <w:rFonts w:ascii="Times New Roman" w:hAnsi="Times New Roman" w:eastAsia="仿宋_GB2312" w:cs="Times New Roman"/>
          <w:color w:val="auto"/>
          <w:sz w:val="32"/>
          <w:szCs w:val="32"/>
          <w:lang w:eastAsia="zh-CN"/>
        </w:rPr>
        <w:t>情况</w:t>
      </w:r>
      <w:r>
        <w:rPr>
          <w:rFonts w:hint="eastAsia" w:ascii="Times New Roman" w:hAnsi="Times New Roman" w:eastAsia="仿宋_GB2312" w:cs="Times New Roman"/>
          <w:color w:val="auto"/>
          <w:sz w:val="32"/>
          <w:szCs w:val="32"/>
          <w:lang w:eastAsia="zh-CN"/>
        </w:rPr>
        <w:t>、国有企业履行社会责任情况、国有企业重大事项、国有企业主要行业盈利情况、主要效益指标等信息，</w:t>
      </w:r>
      <w:r>
        <w:rPr>
          <w:rFonts w:ascii="Times New Roman" w:hAnsi="Times New Roman" w:eastAsia="仿宋_GB2312" w:cs="Times New Roman"/>
          <w:color w:val="auto"/>
          <w:sz w:val="32"/>
          <w:szCs w:val="32"/>
          <w:lang w:eastAsia="zh-CN"/>
        </w:rPr>
        <w:t>保障社会公众的知情权。</w:t>
      </w:r>
    </w:p>
    <w:p>
      <w:pPr>
        <w:pStyle w:val="4"/>
        <w:shd w:val="clear" w:color="auto" w:fill="FFFFFF"/>
        <w:spacing w:before="0" w:beforeAutospacing="0" w:after="0" w:afterAutospacing="0" w:line="600" w:lineRule="exact"/>
        <w:outlineLvl w:val="3"/>
        <w:rPr>
          <w:rFonts w:hint="eastAsia" w:eastAsia="宋体"/>
          <w:lang w:val="en-US" w:eastAsia="zh-CN"/>
        </w:rPr>
      </w:pPr>
      <w:r>
        <w:rPr>
          <w:rFonts w:hint="eastAsia" w:ascii="仿宋" w:hAnsi="仿宋" w:eastAsia="仿宋" w:cs="仿宋_GB2312"/>
          <w:color w:val="000000"/>
          <w:sz w:val="32"/>
          <w:szCs w:val="32"/>
          <w:lang w:val="en-US" w:eastAsia="en-US" w:bidi="en-US"/>
        </w:rPr>
        <w:t>国资国企监管公开国企主要经济效益指标、经营情况、“僵尸”企业处置等信息</w:t>
      </w:r>
      <w:r>
        <w:rPr>
          <w:rFonts w:hint="eastAsia" w:ascii="仿宋" w:hAnsi="仿宋" w:eastAsia="仿宋" w:cs="仿宋_GB2312"/>
          <w:color w:val="000000"/>
          <w:sz w:val="32"/>
          <w:szCs w:val="32"/>
          <w:lang w:val="en-US" w:eastAsia="zh-CN" w:bidi="en-US"/>
        </w:rPr>
        <w:t>23</w:t>
      </w:r>
      <w:r>
        <w:rPr>
          <w:rFonts w:hint="eastAsia" w:ascii="仿宋" w:hAnsi="仿宋" w:eastAsia="仿宋" w:cs="仿宋_GB2312"/>
          <w:color w:val="000000"/>
          <w:sz w:val="32"/>
          <w:szCs w:val="32"/>
          <w:lang w:val="en-US" w:eastAsia="en-US" w:bidi="en-US"/>
        </w:rPr>
        <w:t>条。</w:t>
      </w:r>
    </w:p>
    <w:p>
      <w:pPr>
        <w:pStyle w:val="4"/>
        <w:numPr>
          <w:ilvl w:val="0"/>
          <w:numId w:val="0"/>
        </w:numPr>
        <w:shd w:val="clear" w:color="auto" w:fill="FFFFFF"/>
        <w:spacing w:before="0" w:beforeAutospacing="0" w:after="0" w:afterAutospacing="0" w:line="600" w:lineRule="exact"/>
        <w:ind w:leftChars="200"/>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推进灾害事故救援领域信息公开。</w:t>
      </w:r>
    </w:p>
    <w:p>
      <w:pPr>
        <w:pStyle w:val="4"/>
        <w:numPr>
          <w:ilvl w:val="0"/>
          <w:numId w:val="0"/>
        </w:numPr>
        <w:shd w:val="clear" w:color="auto" w:fill="FFFFFF"/>
        <w:spacing w:before="0" w:beforeAutospacing="0" w:after="0" w:afterAutospacing="0" w:line="600" w:lineRule="exact"/>
        <w:ind w:firstLine="640" w:firstLineChars="200"/>
        <w:rPr>
          <w:rFonts w:hint="eastAsia" w:ascii="仿宋_GB2312" w:eastAsia="仿宋_GB2312"/>
          <w:color w:val="auto"/>
          <w:sz w:val="32"/>
          <w:szCs w:val="32"/>
          <w:lang w:eastAsia="zh-CN"/>
        </w:rPr>
      </w:pPr>
      <w:r>
        <w:rPr>
          <w:rFonts w:hint="eastAsia" w:ascii="Times New Roman" w:hAnsi="Times New Roman" w:eastAsia="仿宋_GB2312" w:cs="Times New Roman"/>
          <w:color w:val="auto"/>
          <w:sz w:val="32"/>
          <w:szCs w:val="32"/>
          <w:lang w:eastAsia="zh-CN"/>
        </w:rPr>
        <w:t>通过“灾害事故救援”栏目</w:t>
      </w:r>
      <w:r>
        <w:rPr>
          <w:rFonts w:ascii="Times New Roman" w:hAnsi="Times New Roman" w:eastAsia="仿宋_GB2312" w:cs="Times New Roman"/>
          <w:color w:val="auto"/>
          <w:sz w:val="32"/>
          <w:szCs w:val="32"/>
          <w:lang w:eastAsia="zh-CN"/>
        </w:rPr>
        <w:t>及时发布了</w:t>
      </w:r>
      <w:r>
        <w:rPr>
          <w:rFonts w:hint="eastAsia" w:ascii="Times New Roman" w:hAnsi="Times New Roman" w:eastAsia="仿宋_GB2312" w:cs="Times New Roman"/>
          <w:color w:val="auto"/>
          <w:sz w:val="32"/>
          <w:szCs w:val="32"/>
          <w:lang w:eastAsia="zh-CN"/>
        </w:rPr>
        <w:t>次生灾害预警防范、应急处置与救援、</w:t>
      </w:r>
      <w:r>
        <w:rPr>
          <w:rFonts w:ascii="Times New Roman" w:hAnsi="Times New Roman" w:eastAsia="仿宋_GB2312" w:cs="Times New Roman"/>
          <w:color w:val="auto"/>
          <w:sz w:val="32"/>
          <w:szCs w:val="32"/>
          <w:lang w:eastAsia="zh-CN"/>
        </w:rPr>
        <w:t>公共卫生事件</w:t>
      </w:r>
      <w:r>
        <w:rPr>
          <w:rFonts w:hint="eastAsia" w:ascii="Times New Roman" w:hAnsi="Times New Roman" w:eastAsia="仿宋_GB2312" w:cs="Times New Roman"/>
          <w:color w:val="auto"/>
          <w:sz w:val="32"/>
          <w:szCs w:val="32"/>
          <w:lang w:eastAsia="zh-CN"/>
        </w:rPr>
        <w:t>、医疗救护与卫生防疫</w:t>
      </w:r>
      <w:r>
        <w:rPr>
          <w:rFonts w:ascii="Times New Roman" w:hAnsi="Times New Roman" w:eastAsia="仿宋_GB2312" w:cs="Times New Roman"/>
          <w:color w:val="auto"/>
          <w:sz w:val="32"/>
          <w:szCs w:val="32"/>
          <w:lang w:eastAsia="zh-CN"/>
        </w:rPr>
        <w:t>等工作情况及动态信息</w:t>
      </w:r>
      <w:r>
        <w:rPr>
          <w:rFonts w:hint="eastAsia" w:ascii="Times New Roman" w:hAnsi="Times New Roman" w:eastAsia="仿宋_GB2312" w:cs="Times New Roman"/>
          <w:color w:val="auto"/>
          <w:sz w:val="32"/>
          <w:szCs w:val="32"/>
          <w:lang w:eastAsia="zh-CN"/>
        </w:rPr>
        <w:t>，同时在救援信息里及时</w:t>
      </w:r>
      <w:r>
        <w:rPr>
          <w:rFonts w:ascii="Times New Roman" w:hAnsi="Times New Roman" w:eastAsia="仿宋_GB2312" w:cs="Times New Roman"/>
          <w:color w:val="auto"/>
          <w:sz w:val="32"/>
          <w:szCs w:val="32"/>
          <w:lang w:eastAsia="zh-CN"/>
        </w:rPr>
        <w:t>公开了灾害救助需求信息，推动做好救助款物和捐赠款物的数量、使用情况、救助对象及其接受救助款物数、灾后恢复重建工作进展等信息的公开工作。</w:t>
      </w:r>
      <w:r>
        <w:rPr>
          <w:rFonts w:hint="eastAsia" w:ascii="Times New Roman" w:hAnsi="Times New Roman" w:eastAsia="仿宋_GB2312" w:cs="Times New Roman"/>
          <w:color w:val="auto"/>
          <w:sz w:val="32"/>
          <w:szCs w:val="32"/>
          <w:lang w:eastAsia="zh-CN"/>
        </w:rPr>
        <w:t>建立“疫情防控与复工复产”栏目，及时</w:t>
      </w:r>
      <w:r>
        <w:rPr>
          <w:rFonts w:ascii="Times New Roman" w:hAnsi="Times New Roman" w:eastAsia="仿宋_GB2312" w:cs="Times New Roman"/>
          <w:color w:val="auto"/>
          <w:sz w:val="32"/>
          <w:szCs w:val="32"/>
          <w:lang w:eastAsia="zh-CN"/>
        </w:rPr>
        <w:t>发布疫情</w:t>
      </w:r>
      <w:r>
        <w:rPr>
          <w:rFonts w:hint="eastAsia" w:ascii="Times New Roman" w:hAnsi="Times New Roman" w:eastAsia="仿宋_GB2312" w:cs="Times New Roman"/>
          <w:color w:val="auto"/>
          <w:sz w:val="32"/>
          <w:szCs w:val="32"/>
          <w:lang w:eastAsia="zh-CN"/>
        </w:rPr>
        <w:t>防控和复工复产相关</w:t>
      </w:r>
      <w:r>
        <w:rPr>
          <w:rFonts w:ascii="Times New Roman" w:hAnsi="Times New Roman" w:eastAsia="仿宋_GB2312" w:cs="Times New Roman"/>
          <w:color w:val="auto"/>
          <w:sz w:val="32"/>
          <w:szCs w:val="32"/>
          <w:lang w:eastAsia="zh-CN"/>
        </w:rPr>
        <w:t>信息，向社会及时公开传染病疫情有关情况及预防、控制、治疗措施等信息。</w:t>
      </w:r>
      <w:r>
        <w:rPr>
          <w:rFonts w:hint="eastAsia" w:ascii="Times New Roman" w:hAnsi="Times New Roman" w:eastAsia="仿宋_GB2312" w:cs="Times New Roman"/>
          <w:color w:val="auto"/>
          <w:sz w:val="32"/>
          <w:szCs w:val="32"/>
          <w:lang w:val="en-US" w:eastAsia="zh-CN"/>
        </w:rPr>
        <w:t>2020年共公开</w:t>
      </w:r>
      <w:r>
        <w:rPr>
          <w:rFonts w:hint="eastAsia" w:ascii="仿宋_GB2312" w:eastAsia="仿宋_GB2312"/>
          <w:color w:val="auto"/>
          <w:sz w:val="32"/>
          <w:szCs w:val="32"/>
          <w:lang w:eastAsia="zh-CN"/>
        </w:rPr>
        <w:t>次生灾害预警防范信息</w:t>
      </w:r>
      <w:r>
        <w:rPr>
          <w:rFonts w:ascii="Times New Roman" w:hAnsi="Times New Roman" w:cs="Times New Roman"/>
          <w:color w:val="auto"/>
          <w:sz w:val="32"/>
          <w:szCs w:val="32"/>
          <w:lang w:eastAsia="zh-CN"/>
        </w:rPr>
        <w:t>6</w:t>
      </w:r>
      <w:r>
        <w:rPr>
          <w:rFonts w:hint="eastAsia" w:ascii="仿宋_GB2312" w:eastAsia="仿宋_GB2312"/>
          <w:color w:val="auto"/>
          <w:sz w:val="32"/>
          <w:szCs w:val="32"/>
          <w:lang w:eastAsia="zh-CN"/>
        </w:rPr>
        <w:t>条，应急处置与救援信息</w:t>
      </w:r>
      <w:r>
        <w:rPr>
          <w:rFonts w:hint="eastAsia" w:ascii="Times New Roman" w:hAnsi="Times New Roman" w:cs="Times New Roman"/>
          <w:color w:val="auto"/>
          <w:sz w:val="32"/>
          <w:szCs w:val="32"/>
          <w:lang w:val="en-US" w:eastAsia="zh-CN"/>
        </w:rPr>
        <w:t>17</w:t>
      </w:r>
      <w:r>
        <w:rPr>
          <w:rFonts w:hint="eastAsia" w:ascii="仿宋_GB2312" w:eastAsia="仿宋_GB2312"/>
          <w:color w:val="auto"/>
          <w:sz w:val="32"/>
          <w:szCs w:val="32"/>
          <w:lang w:eastAsia="zh-CN"/>
        </w:rPr>
        <w:t>条，应急预案信息</w:t>
      </w:r>
      <w:r>
        <w:rPr>
          <w:rFonts w:hint="eastAsia" w:ascii="仿宋_GB2312" w:eastAsia="仿宋_GB2312"/>
          <w:color w:val="auto"/>
          <w:sz w:val="32"/>
          <w:szCs w:val="32"/>
          <w:lang w:val="en-US" w:eastAsia="zh-CN"/>
        </w:rPr>
        <w:t>58</w:t>
      </w:r>
      <w:r>
        <w:rPr>
          <w:rFonts w:hint="eastAsia" w:ascii="仿宋_GB2312" w:eastAsia="仿宋_GB2312"/>
          <w:color w:val="auto"/>
          <w:sz w:val="32"/>
          <w:szCs w:val="32"/>
          <w:lang w:eastAsia="zh-CN"/>
        </w:rPr>
        <w:t>条。</w:t>
      </w:r>
    </w:p>
    <w:p>
      <w:pPr>
        <w:pStyle w:val="4"/>
        <w:shd w:val="clear" w:color="auto" w:fill="FFFFFF"/>
        <w:spacing w:before="0" w:beforeAutospacing="0" w:after="0" w:afterAutospacing="0" w:line="600" w:lineRule="exact"/>
        <w:outlineLvl w:val="2"/>
        <w:rPr>
          <w:rFonts w:hint="eastAsia" w:eastAsia="宋体"/>
          <w:lang w:val="en-US" w:eastAsia="zh-CN"/>
        </w:rPr>
      </w:pPr>
    </w:p>
    <w:p>
      <w:pPr>
        <w:pStyle w:val="4"/>
        <w:shd w:val="clear" w:color="auto" w:fill="FFFFFF"/>
        <w:spacing w:before="0" w:beforeAutospacing="0" w:after="0" w:afterAutospacing="0" w:line="600" w:lineRule="exact"/>
        <w:outlineLvl w:val="2"/>
        <w:rPr>
          <w:rFonts w:hint="eastAsia" w:eastAsia="宋体"/>
          <w:lang w:val="en-US" w:eastAsia="zh-CN"/>
        </w:rPr>
      </w:pPr>
      <w:r>
        <w:drawing>
          <wp:anchor distT="0" distB="0" distL="114300" distR="114300" simplePos="0" relativeHeight="251677696" behindDoc="0" locked="0" layoutInCell="1" allowOverlap="1">
            <wp:simplePos x="0" y="0"/>
            <wp:positionH relativeFrom="column">
              <wp:posOffset>-121920</wp:posOffset>
            </wp:positionH>
            <wp:positionV relativeFrom="paragraph">
              <wp:posOffset>114935</wp:posOffset>
            </wp:positionV>
            <wp:extent cx="5599430" cy="3098165"/>
            <wp:effectExtent l="0" t="0" r="1270" b="6985"/>
            <wp:wrapSquare wrapText="bothSides"/>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0"/>
                    <a:stretch>
                      <a:fillRect/>
                    </a:stretch>
                  </pic:blipFill>
                  <pic:spPr>
                    <a:xfrm>
                      <a:off x="0" y="0"/>
                      <a:ext cx="5599430" cy="3098165"/>
                    </a:xfrm>
                    <a:prstGeom prst="rect">
                      <a:avLst/>
                    </a:prstGeom>
                    <a:noFill/>
                    <a:ln>
                      <a:noFill/>
                    </a:ln>
                  </pic:spPr>
                </pic:pic>
              </a:graphicData>
            </a:graphic>
          </wp:anchor>
        </w:drawing>
      </w:r>
    </w:p>
    <w:p>
      <w:pPr>
        <w:pStyle w:val="4"/>
        <w:shd w:val="clear" w:color="auto" w:fill="FFFFFF"/>
        <w:spacing w:before="0" w:beforeAutospacing="0" w:after="0" w:afterAutospacing="0" w:line="600" w:lineRule="exact"/>
        <w:ind w:firstLine="643" w:firstLineChars="200"/>
        <w:outlineLvl w:val="3"/>
        <w:rPr>
          <w:rFonts w:hint="eastAsia" w:eastAsia="宋体"/>
          <w:lang w:val="en-US" w:eastAsia="zh-CN"/>
        </w:rPr>
      </w:pPr>
      <w:r>
        <w:rPr>
          <w:rFonts w:hint="eastAsia" w:ascii="仿宋_GB2312" w:hAnsi="仿宋_GB2312" w:eastAsia="仿宋_GB2312" w:cs="仿宋_GB2312"/>
          <w:b/>
          <w:bCs/>
          <w:color w:val="auto"/>
          <w:sz w:val="32"/>
          <w:szCs w:val="32"/>
          <w:shd w:val="clear" w:color="auto" w:fill="FFFFFF"/>
          <w:lang w:val="en-US" w:eastAsia="zh-CN"/>
        </w:rPr>
        <w:t>3.</w:t>
      </w:r>
      <w:r>
        <w:rPr>
          <w:rFonts w:hint="eastAsia" w:ascii="仿宋_GB2312" w:hAnsi="仿宋_GB2312" w:eastAsia="仿宋_GB2312" w:cs="仿宋_GB2312"/>
          <w:b/>
          <w:bCs/>
          <w:color w:val="auto"/>
          <w:sz w:val="32"/>
          <w:szCs w:val="32"/>
          <w:shd w:val="clear" w:color="auto" w:fill="FFFFFF"/>
          <w:lang w:eastAsia="zh-CN"/>
        </w:rPr>
        <w:t>做好社会公益事业建设领域信息公开。</w:t>
      </w:r>
    </w:p>
    <w:p>
      <w:pPr>
        <w:pStyle w:val="4"/>
        <w:numPr>
          <w:ilvl w:val="0"/>
          <w:numId w:val="0"/>
        </w:numPr>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推进精准脱贫领域信息公开。</w:t>
      </w:r>
    </w:p>
    <w:p>
      <w:pPr>
        <w:pStyle w:val="4"/>
        <w:numPr>
          <w:ilvl w:val="0"/>
          <w:numId w:val="0"/>
        </w:numPr>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hint="eastAsia" w:ascii="仿宋" w:hAnsi="仿宋" w:eastAsia="仿宋" w:cs="仿宋_GB2312"/>
          <w:sz w:val="32"/>
          <w:szCs w:val="32"/>
        </w:rPr>
        <w:t>围绕解决“两不愁三保障”面临的突出问题和脱贫攻坚扶持措施等方面，</w:t>
      </w:r>
      <w:r>
        <w:rPr>
          <w:rFonts w:ascii="Times New Roman" w:hAnsi="Times New Roman" w:eastAsia="仿宋_GB2312" w:cs="Times New Roman"/>
          <w:color w:val="auto"/>
          <w:sz w:val="32"/>
          <w:szCs w:val="32"/>
          <w:lang w:eastAsia="zh-CN"/>
        </w:rPr>
        <w:t>在</w:t>
      </w:r>
      <w:r>
        <w:rPr>
          <w:rFonts w:hint="eastAsia" w:ascii="Times New Roman" w:hAnsi="Times New Roman" w:eastAsia="仿宋_GB2312" w:cs="Times New Roman"/>
          <w:color w:val="auto"/>
          <w:sz w:val="32"/>
          <w:szCs w:val="32"/>
          <w:lang w:eastAsia="zh-CN"/>
        </w:rPr>
        <w:t>政府</w:t>
      </w:r>
      <w:r>
        <w:rPr>
          <w:rFonts w:ascii="Times New Roman" w:hAnsi="Times New Roman" w:eastAsia="仿宋_GB2312" w:cs="Times New Roman"/>
          <w:color w:val="auto"/>
          <w:sz w:val="32"/>
          <w:szCs w:val="32"/>
          <w:lang w:eastAsia="zh-CN"/>
        </w:rPr>
        <w:t>网站建立</w:t>
      </w:r>
      <w:r>
        <w:rPr>
          <w:rFonts w:hint="eastAsia" w:ascii="Times New Roman" w:hAnsi="Times New Roman" w:eastAsia="仿宋_GB2312" w:cs="Times New Roman"/>
          <w:color w:val="auto"/>
          <w:sz w:val="32"/>
          <w:szCs w:val="32"/>
          <w:lang w:eastAsia="zh-CN"/>
        </w:rPr>
        <w:t>精准脱贫栏目</w:t>
      </w:r>
      <w:r>
        <w:rPr>
          <w:rFonts w:ascii="Times New Roman" w:hAnsi="Times New Roman" w:eastAsia="仿宋_GB2312" w:cs="Times New Roman"/>
          <w:color w:val="auto"/>
          <w:sz w:val="32"/>
          <w:szCs w:val="32"/>
          <w:lang w:eastAsia="zh-CN"/>
        </w:rPr>
        <w:t>，及时公开了涉及扶贫领域的行政法规、规章、规范性文件及其他政策文件</w:t>
      </w:r>
      <w:r>
        <w:rPr>
          <w:rFonts w:hint="eastAsia" w:ascii="仿宋" w:hAnsi="仿宋" w:eastAsia="仿宋" w:cs="仿宋_GB2312"/>
          <w:sz w:val="32"/>
          <w:szCs w:val="32"/>
        </w:rPr>
        <w:t>。重点公开了扶贫资金分配使用情况、扶贫产业项目情况、扶贫工作成效等内容,并接受群众和社会监督。20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年通过县政府网站扶贫信息栏目共公开</w:t>
      </w:r>
      <w:r>
        <w:rPr>
          <w:rFonts w:hint="eastAsia" w:ascii="仿宋" w:hAnsi="仿宋" w:eastAsia="仿宋" w:cs="仿宋_GB2312"/>
          <w:sz w:val="32"/>
          <w:szCs w:val="32"/>
          <w:shd w:val="clear" w:color="auto" w:fill="FFFFFF"/>
        </w:rPr>
        <w:t>相关信息</w:t>
      </w:r>
      <w:r>
        <w:rPr>
          <w:rFonts w:hint="eastAsia" w:ascii="仿宋" w:hAnsi="仿宋" w:eastAsia="仿宋" w:cs="仿宋_GB2312"/>
          <w:sz w:val="32"/>
          <w:szCs w:val="32"/>
          <w:shd w:val="clear" w:color="auto" w:fill="FFFFFF"/>
          <w:lang w:val="en-US" w:eastAsia="zh-CN"/>
        </w:rPr>
        <w:t>128</w:t>
      </w:r>
      <w:r>
        <w:rPr>
          <w:rFonts w:hint="eastAsia" w:ascii="仿宋" w:hAnsi="仿宋" w:eastAsia="仿宋" w:cs="仿宋_GB2312"/>
          <w:sz w:val="32"/>
          <w:szCs w:val="32"/>
          <w:shd w:val="clear" w:color="auto" w:fill="FFFFFF"/>
        </w:rPr>
        <w:t>条。</w:t>
      </w:r>
    </w:p>
    <w:p>
      <w:pPr>
        <w:spacing w:line="560" w:lineRule="exact"/>
        <w:ind w:firstLine="480" w:firstLineChars="200"/>
        <w:rPr>
          <w:rFonts w:ascii="Times New Roman" w:hAnsi="Times New Roman" w:eastAsia="仿宋_GB2312" w:cs="Times New Roman"/>
          <w:color w:val="auto"/>
          <w:sz w:val="32"/>
          <w:szCs w:val="32"/>
          <w:lang w:eastAsia="zh-CN"/>
        </w:rPr>
      </w:pPr>
      <w:r>
        <w:rPr>
          <w:rFonts w:hint="eastAsia" w:eastAsia="宋体"/>
          <w:lang w:val="en-US" w:eastAsia="zh-CN"/>
        </w:rPr>
        <w:t xml:space="preserve">  </w:t>
      </w:r>
      <w:r>
        <w:rPr>
          <w:rFonts w:ascii="Times New Roman" w:hAnsi="Times New Roman" w:eastAsia="仿宋_GB2312" w:cs="Times New Roman"/>
          <w:color w:val="auto"/>
          <w:sz w:val="32"/>
          <w:szCs w:val="32"/>
          <w:shd w:val="clear" w:color="auto" w:fill="FFFFFF"/>
          <w:lang w:eastAsia="zh-CN"/>
        </w:rPr>
        <w:t>（</w:t>
      </w:r>
      <w:r>
        <w:rPr>
          <w:rFonts w:hint="eastAsia" w:eastAsia="仿宋_GB2312" w:cs="Times New Roman"/>
          <w:color w:val="auto"/>
          <w:sz w:val="32"/>
          <w:szCs w:val="32"/>
          <w:shd w:val="clear" w:color="auto" w:fill="FFFFFF"/>
          <w:lang w:val="en-US" w:eastAsia="zh-CN"/>
        </w:rPr>
        <w:t>2</w:t>
      </w:r>
      <w:r>
        <w:rPr>
          <w:rFonts w:ascii="Times New Roman" w:hAnsi="Times New Roman" w:eastAsia="仿宋_GB2312" w:cs="Times New Roman"/>
          <w:color w:val="auto"/>
          <w:sz w:val="32"/>
          <w:szCs w:val="32"/>
          <w:shd w:val="clear" w:color="auto" w:fill="FFFFFF"/>
          <w:lang w:eastAsia="zh-CN"/>
        </w:rPr>
        <w:t>）</w:t>
      </w:r>
      <w:r>
        <w:rPr>
          <w:rFonts w:ascii="Times New Roman" w:hAnsi="Times New Roman" w:eastAsia="仿宋_GB2312" w:cs="Times New Roman"/>
          <w:color w:val="auto"/>
          <w:sz w:val="32"/>
          <w:szCs w:val="32"/>
          <w:lang w:eastAsia="zh-CN"/>
        </w:rPr>
        <w:t>推进社会救助和社会福利领域信息公开。</w:t>
      </w:r>
    </w:p>
    <w:p>
      <w:pPr>
        <w:spacing w:line="560" w:lineRule="exact"/>
        <w:ind w:firstLine="640" w:firstLineChars="200"/>
        <w:jc w:val="both"/>
        <w:rPr>
          <w:rFonts w:hint="eastAsia" w:ascii="仿宋" w:hAnsi="仿宋" w:eastAsia="仿宋" w:cs="仿宋_GB2312"/>
          <w:sz w:val="32"/>
          <w:szCs w:val="32"/>
        </w:rPr>
      </w:pPr>
      <w:r>
        <w:rPr>
          <w:rFonts w:hint="eastAsia" w:ascii="仿宋" w:hAnsi="仿宋" w:eastAsia="仿宋" w:cs="仿宋_GB2312"/>
          <w:sz w:val="32"/>
          <w:szCs w:val="32"/>
        </w:rPr>
        <w:t>重点围绕城乡低保、特困人员救助供养、医疗救助、临时救助</w:t>
      </w:r>
      <w:r>
        <w:rPr>
          <w:rFonts w:hint="eastAsia" w:ascii="仿宋" w:hAnsi="仿宋" w:eastAsia="仿宋" w:cs="仿宋_GB2312"/>
          <w:sz w:val="32"/>
          <w:szCs w:val="32"/>
          <w:lang w:eastAsia="zh-CN"/>
        </w:rPr>
        <w:t>、儿童福利、残疾人福利</w:t>
      </w:r>
      <w:r>
        <w:rPr>
          <w:rFonts w:hint="eastAsia" w:ascii="仿宋" w:hAnsi="仿宋" w:eastAsia="仿宋" w:cs="仿宋_GB2312"/>
          <w:sz w:val="32"/>
          <w:szCs w:val="32"/>
        </w:rPr>
        <w:t>等事项，建立社会救助信息公开内容动态更新机制。通过县政府网站</w:t>
      </w:r>
      <w:r>
        <w:rPr>
          <w:rFonts w:hint="eastAsia" w:ascii="Times New Roman" w:hAnsi="Times New Roman" w:eastAsia="仿宋_GB2312" w:cs="Times New Roman"/>
          <w:color w:val="auto"/>
          <w:sz w:val="32"/>
          <w:szCs w:val="32"/>
          <w:lang w:eastAsia="zh-CN"/>
        </w:rPr>
        <w:t>设立“</w:t>
      </w:r>
      <w:r>
        <w:rPr>
          <w:rFonts w:ascii="Times New Roman" w:hAnsi="Times New Roman" w:eastAsia="仿宋_GB2312" w:cs="Times New Roman"/>
          <w:color w:val="auto"/>
          <w:sz w:val="32"/>
          <w:szCs w:val="32"/>
          <w:lang w:eastAsia="zh-CN"/>
        </w:rPr>
        <w:t>社会救助</w:t>
      </w:r>
      <w:r>
        <w:rPr>
          <w:rFonts w:hint="eastAsia" w:eastAsia="仿宋_GB2312" w:cs="Times New Roman"/>
          <w:color w:val="auto"/>
          <w:sz w:val="32"/>
          <w:szCs w:val="32"/>
          <w:lang w:eastAsia="zh-CN"/>
        </w:rPr>
        <w:t>及</w:t>
      </w:r>
      <w:r>
        <w:rPr>
          <w:rFonts w:ascii="Times New Roman" w:hAnsi="Times New Roman" w:eastAsia="仿宋_GB2312" w:cs="Times New Roman"/>
          <w:color w:val="auto"/>
          <w:sz w:val="32"/>
          <w:szCs w:val="32"/>
          <w:lang w:eastAsia="zh-CN"/>
        </w:rPr>
        <w:t>社会福利</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szCs w:val="32"/>
          <w:lang w:eastAsia="zh-CN"/>
        </w:rPr>
        <w:t>栏目</w:t>
      </w:r>
      <w:r>
        <w:rPr>
          <w:rFonts w:hint="eastAsia" w:ascii="Times New Roman" w:hAnsi="Times New Roman" w:eastAsia="仿宋_GB2312" w:cs="Times New Roman"/>
          <w:color w:val="auto"/>
          <w:sz w:val="32"/>
          <w:szCs w:val="32"/>
          <w:lang w:eastAsia="zh-CN"/>
        </w:rPr>
        <w:t>，</w:t>
      </w:r>
      <w:r>
        <w:rPr>
          <w:rFonts w:hint="eastAsia" w:ascii="仿宋" w:hAnsi="仿宋" w:eastAsia="仿宋" w:cs="仿宋_GB2312"/>
          <w:sz w:val="32"/>
          <w:szCs w:val="32"/>
        </w:rPr>
        <w:t>全面公开社会救助政策文件、救助对象认定、救助标准、救助人数、资金支出等相关信息。围绕老年人福利、残疾人福利、儿童福利等事项，通过县政府网站社会福利栏目全面公开福利补贴对象认定条件、申领范围、福利补贴发放等相关政策。</w:t>
      </w:r>
      <w:bookmarkStart w:id="0" w:name="OLE_LINK1"/>
      <w:r>
        <w:rPr>
          <w:rFonts w:hint="eastAsia" w:ascii="仿宋" w:hAnsi="仿宋" w:eastAsia="仿宋" w:cs="仿宋_GB2312"/>
          <w:sz w:val="32"/>
          <w:szCs w:val="32"/>
        </w:rPr>
        <w:t>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年在县政府网站</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社会救助</w:t>
      </w:r>
      <w:r>
        <w:rPr>
          <w:rFonts w:hint="eastAsia" w:eastAsia="仿宋_GB2312" w:cs="Times New Roman"/>
          <w:color w:val="auto"/>
          <w:sz w:val="32"/>
          <w:szCs w:val="32"/>
          <w:lang w:eastAsia="zh-CN"/>
        </w:rPr>
        <w:t>及</w:t>
      </w:r>
      <w:r>
        <w:rPr>
          <w:rFonts w:ascii="Times New Roman" w:hAnsi="Times New Roman" w:eastAsia="仿宋_GB2312" w:cs="Times New Roman"/>
          <w:color w:val="auto"/>
          <w:sz w:val="32"/>
          <w:szCs w:val="32"/>
          <w:lang w:eastAsia="zh-CN"/>
        </w:rPr>
        <w:t>社会福利</w:t>
      </w:r>
      <w:r>
        <w:rPr>
          <w:rFonts w:hint="eastAsia" w:ascii="Times New Roman" w:hAnsi="Times New Roman" w:eastAsia="仿宋_GB2312" w:cs="Times New Roman"/>
          <w:color w:val="auto"/>
          <w:sz w:val="32"/>
          <w:szCs w:val="32"/>
          <w:lang w:eastAsia="zh-CN"/>
        </w:rPr>
        <w:t>”</w:t>
      </w:r>
      <w:r>
        <w:rPr>
          <w:rFonts w:hint="eastAsia" w:eastAsia="仿宋_GB2312" w:cs="Times New Roman"/>
          <w:color w:val="auto"/>
          <w:sz w:val="32"/>
          <w:szCs w:val="32"/>
          <w:lang w:eastAsia="zh-CN"/>
        </w:rPr>
        <w:t>栏目</w:t>
      </w:r>
      <w:r>
        <w:rPr>
          <w:rFonts w:hint="eastAsia" w:ascii="仿宋" w:hAnsi="仿宋" w:eastAsia="仿宋" w:cs="仿宋_GB2312"/>
          <w:sz w:val="32"/>
          <w:szCs w:val="32"/>
        </w:rPr>
        <w:t>共发布</w:t>
      </w:r>
      <w:bookmarkEnd w:id="0"/>
      <w:r>
        <w:rPr>
          <w:rFonts w:hint="eastAsia" w:ascii="仿宋" w:hAnsi="仿宋" w:eastAsia="仿宋" w:cs="仿宋_GB2312"/>
          <w:sz w:val="32"/>
          <w:szCs w:val="32"/>
        </w:rPr>
        <w:t>信息</w:t>
      </w:r>
      <w:r>
        <w:rPr>
          <w:rFonts w:hint="eastAsia" w:ascii="仿宋" w:hAnsi="仿宋" w:eastAsia="仿宋" w:cs="仿宋_GB2312"/>
          <w:sz w:val="32"/>
          <w:szCs w:val="32"/>
          <w:lang w:val="en-US" w:eastAsia="zh-CN"/>
        </w:rPr>
        <w:t>160</w:t>
      </w:r>
      <w:r>
        <w:rPr>
          <w:rFonts w:hint="eastAsia" w:ascii="仿宋" w:hAnsi="仿宋" w:eastAsia="仿宋" w:cs="仿宋_GB2312"/>
          <w:sz w:val="32"/>
          <w:szCs w:val="32"/>
        </w:rPr>
        <w:t>条。</w:t>
      </w:r>
    </w:p>
    <w:p>
      <w:pPr>
        <w:pStyle w:val="2"/>
        <w:rPr>
          <w:rFonts w:hint="eastAsia"/>
        </w:rPr>
      </w:pPr>
      <w:r>
        <w:drawing>
          <wp:anchor distT="0" distB="0" distL="114300" distR="114300" simplePos="0" relativeHeight="251675648" behindDoc="0" locked="0" layoutInCell="1" allowOverlap="1">
            <wp:simplePos x="0" y="0"/>
            <wp:positionH relativeFrom="column">
              <wp:posOffset>9525</wp:posOffset>
            </wp:positionH>
            <wp:positionV relativeFrom="paragraph">
              <wp:posOffset>135890</wp:posOffset>
            </wp:positionV>
            <wp:extent cx="5601970" cy="2951480"/>
            <wp:effectExtent l="0" t="0" r="17780" b="12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601970" cy="2951480"/>
                    </a:xfrm>
                    <a:prstGeom prst="rect">
                      <a:avLst/>
                    </a:prstGeom>
                    <a:noFill/>
                    <a:ln>
                      <a:noFill/>
                    </a:ln>
                  </pic:spPr>
                </pic:pic>
              </a:graphicData>
            </a:graphic>
          </wp:anchor>
        </w:drawing>
      </w:r>
    </w:p>
    <w:p>
      <w:pPr>
        <w:pStyle w:val="4"/>
        <w:numPr>
          <w:ilvl w:val="0"/>
          <w:numId w:val="0"/>
        </w:numPr>
        <w:shd w:val="clear" w:color="auto" w:fill="FFFFFF"/>
        <w:spacing w:before="0" w:beforeAutospacing="0" w:after="0" w:afterAutospacing="0" w:line="600" w:lineRule="exact"/>
        <w:ind w:leftChars="200" w:firstLine="320" w:firstLineChars="100"/>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3</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推进教育领域信息公开。</w:t>
      </w:r>
    </w:p>
    <w:p>
      <w:pPr>
        <w:pStyle w:val="4"/>
        <w:numPr>
          <w:ilvl w:val="0"/>
          <w:numId w:val="0"/>
        </w:numPr>
        <w:shd w:val="clear" w:color="auto" w:fill="FFFFFF"/>
        <w:spacing w:before="0" w:beforeAutospacing="0" w:after="0" w:afterAutospacing="0" w:line="600" w:lineRule="exact"/>
        <w:ind w:firstLine="640" w:firstLineChars="200"/>
        <w:rPr>
          <w:rFonts w:hint="eastAsia"/>
        </w:rPr>
      </w:pPr>
      <w:r>
        <w:rPr>
          <w:rFonts w:ascii="Times New Roman" w:hAnsi="Times New Roman" w:eastAsia="仿宋_GB2312" w:cs="Times New Roman"/>
          <w:color w:val="auto"/>
          <w:sz w:val="32"/>
          <w:szCs w:val="32"/>
          <w:lang w:eastAsia="zh-CN"/>
        </w:rPr>
        <w:t>推进义务教育招生入学政策公开，</w:t>
      </w:r>
      <w:r>
        <w:rPr>
          <w:rFonts w:hint="eastAsia" w:ascii="仿宋" w:hAnsi="仿宋" w:eastAsia="仿宋" w:cs="仿宋_GB2312"/>
          <w:sz w:val="32"/>
          <w:szCs w:val="32"/>
        </w:rPr>
        <w:t>通过县政府网站</w:t>
      </w:r>
      <w:r>
        <w:rPr>
          <w:rFonts w:hint="eastAsia" w:ascii="仿宋" w:hAnsi="仿宋" w:eastAsia="仿宋" w:cs="仿宋_GB2312"/>
          <w:sz w:val="32"/>
          <w:szCs w:val="32"/>
          <w:lang w:eastAsia="zh-CN"/>
        </w:rPr>
        <w:t>建立“公共企事业单位信息公开”专栏</w:t>
      </w:r>
      <w:r>
        <w:rPr>
          <w:rFonts w:hint="eastAsia" w:ascii="仿宋" w:hAnsi="仿宋" w:eastAsia="仿宋" w:cs="仿宋_GB2312"/>
          <w:sz w:val="32"/>
          <w:szCs w:val="32"/>
        </w:rPr>
        <w:t>，</w:t>
      </w:r>
      <w:r>
        <w:rPr>
          <w:rFonts w:hint="eastAsia" w:ascii="仿宋" w:hAnsi="仿宋" w:eastAsia="仿宋" w:cs="仿宋_GB2312"/>
          <w:sz w:val="32"/>
          <w:szCs w:val="32"/>
          <w:lang w:eastAsia="zh-CN"/>
        </w:rPr>
        <w:t>通过“教育动态”栏目</w:t>
      </w:r>
      <w:r>
        <w:rPr>
          <w:rFonts w:hint="eastAsia" w:ascii="仿宋" w:hAnsi="仿宋" w:eastAsia="仿宋" w:cs="仿宋_GB2312"/>
          <w:sz w:val="32"/>
          <w:szCs w:val="32"/>
        </w:rPr>
        <w:t>及时公开</w:t>
      </w:r>
      <w:r>
        <w:rPr>
          <w:rFonts w:ascii="Times New Roman" w:hAnsi="Times New Roman" w:eastAsia="仿宋_GB2312" w:cs="Times New Roman"/>
          <w:color w:val="auto"/>
          <w:sz w:val="32"/>
          <w:szCs w:val="32"/>
          <w:lang w:eastAsia="zh-CN"/>
        </w:rPr>
        <w:t>义务教育招生方案、招生范围、招生程序、报名条件、学校情况、录取结果、咨询方式</w:t>
      </w:r>
      <w:r>
        <w:rPr>
          <w:rFonts w:hint="eastAsia" w:ascii="Times New Roman" w:hAnsi="Times New Roman" w:eastAsia="仿宋_GB2312" w:cs="Times New Roman"/>
          <w:color w:val="auto"/>
          <w:sz w:val="32"/>
          <w:szCs w:val="32"/>
          <w:lang w:eastAsia="zh-CN"/>
        </w:rPr>
        <w:t>等信息</w:t>
      </w:r>
      <w:r>
        <w:rPr>
          <w:rFonts w:hint="eastAsia" w:ascii="仿宋" w:hAnsi="仿宋" w:eastAsia="仿宋" w:cs="仿宋_GB2312"/>
          <w:sz w:val="32"/>
          <w:szCs w:val="32"/>
        </w:rPr>
        <w:t>，促进发展更加公平更有质量的教育。</w:t>
      </w:r>
      <w:r>
        <w:rPr>
          <w:rFonts w:hint="eastAsia" w:ascii="仿宋" w:hAnsi="仿宋" w:eastAsia="仿宋" w:cs="仿宋_GB2312"/>
          <w:sz w:val="32"/>
          <w:szCs w:val="32"/>
          <w:lang w:eastAsia="zh-CN"/>
        </w:rPr>
        <w:t>通过“义务教育”“学前教育”“特殊教育”“职业教育”“民办学校”栏目，重点公开我县不同阶段、不同性质学校的情况，通过专栏的形式进行分级分类，充分展现我县的教育质量和教学水平。</w:t>
      </w:r>
    </w:p>
    <w:p>
      <w:pPr>
        <w:numPr>
          <w:ilvl w:val="0"/>
          <w:numId w:val="0"/>
        </w:numPr>
        <w:spacing w:line="560" w:lineRule="exact"/>
        <w:ind w:firstLine="640" w:firstLineChars="200"/>
        <w:rPr>
          <w:rFonts w:ascii="Times New Roman" w:hAnsi="Times New Roman" w:eastAsia="仿宋_GB2312" w:cs="Times New Roman"/>
          <w:color w:val="auto"/>
          <w:sz w:val="32"/>
          <w:szCs w:val="32"/>
          <w:lang w:eastAsia="zh-CN"/>
        </w:rPr>
      </w:pP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4</w:t>
      </w:r>
      <w:r>
        <w:rPr>
          <w:rFonts w:hint="eastAsia"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推进污染防治领域信息公开。</w:t>
      </w:r>
    </w:p>
    <w:p>
      <w:pPr>
        <w:numPr>
          <w:ilvl w:val="0"/>
          <w:numId w:val="0"/>
        </w:numPr>
        <w:spacing w:line="560" w:lineRule="exact"/>
        <w:ind w:firstLine="640" w:firstLineChars="200"/>
        <w:rPr>
          <w:rFonts w:hint="eastAsia" w:ascii="仿宋" w:hAnsi="仿宋" w:eastAsia="仿宋" w:cs="仿宋_GB2312"/>
          <w:sz w:val="32"/>
          <w:szCs w:val="32"/>
        </w:rPr>
      </w:pPr>
      <w:r>
        <w:rPr>
          <w:rFonts w:hint="eastAsia" w:ascii="Times New Roman" w:hAnsi="Times New Roman" w:eastAsia="仿宋_GB2312" w:cs="Times New Roman"/>
          <w:color w:val="auto"/>
          <w:sz w:val="32"/>
          <w:szCs w:val="32"/>
          <w:lang w:eastAsia="zh-CN"/>
        </w:rPr>
        <w:t>推进环境空气质量信息公开，按月发布全县环境空气质量状况等信息。</w:t>
      </w:r>
      <w:r>
        <w:rPr>
          <w:rFonts w:ascii="Times New Roman" w:hAnsi="Times New Roman" w:eastAsia="仿宋_GB2312" w:cs="Times New Roman"/>
          <w:color w:val="auto"/>
          <w:sz w:val="32"/>
          <w:szCs w:val="32"/>
          <w:lang w:eastAsia="zh-CN"/>
        </w:rPr>
        <w:t>严格落实水环境质量信息发布，</w:t>
      </w:r>
      <w:r>
        <w:rPr>
          <w:rFonts w:hint="eastAsia" w:ascii="Times New Roman" w:hAnsi="Times New Roman" w:eastAsia="仿宋_GB2312" w:cs="Times New Roman"/>
          <w:color w:val="auto"/>
          <w:sz w:val="32"/>
          <w:szCs w:val="32"/>
          <w:lang w:eastAsia="zh-CN"/>
        </w:rPr>
        <w:t>持续推进每月在县政府网站饮用水水质公告栏目向社会公开供水厂出水、管末水等饮水安全状况。建立重点排污单位和企业事业单位公开制度，公开重点排污单位。</w:t>
      </w:r>
    </w:p>
    <w:p>
      <w:pPr>
        <w:pStyle w:val="2"/>
        <w:ind w:left="0" w:leftChars="0" w:firstLine="0" w:firstLineChars="0"/>
        <w:rPr>
          <w:rFonts w:hint="eastAsia"/>
        </w:rPr>
      </w:pPr>
      <w:r>
        <w:drawing>
          <wp:inline distT="0" distB="0" distL="114300" distR="114300">
            <wp:extent cx="5595620" cy="3070225"/>
            <wp:effectExtent l="0" t="0" r="5080" b="158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5595620" cy="3070225"/>
                    </a:xfrm>
                    <a:prstGeom prst="rect">
                      <a:avLst/>
                    </a:prstGeom>
                    <a:noFill/>
                    <a:ln>
                      <a:noFill/>
                    </a:ln>
                  </pic:spPr>
                </pic:pic>
              </a:graphicData>
            </a:graphic>
          </wp:inline>
        </w:drawing>
      </w:r>
    </w:p>
    <w:p>
      <w:pPr>
        <w:rPr>
          <w:lang w:eastAsia="zh-CN"/>
        </w:rPr>
      </w:pPr>
    </w:p>
    <w:p>
      <w:pPr>
        <w:pStyle w:val="4"/>
        <w:numPr>
          <w:ilvl w:val="0"/>
          <w:numId w:val="0"/>
        </w:numPr>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5</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推进医疗健康领域信息公开。</w:t>
      </w:r>
    </w:p>
    <w:p>
      <w:pPr>
        <w:pStyle w:val="4"/>
        <w:numPr>
          <w:ilvl w:val="0"/>
          <w:numId w:val="0"/>
        </w:numPr>
        <w:shd w:val="clear" w:color="auto" w:fill="FFFFFF"/>
        <w:spacing w:before="0" w:beforeAutospacing="0" w:after="0" w:afterAutospacing="0" w:line="600" w:lineRule="exact"/>
        <w:ind w:firstLine="640" w:firstLineChars="200"/>
        <w:rPr>
          <w:rFonts w:hint="eastAsia"/>
          <w:lang w:eastAsia="zh-CN"/>
        </w:rPr>
      </w:pPr>
      <w:r>
        <w:rPr>
          <w:rFonts w:hint="eastAsia" w:ascii="仿宋" w:hAnsi="仿宋" w:eastAsia="仿宋" w:cs="仿宋_GB2312"/>
          <w:sz w:val="32"/>
          <w:szCs w:val="32"/>
        </w:rPr>
        <w:t>围绕保障人民群众身体健康，加大医疗服务、药品安全、医保监管等方面信息公开力度。</w:t>
      </w:r>
      <w:r>
        <w:rPr>
          <w:rFonts w:hint="eastAsia" w:ascii="仿宋" w:hAnsi="仿宋" w:eastAsia="仿宋" w:cs="仿宋_GB2312"/>
          <w:sz w:val="32"/>
          <w:szCs w:val="32"/>
          <w:lang w:eastAsia="zh-CN"/>
        </w:rPr>
        <w:t>在</w:t>
      </w:r>
      <w:r>
        <w:rPr>
          <w:rFonts w:hint="eastAsia" w:ascii="仿宋" w:hAnsi="仿宋" w:eastAsia="仿宋" w:cs="仿宋_GB2312"/>
          <w:sz w:val="32"/>
          <w:szCs w:val="32"/>
        </w:rPr>
        <w:t>县政府网站</w:t>
      </w:r>
      <w:r>
        <w:rPr>
          <w:rFonts w:hint="eastAsia" w:ascii="仿宋" w:hAnsi="仿宋" w:eastAsia="仿宋" w:cs="仿宋_GB2312"/>
          <w:sz w:val="32"/>
          <w:szCs w:val="32"/>
          <w:lang w:eastAsia="zh-CN"/>
        </w:rPr>
        <w:t>建立“公共企事业单位信息公开”专栏</w:t>
      </w:r>
      <w:r>
        <w:rPr>
          <w:rFonts w:hint="eastAsia" w:ascii="仿宋" w:hAnsi="仿宋" w:eastAsia="仿宋" w:cs="仿宋_GB2312"/>
          <w:sz w:val="32"/>
          <w:szCs w:val="32"/>
        </w:rPr>
        <w:t>，</w:t>
      </w:r>
      <w:r>
        <w:rPr>
          <w:rFonts w:hint="eastAsia" w:ascii="仿宋" w:hAnsi="仿宋" w:eastAsia="仿宋" w:cs="仿宋_GB2312"/>
          <w:sz w:val="32"/>
          <w:szCs w:val="32"/>
          <w:lang w:eastAsia="zh-CN"/>
        </w:rPr>
        <w:t>通过“医疗卫生信息”栏目</w:t>
      </w:r>
      <w:r>
        <w:rPr>
          <w:rFonts w:hint="eastAsia" w:ascii="仿宋" w:hAnsi="仿宋" w:eastAsia="仿宋" w:cs="仿宋_GB2312"/>
          <w:sz w:val="32"/>
          <w:szCs w:val="32"/>
        </w:rPr>
        <w:t>及时公开</w:t>
      </w:r>
      <w:r>
        <w:rPr>
          <w:rFonts w:hint="eastAsia" w:ascii="仿宋" w:hAnsi="仿宋" w:eastAsia="仿宋" w:cs="仿宋_GB2312"/>
          <w:sz w:val="32"/>
          <w:szCs w:val="32"/>
          <w:lang w:eastAsia="zh-CN"/>
        </w:rPr>
        <w:t>我县基本公共卫生服务项目承担机构名录、医疗机构数量布局和大型设备资源配置情况等基本公共卫生基础信息。对县级医院分别建立专栏进行展示，及时公开专业门诊服务内容和特色、办理入出院时间和流程、本院预约挂号的流程与方法等基本信息。</w:t>
      </w:r>
      <w:r>
        <w:rPr>
          <w:rFonts w:hint="eastAsia" w:ascii="仿宋" w:hAnsi="仿宋" w:eastAsia="仿宋" w:cs="仿宋_GB2312"/>
          <w:sz w:val="32"/>
          <w:szCs w:val="32"/>
        </w:rPr>
        <w:t>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年通过县政府网站</w:t>
      </w:r>
      <w:r>
        <w:rPr>
          <w:rFonts w:hint="eastAsia" w:ascii="仿宋" w:hAnsi="仿宋" w:eastAsia="仿宋" w:cs="仿宋_GB2312"/>
          <w:color w:val="000000"/>
          <w:sz w:val="32"/>
          <w:szCs w:val="32"/>
          <w:shd w:val="clear" w:color="auto" w:fill="FFFFFF"/>
        </w:rPr>
        <w:t>医疗健康栏目共公开信息</w:t>
      </w:r>
      <w:r>
        <w:rPr>
          <w:rFonts w:hint="eastAsia" w:ascii="仿宋" w:hAnsi="仿宋" w:eastAsia="仿宋" w:cs="仿宋_GB2312"/>
          <w:color w:val="000000"/>
          <w:sz w:val="32"/>
          <w:szCs w:val="32"/>
          <w:shd w:val="clear" w:color="auto" w:fill="FFFFFF"/>
          <w:lang w:val="en-US" w:eastAsia="zh-CN"/>
        </w:rPr>
        <w:t>94</w:t>
      </w:r>
      <w:r>
        <w:rPr>
          <w:rFonts w:hint="eastAsia" w:ascii="仿宋" w:hAnsi="仿宋" w:eastAsia="仿宋" w:cs="仿宋_GB2312"/>
          <w:color w:val="000000"/>
          <w:sz w:val="32"/>
          <w:szCs w:val="32"/>
          <w:shd w:val="clear" w:color="auto" w:fill="FFFFFF"/>
        </w:rPr>
        <w:t>条。</w:t>
      </w:r>
    </w:p>
    <w:p>
      <w:pPr>
        <w:numPr>
          <w:ilvl w:val="0"/>
          <w:numId w:val="0"/>
        </w:numPr>
        <w:spacing w:line="560" w:lineRule="exact"/>
        <w:ind w:firstLine="480" w:firstLineChars="200"/>
        <w:rPr>
          <w:rFonts w:hint="eastAsia" w:ascii="仿宋_GB2312" w:hAnsi="仿宋_GB2312" w:eastAsia="仿宋_GB2312" w:cs="仿宋_GB2312"/>
          <w:sz w:val="32"/>
          <w:szCs w:val="32"/>
          <w:lang w:eastAsia="zh-CN"/>
        </w:rPr>
      </w:pPr>
      <w:r>
        <w:drawing>
          <wp:anchor distT="0" distB="0" distL="114300" distR="114300" simplePos="0" relativeHeight="251676672" behindDoc="0" locked="0" layoutInCell="1" allowOverlap="1">
            <wp:simplePos x="0" y="0"/>
            <wp:positionH relativeFrom="column">
              <wp:posOffset>66675</wp:posOffset>
            </wp:positionH>
            <wp:positionV relativeFrom="paragraph">
              <wp:posOffset>156210</wp:posOffset>
            </wp:positionV>
            <wp:extent cx="5601335" cy="2728595"/>
            <wp:effectExtent l="0" t="0" r="18415" b="146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601335" cy="2728595"/>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rPr>
        <w:t>推进社会保险信息公开</w:t>
      </w:r>
      <w:r>
        <w:rPr>
          <w:rFonts w:hint="eastAsia" w:ascii="仿宋_GB2312" w:hAnsi="仿宋_GB2312" w:eastAsia="仿宋_GB2312" w:cs="仿宋_GB2312"/>
          <w:sz w:val="32"/>
          <w:szCs w:val="32"/>
          <w:lang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建立健全社会保险信息披露制度，主动公开现行有效的社会保险法规、政策、标准等。在县政府网站</w:t>
      </w:r>
      <w:r>
        <w:rPr>
          <w:rFonts w:hint="eastAsia" w:ascii="仿宋_GB2312" w:hAnsi="仿宋_GB2312" w:eastAsia="仿宋_GB2312" w:cs="仿宋_GB2312"/>
          <w:sz w:val="32"/>
          <w:szCs w:val="32"/>
          <w:lang w:eastAsia="zh-CN"/>
        </w:rPr>
        <w:t>“社会保险”</w:t>
      </w:r>
      <w:r>
        <w:rPr>
          <w:rFonts w:hint="eastAsia" w:ascii="仿宋_GB2312" w:hAnsi="仿宋_GB2312" w:eastAsia="仿宋_GB2312" w:cs="仿宋_GB2312"/>
          <w:sz w:val="32"/>
          <w:szCs w:val="32"/>
        </w:rPr>
        <w:t>栏目公开参保人数、待遇支付情况，及时发布医保定点医院、药店及药品、诊疗项目目录等。</w:t>
      </w:r>
      <w:r>
        <w:rPr>
          <w:rFonts w:hint="eastAsia" w:ascii="仿宋_GB2312" w:hAnsi="仿宋_GB2312" w:eastAsia="仿宋_GB2312" w:cs="仿宋_GB2312"/>
          <w:color w:val="auto"/>
          <w:sz w:val="32"/>
          <w:szCs w:val="32"/>
          <w:lang w:eastAsia="zh-CN"/>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lang w:eastAsia="zh-CN"/>
        </w:rPr>
        <w:t>年在</w:t>
      </w:r>
      <w:r>
        <w:rPr>
          <w:rFonts w:hint="eastAsia" w:ascii="仿宋_GB2312" w:hAnsi="仿宋_GB2312" w:eastAsia="仿宋_GB2312" w:cs="仿宋_GB2312"/>
          <w:sz w:val="32"/>
          <w:szCs w:val="32"/>
          <w:lang w:eastAsia="zh-CN"/>
        </w:rPr>
        <w:t>“社会保险”</w:t>
      </w:r>
      <w:r>
        <w:rPr>
          <w:rFonts w:hint="eastAsia" w:ascii="仿宋_GB2312" w:hAnsi="仿宋_GB2312" w:eastAsia="仿宋_GB2312" w:cs="仿宋_GB2312"/>
          <w:sz w:val="32"/>
          <w:szCs w:val="32"/>
        </w:rPr>
        <w:t>栏目</w:t>
      </w:r>
      <w:r>
        <w:rPr>
          <w:rFonts w:hint="eastAsia" w:ascii="仿宋_GB2312" w:hAnsi="仿宋_GB2312" w:eastAsia="仿宋_GB2312" w:cs="仿宋_GB2312"/>
          <w:color w:val="auto"/>
          <w:sz w:val="32"/>
          <w:szCs w:val="32"/>
          <w:lang w:eastAsia="zh-CN"/>
        </w:rPr>
        <w:t>共发布</w:t>
      </w:r>
      <w:r>
        <w:rPr>
          <w:rFonts w:hint="eastAsia" w:ascii="仿宋_GB2312" w:hAnsi="仿宋_GB2312" w:eastAsia="仿宋_GB2312" w:cs="仿宋_GB2312"/>
          <w:color w:val="auto"/>
          <w:sz w:val="32"/>
          <w:szCs w:val="32"/>
          <w:lang w:val="en-US" w:eastAsia="zh-CN"/>
        </w:rPr>
        <w:t>66</w:t>
      </w:r>
      <w:r>
        <w:rPr>
          <w:rFonts w:hint="eastAsia" w:ascii="仿宋_GB2312" w:hAnsi="仿宋_GB2312" w:eastAsia="仿宋_GB2312" w:cs="仿宋_GB2312"/>
          <w:color w:val="auto"/>
          <w:sz w:val="32"/>
          <w:szCs w:val="32"/>
          <w:lang w:eastAsia="zh-CN"/>
        </w:rPr>
        <w:t>条信息。</w:t>
      </w:r>
    </w:p>
    <w:p>
      <w:pPr>
        <w:numPr>
          <w:ilvl w:val="0"/>
          <w:numId w:val="0"/>
        </w:numPr>
        <w:spacing w:line="560" w:lineRule="exact"/>
        <w:ind w:leftChars="200" w:firstLine="320" w:firstLineChars="1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）推进就业创业领域信息公开。</w:t>
      </w:r>
    </w:p>
    <w:p>
      <w:pPr>
        <w:numPr>
          <w:ilvl w:val="0"/>
          <w:numId w:val="0"/>
        </w:numPr>
        <w:spacing w:line="560" w:lineRule="exact"/>
        <w:ind w:firstLine="640" w:firstLineChars="200"/>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color w:val="auto"/>
          <w:sz w:val="32"/>
          <w:szCs w:val="32"/>
          <w:lang w:eastAsia="zh-CN"/>
        </w:rPr>
        <w:t>重点公开各项就业创业优惠扶持政策的实施范围、各项补贴政策的申领条件和程序等情况。主动发布岗位供求、创业、职业培训等信息，做好面向高校毕业生、退役军人、下岗职工、农民工等重点群体的就业专项活动和高职院校考试招生信息的公开工作。</w:t>
      </w:r>
    </w:p>
    <w:p>
      <w:pPr>
        <w:pStyle w:val="2"/>
        <w:ind w:left="0" w:leftChars="0" w:firstLine="0" w:firstLineChars="0"/>
        <w:rPr>
          <w:rFonts w:hint="eastAsia" w:ascii="仿宋" w:hAnsi="仿宋" w:eastAsia="仿宋" w:cs="仿宋_GB2312"/>
          <w:color w:val="000000"/>
          <w:sz w:val="32"/>
          <w:szCs w:val="32"/>
          <w:shd w:val="clear" w:color="auto" w:fill="FFFFFF"/>
        </w:rPr>
      </w:pPr>
      <w:r>
        <w:drawing>
          <wp:anchor distT="0" distB="0" distL="114300" distR="114300" simplePos="0" relativeHeight="251661312" behindDoc="0" locked="0" layoutInCell="1" allowOverlap="1">
            <wp:simplePos x="0" y="0"/>
            <wp:positionH relativeFrom="column">
              <wp:posOffset>123825</wp:posOffset>
            </wp:positionH>
            <wp:positionV relativeFrom="paragraph">
              <wp:posOffset>62865</wp:posOffset>
            </wp:positionV>
            <wp:extent cx="5601970" cy="3155315"/>
            <wp:effectExtent l="0" t="0" r="17780"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601970" cy="3155315"/>
                    </a:xfrm>
                    <a:prstGeom prst="rect">
                      <a:avLst/>
                    </a:prstGeom>
                    <a:noFill/>
                    <a:ln>
                      <a:noFill/>
                    </a:ln>
                  </pic:spPr>
                </pic:pic>
              </a:graphicData>
            </a:graphic>
          </wp:anchor>
        </w:drawing>
      </w:r>
    </w:p>
    <w:p>
      <w:pPr>
        <w:numPr>
          <w:ilvl w:val="0"/>
          <w:numId w:val="0"/>
        </w:numPr>
        <w:spacing w:line="600" w:lineRule="exact"/>
        <w:ind w:leftChars="200" w:firstLine="320" w:firstLineChars="100"/>
        <w:rPr>
          <w:rFonts w:eastAsia="仿宋_GB2312"/>
          <w:color w:val="auto"/>
          <w:sz w:val="32"/>
          <w:szCs w:val="32"/>
          <w:lang w:eastAsia="zh-CN"/>
        </w:rPr>
      </w:pPr>
      <w:r>
        <w:rPr>
          <w:rFonts w:hint="eastAsia" w:eastAsia="仿宋_GB2312"/>
          <w:color w:val="auto"/>
          <w:sz w:val="32"/>
          <w:szCs w:val="32"/>
          <w:lang w:eastAsia="zh-CN"/>
        </w:rPr>
        <w:t>（</w:t>
      </w:r>
      <w:r>
        <w:rPr>
          <w:rFonts w:hint="eastAsia" w:eastAsia="仿宋_GB2312"/>
          <w:color w:val="auto"/>
          <w:sz w:val="32"/>
          <w:szCs w:val="32"/>
          <w:lang w:val="en-US" w:eastAsia="zh-CN"/>
        </w:rPr>
        <w:t>8</w:t>
      </w:r>
      <w:r>
        <w:rPr>
          <w:rFonts w:hint="eastAsia" w:eastAsia="仿宋_GB2312"/>
          <w:color w:val="auto"/>
          <w:sz w:val="32"/>
          <w:szCs w:val="32"/>
          <w:lang w:eastAsia="zh-CN"/>
        </w:rPr>
        <w:t>）</w:t>
      </w:r>
      <w:r>
        <w:rPr>
          <w:rFonts w:eastAsia="仿宋_GB2312"/>
          <w:color w:val="auto"/>
          <w:sz w:val="32"/>
          <w:szCs w:val="32"/>
          <w:lang w:eastAsia="zh-CN"/>
        </w:rPr>
        <w:t>推进征地信息领域信息公开。</w:t>
      </w:r>
    </w:p>
    <w:p>
      <w:pPr>
        <w:numPr>
          <w:ilvl w:val="0"/>
          <w:numId w:val="0"/>
        </w:numPr>
        <w:spacing w:line="600" w:lineRule="exact"/>
        <w:ind w:firstLine="640" w:firstLineChars="200"/>
        <w:rPr>
          <w:rFonts w:hint="eastAsia" w:eastAsia="仿宋_GB2312"/>
          <w:color w:val="auto"/>
          <w:sz w:val="32"/>
          <w:szCs w:val="32"/>
          <w:lang w:eastAsia="zh-CN"/>
        </w:rPr>
      </w:pPr>
      <w:r>
        <w:rPr>
          <w:rFonts w:hint="eastAsia" w:eastAsia="仿宋_GB2312"/>
          <w:color w:val="auto"/>
          <w:sz w:val="32"/>
          <w:szCs w:val="32"/>
          <w:lang w:eastAsia="zh-CN"/>
        </w:rPr>
        <w:t>在政府网站上设立“土地征收”栏目，链接到</w:t>
      </w:r>
      <w:r>
        <w:rPr>
          <w:rFonts w:eastAsia="仿宋_GB2312"/>
          <w:color w:val="auto"/>
          <w:sz w:val="32"/>
          <w:szCs w:val="32"/>
          <w:lang w:eastAsia="zh-CN"/>
        </w:rPr>
        <w:t>山东省征地信息公开查询系统</w:t>
      </w:r>
      <w:r>
        <w:rPr>
          <w:rFonts w:hint="eastAsia" w:eastAsia="仿宋_GB2312"/>
          <w:color w:val="auto"/>
          <w:sz w:val="32"/>
          <w:szCs w:val="32"/>
          <w:lang w:eastAsia="zh-CN"/>
        </w:rPr>
        <w:t>链接</w:t>
      </w:r>
      <w:r>
        <w:rPr>
          <w:rFonts w:eastAsia="仿宋_GB2312"/>
          <w:color w:val="auto"/>
          <w:sz w:val="32"/>
          <w:szCs w:val="32"/>
          <w:lang w:eastAsia="zh-CN"/>
        </w:rPr>
        <w:t>，</w:t>
      </w:r>
      <w:r>
        <w:rPr>
          <w:rFonts w:hint="eastAsia" w:eastAsia="仿宋_GB2312"/>
          <w:color w:val="auto"/>
          <w:sz w:val="32"/>
          <w:szCs w:val="32"/>
          <w:lang w:eastAsia="zh-CN"/>
        </w:rPr>
        <w:t>方便群众查询</w:t>
      </w:r>
      <w:r>
        <w:rPr>
          <w:rFonts w:eastAsia="仿宋_GB2312"/>
          <w:bCs/>
          <w:color w:val="auto"/>
          <w:sz w:val="32"/>
          <w:szCs w:val="32"/>
          <w:lang w:eastAsia="zh-CN"/>
        </w:rPr>
        <w:t>土地审批结果、用地政策、地价、矿业权出让、执法等信息</w:t>
      </w:r>
      <w:r>
        <w:rPr>
          <w:rFonts w:eastAsia="仿宋_GB2312"/>
          <w:color w:val="auto"/>
          <w:sz w:val="32"/>
          <w:szCs w:val="32"/>
          <w:lang w:eastAsia="zh-CN"/>
        </w:rPr>
        <w:t>。</w:t>
      </w:r>
      <w:r>
        <w:rPr>
          <w:rFonts w:hint="eastAsia" w:eastAsia="仿宋_GB2312"/>
          <w:color w:val="auto"/>
          <w:sz w:val="32"/>
          <w:szCs w:val="32"/>
          <w:lang w:eastAsia="zh-CN"/>
        </w:rPr>
        <w:t>通过“公示公告”“农村集体土地征收”栏目，对我县土地征收情况进行公示。</w:t>
      </w:r>
    </w:p>
    <w:p>
      <w:pPr>
        <w:pStyle w:val="2"/>
        <w:rPr>
          <w:rFonts w:hint="default"/>
          <w:lang w:val="en-US" w:eastAsia="zh-CN"/>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88265</wp:posOffset>
            </wp:positionV>
            <wp:extent cx="5600065" cy="3368675"/>
            <wp:effectExtent l="0" t="0" r="635"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600065" cy="3368675"/>
                    </a:xfrm>
                    <a:prstGeom prst="rect">
                      <a:avLst/>
                    </a:prstGeom>
                    <a:noFill/>
                    <a:ln>
                      <a:noFill/>
                    </a:ln>
                  </pic:spPr>
                </pic:pic>
              </a:graphicData>
            </a:graphic>
          </wp:anchor>
        </w:drawing>
      </w:r>
    </w:p>
    <w:p>
      <w:pPr>
        <w:pStyle w:val="4"/>
        <w:numPr>
          <w:ilvl w:val="0"/>
          <w:numId w:val="0"/>
        </w:numPr>
        <w:shd w:val="clear" w:color="auto" w:fill="FFFFFF"/>
        <w:spacing w:before="0" w:beforeAutospacing="0" w:after="0" w:afterAutospacing="0" w:line="600" w:lineRule="exact"/>
        <w:ind w:leftChars="200"/>
        <w:rPr>
          <w:rFonts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9</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推进公共文化</w:t>
      </w:r>
      <w:r>
        <w:rPr>
          <w:rFonts w:hint="eastAsia" w:ascii="Times New Roman" w:hAnsi="Times New Roman" w:eastAsia="仿宋_GB2312" w:cs="Times New Roman"/>
          <w:color w:val="auto"/>
          <w:sz w:val="32"/>
          <w:szCs w:val="32"/>
          <w:lang w:eastAsia="zh-CN"/>
        </w:rPr>
        <w:t>体育</w:t>
      </w:r>
      <w:r>
        <w:rPr>
          <w:rFonts w:ascii="Times New Roman" w:hAnsi="Times New Roman" w:eastAsia="仿宋_GB2312" w:cs="Times New Roman"/>
          <w:color w:val="auto"/>
          <w:sz w:val="32"/>
          <w:szCs w:val="32"/>
          <w:lang w:eastAsia="zh-CN"/>
        </w:rPr>
        <w:t>领域信息公开。</w:t>
      </w:r>
    </w:p>
    <w:p>
      <w:pPr>
        <w:pStyle w:val="4"/>
        <w:numPr>
          <w:ilvl w:val="0"/>
          <w:numId w:val="0"/>
        </w:numPr>
        <w:shd w:val="clear" w:color="auto" w:fill="FFFFFF"/>
        <w:spacing w:before="0" w:beforeAutospacing="0" w:after="0" w:afterAutospacing="0" w:line="600" w:lineRule="exact"/>
        <w:ind w:firstLine="640" w:firstLineChars="200"/>
        <w:rPr>
          <w:rFonts w:hint="eastAsia" w:ascii="Times New Roman" w:hAnsi="Times New Roman" w:eastAsia="仿宋_GB2312" w:cs="Times New Roman"/>
          <w:b w:val="0"/>
          <w:bCs/>
          <w:color w:val="auto"/>
          <w:sz w:val="32"/>
          <w:szCs w:val="32"/>
          <w:shd w:val="clear" w:color="auto" w:fill="FFFFFF"/>
          <w:lang w:val="en-US" w:eastAsia="zh-CN"/>
        </w:rPr>
      </w:pPr>
      <w:r>
        <w:rPr>
          <w:rFonts w:hint="eastAsia" w:ascii="Times New Roman" w:hAnsi="Times New Roman" w:eastAsia="仿宋_GB2312" w:cs="Times New Roman"/>
          <w:color w:val="auto"/>
          <w:sz w:val="32"/>
          <w:szCs w:val="32"/>
          <w:lang w:eastAsia="zh-CN"/>
        </w:rPr>
        <w:t>围绕公共文化体育的服务保障政策、财政资金投入和使用、设施建设和使用等，及时公开非物质文化遗产保护名录、公共文化体育设施名录、公益性体育赛事和活动等信息。同时多渠道及时发布公益性文化服务活动、公益性体育赛事和活动、受捐款物管理使用安排使用等情况。20</w:t>
      </w:r>
      <w:r>
        <w:rPr>
          <w:rFonts w:hint="eastAsia" w:ascii="Times New Roman" w:hAnsi="Times New Roman" w:eastAsia="仿宋_GB2312" w:cs="Times New Roman"/>
          <w:color w:val="auto"/>
          <w:sz w:val="32"/>
          <w:szCs w:val="32"/>
          <w:lang w:val="en-US" w:eastAsia="zh-CN"/>
        </w:rPr>
        <w:t>20</w:t>
      </w:r>
      <w:r>
        <w:rPr>
          <w:rFonts w:hint="eastAsia" w:ascii="Times New Roman" w:hAnsi="Times New Roman" w:eastAsia="仿宋_GB2312" w:cs="Times New Roman"/>
          <w:color w:val="auto"/>
          <w:sz w:val="32"/>
          <w:szCs w:val="32"/>
          <w:lang w:eastAsia="zh-CN"/>
        </w:rPr>
        <w:t>年共公开文化教育体育类信息</w:t>
      </w:r>
      <w:r>
        <w:rPr>
          <w:rFonts w:hint="eastAsia" w:ascii="Times New Roman" w:hAnsi="Times New Roman" w:eastAsia="仿宋_GB2312" w:cs="Times New Roman"/>
          <w:color w:val="auto"/>
          <w:sz w:val="32"/>
          <w:szCs w:val="32"/>
          <w:lang w:val="en-US" w:eastAsia="zh-CN"/>
        </w:rPr>
        <w:t>167</w:t>
      </w:r>
      <w:r>
        <w:rPr>
          <w:rFonts w:hint="eastAsia" w:ascii="Times New Roman" w:hAnsi="Times New Roman" w:eastAsia="仿宋_GB2312" w:cs="Times New Roman"/>
          <w:color w:val="auto"/>
          <w:sz w:val="32"/>
          <w:szCs w:val="32"/>
          <w:lang w:eastAsia="zh-CN"/>
        </w:rPr>
        <w:t>条。</w:t>
      </w:r>
    </w:p>
    <w:p>
      <w:pPr>
        <w:pStyle w:val="4"/>
        <w:numPr>
          <w:ilvl w:val="0"/>
          <w:numId w:val="0"/>
        </w:numPr>
        <w:shd w:val="clear" w:color="auto" w:fill="FFFFFF"/>
        <w:spacing w:before="0" w:beforeAutospacing="0" w:after="0" w:afterAutospacing="0" w:line="600" w:lineRule="exact"/>
        <w:ind w:leftChars="200"/>
        <w:outlineLvl w:val="2"/>
        <w:rPr>
          <w:rFonts w:hint="eastAsia" w:ascii="Times New Roman" w:hAnsi="Times New Roman" w:eastAsia="仿宋_GB2312" w:cs="Times New Roman"/>
          <w:b w:val="0"/>
          <w:bCs/>
          <w:color w:val="auto"/>
          <w:sz w:val="32"/>
          <w:szCs w:val="32"/>
          <w:shd w:val="clear" w:color="auto" w:fill="FFFFFF"/>
          <w:lang w:val="en-US" w:eastAsia="zh-CN"/>
        </w:rPr>
      </w:pPr>
      <w:r>
        <w:rPr>
          <w:rFonts w:hint="eastAsia" w:ascii="Times New Roman" w:hAnsi="Times New Roman" w:eastAsia="仿宋_GB2312" w:cs="Times New Roman"/>
          <w:b w:val="0"/>
          <w:bCs/>
          <w:color w:val="auto"/>
          <w:sz w:val="32"/>
          <w:szCs w:val="32"/>
          <w:shd w:val="clear" w:color="auto" w:fill="FFFFFF"/>
          <w:lang w:val="en-US" w:eastAsia="zh-CN"/>
        </w:rPr>
        <w:t>（10）推进公共企事业领域信息公开。</w:t>
      </w:r>
    </w:p>
    <w:p>
      <w:pPr>
        <w:pStyle w:val="4"/>
        <w:numPr>
          <w:ilvl w:val="0"/>
          <w:numId w:val="0"/>
        </w:numPr>
        <w:shd w:val="clear" w:color="auto" w:fill="FFFFFF"/>
        <w:spacing w:before="0" w:beforeAutospacing="0" w:after="0" w:afterAutospacing="0" w:line="600" w:lineRule="exact"/>
        <w:ind w:firstLine="640" w:firstLineChars="200"/>
        <w:outlineLvl w:val="2"/>
        <w:rPr>
          <w:rFonts w:hint="eastAsia" w:ascii="Times New Roman" w:hAnsi="Times New Roman" w:eastAsia="仿宋_GB2312" w:cs="Times New Roman"/>
          <w:b/>
          <w:color w:val="auto"/>
          <w:sz w:val="32"/>
          <w:szCs w:val="32"/>
          <w:shd w:val="clear" w:color="auto" w:fill="FFFFFF"/>
          <w:lang w:val="en-US" w:eastAsia="zh-CN"/>
        </w:rPr>
      </w:pPr>
      <w:r>
        <w:rPr>
          <w:rFonts w:hint="eastAsia" w:ascii="Times New Roman" w:hAnsi="Times New Roman" w:eastAsia="仿宋_GB2312" w:cs="Times New Roman"/>
          <w:b w:val="0"/>
          <w:bCs/>
          <w:color w:val="auto"/>
          <w:sz w:val="32"/>
          <w:szCs w:val="32"/>
          <w:shd w:val="clear" w:color="auto" w:fill="FFFFFF"/>
          <w:lang w:val="en-US" w:eastAsia="zh-CN"/>
        </w:rPr>
        <w:t>根据本年度上级关于公共企事业单位信息公开的相关要求，结合我县实际情况，设置公共企事业单位信息公开页面，细分为“教育信息”、“医疗卫生”、“公益类企业”三大领域。其中教育领域细分为“教育动态”“义务教育”“学前教育”“特殊教育”“职业教育”“民办学校”等栏目，分类公开教育教学动态、学校课程设置、划片方案、录取名单等信息。医疗卫生领域分为“医疗卫生信息”“沂源县人民医院”“沂源县中医医院”“沂源县妇幼保健院”四个栏目，公开了医院概况、医疗服务、医院环境等基本信息。“公益类企业”公开了我县5个企业的基本情况。</w:t>
      </w:r>
    </w:p>
    <w:p>
      <w:pPr>
        <w:pStyle w:val="4"/>
        <w:shd w:val="clear" w:color="auto" w:fill="FFFFFF"/>
        <w:spacing w:before="0" w:beforeAutospacing="0" w:after="0" w:afterAutospacing="0" w:line="600" w:lineRule="exact"/>
        <w:ind w:firstLine="480" w:firstLineChars="200"/>
        <w:outlineLvl w:val="2"/>
        <w:rPr>
          <w:rFonts w:hint="eastAsia" w:ascii="Times New Roman" w:hAnsi="Times New Roman" w:eastAsia="仿宋_GB2312" w:cs="Times New Roman"/>
          <w:b/>
          <w:color w:val="auto"/>
          <w:sz w:val="32"/>
          <w:szCs w:val="32"/>
          <w:shd w:val="clear" w:color="auto" w:fill="FFFFFF"/>
          <w:lang w:val="en-US" w:eastAsia="zh-CN"/>
        </w:rPr>
      </w:pPr>
      <w:r>
        <w:drawing>
          <wp:anchor distT="0" distB="0" distL="114300" distR="114300" simplePos="0" relativeHeight="251669504" behindDoc="0" locked="0" layoutInCell="1" allowOverlap="1">
            <wp:simplePos x="0" y="0"/>
            <wp:positionH relativeFrom="column">
              <wp:posOffset>-28575</wp:posOffset>
            </wp:positionH>
            <wp:positionV relativeFrom="paragraph">
              <wp:posOffset>408940</wp:posOffset>
            </wp:positionV>
            <wp:extent cx="5593715" cy="2653665"/>
            <wp:effectExtent l="0" t="0" r="6985" b="13335"/>
            <wp:wrapSquare wrapText="bothSides"/>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6"/>
                    <a:stretch>
                      <a:fillRect/>
                    </a:stretch>
                  </pic:blipFill>
                  <pic:spPr>
                    <a:xfrm>
                      <a:off x="0" y="0"/>
                      <a:ext cx="5593715" cy="2653665"/>
                    </a:xfrm>
                    <a:prstGeom prst="rect">
                      <a:avLst/>
                    </a:prstGeom>
                    <a:noFill/>
                    <a:ln>
                      <a:noFill/>
                    </a:ln>
                  </pic:spPr>
                </pic:pic>
              </a:graphicData>
            </a:graphic>
          </wp:anchor>
        </w:drawing>
      </w:r>
    </w:p>
    <w:p>
      <w:pPr>
        <w:pStyle w:val="4"/>
        <w:shd w:val="clear" w:color="auto" w:fill="FFFFFF"/>
        <w:spacing w:before="0" w:beforeAutospacing="0" w:after="0" w:afterAutospacing="0" w:line="600" w:lineRule="exact"/>
        <w:ind w:firstLine="643" w:firstLineChars="200"/>
        <w:outlineLvl w:val="2"/>
        <w:rPr>
          <w:rFonts w:ascii="Times New Roman" w:hAnsi="Times New Roman" w:eastAsia="仿宋_GB2312" w:cs="Times New Roman"/>
          <w:b/>
          <w:color w:val="auto"/>
          <w:sz w:val="32"/>
          <w:szCs w:val="32"/>
          <w:shd w:val="clear" w:color="auto" w:fill="FFFFFF"/>
          <w:lang w:eastAsia="zh-CN"/>
        </w:rPr>
      </w:pPr>
      <w:r>
        <w:rPr>
          <w:rFonts w:hint="eastAsia" w:ascii="Times New Roman" w:hAnsi="Times New Roman" w:eastAsia="仿宋_GB2312" w:cs="Times New Roman"/>
          <w:b/>
          <w:color w:val="auto"/>
          <w:sz w:val="32"/>
          <w:szCs w:val="32"/>
          <w:shd w:val="clear" w:color="auto" w:fill="FFFFFF"/>
          <w:lang w:val="en-US" w:eastAsia="zh-CN"/>
        </w:rPr>
        <w:t>4.</w:t>
      </w:r>
      <w:r>
        <w:rPr>
          <w:rFonts w:ascii="Times New Roman" w:hAnsi="Times New Roman" w:eastAsia="仿宋_GB2312" w:cs="Times New Roman"/>
          <w:b/>
          <w:color w:val="auto"/>
          <w:sz w:val="32"/>
          <w:szCs w:val="32"/>
          <w:shd w:val="clear" w:color="auto" w:fill="FFFFFF"/>
          <w:lang w:eastAsia="zh-CN"/>
        </w:rPr>
        <w:t>加强政策解读和回应关切</w:t>
      </w:r>
      <w:r>
        <w:rPr>
          <w:rFonts w:hint="eastAsia" w:ascii="Times New Roman" w:hAnsi="Times New Roman" w:eastAsia="仿宋_GB2312" w:cs="Times New Roman"/>
          <w:b/>
          <w:color w:val="auto"/>
          <w:sz w:val="32"/>
          <w:szCs w:val="32"/>
          <w:shd w:val="clear" w:color="auto" w:fill="FFFFFF"/>
          <w:lang w:eastAsia="zh-CN"/>
        </w:rPr>
        <w:t>。</w:t>
      </w:r>
    </w:p>
    <w:p>
      <w:pPr>
        <w:spacing w:line="600" w:lineRule="exact"/>
        <w:ind w:firstLine="640" w:firstLineChars="200"/>
        <w:rPr>
          <w:rFonts w:eastAsia="仿宋_GB2312"/>
          <w:color w:val="auto"/>
          <w:sz w:val="32"/>
          <w:szCs w:val="32"/>
          <w:shd w:val="clear" w:color="auto" w:fill="FFFFFF"/>
          <w:lang w:eastAsia="zh-CN"/>
        </w:rPr>
      </w:pPr>
      <w:r>
        <w:rPr>
          <w:rFonts w:eastAsia="仿宋_GB2312"/>
          <w:color w:val="auto"/>
          <w:sz w:val="32"/>
          <w:szCs w:val="32"/>
          <w:lang w:eastAsia="zh-CN"/>
        </w:rPr>
        <w:t>（1）深入解读好重要政策措施</w:t>
      </w:r>
      <w:r>
        <w:rPr>
          <w:rFonts w:hint="eastAsia" w:eastAsia="仿宋_GB2312"/>
          <w:color w:val="auto"/>
          <w:sz w:val="32"/>
          <w:szCs w:val="32"/>
          <w:shd w:val="clear" w:color="auto" w:fill="FFFFFF"/>
          <w:lang w:eastAsia="zh-CN"/>
        </w:rPr>
        <w:t>。</w:t>
      </w:r>
    </w:p>
    <w:p>
      <w:pPr>
        <w:widowControl/>
        <w:shd w:val="clear" w:color="auto" w:fill="FFFFFF"/>
        <w:spacing w:line="600" w:lineRule="exact"/>
        <w:ind w:firstLine="640" w:firstLineChars="200"/>
        <w:rPr>
          <w:rFonts w:hint="eastAsia" w:ascii="仿宋" w:hAnsi="仿宋" w:eastAsia="仿宋" w:cs="仿宋_GB2312"/>
          <w:sz w:val="32"/>
          <w:szCs w:val="32"/>
          <w:lang w:val="en-US" w:eastAsia="zh-CN"/>
        </w:rPr>
      </w:pPr>
      <w:r>
        <w:rPr>
          <w:rFonts w:hint="eastAsia" w:ascii="仿宋_GB2312" w:eastAsia="仿宋_GB2312"/>
          <w:color w:val="auto"/>
          <w:sz w:val="32"/>
          <w:szCs w:val="32"/>
          <w:lang w:eastAsia="zh-CN"/>
        </w:rPr>
        <w:t>聚焦重大工作部署进行政策解读，在县政府门户网站开设</w:t>
      </w:r>
      <w:r>
        <w:rPr>
          <w:rFonts w:ascii="Times New Roman" w:hAnsi="Times New Roman" w:cs="Times New Roman"/>
          <w:color w:val="auto"/>
          <w:sz w:val="32"/>
          <w:szCs w:val="32"/>
          <w:lang w:eastAsia="zh-CN"/>
        </w:rPr>
        <w:t>“</w:t>
      </w:r>
      <w:r>
        <w:rPr>
          <w:rFonts w:hint="eastAsia" w:ascii="仿宋_GB2312" w:eastAsia="仿宋_GB2312"/>
          <w:color w:val="auto"/>
          <w:sz w:val="32"/>
          <w:szCs w:val="32"/>
          <w:lang w:eastAsia="zh-CN"/>
        </w:rPr>
        <w:t>政策解读</w:t>
      </w:r>
      <w:r>
        <w:rPr>
          <w:rFonts w:ascii="Times New Roman" w:hAnsi="Times New Roman" w:cs="Times New Roman"/>
          <w:color w:val="auto"/>
          <w:sz w:val="32"/>
          <w:szCs w:val="32"/>
          <w:lang w:eastAsia="zh-CN"/>
        </w:rPr>
        <w:t>”</w:t>
      </w:r>
      <w:r>
        <w:rPr>
          <w:rFonts w:hint="eastAsia" w:ascii="仿宋_GB2312" w:eastAsia="仿宋_GB2312"/>
          <w:color w:val="auto"/>
          <w:sz w:val="32"/>
          <w:szCs w:val="32"/>
          <w:lang w:eastAsia="zh-CN"/>
        </w:rPr>
        <w:t>专栏，并分为县政府发文解读专栏、文稿解读专栏、图表解读专栏、领导解读专栏、动漫视频解读、音频解读专栏。按照“谁起草谁解读”原则，切实做好政策文件与解读方案、解读材料同步组织、同步审签、同步部署。部门主要负责人履行信息发布、定调把关等“第一解读人”职责，带头解读政策，主动引导预期。</w:t>
      </w:r>
      <w:r>
        <w:rPr>
          <w:rFonts w:eastAsia="仿宋_GB2312"/>
          <w:color w:val="auto"/>
          <w:sz w:val="32"/>
          <w:szCs w:val="32"/>
          <w:lang w:eastAsia="zh-CN" w:bidi="ar-SA"/>
        </w:rPr>
        <w:t>进一步丰富解读形式，重点阐明政策措施的背景依据、目标任务、主要内容、涉及范围、执行标准等。</w:t>
      </w:r>
      <w:r>
        <w:rPr>
          <w:rFonts w:hint="eastAsia" w:ascii="仿宋_GB2312" w:eastAsia="仿宋_GB2312"/>
          <w:color w:val="auto"/>
          <w:sz w:val="32"/>
          <w:szCs w:val="32"/>
          <w:lang w:eastAsia="zh-CN"/>
        </w:rPr>
        <w:t>同时，对网站的政策文件和解读内容进行了相互链接，方便群众阅读。 20</w:t>
      </w:r>
      <w:r>
        <w:rPr>
          <w:rFonts w:hint="eastAsia" w:ascii="仿宋_GB2312" w:eastAsia="仿宋_GB2312"/>
          <w:color w:val="auto"/>
          <w:sz w:val="32"/>
          <w:szCs w:val="32"/>
          <w:lang w:val="en-US" w:eastAsia="zh-CN"/>
        </w:rPr>
        <w:t>20</w:t>
      </w:r>
      <w:r>
        <w:rPr>
          <w:rFonts w:hint="eastAsia" w:ascii="仿宋_GB2312" w:eastAsia="仿宋_GB2312"/>
          <w:color w:val="auto"/>
          <w:sz w:val="32"/>
          <w:szCs w:val="32"/>
          <w:lang w:eastAsia="zh-CN"/>
        </w:rPr>
        <w:t>年，在县政府网站政策解读栏目共发布文稿解读信息147条，</w:t>
      </w:r>
      <w:r>
        <w:rPr>
          <w:rFonts w:hint="eastAsia" w:ascii="仿宋" w:hAnsi="仿宋" w:eastAsia="仿宋" w:cs="仿宋_GB2312"/>
          <w:sz w:val="32"/>
          <w:szCs w:val="32"/>
          <w:lang w:eastAsia="zh-CN"/>
        </w:rPr>
        <w:t>制作音频、视频等解读产品</w:t>
      </w:r>
      <w:r>
        <w:rPr>
          <w:rFonts w:hint="eastAsia" w:ascii="仿宋" w:hAnsi="仿宋" w:eastAsia="仿宋" w:cs="仿宋_GB2312"/>
          <w:sz w:val="32"/>
          <w:szCs w:val="32"/>
          <w:lang w:val="en-US" w:eastAsia="zh-CN"/>
        </w:rPr>
        <w:t>49件。</w:t>
      </w:r>
    </w:p>
    <w:p>
      <w:pPr>
        <w:pStyle w:val="4"/>
        <w:shd w:val="clear" w:color="auto" w:fill="FFFFFF"/>
        <w:spacing w:before="0" w:beforeAutospacing="0" w:after="0" w:afterAutospacing="0" w:line="600" w:lineRule="exact"/>
        <w:rPr>
          <w:rFonts w:ascii="Times New Roman" w:hAnsi="Times New Roman" w:eastAsia="仿宋_GB2312" w:cs="Times New Roman"/>
          <w:color w:val="auto"/>
          <w:sz w:val="32"/>
          <w:szCs w:val="32"/>
          <w:lang w:eastAsia="zh-CN"/>
        </w:rPr>
      </w:pPr>
      <w:r>
        <w:drawing>
          <wp:anchor distT="0" distB="0" distL="114300" distR="114300" simplePos="0" relativeHeight="251663360" behindDoc="0" locked="0" layoutInCell="1" allowOverlap="1">
            <wp:simplePos x="0" y="0"/>
            <wp:positionH relativeFrom="column">
              <wp:posOffset>38100</wp:posOffset>
            </wp:positionH>
            <wp:positionV relativeFrom="paragraph">
              <wp:posOffset>151765</wp:posOffset>
            </wp:positionV>
            <wp:extent cx="5595620" cy="3054985"/>
            <wp:effectExtent l="0" t="0" r="5080" b="12065"/>
            <wp:wrapSquare wrapText="bothSides"/>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7"/>
                    <a:stretch>
                      <a:fillRect/>
                    </a:stretch>
                  </pic:blipFill>
                  <pic:spPr>
                    <a:xfrm>
                      <a:off x="0" y="0"/>
                      <a:ext cx="5595620" cy="3054985"/>
                    </a:xfrm>
                    <a:prstGeom prst="rect">
                      <a:avLst/>
                    </a:prstGeom>
                    <a:noFill/>
                    <a:ln>
                      <a:noFill/>
                    </a:ln>
                  </pic:spPr>
                </pic:pic>
              </a:graphicData>
            </a:graphic>
          </wp:anchor>
        </w:drawing>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lang w:eastAsia="zh-CN"/>
        </w:rPr>
        <w:t>（2）及时回应好社会关切</w:t>
      </w:r>
      <w:r>
        <w:rPr>
          <w:rFonts w:hint="eastAsia" w:ascii="Times New Roman" w:hAnsi="Times New Roman" w:eastAsia="仿宋_GB2312" w:cs="Times New Roman"/>
          <w:color w:val="auto"/>
          <w:sz w:val="32"/>
          <w:szCs w:val="32"/>
          <w:lang w:eastAsia="zh-CN"/>
        </w:rPr>
        <w:t>。</w:t>
      </w:r>
    </w:p>
    <w:p>
      <w:pPr>
        <w:pStyle w:val="4"/>
        <w:shd w:val="clear" w:color="auto" w:fill="FFFFFF"/>
        <w:spacing w:before="0" w:beforeAutospacing="0" w:after="0" w:afterAutospacing="0" w:line="600" w:lineRule="exact"/>
        <w:ind w:firstLine="640" w:firstLineChars="200"/>
        <w:rPr>
          <w:rFonts w:ascii="Times New Roman" w:hAnsi="Times New Roman" w:eastAsia="仿宋_GB2312" w:cs="Times New Roman"/>
          <w:color w:val="auto"/>
          <w:sz w:val="32"/>
          <w:szCs w:val="32"/>
          <w:lang w:eastAsia="zh-CN"/>
        </w:rPr>
      </w:pPr>
      <w:r>
        <w:rPr>
          <w:rFonts w:hint="eastAsia" w:ascii="仿宋_GB2312" w:eastAsia="仿宋_GB2312"/>
          <w:color w:val="auto"/>
          <w:sz w:val="32"/>
          <w:szCs w:val="32"/>
          <w:lang w:eastAsia="zh-CN"/>
        </w:rPr>
        <w:t>通过我县微博号“沂源发布”和微信号“掌上沂源”发布我县与公众密切相关的教育医疗、房地产市场、安全生产、道路交通等民生领域新闻信息。全面加强网上舆情巡查监测，重点关注收集的网络舆情，加强舆情的预警、分析和研判，制定网络舆情突发应急处置预案，充分做好网络突发舆情的应对准备。在政府网站“政民互动”模块通过各种渠道和方式回应公众关注热点或重大舆情。集群众监督、舆论监督、行政监督、社会监督于一体的《政风行风热线》</w:t>
      </w:r>
      <w:r>
        <w:rPr>
          <w:rFonts w:hint="eastAsia" w:ascii="仿宋_GB2312" w:eastAsia="仿宋_GB2312"/>
          <w:color w:val="auto"/>
          <w:sz w:val="32"/>
          <w:szCs w:val="32"/>
          <w:lang w:val="en-US" w:eastAsia="zh-CN"/>
        </w:rPr>
        <w:t>2020年共播出15期节目</w:t>
      </w:r>
      <w:r>
        <w:rPr>
          <w:rFonts w:hint="eastAsia" w:ascii="仿宋_GB2312" w:eastAsia="仿宋_GB2312"/>
          <w:color w:val="auto"/>
          <w:sz w:val="32"/>
          <w:szCs w:val="32"/>
          <w:lang w:eastAsia="zh-CN"/>
        </w:rPr>
        <w:t>，沂源县民生连线共收到公众留言</w:t>
      </w:r>
      <w:r>
        <w:rPr>
          <w:rFonts w:hint="eastAsia" w:ascii="仿宋_GB2312" w:eastAsia="仿宋_GB2312"/>
          <w:color w:val="auto"/>
          <w:sz w:val="32"/>
          <w:szCs w:val="32"/>
          <w:lang w:val="en-US" w:eastAsia="zh-CN"/>
        </w:rPr>
        <w:t>309条</w:t>
      </w:r>
      <w:r>
        <w:rPr>
          <w:rFonts w:hint="eastAsia" w:ascii="Times New Roman" w:hAnsi="Times New Roman" w:eastAsia="仿宋_GB2312" w:cs="Times New Roman"/>
          <w:bCs/>
          <w:color w:val="auto"/>
          <w:sz w:val="32"/>
          <w:szCs w:val="32"/>
          <w:shd w:val="clear" w:color="auto" w:fill="FFFFFF"/>
          <w:lang w:eastAsia="zh-CN" w:bidi="ar"/>
        </w:rPr>
        <w:t>。</w:t>
      </w:r>
      <w:r>
        <w:rPr>
          <w:rFonts w:ascii="Times New Roman" w:hAnsi="Times New Roman" w:eastAsia="仿宋_GB2312" w:cs="Times New Roman"/>
          <w:color w:val="auto"/>
          <w:sz w:val="32"/>
          <w:szCs w:val="32"/>
          <w:lang w:eastAsia="zh-CN"/>
        </w:rPr>
        <w:t>积极开展“政府开放日”活动，邀请市民走进政府机关，现场了解政府</w:t>
      </w:r>
      <w:r>
        <w:rPr>
          <w:rFonts w:hint="eastAsia" w:ascii="Times New Roman" w:hAnsi="Times New Roman" w:eastAsia="仿宋_GB2312" w:cs="Times New Roman"/>
          <w:color w:val="auto"/>
          <w:sz w:val="32"/>
          <w:szCs w:val="32"/>
          <w:lang w:eastAsia="zh-CN"/>
        </w:rPr>
        <w:t>机关</w:t>
      </w:r>
      <w:r>
        <w:rPr>
          <w:rFonts w:ascii="Times New Roman" w:hAnsi="Times New Roman" w:eastAsia="仿宋_GB2312" w:cs="Times New Roman"/>
          <w:color w:val="auto"/>
          <w:sz w:val="32"/>
          <w:szCs w:val="32"/>
          <w:lang w:eastAsia="zh-CN"/>
        </w:rPr>
        <w:t>运行和工作开展情况</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lang w:eastAsia="zh-CN"/>
        </w:rPr>
        <w:t>共开展教育、环保、</w:t>
      </w:r>
      <w:r>
        <w:rPr>
          <w:rFonts w:hint="eastAsia" w:ascii="Times New Roman" w:hAnsi="Times New Roman" w:eastAsia="仿宋_GB2312" w:cs="Times New Roman"/>
          <w:color w:val="auto"/>
          <w:sz w:val="32"/>
          <w:szCs w:val="32"/>
          <w:lang w:eastAsia="zh-CN"/>
        </w:rPr>
        <w:t>医疗卫生、</w:t>
      </w:r>
      <w:r>
        <w:rPr>
          <w:rFonts w:ascii="Times New Roman" w:hAnsi="Times New Roman" w:eastAsia="仿宋_GB2312" w:cs="Times New Roman"/>
          <w:color w:val="auto"/>
          <w:sz w:val="32"/>
          <w:szCs w:val="32"/>
          <w:lang w:eastAsia="zh-CN"/>
        </w:rPr>
        <w:t>市场监管等民生领域“政府开放日”活动</w:t>
      </w:r>
      <w:r>
        <w:rPr>
          <w:rFonts w:hint="eastAsia" w:ascii="Times New Roman" w:hAnsi="Times New Roman" w:eastAsia="仿宋_GB2312" w:cs="Times New Roman"/>
          <w:color w:val="auto"/>
          <w:sz w:val="32"/>
          <w:szCs w:val="32"/>
          <w:lang w:val="en-US" w:eastAsia="zh-CN"/>
        </w:rPr>
        <w:t>13</w:t>
      </w:r>
      <w:r>
        <w:rPr>
          <w:rFonts w:ascii="Times New Roman" w:hAnsi="Times New Roman" w:eastAsia="仿宋_GB2312" w:cs="Times New Roman"/>
          <w:color w:val="auto"/>
          <w:sz w:val="32"/>
          <w:szCs w:val="32"/>
          <w:lang w:eastAsia="zh-CN"/>
        </w:rPr>
        <w:t>次。</w:t>
      </w:r>
    </w:p>
    <w:p>
      <w:pPr>
        <w:pStyle w:val="4"/>
        <w:shd w:val="clear" w:color="auto" w:fill="FFFFFF"/>
        <w:spacing w:before="0" w:beforeAutospacing="0" w:after="0" w:afterAutospacing="0" w:line="600" w:lineRule="exact"/>
        <w:ind w:firstLine="480" w:firstLineChars="200"/>
        <w:rPr>
          <w:rFonts w:ascii="Times New Roman" w:hAnsi="Times New Roman" w:eastAsia="仿宋_GB2312" w:cs="Times New Roman"/>
          <w:color w:val="auto"/>
          <w:sz w:val="32"/>
          <w:szCs w:val="32"/>
          <w:lang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285115</wp:posOffset>
            </wp:positionV>
            <wp:extent cx="5598795" cy="2999105"/>
            <wp:effectExtent l="0" t="0" r="1905" b="10795"/>
            <wp:wrapSquare wrapText="bothSides"/>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8"/>
                    <a:stretch>
                      <a:fillRect/>
                    </a:stretch>
                  </pic:blipFill>
                  <pic:spPr>
                    <a:xfrm>
                      <a:off x="0" y="0"/>
                      <a:ext cx="5598795" cy="2999105"/>
                    </a:xfrm>
                    <a:prstGeom prst="rect">
                      <a:avLst/>
                    </a:prstGeom>
                    <a:noFill/>
                    <a:ln>
                      <a:noFill/>
                    </a:ln>
                  </pic:spPr>
                </pic:pic>
              </a:graphicData>
            </a:graphic>
          </wp:anchor>
        </w:drawing>
      </w:r>
    </w:p>
    <w:p>
      <w:pPr>
        <w:widowControl/>
        <w:spacing w:line="600" w:lineRule="exact"/>
        <w:ind w:firstLine="640" w:firstLineChars="200"/>
        <w:contextualSpacing/>
        <w:rPr>
          <w:rFonts w:hint="eastAsia" w:ascii="黑体" w:hAnsi="黑体" w:eastAsia="黑体"/>
          <w:bCs/>
          <w:color w:val="auto"/>
          <w:sz w:val="32"/>
          <w:szCs w:val="32"/>
          <w:lang w:eastAsia="zh-CN" w:bidi="ar"/>
        </w:rPr>
      </w:pPr>
      <w:r>
        <w:rPr>
          <w:rFonts w:hint="eastAsia" w:ascii="黑体" w:hAnsi="黑体" w:eastAsia="黑体"/>
          <w:bCs/>
          <w:color w:val="auto"/>
          <w:sz w:val="32"/>
          <w:szCs w:val="32"/>
          <w:lang w:eastAsia="zh-CN" w:bidi="ar"/>
        </w:rPr>
        <w:t>（二）依申请公开办理情况</w:t>
      </w:r>
    </w:p>
    <w:p>
      <w:pPr>
        <w:spacing w:line="600" w:lineRule="exact"/>
        <w:ind w:firstLine="643" w:firstLineChars="200"/>
        <w:rPr>
          <w:rFonts w:eastAsia="仿宋_GB2312"/>
          <w:b/>
          <w:color w:val="auto"/>
          <w:sz w:val="32"/>
          <w:szCs w:val="32"/>
          <w:lang w:eastAsia="zh-CN"/>
        </w:rPr>
      </w:pPr>
      <w:r>
        <w:rPr>
          <w:rFonts w:eastAsia="仿宋_GB2312"/>
          <w:b/>
          <w:color w:val="auto"/>
          <w:sz w:val="32"/>
          <w:szCs w:val="32"/>
          <w:lang w:eastAsia="zh-CN"/>
        </w:rPr>
        <w:t>1.收到和处理政府信息公开申请情况</w:t>
      </w:r>
      <w:r>
        <w:rPr>
          <w:rFonts w:hint="eastAsia" w:eastAsia="仿宋_GB2312"/>
          <w:b/>
          <w:color w:val="auto"/>
          <w:sz w:val="32"/>
          <w:szCs w:val="32"/>
          <w:lang w:eastAsia="zh-CN"/>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bidi="ar-SA"/>
        </w:rPr>
        <w:t>2020年我县</w:t>
      </w:r>
      <w:r>
        <w:rPr>
          <w:rFonts w:hint="eastAsia" w:ascii="仿宋_GB2312" w:hAnsi="仿宋_GB2312" w:eastAsia="仿宋_GB2312" w:cs="仿宋_GB2312"/>
          <w:color w:val="auto"/>
          <w:sz w:val="32"/>
          <w:szCs w:val="32"/>
          <w:lang w:eastAsia="zh-CN" w:bidi="ar-SA"/>
        </w:rPr>
        <w:t>进一步规范政府信息公开申请办理工作，优化依申请工作流程，严格执行新出台的《条例》，并印发《沂源县政府信息依申请公开备案制度》。</w:t>
      </w:r>
      <w:r>
        <w:rPr>
          <w:rFonts w:hint="eastAsia" w:ascii="仿宋_GB2312" w:hAnsi="仿宋_GB2312" w:eastAsia="仿宋_GB2312" w:cs="仿宋_GB2312"/>
          <w:sz w:val="32"/>
          <w:szCs w:val="32"/>
        </w:rPr>
        <w:t>我县在县政府网站开通了政府信息公开申请受理平台，严格执行“工作机构受理，业务部门承办，重大问题会商，法制部门合法性审查”的依申请公开工作程序，依法及时办理公开申请，切实满足公民、法人和其他组织的个性化政府信息需求。</w:t>
      </w:r>
    </w:p>
    <w:p>
      <w:pPr>
        <w:spacing w:line="560" w:lineRule="exact"/>
        <w:ind w:firstLine="640" w:firstLineChars="200"/>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lang w:val="en-US" w:eastAsia="zh-CN" w:bidi="ar-SA"/>
        </w:rPr>
        <w:t>2020年</w:t>
      </w:r>
      <w:r>
        <w:rPr>
          <w:rFonts w:hint="eastAsia" w:ascii="仿宋_GB2312" w:hAnsi="仿宋_GB2312" w:eastAsia="仿宋_GB2312" w:cs="仿宋_GB2312"/>
          <w:color w:val="auto"/>
          <w:sz w:val="32"/>
          <w:szCs w:val="32"/>
          <w:lang w:eastAsia="zh-CN" w:bidi="ar-SA"/>
        </w:rPr>
        <w:t>共受理政府信息公开申请</w:t>
      </w:r>
      <w:r>
        <w:rPr>
          <w:rFonts w:hint="eastAsia" w:ascii="仿宋_GB2312" w:hAnsi="仿宋_GB2312" w:eastAsia="仿宋_GB2312" w:cs="仿宋_GB2312"/>
          <w:color w:val="auto"/>
          <w:sz w:val="32"/>
          <w:szCs w:val="32"/>
          <w:lang w:val="en-US" w:eastAsia="zh-CN" w:bidi="ar-SA"/>
        </w:rPr>
        <w:t>99</w:t>
      </w:r>
      <w:r>
        <w:rPr>
          <w:rFonts w:hint="eastAsia" w:ascii="仿宋_GB2312" w:hAnsi="仿宋_GB2312" w:eastAsia="仿宋_GB2312" w:cs="仿宋_GB2312"/>
          <w:color w:val="auto"/>
          <w:sz w:val="32"/>
          <w:szCs w:val="32"/>
          <w:lang w:eastAsia="zh-CN" w:bidi="ar-SA"/>
        </w:rPr>
        <w:t>件，</w:t>
      </w:r>
      <w:r>
        <w:rPr>
          <w:rFonts w:hint="eastAsia" w:ascii="仿宋_GB2312" w:hAnsi="仿宋_GB2312" w:eastAsia="仿宋_GB2312" w:cs="仿宋_GB2312"/>
          <w:sz w:val="32"/>
          <w:szCs w:val="32"/>
        </w:rPr>
        <w:t>申请内容主要集中在土地征收、补偿安置、城乡规划等领域。</w:t>
      </w:r>
      <w:r>
        <w:rPr>
          <w:rFonts w:hint="eastAsia" w:ascii="仿宋_GB2312" w:hAnsi="仿宋_GB2312" w:eastAsia="仿宋_GB2312" w:cs="仿宋_GB2312"/>
          <w:color w:val="auto"/>
          <w:sz w:val="32"/>
          <w:szCs w:val="32"/>
          <w:lang w:eastAsia="zh-CN" w:bidi="ar-SA"/>
        </w:rPr>
        <w:t>答复政府信息公开申请</w:t>
      </w:r>
      <w:r>
        <w:rPr>
          <w:rFonts w:hint="eastAsia" w:ascii="仿宋_GB2312" w:hAnsi="仿宋_GB2312" w:eastAsia="仿宋_GB2312" w:cs="仿宋_GB2312"/>
          <w:color w:val="auto"/>
          <w:sz w:val="32"/>
          <w:szCs w:val="32"/>
          <w:lang w:val="en-US" w:eastAsia="zh-CN" w:bidi="ar-SA"/>
        </w:rPr>
        <w:t>99</w:t>
      </w:r>
      <w:r>
        <w:rPr>
          <w:rFonts w:hint="eastAsia" w:ascii="仿宋_GB2312" w:hAnsi="仿宋_GB2312" w:eastAsia="仿宋_GB2312" w:cs="仿宋_GB2312"/>
          <w:color w:val="auto"/>
          <w:sz w:val="32"/>
          <w:szCs w:val="32"/>
          <w:lang w:eastAsia="zh-CN" w:bidi="ar-SA"/>
        </w:rPr>
        <w:t>件，均在法定期限内予以答复。</w:t>
      </w:r>
    </w:p>
    <w:p>
      <w:pPr>
        <w:spacing w:line="600" w:lineRule="exact"/>
        <w:ind w:firstLine="643" w:firstLineChars="200"/>
        <w:rPr>
          <w:rFonts w:hint="eastAsia" w:ascii="仿宋_GB2312" w:hAnsi="仿宋_GB2312" w:eastAsia="仿宋_GB2312" w:cs="仿宋_GB2312"/>
          <w:b/>
          <w:color w:val="auto"/>
          <w:sz w:val="32"/>
          <w:szCs w:val="32"/>
          <w:shd w:val="clear" w:color="auto" w:fill="FFFFFF"/>
          <w:lang w:eastAsia="zh-CN"/>
        </w:rPr>
      </w:pPr>
      <w:r>
        <w:rPr>
          <w:rFonts w:hint="eastAsia" w:ascii="仿宋_GB2312" w:hAnsi="仿宋_GB2312" w:eastAsia="仿宋_GB2312" w:cs="仿宋_GB2312"/>
          <w:b/>
          <w:color w:val="auto"/>
          <w:sz w:val="32"/>
          <w:szCs w:val="32"/>
          <w:shd w:val="clear" w:color="auto" w:fill="FFFFFF"/>
          <w:lang w:eastAsia="zh-CN"/>
        </w:rPr>
        <w:t>收费和减免情况：</w:t>
      </w:r>
    </w:p>
    <w:p>
      <w:pPr>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根据财政部、国家发展改革委联合印发的《关于清理规范一批行政事业性收费有关政策的通知》规定，本年度依申请公开政府信息未收取任何费用，包括：检索费、复制费（含案卷材料复制费）、邮寄费。</w:t>
      </w:r>
    </w:p>
    <w:p>
      <w:pPr>
        <w:spacing w:line="600" w:lineRule="exact"/>
        <w:ind w:firstLine="643" w:firstLineChars="200"/>
        <w:rPr>
          <w:rFonts w:eastAsia="仿宋_GB2312"/>
          <w:b/>
          <w:color w:val="auto"/>
          <w:sz w:val="32"/>
          <w:szCs w:val="32"/>
          <w:shd w:val="clear" w:color="auto" w:fill="FFFFFF"/>
          <w:lang w:eastAsia="zh-CN"/>
        </w:rPr>
      </w:pPr>
      <w:r>
        <w:rPr>
          <w:rFonts w:eastAsia="仿宋_GB2312"/>
          <w:b/>
          <w:color w:val="auto"/>
          <w:sz w:val="32"/>
          <w:szCs w:val="32"/>
          <w:lang w:eastAsia="zh-CN"/>
        </w:rPr>
        <w:t>2.政府信息公开行政复议、行政诉讼情况。</w:t>
      </w:r>
    </w:p>
    <w:p>
      <w:pPr>
        <w:widowControl/>
        <w:shd w:val="clear" w:color="auto" w:fill="FFFFFF"/>
        <w:spacing w:line="600" w:lineRule="exact"/>
        <w:ind w:firstLine="640" w:firstLineChars="200"/>
        <w:rPr>
          <w:rFonts w:eastAsia="仿宋_GB2312"/>
          <w:color w:val="auto"/>
          <w:sz w:val="32"/>
          <w:szCs w:val="32"/>
          <w:lang w:eastAsia="zh-CN" w:bidi="ar-SA"/>
        </w:rPr>
      </w:pPr>
      <w:r>
        <w:rPr>
          <w:rFonts w:eastAsia="仿宋_GB2312"/>
          <w:color w:val="auto"/>
          <w:sz w:val="32"/>
          <w:szCs w:val="32"/>
          <w:lang w:eastAsia="zh-CN"/>
        </w:rPr>
        <w:t>20</w:t>
      </w:r>
      <w:r>
        <w:rPr>
          <w:rFonts w:hint="eastAsia" w:eastAsia="仿宋_GB2312"/>
          <w:color w:val="auto"/>
          <w:sz w:val="32"/>
          <w:szCs w:val="32"/>
          <w:lang w:val="en-US" w:eastAsia="zh-CN"/>
        </w:rPr>
        <w:t>20</w:t>
      </w:r>
      <w:r>
        <w:rPr>
          <w:rFonts w:eastAsia="仿宋_GB2312"/>
          <w:color w:val="auto"/>
          <w:sz w:val="32"/>
          <w:szCs w:val="32"/>
          <w:lang w:eastAsia="zh-CN"/>
        </w:rPr>
        <w:t>年，因政府信</w:t>
      </w:r>
      <w:r>
        <w:rPr>
          <w:rFonts w:eastAsia="仿宋_GB2312"/>
          <w:b w:val="0"/>
          <w:bCs w:val="0"/>
          <w:color w:val="auto"/>
          <w:sz w:val="32"/>
          <w:szCs w:val="32"/>
          <w:lang w:eastAsia="zh-CN"/>
        </w:rPr>
        <w:t>息公开被申请行政复议0件，因公民、法人和其他组织认为行政机关政府信息公开工作具体行政行为侵犯其合法权益，提起行政诉讼0件</w:t>
      </w:r>
      <w:r>
        <w:rPr>
          <w:rFonts w:eastAsia="仿宋_GB2312"/>
          <w:color w:val="auto"/>
          <w:sz w:val="32"/>
          <w:szCs w:val="32"/>
          <w:lang w:eastAsia="zh-CN"/>
        </w:rPr>
        <w:t>，</w:t>
      </w:r>
      <w:r>
        <w:rPr>
          <w:rFonts w:eastAsia="仿宋_GB2312"/>
          <w:color w:val="auto"/>
          <w:sz w:val="32"/>
          <w:szCs w:val="32"/>
          <w:lang w:eastAsia="zh-CN" w:bidi="ar-SA"/>
        </w:rPr>
        <w:t>维护了</w:t>
      </w:r>
      <w:r>
        <w:rPr>
          <w:rFonts w:hint="eastAsia" w:eastAsia="仿宋_GB2312"/>
          <w:color w:val="auto"/>
          <w:sz w:val="32"/>
          <w:szCs w:val="32"/>
          <w:lang w:eastAsia="zh-CN" w:bidi="ar-SA"/>
        </w:rPr>
        <w:t>县</w:t>
      </w:r>
      <w:r>
        <w:rPr>
          <w:rFonts w:eastAsia="仿宋_GB2312"/>
          <w:color w:val="auto"/>
          <w:sz w:val="32"/>
          <w:szCs w:val="32"/>
          <w:lang w:eastAsia="zh-CN" w:bidi="ar-SA"/>
        </w:rPr>
        <w:t>政府依法行政、公开透明的良好形象。</w:t>
      </w:r>
    </w:p>
    <w:p>
      <w:pPr>
        <w:spacing w:line="600" w:lineRule="exact"/>
        <w:ind w:firstLine="640" w:firstLineChars="200"/>
        <w:rPr>
          <w:rFonts w:hint="eastAsia" w:ascii="黑体" w:hAnsi="黑体" w:eastAsia="黑体"/>
          <w:bCs/>
          <w:color w:val="auto"/>
          <w:sz w:val="32"/>
          <w:szCs w:val="32"/>
          <w:lang w:eastAsia="zh-CN" w:bidi="ar"/>
        </w:rPr>
      </w:pPr>
      <w:r>
        <w:rPr>
          <w:rFonts w:hint="eastAsia" w:ascii="黑体" w:hAnsi="黑体" w:eastAsia="黑体"/>
          <w:bCs/>
          <w:color w:val="auto"/>
          <w:sz w:val="32"/>
          <w:szCs w:val="32"/>
          <w:lang w:eastAsia="zh-CN" w:bidi="ar"/>
        </w:rPr>
        <w:t>（三）政府信息管理情况</w:t>
      </w:r>
    </w:p>
    <w:p>
      <w:pPr>
        <w:spacing w:line="560" w:lineRule="exact"/>
        <w:ind w:firstLine="640" w:firstLineChars="200"/>
        <w:rPr>
          <w:rFonts w:hint="eastAsia" w:ascii="仿宋_GB2312" w:hAnsi="仿宋_GB2312" w:eastAsia="仿宋_GB2312" w:cs="仿宋_GB2312"/>
          <w:bCs/>
          <w:color w:val="000000" w:themeColor="text1"/>
          <w:sz w:val="32"/>
          <w:szCs w:val="40"/>
          <w14:textFill>
            <w14:solidFill>
              <w14:schemeClr w14:val="tx1"/>
            </w14:solidFill>
          </w14:textFill>
        </w:rPr>
      </w:pPr>
      <w:r>
        <w:rPr>
          <w:rFonts w:hint="eastAsia" w:ascii="仿宋_GB2312" w:hAnsi="仿宋_GB2312" w:eastAsia="仿宋_GB2312" w:cs="仿宋_GB2312"/>
          <w:bCs/>
          <w:color w:val="000000" w:themeColor="text1"/>
          <w:sz w:val="32"/>
          <w:szCs w:val="40"/>
          <w:lang w:val="en-US" w:eastAsia="zh-CN"/>
          <w14:textFill>
            <w14:solidFill>
              <w14:schemeClr w14:val="tx1"/>
            </w14:solidFill>
          </w14:textFill>
        </w:rPr>
        <w:t>1.制定政策文件。</w:t>
      </w:r>
      <w:r>
        <w:rPr>
          <w:rFonts w:hint="eastAsia" w:ascii="仿宋_GB2312" w:hAnsi="仿宋_GB2312" w:eastAsia="仿宋_GB2312" w:cs="仿宋_GB2312"/>
          <w:kern w:val="2"/>
          <w:sz w:val="32"/>
          <w:szCs w:val="32"/>
        </w:rPr>
        <w:t>为贯彻落实党中央、国务院关于政务公开工作的方针政策和省委、省政府及市委、市政府工作部署，</w:t>
      </w:r>
      <w:r>
        <w:rPr>
          <w:rFonts w:hint="eastAsia" w:ascii="仿宋_GB2312" w:hAnsi="仿宋_GB2312" w:eastAsia="仿宋_GB2312" w:cs="仿宋_GB2312"/>
          <w:bCs/>
          <w:color w:val="000000" w:themeColor="text1"/>
          <w:sz w:val="32"/>
          <w:szCs w:val="40"/>
          <w14:textFill>
            <w14:solidFill>
              <w14:schemeClr w14:val="tx1"/>
            </w14:solidFill>
          </w14:textFill>
        </w:rPr>
        <w:t>2020年8月10日，印发了《沂源县人民政府办公室关于印发沂源县2020年政务公开工作要点的通知》（源政办字﹝2020﹞66号），要求各部门单位根据《政务公开工作任务分解表》，逐项认领本部门单位承担的工作任务，并结合实际工作制定详细的工作方案及措施，确保全县政务公开工作落到实处。</w:t>
      </w:r>
      <w:r>
        <w:rPr>
          <w:rFonts w:hint="eastAsia" w:ascii="仿宋_GB2312" w:hAnsi="仿宋_GB2312" w:eastAsia="仿宋_GB2312" w:cs="仿宋_GB2312"/>
          <w:bCs/>
          <w:color w:val="000000" w:themeColor="text1"/>
          <w:sz w:val="32"/>
          <w:szCs w:val="40"/>
          <w:lang w:eastAsia="zh-CN"/>
          <w14:textFill>
            <w14:solidFill>
              <w14:schemeClr w14:val="tx1"/>
            </w14:solidFill>
          </w14:textFill>
        </w:rPr>
        <w:t>印发《沂源县人民政府办公室关于印发沂源县全面推进基层政务公开标准化规范化工作实施方案的通知》（源政办字﹝2020﹞71号）和《沂源县政府信息主动公开基本目录编制调整工作方案》，对基层政务公开工作统一标准和要求，并按照实施方案进行调整和发布信息。</w:t>
      </w:r>
    </w:p>
    <w:p>
      <w:pPr>
        <w:spacing w:line="560" w:lineRule="exact"/>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bCs/>
          <w:color w:val="000000" w:themeColor="text1"/>
          <w:sz w:val="32"/>
          <w:szCs w:val="40"/>
          <w:lang w:val="en-US" w:eastAsia="zh-CN"/>
          <w14:textFill>
            <w14:solidFill>
              <w14:schemeClr w14:val="tx1"/>
            </w14:solidFill>
          </w14:textFill>
        </w:rPr>
        <w:t>2.</w:t>
      </w:r>
      <w:r>
        <w:rPr>
          <w:rFonts w:hint="eastAsia" w:ascii="仿宋_GB2312" w:hAnsi="仿宋_GB2312" w:eastAsia="仿宋_GB2312" w:cs="仿宋_GB2312"/>
          <w:kern w:val="2"/>
          <w:sz w:val="32"/>
          <w:szCs w:val="32"/>
        </w:rPr>
        <w:t>开展政务公开评估考核工作。2020年12月5日，印发了《沂源县人民政府办公室关于印发2020年沂源县政务公开工作考核方案的通知》（源政办发﹝2020﹞89号），召开了2020年度政务公开工作培训会，对2020年政务公开评估考核工作进行了安排部署</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确保政务公开评估考核各项工作任务落实到位。</w:t>
      </w:r>
    </w:p>
    <w:p>
      <w:pPr>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sz w:val="32"/>
          <w:szCs w:val="32"/>
          <w:shd w:val="clear" w:color="auto" w:fill="FFFFFF"/>
        </w:rPr>
        <w:t>加强培训，提高政务公开水平。为提升政府部门工作人员政务公开工作水平，年初制定并发布了《沂源县20</w:t>
      </w:r>
      <w:r>
        <w:rPr>
          <w:rFonts w:hint="eastAsia" w:ascii="仿宋_GB2312" w:hAnsi="仿宋_GB2312" w:eastAsia="仿宋_GB2312" w:cs="仿宋_GB2312"/>
          <w:sz w:val="32"/>
          <w:szCs w:val="32"/>
          <w:shd w:val="clear" w:color="auto" w:fill="FFFFFF"/>
          <w:lang w:val="en-US" w:eastAsia="zh-CN"/>
        </w:rPr>
        <w:t>20</w:t>
      </w:r>
      <w:r>
        <w:rPr>
          <w:rFonts w:hint="eastAsia" w:ascii="仿宋_GB2312" w:hAnsi="仿宋_GB2312" w:eastAsia="仿宋_GB2312" w:cs="仿宋_GB2312"/>
          <w:sz w:val="32"/>
          <w:szCs w:val="32"/>
          <w:shd w:val="clear" w:color="auto" w:fill="FFFFFF"/>
        </w:rPr>
        <w:t>年政务公开培训计划》，采取专题培训、全员培训等方式对全县各部门单位政务公开工作人员进行了培训。</w:t>
      </w:r>
    </w:p>
    <w:p>
      <w:pPr>
        <w:spacing w:line="560" w:lineRule="exact"/>
        <w:ind w:firstLine="640" w:firstLineChars="200"/>
        <w:rPr>
          <w:rFonts w:hint="eastAsia" w:ascii="仿宋_GB2312" w:hAnsi="仿宋_GB2312" w:eastAsia="仿宋_GB2312" w:cs="仿宋_GB2312"/>
          <w:bCs/>
          <w:color w:val="000000" w:themeColor="text1"/>
          <w:sz w:val="32"/>
          <w:szCs w:val="40"/>
          <w:lang w:eastAsia="zh-CN"/>
          <w14:textFill>
            <w14:solidFill>
              <w14:schemeClr w14:val="tx1"/>
            </w14:solidFill>
          </w14:textFill>
        </w:rPr>
      </w:pPr>
      <w:r>
        <w:rPr>
          <w:rFonts w:hint="eastAsia" w:ascii="仿宋_GB2312" w:hAnsi="仿宋_GB2312" w:eastAsia="仿宋_GB2312" w:cs="仿宋_GB2312"/>
          <w:sz w:val="32"/>
          <w:szCs w:val="32"/>
          <w:shd w:val="clear" w:color="auto" w:fill="FFFFFF"/>
          <w:lang w:val="en-US" w:eastAsia="zh-CN"/>
        </w:rPr>
        <w:t>4.建立健全通报制度。</w:t>
      </w:r>
      <w:r>
        <w:rPr>
          <w:rFonts w:hint="eastAsia" w:ascii="仿宋_GB2312" w:hAnsi="仿宋_GB2312" w:eastAsia="仿宋_GB2312" w:cs="仿宋_GB2312"/>
          <w:bCs/>
          <w:color w:val="000000" w:themeColor="text1"/>
          <w:sz w:val="32"/>
          <w:szCs w:val="40"/>
          <w14:textFill>
            <w14:solidFill>
              <w14:schemeClr w14:val="tx1"/>
            </w14:solidFill>
          </w14:textFill>
        </w:rPr>
        <w:t>为保障全县政务公开工作进度与质量，多次以沂源县政务公开工作领导小组办公室名义对各部门单位政务公开工作开展情况进行通报</w:t>
      </w:r>
      <w:r>
        <w:rPr>
          <w:rFonts w:hint="eastAsia" w:ascii="仿宋_GB2312" w:hAnsi="仿宋_GB2312" w:eastAsia="仿宋_GB2312" w:cs="仿宋_GB2312"/>
          <w:bCs/>
          <w:color w:val="000000" w:themeColor="text1"/>
          <w:sz w:val="32"/>
          <w:szCs w:val="40"/>
          <w:lang w:eastAsia="zh-CN"/>
          <w14:textFill>
            <w14:solidFill>
              <w14:schemeClr w14:val="tx1"/>
            </w14:solidFill>
          </w14:textFill>
        </w:rPr>
        <w:t>。印发《沂源县政务公开工作专报件》，对近期政务公开工作开展情况及各部门单位政务公开急需完成任务落实情况进行梳理，并将有关情况进行汇报。</w:t>
      </w:r>
    </w:p>
    <w:p>
      <w:pPr>
        <w:widowControl/>
        <w:shd w:val="clear" w:color="auto" w:fill="FFFFFF"/>
        <w:spacing w:line="600" w:lineRule="exact"/>
        <w:rPr>
          <w:rFonts w:hint="eastAsia" w:eastAsia="仿宋_GB2312"/>
          <w:color w:val="auto"/>
          <w:sz w:val="32"/>
          <w:szCs w:val="32"/>
          <w:lang w:eastAsia="zh-CN" w:bidi="ar-SA"/>
        </w:rPr>
      </w:pPr>
      <w:r>
        <w:rPr>
          <w:rFonts w:eastAsia="仿宋_GB2312"/>
          <w:color w:val="auto"/>
          <w:sz w:val="32"/>
          <w:szCs w:val="32"/>
          <w:lang w:eastAsia="zh-CN" w:bidi="ar-SA"/>
        </w:rPr>
        <w:t>　　</w:t>
      </w:r>
      <w:r>
        <w:rPr>
          <w:rFonts w:hAnsi="黑体" w:eastAsia="黑体"/>
          <w:bCs/>
          <w:color w:val="auto"/>
          <w:sz w:val="32"/>
          <w:szCs w:val="32"/>
          <w:lang w:eastAsia="zh-CN" w:bidi="ar"/>
        </w:rPr>
        <w:t>（四）平台建设情况</w:t>
      </w:r>
    </w:p>
    <w:p>
      <w:pPr>
        <w:spacing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加快推进政府网站集约化，优化整合网站功能。</w:t>
      </w:r>
      <w:r>
        <w:rPr>
          <w:rFonts w:hint="eastAsia" w:ascii="仿宋_GB2312" w:hAnsi="仿宋_GB2312" w:eastAsia="仿宋_GB2312" w:cs="仿宋_GB2312"/>
          <w:kern w:val="2"/>
          <w:sz w:val="32"/>
          <w:szCs w:val="32"/>
          <w:lang w:val="en-US" w:eastAsia="zh-CN"/>
        </w:rPr>
        <w:t>2020年根据市里统一要求重新规划了政府网站“政务公开”专栏，严格按照国务院规定对页面整体布局和栏目设置进行优化</w:t>
      </w:r>
      <w:r>
        <w:rPr>
          <w:rFonts w:hint="eastAsia" w:ascii="仿宋_GB2312" w:hAnsi="仿宋_GB2312" w:eastAsia="仿宋_GB2312" w:cs="仿宋_GB2312"/>
          <w:kern w:val="2"/>
          <w:sz w:val="32"/>
          <w:szCs w:val="32"/>
        </w:rPr>
        <w:t>梳理</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公开内容大为扩宽，查询检索更加便捷。</w:t>
      </w:r>
      <w:r>
        <w:rPr>
          <w:rFonts w:hint="eastAsia" w:ascii="仿宋_GB2312" w:hAnsi="仿宋_GB2312" w:eastAsia="仿宋_GB2312" w:cs="仿宋_GB2312"/>
          <w:kern w:val="2"/>
          <w:sz w:val="32"/>
          <w:szCs w:val="32"/>
          <w:lang w:eastAsia="zh-CN"/>
        </w:rPr>
        <w:t>同时增设“政策解读”“双随机一公开”“公共企事业单位信息公开”“行政执法公示”“政策文件发布”等专题专栏，</w:t>
      </w:r>
      <w:r>
        <w:rPr>
          <w:rFonts w:hint="eastAsia" w:ascii="仿宋_GB2312" w:hAnsi="仿宋_GB2312" w:eastAsia="仿宋_GB2312" w:cs="仿宋_GB2312"/>
          <w:kern w:val="2"/>
          <w:sz w:val="32"/>
          <w:szCs w:val="32"/>
        </w:rPr>
        <w:t>新增</w:t>
      </w:r>
      <w:r>
        <w:rPr>
          <w:rFonts w:hint="eastAsia" w:ascii="仿宋_GB2312" w:hAnsi="仿宋_GB2312" w:eastAsia="仿宋_GB2312" w:cs="仿宋_GB2312"/>
          <w:kern w:val="2"/>
          <w:sz w:val="32"/>
          <w:szCs w:val="32"/>
          <w:lang w:eastAsia="zh-CN"/>
        </w:rPr>
        <w:t>疫情防控与复工复产</w:t>
      </w:r>
      <w:r>
        <w:rPr>
          <w:rFonts w:hint="eastAsia" w:ascii="仿宋_GB2312" w:hAnsi="仿宋_GB2312" w:eastAsia="仿宋_GB2312" w:cs="仿宋_GB2312"/>
          <w:kern w:val="2"/>
          <w:sz w:val="32"/>
          <w:szCs w:val="32"/>
        </w:rPr>
        <w:t>等栏目。</w:t>
      </w:r>
    </w:p>
    <w:p>
      <w:pPr>
        <w:spacing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做好县政府网站栏目维护工作，推动政府网站优质发展。严格落实网络意识形态责任制，加强政府网站内容建设和信息发布审核，把好政治关、政策关、文字关。</w:t>
      </w:r>
    </w:p>
    <w:p>
      <w:pPr>
        <w:spacing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3.</w:t>
      </w:r>
      <w:r>
        <w:rPr>
          <w:rFonts w:hint="eastAsia" w:ascii="仿宋_GB2312" w:hAnsi="仿宋_GB2312" w:eastAsia="仿宋_GB2312" w:cs="仿宋_GB2312"/>
          <w:sz w:val="32"/>
          <w:szCs w:val="32"/>
        </w:rPr>
        <w:t>加强新媒体应用。建立健全政务新媒体管理制度和机制，统筹推进政务新媒体与政府网站的协同联动、融合发展。微信公众号“掌上沂源”、微博“沂源发布”等成为本县重要的信息公开载体。各级各部门充分发挥微博、微信等政务新媒体传播速度快、受众面广、互动性强等优势，为企业和群众提供更加便捷实用的服务。同时</w:t>
      </w:r>
      <w:r>
        <w:rPr>
          <w:rFonts w:hint="eastAsia" w:ascii="仿宋_GB2312" w:hAnsi="仿宋_GB2312" w:eastAsia="仿宋_GB2312" w:cs="仿宋_GB2312"/>
          <w:kern w:val="2"/>
          <w:sz w:val="32"/>
          <w:szCs w:val="32"/>
        </w:rPr>
        <w:t>做好了全县政务新媒体的普查整改工作，完善互动留言功能，并保障及时更新。</w:t>
      </w:r>
    </w:p>
    <w:p>
      <w:pPr>
        <w:spacing w:line="560" w:lineRule="exact"/>
        <w:ind w:firstLine="640" w:firstLineChars="200"/>
        <w:jc w:val="both"/>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sz w:val="32"/>
          <w:szCs w:val="32"/>
        </w:rPr>
        <w:t>充分发挥其他公开平台的作用。通过广播、电视频道、报刊、电子显示屏等其他渠道公开政府信息。各部门、单位主要负责人走进沂源人民广播电台《政风行风热线》直播间，解答群众疑问，发布权威信息，全年共播出节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5场。</w:t>
      </w:r>
      <w:r>
        <w:rPr>
          <w:rFonts w:hint="eastAsia" w:ascii="仿宋_GB2312" w:hAnsi="仿宋_GB2312" w:eastAsia="仿宋_GB2312" w:cs="仿宋_GB2312"/>
          <w:color w:val="auto"/>
          <w:sz w:val="32"/>
          <w:szCs w:val="32"/>
          <w:lang w:eastAsia="zh-CN" w:bidi="ar-SA"/>
        </w:rPr>
        <w:t>按时编辑出版《沂源县人民政府公报》。全年共编发公报4期，刊登政府规章、规范性文件等</w:t>
      </w:r>
      <w:r>
        <w:rPr>
          <w:rFonts w:hint="eastAsia" w:ascii="仿宋_GB2312" w:hAnsi="仿宋_GB2312" w:eastAsia="仿宋_GB2312" w:cs="仿宋_GB2312"/>
          <w:color w:val="auto"/>
          <w:sz w:val="32"/>
          <w:szCs w:val="32"/>
          <w:lang w:val="en-US" w:eastAsia="zh-CN" w:bidi="ar-SA"/>
        </w:rPr>
        <w:t>45</w:t>
      </w:r>
      <w:r>
        <w:rPr>
          <w:rFonts w:hint="eastAsia" w:ascii="仿宋_GB2312" w:hAnsi="仿宋_GB2312" w:eastAsia="仿宋_GB2312" w:cs="仿宋_GB2312"/>
          <w:color w:val="auto"/>
          <w:sz w:val="32"/>
          <w:szCs w:val="32"/>
          <w:lang w:eastAsia="zh-CN" w:bidi="ar-SA"/>
        </w:rPr>
        <w:t>件。</w:t>
      </w:r>
    </w:p>
    <w:p>
      <w:pPr>
        <w:spacing w:line="560" w:lineRule="exact"/>
        <w:ind w:firstLine="640" w:firstLineChars="200"/>
        <w:jc w:val="both"/>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lang w:val="en-US" w:eastAsia="zh-CN" w:bidi="ar-SA"/>
        </w:rPr>
        <w:t>5.</w:t>
      </w:r>
      <w:r>
        <w:rPr>
          <w:rFonts w:hint="eastAsia" w:ascii="仿宋_GB2312" w:hAnsi="仿宋_GB2312" w:eastAsia="仿宋_GB2312" w:cs="仿宋_GB2312"/>
          <w:sz w:val="32"/>
          <w:szCs w:val="32"/>
        </w:rPr>
        <w:t>推进基层政务公开标准化规范化</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根据《山东省人民政府办公厅关于全面推进基层政务公开标准化规范化工作的实施意见》（鲁政办发〔2020〕11号）和《淄博市人民政府办公室关于印发&lt;全面推进基层政务公开标准化规范化工作实施方案&gt;的通知》（淄政办字〔2020〕79号）有关部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在政务服务大厅、便民服务中心、档案馆等场所设立政务公开专区，提供政府信息查询、信息公开申请、办事咨询答复等服务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为群众提供优质高效的政务公开与政务服务体验</w:t>
      </w:r>
      <w:r>
        <w:rPr>
          <w:rFonts w:hint="eastAsia" w:ascii="仿宋_GB2312" w:hAnsi="仿宋_GB2312" w:eastAsia="仿宋_GB2312" w:cs="仿宋_GB2312"/>
          <w:sz w:val="32"/>
          <w:szCs w:val="32"/>
          <w:lang w:eastAsia="zh-CN"/>
        </w:rPr>
        <w:t>。</w:t>
      </w:r>
    </w:p>
    <w:p>
      <w:pPr>
        <w:widowControl/>
        <w:shd w:val="clear" w:color="auto" w:fill="FFFFFF"/>
        <w:spacing w:line="600" w:lineRule="exact"/>
        <w:ind w:firstLine="645"/>
        <w:rPr>
          <w:rFonts w:hint="eastAsia" w:ascii="黑体" w:hAnsi="黑体" w:eastAsia="黑体" w:cs="黑体"/>
          <w:color w:val="auto"/>
          <w:sz w:val="32"/>
          <w:szCs w:val="32"/>
          <w:lang w:eastAsia="zh-CN" w:bidi="ar-SA"/>
        </w:rPr>
      </w:pPr>
      <w:r>
        <w:rPr>
          <w:rFonts w:hint="eastAsia" w:ascii="黑体" w:hAnsi="黑体" w:eastAsia="黑体" w:cs="黑体"/>
          <w:color w:val="auto"/>
          <w:sz w:val="32"/>
          <w:szCs w:val="32"/>
          <w:lang w:eastAsia="zh-CN" w:bidi="ar-SA"/>
        </w:rPr>
        <w:t>（五）监督保障方面</w:t>
      </w:r>
    </w:p>
    <w:p>
      <w:pPr>
        <w:widowControl/>
        <w:shd w:val="clear" w:color="auto" w:fill="FFFFFF"/>
        <w:spacing w:line="600" w:lineRule="exact"/>
        <w:ind w:firstLine="640" w:firstLineChars="200"/>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shd w:val="clear" w:color="auto" w:fill="FFFFFF"/>
          <w:lang w:eastAsia="zh-CN"/>
        </w:rPr>
        <w:t>1.健全领导体制机制</w:t>
      </w:r>
      <w:r>
        <w:rPr>
          <w:rFonts w:hint="eastAsia" w:ascii="仿宋_GB2312" w:hAnsi="仿宋_GB2312" w:eastAsia="仿宋_GB2312" w:cs="仿宋_GB2312"/>
          <w:bCs/>
          <w:color w:val="auto"/>
          <w:sz w:val="32"/>
          <w:szCs w:val="32"/>
          <w:lang w:eastAsia="zh-CN"/>
        </w:rPr>
        <w:t>。</w:t>
      </w:r>
      <w:r>
        <w:rPr>
          <w:rFonts w:hint="eastAsia" w:ascii="仿宋_GB2312" w:hAnsi="仿宋_GB2312" w:eastAsia="仿宋_GB2312" w:cs="仿宋_GB2312"/>
          <w:bCs/>
          <w:color w:val="000000" w:themeColor="text1"/>
          <w:sz w:val="32"/>
          <w:szCs w:val="40"/>
          <w14:textFill>
            <w14:solidFill>
              <w14:schemeClr w14:val="tx1"/>
            </w14:solidFill>
          </w14:textFill>
        </w:rPr>
        <w:t>印发了《沂源县人民政府办公室关于调整沂源县政务公开工作领导小组的通知》（源政办字﹝2020﹞75号），加强了全县政务公开工作的组织领导，为全县政务公开工作提供了有力的制度保障</w:t>
      </w:r>
      <w:r>
        <w:rPr>
          <w:rFonts w:hint="eastAsia" w:ascii="仿宋_GB2312" w:hAnsi="仿宋_GB2312" w:eastAsia="仿宋_GB2312" w:cs="仿宋_GB2312"/>
          <w:bCs/>
          <w:color w:val="000000" w:themeColor="text1"/>
          <w:sz w:val="32"/>
          <w:szCs w:val="40"/>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明确了县政府办公室为全县政务公开工作负责机构，并配备了政务公开工作专职人员3名。</w:t>
      </w:r>
      <w:r>
        <w:rPr>
          <w:rFonts w:hint="eastAsia" w:ascii="仿宋_GB2312" w:hAnsi="仿宋_GB2312" w:eastAsia="仿宋_GB2312" w:cs="仿宋_GB2312"/>
          <w:color w:val="000000" w:themeColor="text1"/>
          <w:sz w:val="32"/>
          <w:szCs w:val="40"/>
          <w14:textFill>
            <w14:solidFill>
              <w14:schemeClr w14:val="tx1"/>
            </w14:solidFill>
          </w14:textFill>
        </w:rPr>
        <w:t>在沂源县政府办公室设立职能转变协调科。负责指导、协调、推进、监督全县政府信息公开和政务公开工作。沂源县大数据发展服务中心承担全县政务公开工作的服务工作</w:t>
      </w:r>
      <w:r>
        <w:rPr>
          <w:rFonts w:hint="eastAsia" w:ascii="仿宋_GB2312" w:hAnsi="仿宋_GB2312" w:eastAsia="仿宋_GB2312" w:cs="仿宋_GB2312"/>
          <w:color w:val="000000" w:themeColor="text1"/>
          <w:sz w:val="32"/>
          <w:szCs w:val="40"/>
          <w:lang w:eastAsia="zh-CN"/>
          <w14:textFill>
            <w14:solidFill>
              <w14:schemeClr w14:val="tx1"/>
            </w14:solidFill>
          </w14:textFill>
        </w:rPr>
        <w:t>，</w:t>
      </w:r>
      <w:r>
        <w:rPr>
          <w:rFonts w:hint="eastAsia" w:ascii="仿宋_GB2312" w:hAnsi="仿宋_GB2312" w:eastAsia="仿宋_GB2312" w:cs="仿宋_GB2312"/>
          <w:color w:val="000000" w:themeColor="text1"/>
          <w:sz w:val="32"/>
          <w:szCs w:val="40"/>
          <w14:textFill>
            <w14:solidFill>
              <w14:schemeClr w14:val="tx1"/>
            </w14:solidFill>
          </w14:textFill>
        </w:rPr>
        <w:t>负责配合县政府办公室推进、指导、协调全县政府信息公开和政务公开工作，承办县政府、县政府办公室政府信息主动公开工作，受理向县政府、县政府办公室提出的政府信息公开申请。组织协调县直各部门和镇、街道、开发区网站的规划、建设。承担全县政府信息公开、政务公开和政府网站的监督检查和管理考核服务保障工作。</w:t>
      </w:r>
    </w:p>
    <w:p>
      <w:pPr>
        <w:pStyle w:val="4"/>
        <w:shd w:val="clear" w:color="auto" w:fill="FFFFFF"/>
        <w:spacing w:before="0" w:beforeAutospacing="0" w:after="0" w:afterAutospacing="0" w:line="600" w:lineRule="exact"/>
        <w:ind w:firstLine="645"/>
        <w:rPr>
          <w:rFonts w:hint="eastAsia" w:ascii="仿宋_GB2312" w:hAnsi="仿宋_GB2312" w:eastAsia="仿宋_GB2312" w:cs="仿宋_GB2312"/>
          <w:color w:val="auto"/>
          <w:sz w:val="32"/>
          <w:szCs w:val="32"/>
          <w:shd w:val="clear" w:color="auto" w:fill="FCFCFC"/>
          <w:lang w:eastAsia="zh-CN"/>
        </w:rPr>
      </w:pPr>
      <w:r>
        <w:rPr>
          <w:rFonts w:hint="eastAsia" w:ascii="仿宋_GB2312" w:hAnsi="仿宋_GB2312" w:eastAsia="仿宋_GB2312" w:cs="仿宋_GB2312"/>
          <w:color w:val="auto"/>
          <w:sz w:val="32"/>
          <w:szCs w:val="32"/>
          <w:shd w:val="clear" w:color="auto" w:fill="FCFCFC"/>
          <w:lang w:eastAsia="zh-CN"/>
        </w:rPr>
        <w:t>2.强化组织保障。</w:t>
      </w:r>
      <w:r>
        <w:rPr>
          <w:rFonts w:hint="eastAsia" w:ascii="仿宋_GB2312" w:hAnsi="仿宋_GB2312" w:eastAsia="仿宋_GB2312" w:cs="仿宋_GB2312"/>
          <w:sz w:val="32"/>
          <w:szCs w:val="32"/>
        </w:rPr>
        <w:t>2020年8月20日，沂源县政府党组召开第九次会议，会议听取了关于近期政务公开工作情况的汇报，对全县政务公开工作作了安排部署</w:t>
      </w:r>
      <w:r>
        <w:rPr>
          <w:rFonts w:hint="eastAsia" w:ascii="仿宋_GB2312" w:hAnsi="仿宋_GB2312" w:eastAsia="仿宋_GB2312" w:cs="仿宋_GB2312"/>
          <w:sz w:val="32"/>
          <w:szCs w:val="32"/>
          <w:lang w:eastAsia="zh-CN"/>
        </w:rPr>
        <w:t>。我县多次召开政务公开专题会议</w:t>
      </w:r>
      <w:r>
        <w:rPr>
          <w:rFonts w:hint="eastAsia" w:ascii="仿宋_GB2312" w:hAnsi="仿宋_GB2312" w:eastAsia="仿宋_GB2312" w:cs="仿宋_GB2312"/>
          <w:color w:val="auto"/>
          <w:sz w:val="32"/>
          <w:szCs w:val="32"/>
          <w:shd w:val="clear" w:color="auto" w:fill="FFFFFF"/>
          <w:lang w:eastAsia="zh-CN"/>
        </w:rPr>
        <w:t>研究部署政务公开重点工作，主要领导和分管领导多次在《沂源县政务公开工作专报件》和文件签批单上签批意见，进一步提升了全县政务公开工作水平。</w:t>
      </w:r>
    </w:p>
    <w:p>
      <w:pPr>
        <w:widowControl/>
        <w:shd w:val="clear" w:color="auto" w:fill="FFFFFF"/>
        <w:spacing w:line="600" w:lineRule="exact"/>
        <w:ind w:firstLine="630"/>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shd w:val="clear" w:color="auto" w:fill="FFFFFF"/>
          <w:lang w:eastAsia="zh-CN"/>
        </w:rPr>
        <w:t>3</w:t>
      </w:r>
      <w:r>
        <w:rPr>
          <w:rFonts w:hint="eastAsia" w:ascii="仿宋_GB2312" w:hAnsi="仿宋_GB2312" w:eastAsia="仿宋_GB2312" w:cs="仿宋_GB2312"/>
          <w:color w:val="auto"/>
          <w:sz w:val="32"/>
          <w:szCs w:val="32"/>
          <w:shd w:val="clear" w:color="auto" w:fill="FFFFFF"/>
          <w:lang w:val="en-US" w:eastAsia="zh-CN"/>
        </w:rPr>
        <w:t>.</w:t>
      </w:r>
      <w:r>
        <w:rPr>
          <w:rFonts w:hint="eastAsia" w:ascii="仿宋_GB2312" w:hAnsi="仿宋_GB2312" w:eastAsia="仿宋_GB2312" w:cs="仿宋_GB2312"/>
          <w:color w:val="auto"/>
          <w:sz w:val="32"/>
          <w:szCs w:val="32"/>
          <w:shd w:val="clear" w:color="auto" w:fill="FFFFFF"/>
          <w:lang w:eastAsia="zh-CN"/>
        </w:rPr>
        <w:t>强化绩效考核。</w:t>
      </w:r>
      <w:r>
        <w:rPr>
          <w:rFonts w:hint="eastAsia" w:ascii="仿宋_GB2312" w:hAnsi="仿宋_GB2312" w:eastAsia="仿宋_GB2312" w:cs="仿宋_GB2312"/>
          <w:color w:val="auto"/>
          <w:sz w:val="32"/>
          <w:szCs w:val="32"/>
          <w:lang w:eastAsia="zh-CN"/>
        </w:rPr>
        <w:t>将政务公开工作纳入全县经济社会考核体系，切实发挥考核促工作的良性作用。</w:t>
      </w:r>
      <w:r>
        <w:rPr>
          <w:rFonts w:hint="eastAsia" w:ascii="仿宋_GB2312" w:hAnsi="仿宋_GB2312" w:eastAsia="仿宋_GB2312" w:cs="仿宋_GB2312"/>
          <w:color w:val="auto"/>
          <w:sz w:val="32"/>
          <w:szCs w:val="32"/>
          <w:lang w:eastAsia="zh-CN" w:bidi="ar-SA"/>
        </w:rPr>
        <w:t>围绕政务公开重点工作、薄弱环节和瓶颈问题加大政务公开绩效考核力度，提升主动公开等工作的考核分值比重。</w:t>
      </w:r>
    </w:p>
    <w:p>
      <w:pPr>
        <w:spacing w:line="560" w:lineRule="exact"/>
        <w:ind w:firstLine="640" w:firstLineChars="200"/>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lang w:eastAsia="zh-CN"/>
        </w:rPr>
        <w:t>4.实施全过程督查。</w:t>
      </w:r>
      <w:r>
        <w:rPr>
          <w:rFonts w:hint="eastAsia" w:ascii="仿宋_GB2312" w:hAnsi="仿宋_GB2312" w:eastAsia="仿宋_GB2312" w:cs="仿宋_GB2312"/>
          <w:bCs/>
          <w:color w:val="000000" w:themeColor="text1"/>
          <w:sz w:val="32"/>
          <w:szCs w:val="40"/>
          <w:lang w:eastAsia="zh-CN"/>
          <w14:textFill>
            <w14:solidFill>
              <w14:schemeClr w14:val="tx1"/>
            </w14:solidFill>
          </w14:textFill>
        </w:rPr>
        <w:t>印发《沂源县政务公开工作专报件》，对近期政务公开工作开展情况及各部门单位政务公开急需完成任务落实情况进行梳理，并将有关情况进行汇报。为</w:t>
      </w:r>
      <w:r>
        <w:rPr>
          <w:rFonts w:hint="eastAsia" w:ascii="仿宋_GB2312" w:hAnsi="仿宋_GB2312" w:eastAsia="仿宋_GB2312" w:cs="仿宋_GB2312"/>
          <w:bCs/>
          <w:color w:val="000000" w:themeColor="text1"/>
          <w:sz w:val="32"/>
          <w:szCs w:val="40"/>
          <w14:textFill>
            <w14:solidFill>
              <w14:schemeClr w14:val="tx1"/>
            </w14:solidFill>
          </w14:textFill>
        </w:rPr>
        <w:t>保障全县政务公开工作进度与质量，多次以沂源县政务公开工作领导小组办公室名义对各部门单位政务公开工作开展情况进行通报</w:t>
      </w:r>
      <w:r>
        <w:rPr>
          <w:rFonts w:hint="eastAsia" w:ascii="仿宋_GB2312" w:hAnsi="仿宋_GB2312" w:eastAsia="仿宋_GB2312" w:cs="仿宋_GB2312"/>
          <w:bCs/>
          <w:color w:val="000000" w:themeColor="text1"/>
          <w:sz w:val="32"/>
          <w:szCs w:val="40"/>
          <w:lang w:eastAsia="zh-CN"/>
          <w14:textFill>
            <w14:solidFill>
              <w14:schemeClr w14:val="tx1"/>
            </w14:solidFill>
          </w14:textFill>
        </w:rPr>
        <w:t>并反馈</w:t>
      </w:r>
      <w:r>
        <w:rPr>
          <w:rFonts w:hint="eastAsia" w:ascii="仿宋_GB2312" w:hAnsi="仿宋_GB2312" w:eastAsia="仿宋_GB2312" w:cs="仿宋_GB2312"/>
          <w:color w:val="auto"/>
          <w:sz w:val="32"/>
          <w:szCs w:val="32"/>
          <w:lang w:eastAsia="zh-CN"/>
        </w:rPr>
        <w:t>给相关责任部门，要求逐一对照整改，</w:t>
      </w:r>
      <w:r>
        <w:rPr>
          <w:rFonts w:hint="eastAsia" w:ascii="仿宋_GB2312" w:hAnsi="仿宋_GB2312" w:eastAsia="仿宋_GB2312" w:cs="仿宋_GB2312"/>
          <w:color w:val="auto"/>
          <w:sz w:val="32"/>
          <w:szCs w:val="32"/>
          <w:shd w:val="clear" w:color="auto" w:fill="FFFFFF"/>
          <w:lang w:eastAsia="zh-CN"/>
        </w:rPr>
        <w:t>全面提升了政务公开质量和实效</w:t>
      </w:r>
      <w:r>
        <w:rPr>
          <w:rFonts w:hint="eastAsia" w:ascii="仿宋_GB2312" w:hAnsi="仿宋_GB2312" w:eastAsia="仿宋_GB2312" w:cs="仿宋_GB2312"/>
          <w:color w:val="auto"/>
          <w:sz w:val="32"/>
          <w:szCs w:val="32"/>
          <w:lang w:eastAsia="zh-CN"/>
        </w:rPr>
        <w:t>。</w:t>
      </w:r>
    </w:p>
    <w:p>
      <w:pPr>
        <w:widowControl/>
        <w:shd w:val="clear" w:color="auto" w:fill="FFFFFF"/>
        <w:spacing w:line="600" w:lineRule="exact"/>
        <w:ind w:firstLine="640"/>
        <w:rPr>
          <w:rFonts w:hint="eastAsia" w:ascii="仿宋_GB2312" w:hAnsi="仿宋_GB2312" w:eastAsia="仿宋_GB2312" w:cs="仿宋_GB2312"/>
          <w:color w:val="auto"/>
          <w:sz w:val="32"/>
          <w:szCs w:val="32"/>
          <w:shd w:val="clear" w:color="auto" w:fill="FFFFFF"/>
          <w:lang w:eastAsia="zh-CN"/>
        </w:rPr>
      </w:pPr>
      <w:r>
        <w:rPr>
          <w:rFonts w:hint="eastAsia" w:ascii="仿宋_GB2312" w:hAnsi="仿宋_GB2312" w:eastAsia="仿宋_GB2312" w:cs="仿宋_GB2312"/>
          <w:color w:val="auto"/>
          <w:sz w:val="32"/>
          <w:szCs w:val="32"/>
          <w:lang w:eastAsia="zh-CN"/>
        </w:rPr>
        <w:t>5.抓好业务培训工作。</w:t>
      </w:r>
      <w:r>
        <w:rPr>
          <w:rFonts w:hint="eastAsia" w:ascii="仿宋_GB2312" w:hAnsi="仿宋_GB2312" w:eastAsia="仿宋_GB2312" w:cs="仿宋_GB2312"/>
          <w:color w:val="auto"/>
          <w:sz w:val="32"/>
          <w:szCs w:val="32"/>
          <w:lang w:eastAsia="zh-CN" w:bidi="ar-SA"/>
        </w:rPr>
        <w:t>针对政务公开工作面临的新要求和新问题，组织开展了全县政务公开业务培训，不断提升全县政府信息公开工作人员的工作能力和水平。</w:t>
      </w:r>
      <w:r>
        <w:rPr>
          <w:rFonts w:hint="eastAsia" w:ascii="仿宋_GB2312" w:hAnsi="仿宋_GB2312" w:eastAsia="仿宋_GB2312" w:cs="仿宋_GB2312"/>
          <w:color w:val="auto"/>
          <w:sz w:val="32"/>
          <w:szCs w:val="32"/>
          <w:shd w:val="clear" w:color="auto" w:fill="FFFFFF"/>
          <w:lang w:eastAsia="zh-CN"/>
        </w:rPr>
        <w:t>采取“以干代训”的形式，</w:t>
      </w:r>
      <w:r>
        <w:rPr>
          <w:rFonts w:hint="eastAsia" w:ascii="仿宋_GB2312" w:hAnsi="仿宋_GB2312" w:eastAsia="仿宋_GB2312" w:cs="仿宋_GB2312"/>
          <w:bCs/>
          <w:sz w:val="32"/>
          <w:szCs w:val="32"/>
        </w:rPr>
        <w:t>以现场培训方式对各单位分批次进行政府信息公开培训</w:t>
      </w:r>
      <w:r>
        <w:rPr>
          <w:rFonts w:hint="eastAsia" w:ascii="仿宋_GB2312" w:hAnsi="仿宋_GB2312" w:eastAsia="仿宋_GB2312" w:cs="仿宋_GB2312"/>
          <w:color w:val="auto"/>
          <w:sz w:val="32"/>
          <w:szCs w:val="32"/>
          <w:shd w:val="clear" w:color="auto" w:fill="FFFFFF"/>
          <w:lang w:eastAsia="zh-CN"/>
        </w:rPr>
        <w:t>。</w:t>
      </w:r>
    </w:p>
    <w:p>
      <w:pPr>
        <w:pStyle w:val="2"/>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6.无社会评议和责任追究结果情况。</w:t>
      </w:r>
    </w:p>
    <w:p>
      <w:pPr>
        <w:pStyle w:val="10"/>
        <w:spacing w:after="280" w:line="240" w:lineRule="auto"/>
        <w:ind w:firstLine="580"/>
        <w:rPr>
          <w:rFonts w:hint="eastAsia"/>
          <w:b/>
          <w:bCs/>
          <w:sz w:val="28"/>
          <w:szCs w:val="28"/>
          <w:lang w:eastAsia="zh-CN"/>
        </w:rPr>
      </w:pPr>
      <w:bookmarkStart w:id="2" w:name="_GoBack"/>
      <w:bookmarkEnd w:id="2"/>
    </w:p>
    <w:p>
      <w:pPr>
        <w:pStyle w:val="10"/>
        <w:spacing w:after="280" w:line="240" w:lineRule="auto"/>
        <w:ind w:firstLine="580"/>
        <w:rPr>
          <w:rFonts w:ascii="黑体" w:hAnsi="黑体" w:eastAsia="黑体"/>
          <w:sz w:val="32"/>
          <w:szCs w:val="32"/>
        </w:rPr>
      </w:pPr>
      <w:r>
        <w:rPr>
          <w:rFonts w:ascii="黑体" w:hAnsi="黑体" w:eastAsia="黑体"/>
          <w:bCs/>
          <w:sz w:val="32"/>
          <w:szCs w:val="32"/>
        </w:rPr>
        <w:t>二、主动公开政府信息情况</w:t>
      </w:r>
    </w:p>
    <w:tbl>
      <w:tblPr>
        <w:tblStyle w:val="5"/>
        <w:tblW w:w="0" w:type="auto"/>
        <w:jc w:val="center"/>
        <w:tblLayout w:type="fixed"/>
        <w:tblCellMar>
          <w:top w:w="0" w:type="dxa"/>
          <w:left w:w="10" w:type="dxa"/>
          <w:bottom w:w="0" w:type="dxa"/>
          <w:right w:w="10" w:type="dxa"/>
        </w:tblCellMar>
      </w:tblPr>
      <w:tblGrid>
        <w:gridCol w:w="3115"/>
        <w:gridCol w:w="2146"/>
        <w:gridCol w:w="1610"/>
        <w:gridCol w:w="1851"/>
      </w:tblGrid>
      <w:tr>
        <w:tblPrEx>
          <w:tblCellMar>
            <w:top w:w="0" w:type="dxa"/>
            <w:left w:w="10" w:type="dxa"/>
            <w:bottom w:w="0" w:type="dxa"/>
            <w:right w:w="10" w:type="dxa"/>
          </w:tblCellMar>
        </w:tblPrEx>
        <w:trPr>
          <w:trHeight w:val="581" w:hRule="exact"/>
          <w:jc w:val="center"/>
        </w:trPr>
        <w:tc>
          <w:tcPr>
            <w:tcW w:w="8722" w:type="dxa"/>
            <w:gridSpan w:val="4"/>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第二十条第（一）项</w:t>
            </w:r>
          </w:p>
        </w:tc>
      </w:tr>
      <w:tr>
        <w:tblPrEx>
          <w:tblCellMar>
            <w:top w:w="0" w:type="dxa"/>
            <w:left w:w="10" w:type="dxa"/>
            <w:bottom w:w="0" w:type="dxa"/>
            <w:right w:w="10" w:type="dxa"/>
          </w:tblCellMar>
        </w:tblPrEx>
        <w:trPr>
          <w:trHeight w:val="566" w:hRule="exact"/>
          <w:jc w:val="center"/>
        </w:trPr>
        <w:tc>
          <w:tcPr>
            <w:tcW w:w="3115" w:type="dxa"/>
            <w:tcBorders>
              <w:top w:val="single" w:color="auto" w:sz="4" w:space="0"/>
              <w:left w:val="single" w:color="auto" w:sz="4" w:space="0"/>
            </w:tcBorders>
            <w:shd w:val="clear" w:color="auto" w:fill="FFFFFF"/>
            <w:noWrap w:val="0"/>
            <w:vAlign w:val="center"/>
          </w:tcPr>
          <w:p>
            <w:pPr>
              <w:pStyle w:val="11"/>
              <w:spacing w:line="240" w:lineRule="auto"/>
              <w:ind w:left="1060"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信息内容</w:t>
            </w:r>
          </w:p>
        </w:tc>
        <w:tc>
          <w:tcPr>
            <w:tcW w:w="2146" w:type="dxa"/>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本年新制作数量</w:t>
            </w:r>
          </w:p>
        </w:tc>
        <w:tc>
          <w:tcPr>
            <w:tcW w:w="1610" w:type="dxa"/>
            <w:tcBorders>
              <w:top w:val="single" w:color="auto" w:sz="4" w:space="0"/>
              <w:left w:val="single" w:color="auto" w:sz="4" w:space="0"/>
            </w:tcBorders>
            <w:shd w:val="clear" w:color="auto" w:fill="FFFFFF"/>
            <w:noWrap w:val="0"/>
            <w:vAlign w:val="center"/>
          </w:tcPr>
          <w:p>
            <w:pPr>
              <w:pStyle w:val="11"/>
              <w:spacing w:line="293" w:lineRule="exact"/>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本年新公开数量</w:t>
            </w:r>
          </w:p>
        </w:tc>
        <w:tc>
          <w:tcPr>
            <w:tcW w:w="1851" w:type="dxa"/>
            <w:tcBorders>
              <w:top w:val="single" w:color="auto" w:sz="4" w:space="0"/>
              <w:left w:val="single" w:color="auto" w:sz="4" w:space="0"/>
              <w:right w:val="single" w:color="auto" w:sz="4" w:space="0"/>
            </w:tcBorders>
            <w:shd w:val="clear" w:color="auto" w:fill="FFFFFF"/>
            <w:noWrap w:val="0"/>
            <w:vAlign w:val="center"/>
          </w:tcPr>
          <w:p>
            <w:pPr>
              <w:pStyle w:val="11"/>
              <w:spacing w:line="298" w:lineRule="exact"/>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对外公开总数量</w:t>
            </w:r>
          </w:p>
        </w:tc>
      </w:tr>
      <w:tr>
        <w:tblPrEx>
          <w:tblCellMar>
            <w:top w:w="0" w:type="dxa"/>
            <w:left w:w="10" w:type="dxa"/>
            <w:bottom w:w="0" w:type="dxa"/>
            <w:right w:w="10" w:type="dxa"/>
          </w:tblCellMar>
        </w:tblPrEx>
        <w:trPr>
          <w:trHeight w:val="466"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规章</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r>
      <w:tr>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noWrap w:val="0"/>
            <w:vAlign w:val="bottom"/>
          </w:tcPr>
          <w:p>
            <w:pPr>
              <w:pStyle w:val="11"/>
              <w:spacing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规范性文件</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152</w:t>
            </w:r>
          </w:p>
        </w:tc>
      </w:tr>
      <w:tr>
        <w:tblPrEx>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noWrap w:val="0"/>
            <w:vAlign w:val="top"/>
          </w:tcPr>
          <w:p>
            <w:pPr>
              <w:pStyle w:val="11"/>
              <w:spacing w:before="8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第二十条第（五）项</w:t>
            </w:r>
          </w:p>
        </w:tc>
      </w:tr>
      <w:tr>
        <w:tblPrEx>
          <w:tblCellMar>
            <w:top w:w="0" w:type="dxa"/>
            <w:left w:w="10" w:type="dxa"/>
            <w:bottom w:w="0" w:type="dxa"/>
            <w:right w:w="10" w:type="dxa"/>
          </w:tblCellMar>
        </w:tblPrEx>
        <w:trPr>
          <w:trHeight w:val="562" w:hRule="exact"/>
          <w:jc w:val="center"/>
        </w:trPr>
        <w:tc>
          <w:tcPr>
            <w:tcW w:w="3115" w:type="dxa"/>
            <w:tcBorders>
              <w:top w:val="single" w:color="auto" w:sz="4" w:space="0"/>
              <w:left w:val="single" w:color="auto" w:sz="4" w:space="0"/>
            </w:tcBorders>
            <w:shd w:val="clear" w:color="auto" w:fill="FFFFFF"/>
            <w:noWrap w:val="0"/>
            <w:vAlign w:val="center"/>
          </w:tcPr>
          <w:p>
            <w:pPr>
              <w:pStyle w:val="11"/>
              <w:spacing w:line="240" w:lineRule="auto"/>
              <w:ind w:left="1060"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信息内容</w:t>
            </w:r>
          </w:p>
        </w:tc>
        <w:tc>
          <w:tcPr>
            <w:tcW w:w="2146" w:type="dxa"/>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上一年项目数量</w:t>
            </w:r>
          </w:p>
        </w:tc>
        <w:tc>
          <w:tcPr>
            <w:tcW w:w="1610" w:type="dxa"/>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本年增/减</w:t>
            </w:r>
          </w:p>
        </w:tc>
        <w:tc>
          <w:tcPr>
            <w:tcW w:w="1851" w:type="dxa"/>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处理决定数量</w:t>
            </w:r>
          </w:p>
        </w:tc>
      </w:tr>
      <w:tr>
        <w:tblPrEx>
          <w:tblCellMar>
            <w:top w:w="0" w:type="dxa"/>
            <w:left w:w="10" w:type="dxa"/>
            <w:bottom w:w="0" w:type="dxa"/>
            <w:right w:w="10" w:type="dxa"/>
          </w:tblCellMar>
        </w:tblPrEx>
        <w:trPr>
          <w:trHeight w:val="461"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行政许可</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217</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+279</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77486</w:t>
            </w:r>
          </w:p>
        </w:tc>
      </w:tr>
      <w:tr>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其他对外管理服务事项</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24</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+20</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14305</w:t>
            </w:r>
          </w:p>
        </w:tc>
      </w:tr>
      <w:tr>
        <w:tblPrEx>
          <w:tblCellMar>
            <w:top w:w="0" w:type="dxa"/>
            <w:left w:w="10" w:type="dxa"/>
            <w:bottom w:w="0" w:type="dxa"/>
            <w:right w:w="10" w:type="dxa"/>
          </w:tblCellMar>
        </w:tblPrEx>
        <w:trPr>
          <w:trHeight w:val="451" w:hRule="exact"/>
          <w:jc w:val="center"/>
        </w:trPr>
        <w:tc>
          <w:tcPr>
            <w:tcW w:w="8722" w:type="dxa"/>
            <w:gridSpan w:val="4"/>
            <w:tcBorders>
              <w:top w:val="single" w:color="auto" w:sz="4" w:space="0"/>
              <w:left w:val="single" w:color="auto" w:sz="4" w:space="0"/>
              <w:right w:val="single" w:color="auto" w:sz="4" w:space="0"/>
            </w:tcBorders>
            <w:shd w:val="clear" w:color="auto" w:fill="FFFFFF"/>
            <w:noWrap w:val="0"/>
            <w:vAlign w:val="top"/>
          </w:tcPr>
          <w:p>
            <w:pPr>
              <w:pStyle w:val="11"/>
              <w:spacing w:before="8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第二十条第（六）项</w:t>
            </w:r>
          </w:p>
        </w:tc>
      </w:tr>
      <w:tr>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left="1060"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信息内容</w:t>
            </w:r>
          </w:p>
        </w:tc>
        <w:tc>
          <w:tcPr>
            <w:tcW w:w="2146" w:type="dxa"/>
            <w:tcBorders>
              <w:top w:val="single" w:color="auto" w:sz="4" w:space="0"/>
              <w:lef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上一年项目数量</w:t>
            </w:r>
          </w:p>
        </w:tc>
        <w:tc>
          <w:tcPr>
            <w:tcW w:w="1610" w:type="dxa"/>
            <w:tcBorders>
              <w:top w:val="single" w:color="auto" w:sz="4" w:space="0"/>
              <w:lef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本年增/减</w:t>
            </w:r>
          </w:p>
        </w:tc>
        <w:tc>
          <w:tcPr>
            <w:tcW w:w="1851" w:type="dxa"/>
            <w:tcBorders>
              <w:top w:val="single" w:color="auto" w:sz="4" w:space="0"/>
              <w:left w:val="single" w:color="auto" w:sz="4" w:space="0"/>
              <w:righ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处理决定数量</w:t>
            </w:r>
          </w:p>
        </w:tc>
      </w:tr>
      <w:tr>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行政处罚</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3674</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+401</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145677</w:t>
            </w:r>
          </w:p>
        </w:tc>
      </w:tr>
      <w:tr>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noWrap w:val="0"/>
            <w:vAlign w:val="bottom"/>
          </w:tcPr>
          <w:p>
            <w:pPr>
              <w:pStyle w:val="11"/>
              <w:spacing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行政强制</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133</w:t>
            </w:r>
          </w:p>
        </w:tc>
        <w:tc>
          <w:tcPr>
            <w:tcW w:w="1610"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+28</w:t>
            </w:r>
          </w:p>
        </w:tc>
        <w:tc>
          <w:tcPr>
            <w:tcW w:w="1851" w:type="dxa"/>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4722</w:t>
            </w:r>
          </w:p>
        </w:tc>
      </w:tr>
      <w:tr>
        <w:tblPrEx>
          <w:tblCellMar>
            <w:top w:w="0" w:type="dxa"/>
            <w:left w:w="10" w:type="dxa"/>
            <w:bottom w:w="0" w:type="dxa"/>
            <w:right w:w="10" w:type="dxa"/>
          </w:tblCellMar>
        </w:tblPrEx>
        <w:trPr>
          <w:trHeight w:val="451" w:hRule="exact"/>
          <w:jc w:val="center"/>
        </w:trPr>
        <w:tc>
          <w:tcPr>
            <w:tcW w:w="8722" w:type="dxa"/>
            <w:gridSpan w:val="4"/>
            <w:tcBorders>
              <w:top w:val="single" w:color="auto" w:sz="4" w:space="0"/>
              <w:left w:val="single" w:color="auto" w:sz="4" w:space="0"/>
              <w:right w:val="single" w:color="auto" w:sz="4" w:space="0"/>
            </w:tcBorders>
            <w:shd w:val="clear" w:color="auto" w:fill="FFFFFF"/>
            <w:noWrap w:val="0"/>
            <w:vAlign w:val="top"/>
          </w:tcPr>
          <w:p>
            <w:pPr>
              <w:pStyle w:val="11"/>
              <w:spacing w:before="8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第二十条第（八）项</w:t>
            </w:r>
          </w:p>
        </w:tc>
      </w:tr>
      <w:tr>
        <w:tblPrEx>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left="1060"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信息内容</w:t>
            </w:r>
          </w:p>
        </w:tc>
        <w:tc>
          <w:tcPr>
            <w:tcW w:w="2146" w:type="dxa"/>
            <w:tcBorders>
              <w:top w:val="single" w:color="auto" w:sz="4" w:space="0"/>
              <w:lef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上一年项目数量</w:t>
            </w:r>
          </w:p>
        </w:tc>
        <w:tc>
          <w:tcPr>
            <w:tcW w:w="3461" w:type="dxa"/>
            <w:gridSpan w:val="2"/>
            <w:tcBorders>
              <w:top w:val="single" w:color="auto" w:sz="4" w:space="0"/>
              <w:left w:val="single" w:color="auto" w:sz="4" w:space="0"/>
              <w:righ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本年增/减</w:t>
            </w:r>
          </w:p>
        </w:tc>
      </w:tr>
      <w:tr>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行政事业性收费</w:t>
            </w:r>
          </w:p>
        </w:tc>
        <w:tc>
          <w:tcPr>
            <w:tcW w:w="2146" w:type="dxa"/>
            <w:tcBorders>
              <w:top w:val="single" w:color="auto" w:sz="4" w:space="0"/>
              <w:lef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50</w:t>
            </w:r>
          </w:p>
        </w:tc>
        <w:tc>
          <w:tcPr>
            <w:tcW w:w="3461" w:type="dxa"/>
            <w:gridSpan w:val="2"/>
            <w:tcBorders>
              <w:top w:val="single" w:color="auto" w:sz="4" w:space="0"/>
              <w:left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0</w:t>
            </w:r>
          </w:p>
        </w:tc>
      </w:tr>
      <w:tr>
        <w:tblPrEx>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noWrap w:val="0"/>
            <w:vAlign w:val="top"/>
          </w:tcPr>
          <w:p>
            <w:pPr>
              <w:pStyle w:val="11"/>
              <w:spacing w:before="8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第二十条第（九）项</w:t>
            </w:r>
          </w:p>
        </w:tc>
      </w:tr>
      <w:tr>
        <w:tblPrEx>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noWrap w:val="0"/>
            <w:vAlign w:val="top"/>
          </w:tcPr>
          <w:p>
            <w:pPr>
              <w:pStyle w:val="11"/>
              <w:spacing w:before="100" w:line="240" w:lineRule="auto"/>
              <w:ind w:left="1060"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信息内容</w:t>
            </w:r>
          </w:p>
        </w:tc>
        <w:tc>
          <w:tcPr>
            <w:tcW w:w="2146" w:type="dxa"/>
            <w:tcBorders>
              <w:top w:val="single" w:color="auto" w:sz="4" w:space="0"/>
              <w:lef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采购项目数量</w:t>
            </w:r>
          </w:p>
        </w:tc>
        <w:tc>
          <w:tcPr>
            <w:tcW w:w="3461" w:type="dxa"/>
            <w:gridSpan w:val="2"/>
            <w:tcBorders>
              <w:top w:val="single" w:color="auto" w:sz="4" w:space="0"/>
              <w:left w:val="single" w:color="auto" w:sz="4" w:space="0"/>
              <w:right w:val="single" w:color="auto" w:sz="4" w:space="0"/>
            </w:tcBorders>
            <w:shd w:val="clear" w:color="auto" w:fill="FFFFFF"/>
            <w:noWrap w:val="0"/>
            <w:vAlign w:val="top"/>
          </w:tcPr>
          <w:p>
            <w:pPr>
              <w:pStyle w:val="11"/>
              <w:spacing w:before="100" w:line="240" w:lineRule="auto"/>
              <w:ind w:firstLine="0"/>
              <w:jc w:val="center"/>
              <w:rPr>
                <w:rFonts w:ascii="仿宋_GB2312" w:hAnsi="仿宋_GB2312" w:eastAsia="仿宋_GB2312" w:cs="仿宋_GB2312"/>
                <w:sz w:val="22"/>
                <w:szCs w:val="22"/>
              </w:rPr>
            </w:pPr>
            <w:r>
              <w:rPr>
                <w:rFonts w:hint="eastAsia" w:ascii="仿宋_GB2312" w:hAnsi="仿宋_GB2312" w:eastAsia="仿宋_GB2312" w:cs="仿宋_GB2312"/>
                <w:sz w:val="22"/>
                <w:szCs w:val="22"/>
              </w:rPr>
              <w:t>采购总金额</w:t>
            </w:r>
          </w:p>
        </w:tc>
      </w:tr>
      <w:tr>
        <w:tblPrEx>
          <w:tblCellMar>
            <w:top w:w="0" w:type="dxa"/>
            <w:left w:w="10" w:type="dxa"/>
            <w:bottom w:w="0" w:type="dxa"/>
            <w:right w:w="10" w:type="dxa"/>
          </w:tblCellMar>
        </w:tblPrEx>
        <w:trPr>
          <w:trHeight w:val="466" w:hRule="exact"/>
          <w:jc w:val="center"/>
        </w:trPr>
        <w:tc>
          <w:tcPr>
            <w:tcW w:w="3115" w:type="dxa"/>
            <w:tcBorders>
              <w:top w:val="single" w:color="auto" w:sz="4" w:space="0"/>
              <w:left w:val="single" w:color="auto" w:sz="4" w:space="0"/>
              <w:bottom w:val="single" w:color="auto" w:sz="4" w:space="0"/>
            </w:tcBorders>
            <w:shd w:val="clear" w:color="auto" w:fill="FFFFFF"/>
            <w:noWrap w:val="0"/>
            <w:vAlign w:val="top"/>
          </w:tcPr>
          <w:p>
            <w:pPr>
              <w:pStyle w:val="11"/>
              <w:spacing w:before="100" w:line="240" w:lineRule="auto"/>
              <w:ind w:firstLine="0"/>
              <w:rPr>
                <w:rFonts w:ascii="仿宋_GB2312" w:hAnsi="仿宋_GB2312" w:eastAsia="仿宋_GB2312" w:cs="仿宋_GB2312"/>
                <w:sz w:val="22"/>
                <w:szCs w:val="22"/>
              </w:rPr>
            </w:pPr>
            <w:r>
              <w:rPr>
                <w:rFonts w:hint="eastAsia" w:ascii="仿宋_GB2312" w:hAnsi="仿宋_GB2312" w:eastAsia="仿宋_GB2312" w:cs="仿宋_GB2312"/>
                <w:sz w:val="22"/>
                <w:szCs w:val="22"/>
              </w:rPr>
              <w:t>政府集中采购</w:t>
            </w:r>
          </w:p>
        </w:tc>
        <w:tc>
          <w:tcPr>
            <w:tcW w:w="2146" w:type="dxa"/>
            <w:tcBorders>
              <w:top w:val="single" w:color="auto" w:sz="4" w:space="0"/>
              <w:left w:val="single" w:color="auto" w:sz="4" w:space="0"/>
              <w:bottom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162</w:t>
            </w:r>
          </w:p>
        </w:tc>
        <w:tc>
          <w:tcPr>
            <w:tcW w:w="3461"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bidi="en-US"/>
              </w:rPr>
            </w:pPr>
            <w:r>
              <w:rPr>
                <w:rFonts w:hint="eastAsia" w:ascii="宋体" w:hAnsi="宋体" w:eastAsia="宋体" w:cs="宋体"/>
                <w:i w:val="0"/>
                <w:color w:val="000000"/>
                <w:kern w:val="0"/>
                <w:sz w:val="24"/>
                <w:szCs w:val="24"/>
                <w:u w:val="none"/>
                <w:lang w:val="en-US" w:eastAsia="zh-CN" w:bidi="ar"/>
              </w:rPr>
              <w:t>152200</w:t>
            </w:r>
          </w:p>
        </w:tc>
      </w:tr>
    </w:tbl>
    <w:p>
      <w:pPr>
        <w:spacing w:line="1" w:lineRule="exact"/>
        <w:rPr>
          <w:sz w:val="2"/>
          <w:szCs w:val="2"/>
        </w:rPr>
      </w:pPr>
      <w:r>
        <w:br w:type="page"/>
      </w:r>
    </w:p>
    <w:p>
      <w:pPr>
        <w:pStyle w:val="10"/>
        <w:spacing w:after="240" w:line="240" w:lineRule="auto"/>
        <w:ind w:firstLine="600"/>
        <w:rPr>
          <w:rFonts w:ascii="黑体" w:hAnsi="黑体" w:eastAsia="黑体"/>
          <w:sz w:val="32"/>
          <w:szCs w:val="32"/>
        </w:rPr>
      </w:pPr>
      <w:r>
        <w:rPr>
          <w:rFonts w:ascii="黑体" w:hAnsi="黑体" w:eastAsia="黑体"/>
          <w:bCs/>
          <w:sz w:val="32"/>
          <w:szCs w:val="32"/>
        </w:rPr>
        <w:t>三、收到和处理政府信息公开申请情况</w:t>
      </w:r>
    </w:p>
    <w:tbl>
      <w:tblPr>
        <w:tblStyle w:val="5"/>
        <w:tblW w:w="0" w:type="auto"/>
        <w:jc w:val="center"/>
        <w:tblLayout w:type="fixed"/>
        <w:tblCellMar>
          <w:top w:w="0" w:type="dxa"/>
          <w:left w:w="10" w:type="dxa"/>
          <w:bottom w:w="0" w:type="dxa"/>
          <w:right w:w="10" w:type="dxa"/>
        </w:tblCellMar>
      </w:tblPr>
      <w:tblGrid>
        <w:gridCol w:w="518"/>
        <w:gridCol w:w="1414"/>
        <w:gridCol w:w="2709"/>
        <w:gridCol w:w="624"/>
        <w:gridCol w:w="562"/>
        <w:gridCol w:w="562"/>
        <w:gridCol w:w="566"/>
        <w:gridCol w:w="566"/>
        <w:gridCol w:w="566"/>
        <w:gridCol w:w="634"/>
      </w:tblGrid>
      <w:tr>
        <w:tblPrEx>
          <w:tblCellMar>
            <w:top w:w="0" w:type="dxa"/>
            <w:left w:w="10" w:type="dxa"/>
            <w:bottom w:w="0" w:type="dxa"/>
            <w:right w:w="10" w:type="dxa"/>
          </w:tblCellMar>
        </w:tblPrEx>
        <w:trPr>
          <w:trHeight w:val="576" w:hRule="exact"/>
          <w:jc w:val="center"/>
        </w:trPr>
        <w:tc>
          <w:tcPr>
            <w:tcW w:w="4641" w:type="dxa"/>
            <w:gridSpan w:val="3"/>
            <w:vMerge w:val="restart"/>
            <w:tcBorders>
              <w:top w:val="single" w:color="auto" w:sz="4" w:space="0"/>
              <w:left w:val="single" w:color="auto" w:sz="4" w:space="0"/>
            </w:tcBorders>
            <w:shd w:val="clear" w:color="auto" w:fill="FFFFFF"/>
            <w:noWrap w:val="0"/>
            <w:vAlign w:val="center"/>
          </w:tcPr>
          <w:p>
            <w:pPr>
              <w:pStyle w:val="11"/>
              <w:spacing w:line="259" w:lineRule="exact"/>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（本列数据的勾稽关系为：第一项加第二项之和， 等于第三项加第四项之和）</w:t>
            </w:r>
          </w:p>
        </w:tc>
        <w:tc>
          <w:tcPr>
            <w:tcW w:w="4080" w:type="dxa"/>
            <w:gridSpan w:val="7"/>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申请人情况</w:t>
            </w:r>
          </w:p>
        </w:tc>
      </w:tr>
      <w:tr>
        <w:tblPrEx>
          <w:tblCellMar>
            <w:top w:w="0" w:type="dxa"/>
            <w:left w:w="10" w:type="dxa"/>
            <w:bottom w:w="0" w:type="dxa"/>
            <w:right w:w="10" w:type="dxa"/>
          </w:tblCellMar>
        </w:tblPrEx>
        <w:trPr>
          <w:trHeight w:val="571" w:hRule="exact"/>
          <w:jc w:val="center"/>
        </w:trPr>
        <w:tc>
          <w:tcPr>
            <w:tcW w:w="4641" w:type="dxa"/>
            <w:gridSpan w:val="3"/>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624" w:type="dxa"/>
            <w:vMerge w:val="restart"/>
            <w:tcBorders>
              <w:top w:val="single" w:color="auto" w:sz="4" w:space="0"/>
              <w:left w:val="single" w:color="auto" w:sz="4" w:space="0"/>
            </w:tcBorders>
            <w:shd w:val="clear" w:color="auto" w:fill="FFFFFF"/>
            <w:noWrap w:val="0"/>
            <w:vAlign w:val="center"/>
          </w:tcPr>
          <w:p>
            <w:pPr>
              <w:pStyle w:val="11"/>
              <w:spacing w:line="240" w:lineRule="auto"/>
              <w:ind w:firstLine="0"/>
              <w:jc w:val="right"/>
              <w:rPr>
                <w:rFonts w:ascii="仿宋_GB2312" w:hAnsi="仿宋_GB2312" w:eastAsia="仿宋_GB2312" w:cs="仿宋_GB2312"/>
                <w:sz w:val="20"/>
                <w:szCs w:val="20"/>
              </w:rPr>
            </w:pPr>
            <w:r>
              <w:rPr>
                <w:rFonts w:hint="eastAsia" w:ascii="仿宋_GB2312" w:hAnsi="仿宋_GB2312" w:eastAsia="仿宋_GB2312" w:cs="仿宋_GB2312"/>
                <w:sz w:val="20"/>
                <w:szCs w:val="20"/>
              </w:rPr>
              <w:t>自然人</w:t>
            </w:r>
          </w:p>
        </w:tc>
        <w:tc>
          <w:tcPr>
            <w:tcW w:w="2822" w:type="dxa"/>
            <w:gridSpan w:val="5"/>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法人或其他组织</w:t>
            </w:r>
          </w:p>
        </w:tc>
        <w:tc>
          <w:tcPr>
            <w:tcW w:w="634" w:type="dxa"/>
            <w:vMerge w:val="restart"/>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right"/>
              <w:rPr>
                <w:rFonts w:ascii="仿宋_GB2312" w:hAnsi="仿宋_GB2312" w:eastAsia="仿宋_GB2312" w:cs="仿宋_GB2312"/>
                <w:sz w:val="20"/>
                <w:szCs w:val="20"/>
              </w:rPr>
            </w:pPr>
            <w:r>
              <w:rPr>
                <w:rFonts w:hint="eastAsia" w:ascii="仿宋_GB2312" w:hAnsi="仿宋_GB2312" w:eastAsia="仿宋_GB2312" w:cs="仿宋_GB2312"/>
                <w:sz w:val="20"/>
                <w:szCs w:val="20"/>
              </w:rPr>
              <w:t>总计</w:t>
            </w:r>
          </w:p>
        </w:tc>
      </w:tr>
      <w:tr>
        <w:tblPrEx>
          <w:tblCellMar>
            <w:top w:w="0" w:type="dxa"/>
            <w:left w:w="10" w:type="dxa"/>
            <w:bottom w:w="0" w:type="dxa"/>
            <w:right w:w="10" w:type="dxa"/>
          </w:tblCellMar>
        </w:tblPrEx>
        <w:trPr>
          <w:trHeight w:val="1133" w:hRule="exact"/>
          <w:jc w:val="center"/>
        </w:trPr>
        <w:tc>
          <w:tcPr>
            <w:tcW w:w="4641" w:type="dxa"/>
            <w:gridSpan w:val="3"/>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62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562" w:type="dxa"/>
            <w:tcBorders>
              <w:top w:val="single" w:color="auto" w:sz="4" w:space="0"/>
              <w:left w:val="single" w:color="auto" w:sz="4" w:space="0"/>
            </w:tcBorders>
            <w:shd w:val="clear" w:color="auto" w:fill="FFFFFF"/>
            <w:noWrap w:val="0"/>
            <w:vAlign w:val="center"/>
          </w:tcPr>
          <w:p>
            <w:pPr>
              <w:pStyle w:val="11"/>
              <w:spacing w:line="264" w:lineRule="exact"/>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商业 企业</w:t>
            </w:r>
          </w:p>
        </w:tc>
        <w:tc>
          <w:tcPr>
            <w:tcW w:w="562" w:type="dxa"/>
            <w:tcBorders>
              <w:top w:val="single" w:color="auto" w:sz="4" w:space="0"/>
              <w:left w:val="single" w:color="auto" w:sz="4" w:space="0"/>
            </w:tcBorders>
            <w:shd w:val="clear" w:color="auto" w:fill="FFFFFF"/>
            <w:noWrap w:val="0"/>
            <w:vAlign w:val="center"/>
          </w:tcPr>
          <w:p>
            <w:pPr>
              <w:pStyle w:val="11"/>
              <w:spacing w:line="259" w:lineRule="exact"/>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科研 机构</w:t>
            </w:r>
          </w:p>
        </w:tc>
        <w:tc>
          <w:tcPr>
            <w:tcW w:w="566" w:type="dxa"/>
            <w:tcBorders>
              <w:top w:val="single" w:color="auto" w:sz="4" w:space="0"/>
              <w:left w:val="single" w:color="auto" w:sz="4" w:space="0"/>
            </w:tcBorders>
            <w:shd w:val="clear" w:color="auto" w:fill="FFFFFF"/>
            <w:noWrap w:val="0"/>
            <w:vAlign w:val="center"/>
          </w:tcPr>
          <w:p>
            <w:pPr>
              <w:jc w:val="center"/>
              <w:rPr>
                <w:rFonts w:ascii="仿宋_GB2312" w:hAnsi="仿宋_GB2312" w:eastAsia="仿宋_GB2312" w:cs="仿宋_GB2312"/>
                <w:sz w:val="10"/>
                <w:szCs w:val="10"/>
                <w:lang w:eastAsia="zh-CN"/>
              </w:rPr>
            </w:pPr>
            <w:r>
              <w:rPr>
                <w:rFonts w:hint="eastAsia" w:ascii="仿宋_GB2312" w:hAnsi="仿宋_GB2312" w:eastAsia="仿宋_GB2312" w:cs="仿宋_GB2312"/>
                <w:sz w:val="20"/>
                <w:szCs w:val="20"/>
                <w:lang w:val="zh-TW" w:eastAsia="zh-CN" w:bidi="zh-TW"/>
              </w:rPr>
              <w:t>社会公益组织</w:t>
            </w:r>
          </w:p>
        </w:tc>
        <w:tc>
          <w:tcPr>
            <w:tcW w:w="566" w:type="dxa"/>
            <w:tcBorders>
              <w:top w:val="single" w:color="auto" w:sz="4" w:space="0"/>
              <w:left w:val="single" w:color="auto" w:sz="4" w:space="0"/>
            </w:tcBorders>
            <w:shd w:val="clear" w:color="auto" w:fill="FFFFFF"/>
            <w:noWrap w:val="0"/>
            <w:vAlign w:val="center"/>
          </w:tcPr>
          <w:p>
            <w:pPr>
              <w:pStyle w:val="11"/>
              <w:spacing w:line="264" w:lineRule="exact"/>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法律 服务 机构</w:t>
            </w:r>
          </w:p>
        </w:tc>
        <w:tc>
          <w:tcPr>
            <w:tcW w:w="566" w:type="dxa"/>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其他</w:t>
            </w:r>
          </w:p>
        </w:tc>
        <w:tc>
          <w:tcPr>
            <w:tcW w:w="634" w:type="dxa"/>
            <w:vMerge w:val="continue"/>
            <w:tcBorders>
              <w:left w:val="single" w:color="auto" w:sz="4" w:space="0"/>
              <w:right w:val="single" w:color="auto" w:sz="4" w:space="0"/>
            </w:tcBorders>
            <w:shd w:val="clear" w:color="auto" w:fill="FFFFFF"/>
            <w:noWrap w:val="0"/>
            <w:vAlign w:val="center"/>
          </w:tcPr>
          <w:p>
            <w:pPr>
              <w:rPr>
                <w:rFonts w:ascii="仿宋_GB2312" w:hAnsi="仿宋_GB2312" w:eastAsia="仿宋_GB2312" w:cs="仿宋_GB2312"/>
              </w:rPr>
            </w:pPr>
          </w:p>
        </w:tc>
      </w:tr>
      <w:tr>
        <w:tblPrEx>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一、本年新收政府信息公开申请数量</w:t>
            </w:r>
          </w:p>
        </w:tc>
        <w:tc>
          <w:tcPr>
            <w:tcW w:w="624" w:type="dxa"/>
            <w:tcBorders>
              <w:top w:val="single" w:color="auto" w:sz="4" w:space="0"/>
              <w:lef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99</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99</w:t>
            </w:r>
          </w:p>
        </w:tc>
      </w:tr>
      <w:tr>
        <w:tblPrEx>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二、上年结转政府信息公开申请数量</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4" w:hRule="exact"/>
          <w:jc w:val="center"/>
        </w:trPr>
        <w:tc>
          <w:tcPr>
            <w:tcW w:w="518" w:type="dxa"/>
            <w:vMerge w:val="restart"/>
            <w:tcBorders>
              <w:top w:val="single" w:color="auto" w:sz="4" w:space="0"/>
              <w:left w:val="single" w:color="auto" w:sz="4" w:space="0"/>
            </w:tcBorders>
            <w:shd w:val="clear" w:color="auto" w:fill="FFFFFF"/>
            <w:noWrap w:val="0"/>
            <w:textDirection w:val="tbRlV"/>
            <w:vAlign w:val="center"/>
          </w:tcPr>
          <w:p>
            <w:pPr>
              <w:pStyle w:val="12"/>
              <w:spacing w:before="0"/>
              <w:rPr>
                <w:rFonts w:ascii="仿宋_GB2312" w:hAnsi="仿宋_GB2312" w:eastAsia="仿宋_GB2312" w:cs="仿宋_GB2312"/>
              </w:rPr>
            </w:pPr>
            <w:r>
              <w:rPr>
                <w:rFonts w:hint="eastAsia" w:ascii="仿宋_GB2312" w:hAnsi="仿宋_GB2312" w:eastAsia="仿宋_GB2312" w:cs="仿宋_GB2312"/>
              </w:rPr>
              <w:t>三、本年度办理结果</w:t>
            </w:r>
          </w:p>
        </w:tc>
        <w:tc>
          <w:tcPr>
            <w:tcW w:w="4123" w:type="dxa"/>
            <w:gridSpan w:val="2"/>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（一）予以公开</w:t>
            </w:r>
          </w:p>
        </w:tc>
        <w:tc>
          <w:tcPr>
            <w:tcW w:w="624" w:type="dxa"/>
            <w:tcBorders>
              <w:top w:val="single" w:color="auto" w:sz="4" w:space="0"/>
              <w:lef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82</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82</w:t>
            </w:r>
          </w:p>
        </w:tc>
      </w:tr>
      <w:tr>
        <w:tblPrEx>
          <w:tblCellMar>
            <w:top w:w="0" w:type="dxa"/>
            <w:left w:w="10" w:type="dxa"/>
            <w:bottom w:w="0" w:type="dxa"/>
            <w:right w:w="10" w:type="dxa"/>
          </w:tblCellMar>
        </w:tblPrEx>
        <w:trPr>
          <w:trHeight w:val="682"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4123" w:type="dxa"/>
            <w:gridSpan w:val="2"/>
            <w:tcBorders>
              <w:top w:val="single" w:color="auto" w:sz="4" w:space="0"/>
              <w:left w:val="single" w:color="auto" w:sz="4" w:space="0"/>
            </w:tcBorders>
            <w:shd w:val="clear" w:color="auto" w:fill="FFFFFF"/>
            <w:noWrap w:val="0"/>
            <w:vAlign w:val="center"/>
          </w:tcPr>
          <w:p>
            <w:pPr>
              <w:pStyle w:val="11"/>
              <w:spacing w:line="298" w:lineRule="exact"/>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（二）部分公开（区分处理的，只计这一情 形，不计其他情形）</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restart"/>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（三）不予公开</w:t>
            </w: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1.</w:t>
            </w:r>
            <w:r>
              <w:rPr>
                <w:rFonts w:hint="eastAsia" w:ascii="仿宋_GB2312" w:hAnsi="仿宋_GB2312" w:eastAsia="仿宋_GB2312" w:cs="仿宋_GB2312"/>
                <w:sz w:val="20"/>
                <w:szCs w:val="20"/>
              </w:rPr>
              <w:t>属于国家秘密</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2.</w:t>
            </w:r>
            <w:r>
              <w:rPr>
                <w:rFonts w:hint="eastAsia" w:ascii="仿宋_GB2312" w:hAnsi="仿宋_GB2312" w:eastAsia="仿宋_GB2312" w:cs="仿宋_GB2312"/>
                <w:sz w:val="20"/>
                <w:szCs w:val="20"/>
                <w:lang w:eastAsia="zh-CN"/>
              </w:rPr>
              <w:t>其他法律行政法规</w:t>
            </w:r>
            <w:r>
              <w:rPr>
                <w:rFonts w:hint="eastAsia" w:ascii="仿宋_GB2312" w:hAnsi="仿宋_GB2312" w:eastAsia="仿宋_GB2312" w:cs="仿宋_GB2312"/>
                <w:sz w:val="20"/>
                <w:szCs w:val="20"/>
              </w:rPr>
              <w:t>禁止公开</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3.</w:t>
            </w:r>
            <w:r>
              <w:rPr>
                <w:rFonts w:hint="eastAsia" w:ascii="仿宋_GB2312" w:hAnsi="仿宋_GB2312" w:eastAsia="仿宋_GB2312" w:cs="仿宋_GB2312"/>
                <w:sz w:val="20"/>
                <w:szCs w:val="20"/>
              </w:rPr>
              <w:t>危及</w:t>
            </w:r>
            <w:r>
              <w:rPr>
                <w:rFonts w:hint="eastAsia" w:ascii="仿宋_GB2312" w:hAnsi="仿宋_GB2312" w:eastAsia="仿宋_GB2312" w:cs="仿宋_GB2312"/>
                <w:sz w:val="20"/>
                <w:szCs w:val="20"/>
                <w:lang w:val="zh-CN" w:eastAsia="zh-CN" w:bidi="zh-CN"/>
              </w:rPr>
              <w:t>“三</w:t>
            </w:r>
            <w:r>
              <w:rPr>
                <w:rFonts w:hint="eastAsia" w:ascii="仿宋_GB2312" w:hAnsi="仿宋_GB2312" w:eastAsia="仿宋_GB2312" w:cs="仿宋_GB2312"/>
                <w:sz w:val="20"/>
                <w:szCs w:val="20"/>
              </w:rPr>
              <w:t>安全一稳定”</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4.</w:t>
            </w:r>
            <w:r>
              <w:rPr>
                <w:rFonts w:hint="eastAsia" w:ascii="仿宋_GB2312" w:hAnsi="仿宋_GB2312" w:eastAsia="仿宋_GB2312" w:cs="仿宋_GB2312"/>
                <w:sz w:val="20"/>
                <w:szCs w:val="20"/>
              </w:rPr>
              <w:t>保护第三方合法权益</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top"/>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5.</w:t>
            </w:r>
            <w:r>
              <w:rPr>
                <w:rFonts w:hint="eastAsia" w:ascii="仿宋_GB2312" w:hAnsi="仿宋_GB2312" w:eastAsia="仿宋_GB2312" w:cs="仿宋_GB2312"/>
                <w:sz w:val="20"/>
                <w:szCs w:val="20"/>
              </w:rPr>
              <w:t>属于三类内部事务信息</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6.</w:t>
            </w:r>
            <w:r>
              <w:rPr>
                <w:rFonts w:hint="eastAsia" w:ascii="仿宋_GB2312" w:hAnsi="仿宋_GB2312" w:eastAsia="仿宋_GB2312" w:cs="仿宋_GB2312"/>
                <w:sz w:val="20"/>
                <w:szCs w:val="20"/>
              </w:rPr>
              <w:t>属于四类过程性信息</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403"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7.</w:t>
            </w:r>
            <w:r>
              <w:rPr>
                <w:rFonts w:hint="eastAsia" w:ascii="仿宋_GB2312" w:hAnsi="仿宋_GB2312" w:eastAsia="仿宋_GB2312" w:cs="仿宋_GB2312"/>
                <w:sz w:val="20"/>
                <w:szCs w:val="20"/>
              </w:rPr>
              <w:t>属于行政执法案卷</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top"/>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8.</w:t>
            </w:r>
            <w:r>
              <w:rPr>
                <w:rFonts w:hint="eastAsia" w:ascii="仿宋_GB2312" w:hAnsi="仿宋_GB2312" w:eastAsia="仿宋_GB2312" w:cs="仿宋_GB2312"/>
                <w:sz w:val="20"/>
                <w:szCs w:val="20"/>
              </w:rPr>
              <w:t>属于行政查询事项</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restart"/>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（四）无法提供</w:t>
            </w: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1.</w:t>
            </w:r>
            <w:r>
              <w:rPr>
                <w:rFonts w:hint="eastAsia" w:ascii="仿宋_GB2312" w:hAnsi="仿宋_GB2312" w:eastAsia="仿宋_GB2312" w:cs="仿宋_GB2312"/>
                <w:sz w:val="20"/>
                <w:szCs w:val="20"/>
              </w:rPr>
              <w:t>本机关不掌握相关政府信息</w:t>
            </w:r>
          </w:p>
        </w:tc>
        <w:tc>
          <w:tcPr>
            <w:tcW w:w="624" w:type="dxa"/>
            <w:tcBorders>
              <w:top w:val="single" w:color="auto" w:sz="4" w:space="0"/>
              <w:lef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14</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14</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2.</w:t>
            </w:r>
            <w:r>
              <w:rPr>
                <w:rFonts w:hint="eastAsia" w:ascii="仿宋_GB2312" w:hAnsi="仿宋_GB2312" w:eastAsia="仿宋_GB2312" w:cs="仿宋_GB2312"/>
                <w:sz w:val="20"/>
                <w:szCs w:val="20"/>
              </w:rPr>
              <w:t>没有现成信息需要另行制作</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center"/>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3.</w:t>
            </w:r>
            <w:r>
              <w:rPr>
                <w:rFonts w:hint="eastAsia" w:ascii="仿宋_GB2312" w:hAnsi="仿宋_GB2312" w:eastAsia="仿宋_GB2312" w:cs="仿宋_GB2312"/>
                <w:sz w:val="20"/>
                <w:szCs w:val="20"/>
              </w:rPr>
              <w:t>补正后申请内容仍不明确</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restart"/>
            <w:tcBorders>
              <w:top w:val="single" w:color="auto" w:sz="4" w:space="0"/>
              <w:left w:val="single" w:color="auto" w:sz="4" w:space="0"/>
            </w:tcBorders>
            <w:shd w:val="clear" w:color="auto" w:fill="FFFFFF"/>
            <w:noWrap w:val="0"/>
            <w:vAlign w:val="center"/>
          </w:tcPr>
          <w:p>
            <w:pPr>
              <w:pStyle w:val="11"/>
              <w:spacing w:line="240" w:lineRule="auto"/>
              <w:ind w:firstLine="0"/>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（五）不予处理</w:t>
            </w:r>
          </w:p>
        </w:tc>
        <w:tc>
          <w:tcPr>
            <w:tcW w:w="2709" w:type="dxa"/>
            <w:tcBorders>
              <w:top w:val="single" w:color="auto" w:sz="4" w:space="0"/>
              <w:left w:val="single" w:color="auto" w:sz="4" w:space="0"/>
            </w:tcBorders>
            <w:shd w:val="clear" w:color="auto" w:fill="FFFFFF"/>
            <w:noWrap w:val="0"/>
            <w:vAlign w:val="top"/>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1.</w:t>
            </w:r>
            <w:r>
              <w:rPr>
                <w:rFonts w:hint="eastAsia" w:ascii="仿宋_GB2312" w:hAnsi="仿宋_GB2312" w:eastAsia="仿宋_GB2312" w:cs="仿宋_GB2312"/>
                <w:sz w:val="20"/>
                <w:szCs w:val="20"/>
              </w:rPr>
              <w:t>信访举报投诉类申请</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top"/>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2.</w:t>
            </w:r>
            <w:r>
              <w:rPr>
                <w:rFonts w:hint="eastAsia" w:ascii="仿宋_GB2312" w:hAnsi="仿宋_GB2312" w:eastAsia="仿宋_GB2312" w:cs="仿宋_GB2312"/>
                <w:sz w:val="20"/>
                <w:szCs w:val="20"/>
              </w:rPr>
              <w:t>重复申请</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36"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top"/>
          </w:tcPr>
          <w:p>
            <w:pPr>
              <w:pStyle w:val="11"/>
              <w:spacing w:line="240" w:lineRule="auto"/>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en-US" w:bidi="en-US"/>
              </w:rPr>
              <w:t>3.</w:t>
            </w:r>
            <w:r>
              <w:rPr>
                <w:rFonts w:hint="eastAsia" w:ascii="仿宋_GB2312" w:hAnsi="仿宋_GB2312" w:eastAsia="仿宋_GB2312" w:cs="仿宋_GB2312"/>
                <w:sz w:val="20"/>
                <w:szCs w:val="20"/>
              </w:rPr>
              <w:t>要求提供公开出版物</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79"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rPr>
            </w:pPr>
          </w:p>
        </w:tc>
        <w:tc>
          <w:tcPr>
            <w:tcW w:w="2709" w:type="dxa"/>
            <w:tcBorders>
              <w:top w:val="single" w:color="auto" w:sz="4" w:space="0"/>
              <w:left w:val="single" w:color="auto" w:sz="4" w:space="0"/>
            </w:tcBorders>
            <w:shd w:val="clear" w:color="auto" w:fill="FFFFFF"/>
            <w:noWrap w:val="0"/>
            <w:vAlign w:val="bottom"/>
          </w:tcPr>
          <w:p>
            <w:pPr>
              <w:pStyle w:val="11"/>
              <w:spacing w:line="288" w:lineRule="exact"/>
              <w:ind w:firstLine="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4.</w:t>
            </w:r>
            <w:r>
              <w:rPr>
                <w:rFonts w:hint="eastAsia" w:ascii="仿宋_GB2312" w:hAnsi="仿宋_GB2312" w:eastAsia="仿宋_GB2312" w:cs="仿宋_GB2312"/>
                <w:sz w:val="20"/>
                <w:szCs w:val="20"/>
              </w:rPr>
              <w:t>无正当理由大量反复申请</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571"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1414" w:type="dxa"/>
            <w:vMerge w:val="continue"/>
            <w:tcBorders>
              <w:left w:val="single" w:color="auto" w:sz="4" w:space="0"/>
            </w:tcBorders>
            <w:shd w:val="clear" w:color="auto" w:fill="FFFFFF"/>
            <w:noWrap w:val="0"/>
            <w:vAlign w:val="center"/>
          </w:tcPr>
          <w:p>
            <w:pPr>
              <w:rPr>
                <w:rFonts w:ascii="仿宋_GB2312" w:hAnsi="仿宋_GB2312" w:eastAsia="仿宋_GB2312" w:cs="仿宋_GB2312"/>
                <w:lang w:eastAsia="zh-CN"/>
              </w:rPr>
            </w:pPr>
          </w:p>
        </w:tc>
        <w:tc>
          <w:tcPr>
            <w:tcW w:w="2709" w:type="dxa"/>
            <w:tcBorders>
              <w:top w:val="single" w:color="auto" w:sz="4" w:space="0"/>
              <w:left w:val="single" w:color="auto" w:sz="4" w:space="0"/>
            </w:tcBorders>
            <w:shd w:val="clear" w:color="auto" w:fill="FFFFFF"/>
            <w:noWrap w:val="0"/>
            <w:vAlign w:val="top"/>
          </w:tcPr>
          <w:p>
            <w:pPr>
              <w:pStyle w:val="11"/>
              <w:spacing w:line="274" w:lineRule="exact"/>
              <w:ind w:left="340" w:hanging="340"/>
              <w:jc w:val="both"/>
              <w:rPr>
                <w:rFonts w:ascii="仿宋_GB2312" w:hAnsi="仿宋_GB2312" w:eastAsia="仿宋_GB2312" w:cs="仿宋_GB2312"/>
                <w:sz w:val="20"/>
                <w:szCs w:val="20"/>
              </w:rPr>
            </w:pPr>
            <w:r>
              <w:rPr>
                <w:rFonts w:hint="eastAsia" w:ascii="仿宋_GB2312" w:hAnsi="仿宋_GB2312" w:eastAsia="仿宋_GB2312" w:cs="仿宋_GB2312"/>
                <w:sz w:val="20"/>
                <w:szCs w:val="20"/>
                <w:lang w:val="en-US" w:eastAsia="zh-CN" w:bidi="en-US"/>
              </w:rPr>
              <w:t>5.</w:t>
            </w:r>
            <w:r>
              <w:rPr>
                <w:rFonts w:hint="eastAsia" w:ascii="仿宋_GB2312" w:hAnsi="仿宋_GB2312" w:eastAsia="仿宋_GB2312" w:cs="仿宋_GB2312"/>
                <w:sz w:val="20"/>
                <w:szCs w:val="20"/>
              </w:rPr>
              <w:t>要求行政机关确认或重新出具已获取信息</w:t>
            </w:r>
          </w:p>
        </w:tc>
        <w:tc>
          <w:tcPr>
            <w:tcW w:w="624"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r>
        <w:tblPrEx>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lang w:eastAsia="zh-CN"/>
              </w:rPr>
            </w:pPr>
          </w:p>
        </w:tc>
        <w:tc>
          <w:tcPr>
            <w:tcW w:w="4123" w:type="dxa"/>
            <w:gridSpan w:val="2"/>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（六）其他处理</w:t>
            </w:r>
          </w:p>
        </w:tc>
        <w:tc>
          <w:tcPr>
            <w:tcW w:w="624" w:type="dxa"/>
            <w:tcBorders>
              <w:top w:val="single" w:color="auto" w:sz="4" w:space="0"/>
              <w:lef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3</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3</w:t>
            </w:r>
          </w:p>
        </w:tc>
      </w:tr>
      <w:tr>
        <w:tblPrEx>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noWrap w:val="0"/>
            <w:textDirection w:val="tbRlV"/>
            <w:vAlign w:val="center"/>
          </w:tcPr>
          <w:p>
            <w:pPr>
              <w:rPr>
                <w:rFonts w:ascii="仿宋_GB2312" w:hAnsi="仿宋_GB2312" w:eastAsia="仿宋_GB2312" w:cs="仿宋_GB2312"/>
              </w:rPr>
            </w:pPr>
          </w:p>
        </w:tc>
        <w:tc>
          <w:tcPr>
            <w:tcW w:w="4123" w:type="dxa"/>
            <w:gridSpan w:val="2"/>
            <w:tcBorders>
              <w:top w:val="single" w:color="auto" w:sz="4" w:space="0"/>
              <w:left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（七）总计</w:t>
            </w:r>
          </w:p>
        </w:tc>
        <w:tc>
          <w:tcPr>
            <w:tcW w:w="624" w:type="dxa"/>
            <w:tcBorders>
              <w:top w:val="single" w:color="auto" w:sz="4" w:space="0"/>
              <w:lef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99</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CN"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right w:val="single" w:color="auto" w:sz="4" w:space="0"/>
            </w:tcBorders>
            <w:shd w:val="clear" w:color="auto" w:fill="FFFFFF"/>
            <w:noWrap w:val="0"/>
            <w:vAlign w:val="center"/>
          </w:tcPr>
          <w:p>
            <w:pPr>
              <w:jc w:val="center"/>
              <w:rPr>
                <w:rFonts w:hint="default" w:ascii="仿宋_GB2312" w:hAnsi="仿宋_GB2312" w:eastAsia="仿宋_GB2312" w:cs="仿宋_GB2312"/>
                <w:color w:val="000000"/>
                <w:sz w:val="24"/>
                <w:szCs w:val="24"/>
                <w:lang w:val="en-US" w:eastAsia="zh-CN" w:bidi="zh-TW"/>
              </w:rPr>
            </w:pPr>
            <w:r>
              <w:rPr>
                <w:rFonts w:hint="eastAsia" w:ascii="仿宋_GB2312" w:hAnsi="仿宋_GB2312" w:eastAsia="仿宋_GB2312" w:cs="仿宋_GB2312"/>
                <w:color w:val="000000"/>
                <w:sz w:val="24"/>
                <w:szCs w:val="24"/>
                <w:lang w:val="en-US" w:eastAsia="zh-CN" w:bidi="zh-TW"/>
              </w:rPr>
              <w:t>99</w:t>
            </w:r>
          </w:p>
        </w:tc>
      </w:tr>
      <w:tr>
        <w:tblPrEx>
          <w:tblCellMar>
            <w:top w:w="0" w:type="dxa"/>
            <w:left w:w="10" w:type="dxa"/>
            <w:bottom w:w="0" w:type="dxa"/>
            <w:right w:w="10" w:type="dxa"/>
          </w:tblCellMar>
        </w:tblPrEx>
        <w:trPr>
          <w:trHeight w:val="466" w:hRule="exact"/>
          <w:jc w:val="center"/>
        </w:trPr>
        <w:tc>
          <w:tcPr>
            <w:tcW w:w="4641" w:type="dxa"/>
            <w:gridSpan w:val="3"/>
            <w:tcBorders>
              <w:top w:val="single" w:color="auto" w:sz="4" w:space="0"/>
              <w:left w:val="single" w:color="auto" w:sz="4" w:space="0"/>
              <w:bottom w:val="single" w:color="auto" w:sz="4" w:space="0"/>
            </w:tcBorders>
            <w:shd w:val="clear" w:color="auto" w:fill="FFFFFF"/>
            <w:noWrap w:val="0"/>
            <w:vAlign w:val="center"/>
          </w:tcPr>
          <w:p>
            <w:pPr>
              <w:pStyle w:val="11"/>
              <w:spacing w:line="240" w:lineRule="auto"/>
              <w:ind w:firstLine="0"/>
              <w:rPr>
                <w:rFonts w:ascii="仿宋_GB2312" w:hAnsi="仿宋_GB2312" w:eastAsia="仿宋_GB2312" w:cs="仿宋_GB2312"/>
                <w:sz w:val="20"/>
                <w:szCs w:val="20"/>
              </w:rPr>
            </w:pPr>
            <w:r>
              <w:rPr>
                <w:rFonts w:hint="eastAsia" w:ascii="仿宋_GB2312" w:hAnsi="仿宋_GB2312" w:eastAsia="仿宋_GB2312" w:cs="仿宋_GB2312"/>
                <w:sz w:val="20"/>
                <w:szCs w:val="20"/>
              </w:rPr>
              <w:t>四、结转下年度继续办理</w:t>
            </w:r>
          </w:p>
        </w:tc>
        <w:tc>
          <w:tcPr>
            <w:tcW w:w="624"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c>
          <w:tcPr>
            <w:tcW w:w="63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仿宋_GB2312" w:hAnsi="仿宋_GB2312" w:eastAsia="仿宋_GB2312" w:cs="仿宋_GB2312"/>
                <w:color w:val="000000"/>
                <w:sz w:val="24"/>
                <w:szCs w:val="24"/>
                <w:lang w:val="zh-TW" w:eastAsia="zh-TW" w:bidi="zh-TW"/>
              </w:rPr>
            </w:pPr>
            <w:r>
              <w:rPr>
                <w:rFonts w:hint="eastAsia" w:ascii="仿宋_GB2312" w:hAnsi="仿宋_GB2312" w:eastAsia="仿宋_GB2312" w:cs="仿宋_GB2312"/>
                <w:color w:val="000000"/>
                <w:sz w:val="24"/>
                <w:szCs w:val="24"/>
                <w:lang w:val="zh-TW" w:eastAsia="zh-CN" w:bidi="zh-TW"/>
              </w:rPr>
              <w:t>0</w:t>
            </w:r>
          </w:p>
        </w:tc>
      </w:tr>
    </w:tbl>
    <w:p>
      <w:pPr>
        <w:rPr>
          <w:lang w:eastAsia="zh-CN"/>
        </w:rPr>
        <w:sectPr>
          <w:headerReference r:id="rId3" w:type="default"/>
          <w:footerReference r:id="rId5" w:type="default"/>
          <w:headerReference r:id="rId4" w:type="even"/>
          <w:footerReference r:id="rId6" w:type="even"/>
          <w:pgSz w:w="11900" w:h="16840"/>
          <w:pgMar w:top="2416" w:right="1302" w:bottom="1283" w:left="1771" w:header="0" w:footer="3" w:gutter="0"/>
          <w:pgNumType w:start="8"/>
          <w:cols w:space="720" w:num="1"/>
          <w:docGrid w:linePitch="360" w:charSpace="0"/>
        </w:sectPr>
      </w:pPr>
    </w:p>
    <w:p>
      <w:pPr>
        <w:pStyle w:val="10"/>
        <w:spacing w:after="260" w:line="240" w:lineRule="auto"/>
        <w:ind w:firstLine="580"/>
        <w:rPr>
          <w:b/>
          <w:bCs/>
          <w:sz w:val="28"/>
          <w:szCs w:val="28"/>
        </w:rPr>
      </w:pPr>
      <w:bookmarkStart w:id="1" w:name="bookmark39"/>
    </w:p>
    <w:p>
      <w:pPr>
        <w:pStyle w:val="10"/>
        <w:spacing w:after="260" w:line="240" w:lineRule="auto"/>
        <w:ind w:firstLine="580"/>
        <w:rPr>
          <w:rFonts w:ascii="黑体" w:hAnsi="黑体" w:eastAsia="黑体"/>
          <w:sz w:val="32"/>
          <w:szCs w:val="32"/>
        </w:rPr>
      </w:pPr>
      <w:r>
        <w:rPr>
          <w:rFonts w:ascii="黑体" w:hAnsi="黑体" w:eastAsia="黑体"/>
          <w:bCs/>
          <w:sz w:val="32"/>
          <w:szCs w:val="32"/>
        </w:rPr>
        <w:t>四</w:t>
      </w:r>
      <w:bookmarkEnd w:id="1"/>
      <w:r>
        <w:rPr>
          <w:rFonts w:ascii="黑体" w:hAnsi="黑体" w:eastAsia="黑体"/>
          <w:bCs/>
          <w:sz w:val="32"/>
          <w:szCs w:val="32"/>
        </w:rPr>
        <w:t>、政府信息公开行政复议、行政诉讼情况</w:t>
      </w:r>
    </w:p>
    <w:tbl>
      <w:tblPr>
        <w:tblStyle w:val="5"/>
        <w:tblW w:w="8737" w:type="dxa"/>
        <w:jc w:val="center"/>
        <w:tblLayout w:type="fixed"/>
        <w:tblCellMar>
          <w:top w:w="0" w:type="dxa"/>
          <w:left w:w="10" w:type="dxa"/>
          <w:bottom w:w="0" w:type="dxa"/>
          <w:right w:w="10" w:type="dxa"/>
        </w:tblCellMar>
      </w:tblPr>
      <w:tblGrid>
        <w:gridCol w:w="629"/>
        <w:gridCol w:w="629"/>
        <w:gridCol w:w="624"/>
        <w:gridCol w:w="624"/>
        <w:gridCol w:w="562"/>
        <w:gridCol w:w="562"/>
        <w:gridCol w:w="571"/>
        <w:gridCol w:w="562"/>
        <w:gridCol w:w="566"/>
        <w:gridCol w:w="566"/>
        <w:gridCol w:w="562"/>
        <w:gridCol w:w="571"/>
        <w:gridCol w:w="562"/>
        <w:gridCol w:w="566"/>
        <w:gridCol w:w="581"/>
      </w:tblGrid>
      <w:tr>
        <w:tblPrEx>
          <w:tblCellMar>
            <w:top w:w="0" w:type="dxa"/>
            <w:left w:w="10" w:type="dxa"/>
            <w:bottom w:w="0" w:type="dxa"/>
            <w:right w:w="10" w:type="dxa"/>
          </w:tblCellMar>
        </w:tblPrEx>
        <w:trPr>
          <w:trHeight w:val="470" w:hRule="exact"/>
          <w:jc w:val="center"/>
        </w:trPr>
        <w:tc>
          <w:tcPr>
            <w:tcW w:w="3068" w:type="dxa"/>
            <w:gridSpan w:val="5"/>
            <w:tcBorders>
              <w:top w:val="single" w:color="auto" w:sz="4" w:space="0"/>
              <w:left w:val="single" w:color="auto" w:sz="4" w:space="0"/>
            </w:tcBorders>
            <w:shd w:val="clear" w:color="auto" w:fill="FFFFFF"/>
            <w:noWrap w:val="0"/>
            <w:vAlign w:val="center"/>
          </w:tcPr>
          <w:p>
            <w:pPr>
              <w:pStyle w:val="11"/>
              <w:spacing w:line="240" w:lineRule="auto"/>
              <w:ind w:firstLine="0"/>
              <w:jc w:val="center"/>
              <w:rPr>
                <w:sz w:val="20"/>
                <w:szCs w:val="20"/>
              </w:rPr>
            </w:pPr>
            <w:r>
              <w:rPr>
                <w:sz w:val="20"/>
                <w:szCs w:val="20"/>
              </w:rPr>
              <w:t>行政复议</w:t>
            </w:r>
          </w:p>
        </w:tc>
        <w:tc>
          <w:tcPr>
            <w:tcW w:w="5669" w:type="dxa"/>
            <w:gridSpan w:val="10"/>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center"/>
              <w:rPr>
                <w:sz w:val="20"/>
                <w:szCs w:val="20"/>
              </w:rPr>
            </w:pPr>
            <w:r>
              <w:rPr>
                <w:sz w:val="20"/>
                <w:szCs w:val="20"/>
              </w:rPr>
              <w:t>行政诉讼</w:t>
            </w:r>
          </w:p>
        </w:tc>
      </w:tr>
      <w:tr>
        <w:tblPrEx>
          <w:tblCellMar>
            <w:top w:w="0" w:type="dxa"/>
            <w:left w:w="10" w:type="dxa"/>
            <w:bottom w:w="0" w:type="dxa"/>
            <w:right w:w="10" w:type="dxa"/>
          </w:tblCellMar>
        </w:tblPrEx>
        <w:trPr>
          <w:trHeight w:val="451" w:hRule="exact"/>
          <w:jc w:val="center"/>
        </w:trPr>
        <w:tc>
          <w:tcPr>
            <w:tcW w:w="629" w:type="dxa"/>
            <w:vMerge w:val="restart"/>
            <w:tcBorders>
              <w:top w:val="single" w:color="auto" w:sz="4" w:space="0"/>
              <w:left w:val="single" w:color="auto" w:sz="4" w:space="0"/>
            </w:tcBorders>
            <w:shd w:val="clear" w:color="auto" w:fill="FFFFFF"/>
            <w:noWrap w:val="0"/>
            <w:vAlign w:val="center"/>
          </w:tcPr>
          <w:p>
            <w:pPr>
              <w:pStyle w:val="11"/>
              <w:spacing w:line="259" w:lineRule="exact"/>
              <w:ind w:firstLine="0"/>
              <w:rPr>
                <w:sz w:val="20"/>
                <w:szCs w:val="20"/>
              </w:rPr>
            </w:pPr>
            <w:r>
              <w:rPr>
                <w:sz w:val="20"/>
                <w:szCs w:val="20"/>
              </w:rPr>
              <w:t>结果 维持</w:t>
            </w:r>
          </w:p>
        </w:tc>
        <w:tc>
          <w:tcPr>
            <w:tcW w:w="629" w:type="dxa"/>
            <w:vMerge w:val="restart"/>
            <w:tcBorders>
              <w:top w:val="single" w:color="auto" w:sz="4" w:space="0"/>
              <w:left w:val="single" w:color="auto" w:sz="4" w:space="0"/>
            </w:tcBorders>
            <w:shd w:val="clear" w:color="auto" w:fill="FFFFFF"/>
            <w:noWrap w:val="0"/>
            <w:vAlign w:val="center"/>
          </w:tcPr>
          <w:p>
            <w:pPr>
              <w:pStyle w:val="11"/>
              <w:spacing w:line="259" w:lineRule="exact"/>
              <w:ind w:firstLine="0"/>
              <w:rPr>
                <w:sz w:val="20"/>
                <w:szCs w:val="20"/>
              </w:rPr>
            </w:pPr>
            <w:r>
              <w:rPr>
                <w:sz w:val="20"/>
                <w:szCs w:val="20"/>
              </w:rPr>
              <w:t>结果 纠正</w:t>
            </w:r>
          </w:p>
        </w:tc>
        <w:tc>
          <w:tcPr>
            <w:tcW w:w="624" w:type="dxa"/>
            <w:vMerge w:val="restart"/>
            <w:tcBorders>
              <w:top w:val="single" w:color="auto" w:sz="4" w:space="0"/>
              <w:left w:val="single" w:color="auto" w:sz="4" w:space="0"/>
            </w:tcBorders>
            <w:shd w:val="clear" w:color="auto" w:fill="FFFFFF"/>
            <w:noWrap w:val="0"/>
            <w:vAlign w:val="center"/>
          </w:tcPr>
          <w:p>
            <w:pPr>
              <w:pStyle w:val="11"/>
              <w:spacing w:line="259" w:lineRule="exact"/>
              <w:ind w:firstLine="0"/>
              <w:jc w:val="center"/>
              <w:rPr>
                <w:sz w:val="20"/>
                <w:szCs w:val="20"/>
              </w:rPr>
            </w:pPr>
            <w:r>
              <w:rPr>
                <w:sz w:val="20"/>
                <w:szCs w:val="20"/>
              </w:rPr>
              <w:t>其他 结果</w:t>
            </w:r>
          </w:p>
        </w:tc>
        <w:tc>
          <w:tcPr>
            <w:tcW w:w="624" w:type="dxa"/>
            <w:vMerge w:val="restart"/>
            <w:tcBorders>
              <w:top w:val="single" w:color="auto" w:sz="4" w:space="0"/>
              <w:left w:val="single" w:color="auto" w:sz="4" w:space="0"/>
            </w:tcBorders>
            <w:shd w:val="clear" w:color="auto" w:fill="FFFFFF"/>
            <w:noWrap w:val="0"/>
            <w:vAlign w:val="center"/>
          </w:tcPr>
          <w:p>
            <w:pPr>
              <w:pStyle w:val="11"/>
              <w:spacing w:line="269" w:lineRule="exact"/>
              <w:ind w:firstLine="0"/>
              <w:jc w:val="center"/>
              <w:rPr>
                <w:sz w:val="20"/>
                <w:szCs w:val="20"/>
              </w:rPr>
            </w:pPr>
            <w:r>
              <w:rPr>
                <w:sz w:val="20"/>
                <w:szCs w:val="20"/>
              </w:rPr>
              <w:t>尚未 审结</w:t>
            </w:r>
          </w:p>
        </w:tc>
        <w:tc>
          <w:tcPr>
            <w:tcW w:w="562" w:type="dxa"/>
            <w:vMerge w:val="restart"/>
            <w:tcBorders>
              <w:top w:val="single" w:color="auto" w:sz="4" w:space="0"/>
              <w:left w:val="single" w:color="auto" w:sz="4" w:space="0"/>
            </w:tcBorders>
            <w:shd w:val="clear" w:color="auto" w:fill="FFFFFF"/>
            <w:noWrap w:val="0"/>
            <w:textDirection w:val="tbRlV"/>
            <w:vAlign w:val="bottom"/>
          </w:tcPr>
          <w:p>
            <w:pPr>
              <w:pStyle w:val="12"/>
              <w:spacing w:before="0"/>
            </w:pPr>
            <w:r>
              <w:t>总计</w:t>
            </w:r>
          </w:p>
        </w:tc>
        <w:tc>
          <w:tcPr>
            <w:tcW w:w="2827" w:type="dxa"/>
            <w:gridSpan w:val="5"/>
            <w:tcBorders>
              <w:top w:val="single" w:color="auto" w:sz="4" w:space="0"/>
              <w:left w:val="single" w:color="auto" w:sz="4" w:space="0"/>
            </w:tcBorders>
            <w:shd w:val="clear" w:color="auto" w:fill="FFFFFF"/>
            <w:noWrap w:val="0"/>
            <w:vAlign w:val="center"/>
          </w:tcPr>
          <w:p>
            <w:pPr>
              <w:pStyle w:val="11"/>
              <w:spacing w:line="240" w:lineRule="auto"/>
              <w:ind w:firstLine="0"/>
              <w:jc w:val="center"/>
              <w:rPr>
                <w:sz w:val="20"/>
                <w:szCs w:val="20"/>
              </w:rPr>
            </w:pPr>
            <w:r>
              <w:rPr>
                <w:sz w:val="20"/>
                <w:szCs w:val="20"/>
              </w:rPr>
              <w:t>未经复议直接起诉</w:t>
            </w:r>
          </w:p>
        </w:tc>
        <w:tc>
          <w:tcPr>
            <w:tcW w:w="2842" w:type="dxa"/>
            <w:gridSpan w:val="5"/>
            <w:tcBorders>
              <w:top w:val="single" w:color="auto" w:sz="4" w:space="0"/>
              <w:left w:val="single" w:color="auto" w:sz="4" w:space="0"/>
              <w:right w:val="single" w:color="auto" w:sz="4" w:space="0"/>
            </w:tcBorders>
            <w:shd w:val="clear" w:color="auto" w:fill="FFFFFF"/>
            <w:noWrap w:val="0"/>
            <w:vAlign w:val="center"/>
          </w:tcPr>
          <w:p>
            <w:pPr>
              <w:pStyle w:val="11"/>
              <w:spacing w:line="240" w:lineRule="auto"/>
              <w:ind w:firstLine="0"/>
              <w:jc w:val="center"/>
              <w:rPr>
                <w:sz w:val="20"/>
                <w:szCs w:val="20"/>
              </w:rPr>
            </w:pPr>
            <w:r>
              <w:rPr>
                <w:sz w:val="20"/>
                <w:szCs w:val="20"/>
              </w:rPr>
              <w:t>复议后起诉</w:t>
            </w:r>
          </w:p>
        </w:tc>
      </w:tr>
      <w:tr>
        <w:tblPrEx>
          <w:tblCellMar>
            <w:top w:w="0" w:type="dxa"/>
            <w:left w:w="10" w:type="dxa"/>
            <w:bottom w:w="0" w:type="dxa"/>
            <w:right w:w="10" w:type="dxa"/>
          </w:tblCellMar>
        </w:tblPrEx>
        <w:trPr>
          <w:trHeight w:val="850" w:hRule="exact"/>
          <w:jc w:val="center"/>
        </w:trPr>
        <w:tc>
          <w:tcPr>
            <w:tcW w:w="629" w:type="dxa"/>
            <w:vMerge w:val="continue"/>
            <w:tcBorders>
              <w:left w:val="single" w:color="auto" w:sz="4" w:space="0"/>
            </w:tcBorders>
            <w:shd w:val="clear" w:color="auto" w:fill="FFFFFF"/>
            <w:noWrap w:val="0"/>
            <w:vAlign w:val="center"/>
          </w:tcPr>
          <w:p/>
        </w:tc>
        <w:tc>
          <w:tcPr>
            <w:tcW w:w="629" w:type="dxa"/>
            <w:vMerge w:val="continue"/>
            <w:tcBorders>
              <w:left w:val="single" w:color="auto" w:sz="4" w:space="0"/>
            </w:tcBorders>
            <w:shd w:val="clear" w:color="auto" w:fill="FFFFFF"/>
            <w:noWrap w:val="0"/>
            <w:vAlign w:val="center"/>
          </w:tcPr>
          <w:p/>
        </w:tc>
        <w:tc>
          <w:tcPr>
            <w:tcW w:w="624" w:type="dxa"/>
            <w:vMerge w:val="continue"/>
            <w:tcBorders>
              <w:left w:val="single" w:color="auto" w:sz="4" w:space="0"/>
            </w:tcBorders>
            <w:shd w:val="clear" w:color="auto" w:fill="FFFFFF"/>
            <w:noWrap w:val="0"/>
            <w:vAlign w:val="center"/>
          </w:tcPr>
          <w:p/>
        </w:tc>
        <w:tc>
          <w:tcPr>
            <w:tcW w:w="624" w:type="dxa"/>
            <w:vMerge w:val="continue"/>
            <w:tcBorders>
              <w:left w:val="single" w:color="auto" w:sz="4" w:space="0"/>
            </w:tcBorders>
            <w:shd w:val="clear" w:color="auto" w:fill="FFFFFF"/>
            <w:noWrap w:val="0"/>
            <w:vAlign w:val="center"/>
          </w:tcPr>
          <w:p/>
        </w:tc>
        <w:tc>
          <w:tcPr>
            <w:tcW w:w="562" w:type="dxa"/>
            <w:vMerge w:val="continue"/>
            <w:tcBorders>
              <w:left w:val="single" w:color="auto" w:sz="4" w:space="0"/>
            </w:tcBorders>
            <w:shd w:val="clear" w:color="auto" w:fill="FFFFFF"/>
            <w:noWrap w:val="0"/>
            <w:textDirection w:val="tbRlV"/>
            <w:vAlign w:val="bottom"/>
          </w:tcPr>
          <w:p/>
        </w:tc>
        <w:tc>
          <w:tcPr>
            <w:tcW w:w="562" w:type="dxa"/>
            <w:tcBorders>
              <w:top w:val="single" w:color="auto" w:sz="4" w:space="0"/>
              <w:left w:val="single" w:color="auto" w:sz="4" w:space="0"/>
            </w:tcBorders>
            <w:shd w:val="clear" w:color="auto" w:fill="FFFFFF"/>
            <w:noWrap w:val="0"/>
            <w:vAlign w:val="center"/>
          </w:tcPr>
          <w:p>
            <w:pPr>
              <w:pStyle w:val="11"/>
              <w:spacing w:line="264" w:lineRule="exact"/>
              <w:ind w:firstLine="0"/>
              <w:jc w:val="center"/>
              <w:rPr>
                <w:sz w:val="20"/>
                <w:szCs w:val="20"/>
              </w:rPr>
            </w:pPr>
            <w:r>
              <w:rPr>
                <w:sz w:val="20"/>
                <w:szCs w:val="20"/>
              </w:rPr>
              <w:t>结果 维持</w:t>
            </w:r>
          </w:p>
        </w:tc>
        <w:tc>
          <w:tcPr>
            <w:tcW w:w="571" w:type="dxa"/>
            <w:tcBorders>
              <w:top w:val="single" w:color="auto" w:sz="4" w:space="0"/>
              <w:left w:val="single" w:color="auto" w:sz="4" w:space="0"/>
            </w:tcBorders>
            <w:shd w:val="clear" w:color="auto" w:fill="FFFFFF"/>
            <w:noWrap w:val="0"/>
            <w:vAlign w:val="center"/>
          </w:tcPr>
          <w:p>
            <w:pPr>
              <w:pStyle w:val="11"/>
              <w:spacing w:line="254" w:lineRule="exact"/>
              <w:ind w:firstLine="0"/>
              <w:jc w:val="center"/>
              <w:rPr>
                <w:sz w:val="20"/>
                <w:szCs w:val="20"/>
              </w:rPr>
            </w:pPr>
            <w:r>
              <w:rPr>
                <w:sz w:val="20"/>
                <w:szCs w:val="20"/>
              </w:rPr>
              <w:t>结果 纠正</w:t>
            </w:r>
          </w:p>
        </w:tc>
        <w:tc>
          <w:tcPr>
            <w:tcW w:w="562" w:type="dxa"/>
            <w:tcBorders>
              <w:top w:val="single" w:color="auto" w:sz="4" w:space="0"/>
              <w:left w:val="single" w:color="auto" w:sz="4" w:space="0"/>
            </w:tcBorders>
            <w:shd w:val="clear" w:color="auto" w:fill="FFFFFF"/>
            <w:noWrap w:val="0"/>
            <w:vAlign w:val="center"/>
          </w:tcPr>
          <w:p>
            <w:pPr>
              <w:pStyle w:val="11"/>
              <w:spacing w:line="259" w:lineRule="exact"/>
              <w:ind w:firstLine="0"/>
              <w:rPr>
                <w:sz w:val="20"/>
                <w:szCs w:val="20"/>
              </w:rPr>
            </w:pPr>
            <w:r>
              <w:rPr>
                <w:sz w:val="20"/>
                <w:szCs w:val="20"/>
              </w:rPr>
              <w:t>其他 结果</w:t>
            </w:r>
          </w:p>
        </w:tc>
        <w:tc>
          <w:tcPr>
            <w:tcW w:w="566" w:type="dxa"/>
            <w:tcBorders>
              <w:top w:val="single" w:color="auto" w:sz="4" w:space="0"/>
              <w:left w:val="single" w:color="auto" w:sz="4" w:space="0"/>
            </w:tcBorders>
            <w:shd w:val="clear" w:color="auto" w:fill="FFFFFF"/>
            <w:noWrap w:val="0"/>
            <w:vAlign w:val="center"/>
          </w:tcPr>
          <w:p>
            <w:pPr>
              <w:pStyle w:val="11"/>
              <w:spacing w:line="269" w:lineRule="exact"/>
              <w:ind w:firstLine="0"/>
              <w:jc w:val="center"/>
              <w:rPr>
                <w:sz w:val="20"/>
                <w:szCs w:val="20"/>
              </w:rPr>
            </w:pPr>
            <w:r>
              <w:rPr>
                <w:sz w:val="20"/>
                <w:szCs w:val="20"/>
              </w:rPr>
              <w:t>尚未 审结</w:t>
            </w:r>
          </w:p>
        </w:tc>
        <w:tc>
          <w:tcPr>
            <w:tcW w:w="566" w:type="dxa"/>
            <w:tcBorders>
              <w:top w:val="single" w:color="auto" w:sz="4" w:space="0"/>
              <w:left w:val="single" w:color="auto" w:sz="4" w:space="0"/>
            </w:tcBorders>
            <w:shd w:val="clear" w:color="auto" w:fill="FFFFFF"/>
            <w:noWrap w:val="0"/>
            <w:textDirection w:val="tbRlV"/>
            <w:vAlign w:val="top"/>
          </w:tcPr>
          <w:p>
            <w:pPr>
              <w:pStyle w:val="12"/>
              <w:spacing w:before="180"/>
            </w:pPr>
            <w:r>
              <w:t>总计</w:t>
            </w:r>
          </w:p>
        </w:tc>
        <w:tc>
          <w:tcPr>
            <w:tcW w:w="562" w:type="dxa"/>
            <w:tcBorders>
              <w:top w:val="single" w:color="auto" w:sz="4" w:space="0"/>
              <w:left w:val="single" w:color="auto" w:sz="4" w:space="0"/>
            </w:tcBorders>
            <w:shd w:val="clear" w:color="auto" w:fill="FFFFFF"/>
            <w:noWrap w:val="0"/>
            <w:vAlign w:val="center"/>
          </w:tcPr>
          <w:p>
            <w:pPr>
              <w:pStyle w:val="11"/>
              <w:spacing w:line="269" w:lineRule="exact"/>
              <w:ind w:firstLine="0"/>
              <w:jc w:val="center"/>
              <w:rPr>
                <w:sz w:val="20"/>
                <w:szCs w:val="20"/>
              </w:rPr>
            </w:pPr>
            <w:r>
              <w:rPr>
                <w:sz w:val="20"/>
                <w:szCs w:val="20"/>
              </w:rPr>
              <w:t>结果 维持</w:t>
            </w:r>
          </w:p>
        </w:tc>
        <w:tc>
          <w:tcPr>
            <w:tcW w:w="571" w:type="dxa"/>
            <w:tcBorders>
              <w:top w:val="single" w:color="auto" w:sz="4" w:space="0"/>
              <w:left w:val="single" w:color="auto" w:sz="4" w:space="0"/>
            </w:tcBorders>
            <w:shd w:val="clear" w:color="auto" w:fill="FFFFFF"/>
            <w:noWrap w:val="0"/>
            <w:vAlign w:val="center"/>
          </w:tcPr>
          <w:p>
            <w:pPr>
              <w:pStyle w:val="11"/>
              <w:spacing w:line="259" w:lineRule="exact"/>
              <w:ind w:firstLine="0"/>
              <w:jc w:val="center"/>
              <w:rPr>
                <w:sz w:val="20"/>
                <w:szCs w:val="20"/>
              </w:rPr>
            </w:pPr>
            <w:r>
              <w:rPr>
                <w:sz w:val="20"/>
                <w:szCs w:val="20"/>
              </w:rPr>
              <w:t>结果 纠正</w:t>
            </w:r>
          </w:p>
        </w:tc>
        <w:tc>
          <w:tcPr>
            <w:tcW w:w="562" w:type="dxa"/>
            <w:tcBorders>
              <w:top w:val="single" w:color="auto" w:sz="4" w:space="0"/>
              <w:left w:val="single" w:color="auto" w:sz="4" w:space="0"/>
            </w:tcBorders>
            <w:shd w:val="clear" w:color="auto" w:fill="FFFFFF"/>
            <w:noWrap w:val="0"/>
            <w:vAlign w:val="center"/>
          </w:tcPr>
          <w:p>
            <w:pPr>
              <w:pStyle w:val="11"/>
              <w:spacing w:line="259" w:lineRule="exact"/>
              <w:ind w:firstLine="0"/>
              <w:rPr>
                <w:sz w:val="20"/>
                <w:szCs w:val="20"/>
              </w:rPr>
            </w:pPr>
            <w:r>
              <w:rPr>
                <w:sz w:val="20"/>
                <w:szCs w:val="20"/>
              </w:rPr>
              <w:t>其他 结果</w:t>
            </w:r>
          </w:p>
        </w:tc>
        <w:tc>
          <w:tcPr>
            <w:tcW w:w="566" w:type="dxa"/>
            <w:tcBorders>
              <w:top w:val="single" w:color="auto" w:sz="4" w:space="0"/>
              <w:left w:val="single" w:color="auto" w:sz="4" w:space="0"/>
            </w:tcBorders>
            <w:shd w:val="clear" w:color="auto" w:fill="FFFFFF"/>
            <w:noWrap w:val="0"/>
            <w:vAlign w:val="center"/>
          </w:tcPr>
          <w:p>
            <w:pPr>
              <w:pStyle w:val="11"/>
              <w:spacing w:line="264" w:lineRule="exact"/>
              <w:ind w:firstLine="0"/>
              <w:jc w:val="center"/>
              <w:rPr>
                <w:sz w:val="20"/>
                <w:szCs w:val="20"/>
              </w:rPr>
            </w:pPr>
            <w:r>
              <w:rPr>
                <w:sz w:val="20"/>
                <w:szCs w:val="20"/>
              </w:rPr>
              <w:t>尚未 审结</w:t>
            </w:r>
          </w:p>
        </w:tc>
        <w:tc>
          <w:tcPr>
            <w:tcW w:w="581" w:type="dxa"/>
            <w:tcBorders>
              <w:top w:val="single" w:color="auto" w:sz="4" w:space="0"/>
              <w:left w:val="single" w:color="auto" w:sz="4" w:space="0"/>
              <w:right w:val="single" w:color="auto" w:sz="4" w:space="0"/>
            </w:tcBorders>
            <w:shd w:val="clear" w:color="auto" w:fill="FFFFFF"/>
            <w:noWrap w:val="0"/>
            <w:textDirection w:val="tbRlV"/>
            <w:vAlign w:val="top"/>
          </w:tcPr>
          <w:p>
            <w:pPr>
              <w:pStyle w:val="12"/>
              <w:spacing w:before="180"/>
            </w:pPr>
            <w:r>
              <w:t>总计</w:t>
            </w:r>
          </w:p>
        </w:tc>
      </w:tr>
      <w:tr>
        <w:tblPrEx>
          <w:tblCellMar>
            <w:top w:w="0" w:type="dxa"/>
            <w:left w:w="10" w:type="dxa"/>
            <w:bottom w:w="0" w:type="dxa"/>
            <w:right w:w="10" w:type="dxa"/>
          </w:tblCellMar>
        </w:tblPrEx>
        <w:trPr>
          <w:trHeight w:val="726" w:hRule="exact"/>
          <w:jc w:val="center"/>
        </w:trPr>
        <w:tc>
          <w:tcPr>
            <w:tcW w:w="629"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629"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default"/>
                <w:sz w:val="24"/>
                <w:szCs w:val="24"/>
                <w:lang w:val="en-US" w:eastAsia="zh-CN"/>
              </w:rPr>
            </w:pPr>
            <w:r>
              <w:rPr>
                <w:rFonts w:hint="eastAsia"/>
                <w:sz w:val="24"/>
                <w:szCs w:val="24"/>
                <w:lang w:val="en-US" w:eastAsia="zh-CN"/>
              </w:rPr>
              <w:t>0</w:t>
            </w:r>
          </w:p>
        </w:tc>
        <w:tc>
          <w:tcPr>
            <w:tcW w:w="624"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624"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default"/>
                <w:sz w:val="24"/>
                <w:szCs w:val="24"/>
                <w:lang w:val="en-US" w:eastAsia="zh-CN"/>
              </w:rPr>
            </w:pPr>
            <w:r>
              <w:rPr>
                <w:rFonts w:hint="eastAsia"/>
                <w:sz w:val="24"/>
                <w:szCs w:val="24"/>
                <w:lang w:val="en-US" w:eastAsia="zh-CN"/>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71"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71"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2"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66" w:type="dxa"/>
            <w:tcBorders>
              <w:top w:val="single" w:color="auto" w:sz="4" w:space="0"/>
              <w:left w:val="single" w:color="auto" w:sz="4" w:space="0"/>
              <w:bottom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c>
          <w:tcPr>
            <w:tcW w:w="5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11"/>
              <w:spacing w:line="269" w:lineRule="exact"/>
              <w:ind w:firstLine="0"/>
              <w:jc w:val="center"/>
              <w:rPr>
                <w:rFonts w:hint="eastAsia"/>
                <w:sz w:val="24"/>
                <w:szCs w:val="24"/>
                <w:lang w:eastAsia="zh-CN"/>
              </w:rPr>
            </w:pPr>
            <w:r>
              <w:rPr>
                <w:rFonts w:hint="eastAsia"/>
                <w:sz w:val="24"/>
                <w:szCs w:val="24"/>
                <w:lang w:eastAsia="zh-CN"/>
              </w:rPr>
              <w:t>0</w:t>
            </w:r>
          </w:p>
        </w:tc>
      </w:tr>
    </w:tbl>
    <w:p>
      <w:pPr>
        <w:widowControl/>
        <w:shd w:val="clear" w:color="auto" w:fill="FFFFFF"/>
        <w:spacing w:after="450" w:line="480" w:lineRule="atLeast"/>
        <w:rPr>
          <w:rFonts w:hint="eastAsia" w:ascii="黑体" w:hAnsi="黑体" w:eastAsia="黑体" w:cs="宋体"/>
          <w:color w:val="auto"/>
          <w:sz w:val="32"/>
          <w:szCs w:val="32"/>
          <w:lang w:eastAsia="zh-CN" w:bidi="ar-SA"/>
        </w:rPr>
      </w:pPr>
    </w:p>
    <w:p>
      <w:pPr>
        <w:widowControl/>
        <w:shd w:val="clear" w:color="auto" w:fill="FFFFFF"/>
        <w:spacing w:line="480" w:lineRule="atLeast"/>
        <w:rPr>
          <w:rFonts w:hint="eastAsia" w:ascii="黑体" w:hAnsi="黑体" w:eastAsia="黑体" w:cs="宋体"/>
          <w:color w:val="auto"/>
          <w:sz w:val="32"/>
          <w:szCs w:val="32"/>
          <w:lang w:eastAsia="zh-CN" w:bidi="ar-SA"/>
        </w:rPr>
      </w:pPr>
      <w:r>
        <w:rPr>
          <w:rFonts w:hint="eastAsia" w:ascii="黑体" w:hAnsi="黑体" w:eastAsia="黑体" w:cs="宋体"/>
          <w:color w:val="auto"/>
          <w:sz w:val="32"/>
          <w:szCs w:val="32"/>
          <w:lang w:eastAsia="zh-CN" w:bidi="ar-SA"/>
        </w:rPr>
        <w:t>五、政府信息公开工作存在的主要问题及改进情况</w:t>
      </w:r>
    </w:p>
    <w:p>
      <w:pPr>
        <w:widowControl/>
        <w:shd w:val="clear" w:color="auto" w:fill="FFFFFF"/>
        <w:spacing w:line="600" w:lineRule="exact"/>
        <w:rPr>
          <w:rFonts w:hint="eastAsia" w:eastAsia="楷体_GB2312"/>
          <w:b/>
          <w:color w:val="auto"/>
          <w:sz w:val="32"/>
          <w:szCs w:val="32"/>
          <w:lang w:eastAsia="zh-CN" w:bidi="ar-SA"/>
        </w:rPr>
      </w:pPr>
      <w:r>
        <w:rPr>
          <w:rFonts w:hint="eastAsia" w:ascii="仿宋_GB2312" w:hAnsi="微软雅黑" w:eastAsia="仿宋_GB2312" w:cs="宋体"/>
          <w:color w:val="auto"/>
          <w:sz w:val="32"/>
          <w:szCs w:val="32"/>
          <w:lang w:eastAsia="zh-CN" w:bidi="ar-SA"/>
        </w:rPr>
        <w:t>　</w:t>
      </w:r>
      <w:r>
        <w:rPr>
          <w:rFonts w:eastAsia="楷体_GB2312"/>
          <w:b/>
          <w:color w:val="auto"/>
          <w:sz w:val="32"/>
          <w:szCs w:val="32"/>
          <w:lang w:eastAsia="zh-CN" w:bidi="ar-SA"/>
        </w:rPr>
        <w:t>（</w:t>
      </w:r>
      <w:r>
        <w:rPr>
          <w:rFonts w:hint="eastAsia" w:eastAsia="楷体_GB2312"/>
          <w:b/>
          <w:color w:val="auto"/>
          <w:sz w:val="32"/>
          <w:szCs w:val="32"/>
          <w:lang w:eastAsia="zh-CN" w:bidi="ar-SA"/>
        </w:rPr>
        <w:t>一</w:t>
      </w:r>
      <w:r>
        <w:rPr>
          <w:rFonts w:eastAsia="楷体_GB2312"/>
          <w:b/>
          <w:color w:val="auto"/>
          <w:sz w:val="32"/>
          <w:szCs w:val="32"/>
          <w:lang w:eastAsia="zh-CN" w:bidi="ar-SA"/>
        </w:rPr>
        <w:t>）</w:t>
      </w:r>
      <w:r>
        <w:rPr>
          <w:rFonts w:hint="eastAsia" w:eastAsia="楷体_GB2312"/>
          <w:b/>
          <w:color w:val="auto"/>
          <w:sz w:val="32"/>
          <w:szCs w:val="32"/>
          <w:lang w:eastAsia="zh-CN" w:bidi="ar-SA"/>
        </w:rPr>
        <w:t>存在问题</w:t>
      </w:r>
    </w:p>
    <w:p>
      <w:pPr>
        <w:widowControl/>
        <w:shd w:val="clear" w:color="auto" w:fill="FFFFFF"/>
        <w:spacing w:line="600" w:lineRule="exact"/>
        <w:ind w:firstLine="320" w:firstLineChars="100"/>
        <w:rPr>
          <w:rFonts w:eastAsia="仿宋_GB2312"/>
          <w:color w:val="auto"/>
          <w:sz w:val="32"/>
          <w:szCs w:val="32"/>
          <w:lang w:eastAsia="zh-CN" w:bidi="ar-SA"/>
        </w:rPr>
      </w:pPr>
      <w:r>
        <w:rPr>
          <w:rFonts w:eastAsia="仿宋_GB2312"/>
          <w:color w:val="auto"/>
          <w:sz w:val="32"/>
          <w:szCs w:val="32"/>
          <w:lang w:eastAsia="zh-CN" w:bidi="ar-SA"/>
        </w:rPr>
        <w:t>　</w:t>
      </w:r>
      <w:r>
        <w:rPr>
          <w:rFonts w:eastAsia="仿宋_GB2312"/>
          <w:color w:val="auto"/>
          <w:sz w:val="32"/>
          <w:szCs w:val="32"/>
          <w:lang w:eastAsia="zh-CN"/>
        </w:rPr>
        <w:t>20</w:t>
      </w:r>
      <w:r>
        <w:rPr>
          <w:rFonts w:hint="eastAsia" w:eastAsia="仿宋_GB2312"/>
          <w:color w:val="auto"/>
          <w:sz w:val="32"/>
          <w:szCs w:val="32"/>
          <w:lang w:val="en-US" w:eastAsia="zh-CN"/>
        </w:rPr>
        <w:t>20</w:t>
      </w:r>
      <w:r>
        <w:rPr>
          <w:rFonts w:eastAsia="仿宋_GB2312"/>
          <w:color w:val="auto"/>
          <w:sz w:val="32"/>
          <w:szCs w:val="32"/>
          <w:lang w:eastAsia="zh-CN"/>
        </w:rPr>
        <w:t>年，针对上一年度存在的问题进行了整改。指导</w:t>
      </w:r>
      <w:r>
        <w:rPr>
          <w:rFonts w:hint="eastAsia" w:eastAsia="仿宋_GB2312"/>
          <w:color w:val="auto"/>
          <w:sz w:val="32"/>
          <w:szCs w:val="32"/>
          <w:lang w:eastAsia="zh-CN"/>
        </w:rPr>
        <w:t>各单位</w:t>
      </w:r>
      <w:r>
        <w:rPr>
          <w:rFonts w:eastAsia="仿宋_GB2312"/>
          <w:color w:val="auto"/>
          <w:sz w:val="32"/>
          <w:szCs w:val="32"/>
          <w:lang w:eastAsia="zh-CN"/>
        </w:rPr>
        <w:t>理顺机构设置，进一步健全了政务公开体制机制，积极搭建公众参与平台，强化政务公开领导干部和工作人员培训，不断拓展公开的广度和深度，政务公开的制度化、标准化、信息化水平明显提升，发布、解读、回应、互动的公开格局逐步健全。但与法治政府要求和人民群众的期待相比，还存在一些问题和不足。</w:t>
      </w:r>
      <w:r>
        <w:rPr>
          <w:rFonts w:eastAsia="仿宋_GB2312"/>
          <w:color w:val="auto"/>
          <w:sz w:val="32"/>
          <w:szCs w:val="32"/>
          <w:lang w:eastAsia="zh-CN" w:bidi="ar-SA"/>
        </w:rPr>
        <w:t>一是新《条例》实施后，专业领域的理论学习仍需加强，提升对《条例》新内容的准确把握；二是决策公开仍需进一步加强，公众参与具体举措需进一步细化完善；三是政府网站集约化建设需持续推进，公开专栏规范化建设有待加强；四是政策解读方式不够多元，精准解读效果仍需提高。</w:t>
      </w:r>
    </w:p>
    <w:p>
      <w:pPr>
        <w:widowControl/>
        <w:numPr>
          <w:ilvl w:val="0"/>
          <w:numId w:val="4"/>
        </w:numPr>
        <w:shd w:val="clear" w:color="auto" w:fill="FFFFFF"/>
        <w:spacing w:line="600" w:lineRule="exact"/>
        <w:ind w:left="640" w:leftChars="0" w:firstLine="0" w:firstLineChars="0"/>
        <w:rPr>
          <w:rFonts w:eastAsia="楷体_GB2312"/>
          <w:b/>
          <w:color w:val="auto"/>
          <w:sz w:val="32"/>
          <w:szCs w:val="32"/>
          <w:lang w:eastAsia="zh-CN" w:bidi="ar-SA"/>
        </w:rPr>
      </w:pPr>
      <w:r>
        <w:rPr>
          <w:rFonts w:eastAsia="楷体_GB2312"/>
          <w:b/>
          <w:color w:val="auto"/>
          <w:sz w:val="32"/>
          <w:szCs w:val="32"/>
          <w:lang w:eastAsia="zh-CN" w:bidi="ar-SA"/>
        </w:rPr>
        <w:t>改进措施</w:t>
      </w:r>
    </w:p>
    <w:p>
      <w:pPr>
        <w:widowControl/>
        <w:numPr>
          <w:ilvl w:val="0"/>
          <w:numId w:val="0"/>
        </w:numPr>
        <w:shd w:val="clear" w:color="auto" w:fill="FFFFFF"/>
        <w:spacing w:line="600" w:lineRule="exact"/>
        <w:ind w:firstLine="640" w:firstLineChars="200"/>
        <w:rPr>
          <w:rFonts w:eastAsia="楷体_GB2312"/>
          <w:b/>
          <w:color w:val="auto"/>
          <w:sz w:val="32"/>
          <w:szCs w:val="32"/>
          <w:lang w:eastAsia="zh-CN" w:bidi="ar-SA"/>
        </w:rPr>
      </w:pPr>
      <w:r>
        <w:rPr>
          <w:rFonts w:hint="eastAsia" w:ascii="仿宋_GB2312" w:hAnsi="仿宋_GB2312" w:eastAsia="仿宋_GB2312" w:cs="仿宋_GB2312"/>
          <w:sz w:val="32"/>
          <w:szCs w:val="32"/>
          <w:lang w:eastAsia="zh-CN"/>
        </w:rPr>
        <w:t>今后</w:t>
      </w:r>
      <w:r>
        <w:rPr>
          <w:rFonts w:hint="eastAsia" w:ascii="仿宋_GB2312" w:hAnsi="仿宋_GB2312" w:eastAsia="仿宋_GB2312" w:cs="仿宋_GB2312"/>
          <w:sz w:val="32"/>
          <w:szCs w:val="32"/>
        </w:rPr>
        <w:t>我县将严格按照市委、市政府和县委、县政府关于政务公开的决策部署和具体要求，以群众需求为导向，坚持以公开为常态、不公开为例外，</w:t>
      </w:r>
      <w:r>
        <w:rPr>
          <w:rFonts w:hint="eastAsia" w:ascii="仿宋_GB2312" w:hAnsi="仿宋_GB2312" w:eastAsia="仿宋_GB2312" w:cs="仿宋_GB2312"/>
          <w:sz w:val="32"/>
          <w:szCs w:val="32"/>
          <w:lang w:eastAsia="zh-CN"/>
        </w:rPr>
        <w:t>进一步提升政务公开水平。</w:t>
      </w:r>
    </w:p>
    <w:p>
      <w:pPr>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楷体_GB2312" w:eastAsia="楷体_GB2312"/>
          <w:color w:val="auto"/>
          <w:sz w:val="32"/>
          <w:szCs w:val="32"/>
        </w:rPr>
        <w:t>一是</w:t>
      </w:r>
      <w:r>
        <w:rPr>
          <w:rFonts w:hint="eastAsia" w:ascii="楷体_GB2312" w:hAnsi="楷体_GB2312" w:eastAsia="楷体_GB2312" w:cs="楷体_GB2312"/>
          <w:sz w:val="32"/>
          <w:szCs w:val="32"/>
          <w:lang w:val="en-US" w:eastAsia="zh-CN"/>
        </w:rPr>
        <w:t>进一步落实信息发布责任。</w:t>
      </w:r>
      <w:r>
        <w:rPr>
          <w:rFonts w:hint="eastAsia" w:eastAsia="仿宋_GB2312"/>
          <w:color w:val="auto"/>
          <w:sz w:val="32"/>
          <w:szCs w:val="32"/>
          <w:lang w:val="en-US" w:eastAsia="zh-CN"/>
        </w:rPr>
        <w:t>根据条例要求</w:t>
      </w:r>
      <w:r>
        <w:rPr>
          <w:rFonts w:eastAsia="仿宋_GB2312"/>
          <w:color w:val="auto"/>
          <w:sz w:val="32"/>
          <w:szCs w:val="32"/>
          <w:lang w:eastAsia="zh-CN"/>
        </w:rPr>
        <w:t>，持续加大主动公开力度，进一步推动办文办会公开，推动重大政策、重点指标、重点任务、重大项目的执行和落实情况信息公开，加强督查和审计发现问题及整改落实情况公开。</w:t>
      </w:r>
      <w:r>
        <w:rPr>
          <w:rFonts w:hint="eastAsia" w:ascii="仿宋_GB2312" w:hAnsi="仿宋_GB2312" w:eastAsia="仿宋_GB2312" w:cs="仿宋_GB2312"/>
          <w:sz w:val="32"/>
          <w:szCs w:val="32"/>
          <w:lang w:val="en-US" w:eastAsia="zh-CN"/>
        </w:rPr>
        <w:t>明确各单位负责保障的板块、信息发布内容和时限要求，认真组织实施，确保信息公开任务落实到位。</w:t>
      </w:r>
    </w:p>
    <w:p>
      <w:pPr>
        <w:spacing w:line="600" w:lineRule="exact"/>
        <w:ind w:firstLine="640" w:firstLineChars="200"/>
        <w:rPr>
          <w:rFonts w:eastAsia="仿宋_GB2312"/>
          <w:color w:val="auto"/>
          <w:sz w:val="32"/>
          <w:szCs w:val="32"/>
          <w:lang w:eastAsia="zh-CN"/>
        </w:rPr>
      </w:pPr>
      <w:r>
        <w:rPr>
          <w:rFonts w:hint="eastAsia" w:ascii="楷体_GB2312" w:eastAsia="楷体_GB2312"/>
          <w:color w:val="auto"/>
          <w:sz w:val="32"/>
          <w:szCs w:val="32"/>
          <w:lang w:eastAsia="zh-CN"/>
        </w:rPr>
        <w:t>二是进一步深化解读回应参与。</w:t>
      </w:r>
      <w:r>
        <w:rPr>
          <w:rFonts w:eastAsia="仿宋_GB2312"/>
          <w:color w:val="auto"/>
          <w:sz w:val="32"/>
          <w:szCs w:val="32"/>
          <w:lang w:eastAsia="zh-CN"/>
        </w:rPr>
        <w:t>按照“谁起草谁解读”原则，全面公开、精准解读相关文件，做到政策性文件与解读方案、解读材料同步组织、审签、部署，解读材料于文件公开后3个工作日内公开发布。着力提高政策解读的质量，推进多元化解读和政策施行后解读，加强对经济民生热点、创业办事痛点堵点的及时有效回应，健全重大行政决策公众参与机制，继续推进政府开放日等公众参与活动常态化规模化。</w:t>
      </w:r>
    </w:p>
    <w:p>
      <w:pPr>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楷体_GB2312" w:eastAsia="楷体_GB2312"/>
          <w:color w:val="auto"/>
          <w:sz w:val="32"/>
          <w:szCs w:val="32"/>
          <w:lang w:val="en-US" w:eastAsia="zh-CN"/>
        </w:rPr>
        <w:t>三是进一步推动重点领域信息公开。</w:t>
      </w:r>
      <w:r>
        <w:rPr>
          <w:rFonts w:hint="eastAsia" w:ascii="仿宋_GB2312" w:hAnsi="仿宋_GB2312" w:eastAsia="仿宋_GB2312" w:cs="仿宋_GB2312"/>
          <w:sz w:val="32"/>
          <w:szCs w:val="32"/>
          <w:lang w:val="en-US" w:eastAsia="zh-CN"/>
        </w:rPr>
        <w:t>要对照国务院部门制定的26个试点领域基层政务公开标准指引，全面梳理细化相关领域政务公开事项，加大对全县重大建设项目批准和实施、公共资源配置、社会公益事业建设等重点领域的公开力度。</w:t>
      </w:r>
    </w:p>
    <w:p>
      <w:pPr>
        <w:spacing w:line="600" w:lineRule="exact"/>
        <w:ind w:firstLine="800" w:firstLineChars="250"/>
        <w:rPr>
          <w:rFonts w:ascii="仿宋_GB2312" w:eastAsia="仿宋_GB2312"/>
          <w:sz w:val="32"/>
          <w:szCs w:val="32"/>
          <w:lang w:eastAsia="zh-CN"/>
        </w:rPr>
      </w:pPr>
      <w:r>
        <w:rPr>
          <w:rFonts w:hint="eastAsia" w:ascii="楷体_GB2312" w:eastAsia="楷体_GB2312"/>
          <w:color w:val="auto"/>
          <w:sz w:val="32"/>
          <w:szCs w:val="32"/>
          <w:lang w:eastAsia="zh-CN"/>
        </w:rPr>
        <w:t>四是着力提升平台渠道管理和服务水平。</w:t>
      </w:r>
      <w:r>
        <w:rPr>
          <w:rFonts w:hint="eastAsia" w:ascii="仿宋_GB2312" w:hAnsi="微软雅黑" w:eastAsia="仿宋_GB2312"/>
          <w:sz w:val="32"/>
          <w:szCs w:val="32"/>
          <w:shd w:val="clear" w:color="auto" w:fill="FFFFFF"/>
          <w:lang w:eastAsia="zh-CN"/>
        </w:rPr>
        <w:t>充分发挥政府网站政务公开第一平台作用，规范建设政府信息公开专栏，集中发布应当主动公开的政府信息，优化信息检索和下载服务功能。持续推进政务公开基层标准化规范化工作，让企业和群众办事更明白、更便捷。</w:t>
      </w:r>
    </w:p>
    <w:p>
      <w:pPr>
        <w:numPr>
          <w:ilvl w:val="0"/>
          <w:numId w:val="0"/>
        </w:numPr>
        <w:ind w:firstLine="640" w:firstLineChars="200"/>
        <w:jc w:val="both"/>
        <w:rPr>
          <w:rFonts w:ascii="Times New Roman" w:hAnsi="Times New Roman" w:eastAsia="仿宋_GB2312" w:cs="Times New Roman"/>
          <w:sz w:val="32"/>
          <w:szCs w:val="32"/>
          <w:lang w:eastAsia="zh-CN"/>
        </w:rPr>
      </w:pPr>
      <w:r>
        <w:rPr>
          <w:rFonts w:hint="eastAsia" w:ascii="楷体_GB2312" w:hAnsi="Times New Roman" w:eastAsia="楷体_GB2312" w:cs="Times New Roman"/>
          <w:color w:val="auto"/>
          <w:sz w:val="32"/>
          <w:szCs w:val="32"/>
          <w:lang w:eastAsia="zh-CN"/>
        </w:rPr>
        <w:t>五是严格强化工作保障和监督。</w:t>
      </w:r>
      <w:r>
        <w:rPr>
          <w:rFonts w:hint="eastAsia" w:ascii="Times New Roman" w:hAnsi="Times New Roman" w:eastAsia="仿宋_GB2312" w:cs="Times New Roman"/>
          <w:sz w:val="32"/>
          <w:szCs w:val="32"/>
          <w:lang w:eastAsia="zh-CN"/>
        </w:rPr>
        <w:t>加强队伍建设</w:t>
      </w:r>
      <w:r>
        <w:rPr>
          <w:rFonts w:ascii="Times New Roman" w:hAnsi="Times New Roman" w:eastAsia="仿宋_GB2312" w:cs="Times New Roman"/>
          <w:sz w:val="32"/>
          <w:szCs w:val="32"/>
          <w:lang w:eastAsia="zh-CN"/>
        </w:rPr>
        <w:t>，加大培训教育力度，邀请专家进行政务公开培训</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lang w:eastAsia="zh-CN"/>
        </w:rPr>
        <w:t>继续加大考核监督力度，创新考核机制，</w:t>
      </w:r>
      <w:r>
        <w:rPr>
          <w:rFonts w:hint="eastAsia" w:ascii="仿宋_GB2312" w:hAnsi="仿宋_GB2312" w:eastAsia="仿宋_GB2312" w:cs="仿宋_GB2312"/>
          <w:sz w:val="32"/>
          <w:szCs w:val="32"/>
          <w:lang w:val="en-US" w:eastAsia="zh-CN"/>
        </w:rPr>
        <w:t>科学设置考核指标，讲究差异化，不搞“一刀切”。要进一步加强对各单位的日常考核，建立健全政务公开考核机制。加强日常业务指导与督导检查，充分调动各部门单位的工作积极性和主动性，</w:t>
      </w:r>
      <w:r>
        <w:rPr>
          <w:rFonts w:ascii="Times New Roman" w:hAnsi="Times New Roman" w:eastAsia="仿宋_GB2312" w:cs="Times New Roman"/>
          <w:sz w:val="32"/>
          <w:szCs w:val="32"/>
          <w:lang w:eastAsia="zh-CN"/>
        </w:rPr>
        <w:t>推动政务公开工作再上新水平。</w:t>
      </w:r>
    </w:p>
    <w:p>
      <w:pPr>
        <w:spacing w:line="600" w:lineRule="exact"/>
        <w:ind w:firstLine="640" w:firstLineChars="200"/>
        <w:rPr>
          <w:rFonts w:eastAsia="黑体"/>
          <w:color w:val="auto"/>
          <w:sz w:val="32"/>
          <w:szCs w:val="32"/>
          <w:lang w:eastAsia="zh-CN" w:bidi="zh-TW"/>
        </w:rPr>
      </w:pPr>
      <w:r>
        <w:rPr>
          <w:rFonts w:eastAsia="黑体"/>
          <w:color w:val="auto"/>
          <w:sz w:val="32"/>
          <w:szCs w:val="32"/>
          <w:lang w:eastAsia="zh-CN" w:bidi="zh-TW"/>
        </w:rPr>
        <w:t>六、其他需要报告的事项</w:t>
      </w:r>
    </w:p>
    <w:p>
      <w:pPr>
        <w:pStyle w:val="4"/>
        <w:snapToGrid w:val="0"/>
        <w:spacing w:beforeAutospacing="0" w:afterAutospacing="0" w:line="560" w:lineRule="exact"/>
        <w:ind w:firstLine="640" w:firstLineChars="200"/>
        <w:jc w:val="both"/>
        <w:rPr>
          <w:rFonts w:ascii="仿宋" w:hAnsi="仿宋" w:eastAsia="仿宋" w:cs="仿宋_GB2312"/>
          <w:sz w:val="32"/>
          <w:szCs w:val="32"/>
        </w:rPr>
      </w:pPr>
      <w:r>
        <w:rPr>
          <w:rFonts w:hint="eastAsia" w:ascii="仿宋_GB2312" w:hAnsi="仿宋_GB2312" w:eastAsia="仿宋_GB2312" w:cs="仿宋_GB2312"/>
          <w:kern w:val="2"/>
          <w:sz w:val="32"/>
          <w:szCs w:val="32"/>
        </w:rPr>
        <w:t>本报告的数据统计期限自20</w:t>
      </w:r>
      <w:r>
        <w:rPr>
          <w:rFonts w:hint="eastAsia" w:ascii="仿宋_GB2312" w:hAnsi="仿宋_GB2312" w:eastAsia="仿宋_GB2312" w:cs="仿宋_GB2312"/>
          <w:kern w:val="2"/>
          <w:sz w:val="32"/>
          <w:szCs w:val="32"/>
          <w:lang w:val="en-US" w:eastAsia="zh-CN"/>
        </w:rPr>
        <w:t>20</w:t>
      </w:r>
      <w:r>
        <w:rPr>
          <w:rFonts w:hint="eastAsia" w:ascii="仿宋_GB2312" w:hAnsi="仿宋_GB2312" w:eastAsia="仿宋_GB2312" w:cs="仿宋_GB2312"/>
          <w:kern w:val="2"/>
          <w:sz w:val="32"/>
          <w:szCs w:val="32"/>
        </w:rPr>
        <w:t>年1月1日起至20</w:t>
      </w:r>
      <w:r>
        <w:rPr>
          <w:rFonts w:hint="eastAsia" w:ascii="仿宋_GB2312" w:hAnsi="仿宋_GB2312" w:eastAsia="仿宋_GB2312" w:cs="仿宋_GB2312"/>
          <w:kern w:val="2"/>
          <w:sz w:val="32"/>
          <w:szCs w:val="32"/>
          <w:lang w:val="en-US" w:eastAsia="zh-CN"/>
        </w:rPr>
        <w:t>20</w:t>
      </w:r>
      <w:r>
        <w:rPr>
          <w:rFonts w:hint="eastAsia" w:ascii="仿宋_GB2312" w:hAnsi="仿宋_GB2312" w:eastAsia="仿宋_GB2312" w:cs="仿宋_GB2312"/>
          <w:kern w:val="2"/>
          <w:sz w:val="32"/>
          <w:szCs w:val="32"/>
        </w:rPr>
        <w:t>年12月31日止，</w:t>
      </w:r>
      <w:r>
        <w:rPr>
          <w:rFonts w:hint="eastAsia" w:ascii="仿宋_GB2312" w:hAnsi="仿宋_GB2312" w:eastAsia="仿宋_GB2312" w:cs="仿宋_GB2312"/>
          <w:sz w:val="32"/>
          <w:szCs w:val="32"/>
        </w:rPr>
        <w:t>所列数据可能因四舍五入原因与数据直接相加之和存在尾数差异</w:t>
      </w:r>
      <w:r>
        <w:rPr>
          <w:rFonts w:hint="eastAsia" w:ascii="仿宋" w:hAnsi="仿宋" w:eastAsia="仿宋" w:cs="仿宋_GB2312"/>
          <w:sz w:val="32"/>
          <w:szCs w:val="32"/>
        </w:rPr>
        <w:t>。</w:t>
      </w:r>
    </w:p>
    <w:p>
      <w:pPr>
        <w:pStyle w:val="4"/>
        <w:widowControl/>
        <w:spacing w:beforeAutospacing="0" w:afterAutospacing="0" w:line="560" w:lineRule="exact"/>
        <w:jc w:val="center"/>
        <w:rPr>
          <w:rStyle w:val="7"/>
          <w:rFonts w:hint="eastAsia" w:ascii="仿宋" w:hAnsi="微软雅黑" w:eastAsia="仿宋" w:cs="仿宋_GB2312"/>
          <w:b w:val="0"/>
          <w:bCs/>
          <w:color w:val="3D3D3D"/>
          <w:sz w:val="31"/>
          <w:szCs w:val="31"/>
        </w:rPr>
      </w:pPr>
    </w:p>
    <w:p>
      <w:pPr>
        <w:pStyle w:val="4"/>
        <w:snapToGrid w:val="0"/>
        <w:spacing w:beforeAutospacing="0" w:afterAutospacing="0" w:line="560" w:lineRule="exact"/>
        <w:ind w:firstLine="640" w:firstLineChars="200"/>
        <w:jc w:val="both"/>
        <w:rPr>
          <w:rFonts w:hint="eastAsia" w:ascii="仿宋_GB2312" w:hAnsi="仿宋_GB2312" w:eastAsia="仿宋_GB2312" w:cs="仿宋_GB2312"/>
          <w:kern w:val="2"/>
          <w:sz w:val="32"/>
          <w:szCs w:val="32"/>
        </w:rPr>
      </w:pPr>
    </w:p>
    <w:p>
      <w:pPr>
        <w:pStyle w:val="4"/>
        <w:snapToGrid w:val="0"/>
        <w:spacing w:beforeAutospacing="0" w:afterAutospacing="0"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 沂源县人民政府</w:t>
      </w:r>
    </w:p>
    <w:p>
      <w:pPr>
        <w:pStyle w:val="4"/>
        <w:snapToGrid w:val="0"/>
        <w:spacing w:beforeAutospacing="0" w:afterAutospacing="0" w:line="560"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                                </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 202</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rPr>
        <w:t>年</w:t>
      </w: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rPr>
        <w:t>月</w:t>
      </w:r>
      <w:r>
        <w:rPr>
          <w:rFonts w:hint="eastAsia" w:ascii="仿宋_GB2312" w:hAnsi="仿宋_GB2312" w:eastAsia="仿宋_GB2312" w:cs="仿宋_GB2312"/>
          <w:kern w:val="2"/>
          <w:sz w:val="32"/>
          <w:szCs w:val="32"/>
          <w:lang w:val="en-US" w:eastAsia="zh-CN"/>
        </w:rPr>
        <w:t>19</w:t>
      </w:r>
      <w:r>
        <w:rPr>
          <w:rFonts w:hint="eastAsia" w:ascii="仿宋_GB2312" w:hAnsi="仿宋_GB2312" w:eastAsia="仿宋_GB2312" w:cs="仿宋_GB2312"/>
          <w:kern w:val="2"/>
          <w:sz w:val="32"/>
          <w:szCs w:val="32"/>
        </w:rPr>
        <w:t>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59264" behindDoc="1" locked="0" layoutInCell="1" allowOverlap="1">
              <wp:simplePos x="0" y="0"/>
              <wp:positionH relativeFrom="page">
                <wp:posOffset>6050280</wp:posOffset>
              </wp:positionH>
              <wp:positionV relativeFrom="page">
                <wp:posOffset>9942195</wp:posOffset>
              </wp:positionV>
              <wp:extent cx="146050" cy="1187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46050" cy="118745"/>
                      </a:xfrm>
                      <a:prstGeom prst="rect">
                        <a:avLst/>
                      </a:prstGeom>
                      <a:noFill/>
                      <a:ln>
                        <a:noFill/>
                      </a:ln>
                      <a:effectLst/>
                    </wps:spPr>
                    <wps:txbx>
                      <w:txbxContent>
                        <w:p>
                          <w:pPr>
                            <w:pStyle w:val="13"/>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476.4pt;margin-top:782.85pt;height:9.35pt;width:11.5pt;mso-position-horizontal-relative:page;mso-position-vertical-relative:page;mso-wrap-style:none;z-index:-251657216;mso-width-relative:page;mso-height-relative:page;" filled="f" stroked="f" coordsize="21600,21600" o:gfxdata="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PxblTYAAAADQEAAA8AAAAAAAAAAQAgAAAAIgAAAGRy&#10;cy9kb3ducmV2LnhtbFBLAQIUABQAAAAIAIdO4kDHvGCEzAEAAJsDAAAOAAAAAAAAAAEAIAAAACcB&#10;AABkcnMvZTJvRG9jLnhtbFBLBQYAAAAABgAGAFkBAABl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60288" behindDoc="1" locked="0" layoutInCell="1" allowOverlap="1">
              <wp:simplePos x="0" y="0"/>
              <wp:positionH relativeFrom="page">
                <wp:posOffset>1313180</wp:posOffset>
              </wp:positionH>
              <wp:positionV relativeFrom="page">
                <wp:posOffset>9942195</wp:posOffset>
              </wp:positionV>
              <wp:extent cx="786130" cy="1187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86130" cy="118745"/>
                      </a:xfrm>
                      <a:prstGeom prst="rect">
                        <a:avLst/>
                      </a:prstGeom>
                      <a:noFill/>
                      <a:ln>
                        <a:noFill/>
                      </a:ln>
                      <a:effectLst/>
                    </wps:spPr>
                    <wps:txbx>
                      <w:txbxContent>
                        <w:p>
                          <w:pPr>
                            <w:pStyle w:val="13"/>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wps:txbx>
                    <wps:bodyPr wrap="none" lIns="0" tIns="0" rIns="0" bIns="0">
                      <a:spAutoFit/>
                    </wps:bodyPr>
                  </wps:wsp>
                </a:graphicData>
              </a:graphic>
            </wp:anchor>
          </w:drawing>
        </mc:Choice>
        <mc:Fallback>
          <w:pict>
            <v:shape id="_x0000_s1026" o:spid="_x0000_s1026" o:spt="202" type="#_x0000_t202" style="position:absolute;left:0pt;margin-left:103.4pt;margin-top:782.85pt;height:9.35pt;width:61.9pt;mso-position-horizontal-relative:page;mso-position-vertical-relative:page;mso-wrap-style:none;z-index:-251656192;mso-width-relative:page;mso-height-relative:page;" filled="f" stroked="f" coordsize="21600,21600" o:gfxdata="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1QpuN2AAAAA0BAAAPAAAAAAAAAAEAIAAAACIAAABk&#10;cnMvZG93bnJldi54bWxQSwECFAAUAAAACACHTuJAJhEyxs0BAACbAwAADgAAAAAAAAABACAAAAAn&#10;AQAAZHJzL2Uyb0RvYy54bWxQSwUGAAAAAAYABgBZAQAAZgUAAAAA&#10;">
              <v:fill on="f" focussize="0,0"/>
              <v:stroke on="f"/>
              <v:imagedata o:title=""/>
              <o:lock v:ext="edit" aspectratio="f"/>
              <v:textbox inset="0mm,0mm,0mm,0mm" style="mso-fit-shape-to-text:t;">
                <w:txbxContent>
                  <w:p>
                    <w:pPr>
                      <w:pStyle w:val="13"/>
                    </w:pPr>
                    <w:r>
                      <w:rPr>
                        <w:lang w:val="en-US" w:eastAsia="en-US" w:bidi="en-US"/>
                      </w:rPr>
                      <w:t>—</w:t>
                    </w:r>
                    <w:r>
                      <w:fldChar w:fldCharType="begin"/>
                    </w:r>
                    <w:r>
                      <w:instrText xml:space="preserve"> PAGE \* MERGEFORMAT </w:instrText>
                    </w:r>
                    <w:r>
                      <w:fldChar w:fldCharType="separate"/>
                    </w:r>
                    <w:r>
                      <w:t>#</w:t>
                    </w:r>
                    <w:r>
                      <w:fldChar w:fldCharType="end"/>
                    </w:r>
                    <w:r>
                      <w:rPr>
                        <w:lang w:val="en-US" w:eastAsia="en-US" w:bidi="en-US"/>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3075B"/>
    <w:multiLevelType w:val="singleLevel"/>
    <w:tmpl w:val="9303075B"/>
    <w:lvl w:ilvl="0" w:tentative="0">
      <w:start w:val="2"/>
      <w:numFmt w:val="chineseCounting"/>
      <w:suff w:val="nothing"/>
      <w:lvlText w:val="（%1）"/>
      <w:lvlJc w:val="left"/>
      <w:pPr>
        <w:ind w:left="640" w:leftChars="0" w:firstLine="0" w:firstLineChars="0"/>
      </w:pPr>
      <w:rPr>
        <w:rFonts w:hint="eastAsia"/>
      </w:rPr>
    </w:lvl>
  </w:abstractNum>
  <w:abstractNum w:abstractNumId="1">
    <w:nsid w:val="9525C706"/>
    <w:multiLevelType w:val="singleLevel"/>
    <w:tmpl w:val="9525C706"/>
    <w:lvl w:ilvl="0" w:tentative="0">
      <w:start w:val="2"/>
      <w:numFmt w:val="chineseCounting"/>
      <w:suff w:val="nothing"/>
      <w:lvlText w:val="（%1）"/>
      <w:lvlJc w:val="left"/>
      <w:rPr>
        <w:rFonts w:hint="eastAsia"/>
      </w:rPr>
    </w:lvl>
  </w:abstractNum>
  <w:abstractNum w:abstractNumId="2">
    <w:nsid w:val="F544D8DD"/>
    <w:multiLevelType w:val="singleLevel"/>
    <w:tmpl w:val="F544D8DD"/>
    <w:lvl w:ilvl="0" w:tentative="0">
      <w:start w:val="6"/>
      <w:numFmt w:val="decimal"/>
      <w:suff w:val="nothing"/>
      <w:lvlText w:val="（%1）"/>
      <w:lvlJc w:val="left"/>
    </w:lvl>
  </w:abstractNum>
  <w:abstractNum w:abstractNumId="3">
    <w:nsid w:val="F8DBFE37"/>
    <w:multiLevelType w:val="singleLevel"/>
    <w:tmpl w:val="F8DBFE37"/>
    <w:lvl w:ilvl="0" w:tentative="0">
      <w:start w:val="5"/>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C00662"/>
    <w:rsid w:val="00143B11"/>
    <w:rsid w:val="001929EE"/>
    <w:rsid w:val="002950D8"/>
    <w:rsid w:val="00312525"/>
    <w:rsid w:val="00322428"/>
    <w:rsid w:val="003A74FD"/>
    <w:rsid w:val="003E46B1"/>
    <w:rsid w:val="00487949"/>
    <w:rsid w:val="00580DD1"/>
    <w:rsid w:val="00632C95"/>
    <w:rsid w:val="0069686A"/>
    <w:rsid w:val="006B4264"/>
    <w:rsid w:val="00764563"/>
    <w:rsid w:val="007D0E17"/>
    <w:rsid w:val="0081149D"/>
    <w:rsid w:val="00865D37"/>
    <w:rsid w:val="008675D3"/>
    <w:rsid w:val="00880ED5"/>
    <w:rsid w:val="008B0AE4"/>
    <w:rsid w:val="008E18A2"/>
    <w:rsid w:val="00951D16"/>
    <w:rsid w:val="00984CE0"/>
    <w:rsid w:val="009E282B"/>
    <w:rsid w:val="00A76765"/>
    <w:rsid w:val="00AC430C"/>
    <w:rsid w:val="00BB4860"/>
    <w:rsid w:val="00D62487"/>
    <w:rsid w:val="00EA2590"/>
    <w:rsid w:val="00ED6588"/>
    <w:rsid w:val="010113BA"/>
    <w:rsid w:val="010D274B"/>
    <w:rsid w:val="011062B2"/>
    <w:rsid w:val="011B75FB"/>
    <w:rsid w:val="01280435"/>
    <w:rsid w:val="012F0B5E"/>
    <w:rsid w:val="01360070"/>
    <w:rsid w:val="01480BBC"/>
    <w:rsid w:val="014C2B71"/>
    <w:rsid w:val="01553D07"/>
    <w:rsid w:val="015B5416"/>
    <w:rsid w:val="015C2067"/>
    <w:rsid w:val="01642954"/>
    <w:rsid w:val="017B5A5C"/>
    <w:rsid w:val="01806C3F"/>
    <w:rsid w:val="018A13ED"/>
    <w:rsid w:val="01931C01"/>
    <w:rsid w:val="019E0EF3"/>
    <w:rsid w:val="019E60A0"/>
    <w:rsid w:val="019F531E"/>
    <w:rsid w:val="01A1152B"/>
    <w:rsid w:val="01A4504B"/>
    <w:rsid w:val="01A73BCF"/>
    <w:rsid w:val="01AE271B"/>
    <w:rsid w:val="01B65516"/>
    <w:rsid w:val="01BB40EF"/>
    <w:rsid w:val="01C41F4E"/>
    <w:rsid w:val="01CF2085"/>
    <w:rsid w:val="01DA76D4"/>
    <w:rsid w:val="01DE144E"/>
    <w:rsid w:val="01E155A8"/>
    <w:rsid w:val="01EA7CA9"/>
    <w:rsid w:val="01F0213F"/>
    <w:rsid w:val="02065E02"/>
    <w:rsid w:val="020A5084"/>
    <w:rsid w:val="021B30C1"/>
    <w:rsid w:val="021D5296"/>
    <w:rsid w:val="02237100"/>
    <w:rsid w:val="02265E88"/>
    <w:rsid w:val="022D07EE"/>
    <w:rsid w:val="02441DD9"/>
    <w:rsid w:val="02462B65"/>
    <w:rsid w:val="025342B4"/>
    <w:rsid w:val="02603FD3"/>
    <w:rsid w:val="0262689B"/>
    <w:rsid w:val="026275F2"/>
    <w:rsid w:val="0269260D"/>
    <w:rsid w:val="026C2B01"/>
    <w:rsid w:val="027040BA"/>
    <w:rsid w:val="02817E88"/>
    <w:rsid w:val="028A7EB1"/>
    <w:rsid w:val="028E6CFD"/>
    <w:rsid w:val="029767CA"/>
    <w:rsid w:val="029D25DF"/>
    <w:rsid w:val="02A73E3C"/>
    <w:rsid w:val="02A81D5A"/>
    <w:rsid w:val="02AE4B54"/>
    <w:rsid w:val="02AE542C"/>
    <w:rsid w:val="02BF66B6"/>
    <w:rsid w:val="02CC16C1"/>
    <w:rsid w:val="02E64931"/>
    <w:rsid w:val="02F40679"/>
    <w:rsid w:val="03067F5B"/>
    <w:rsid w:val="03097499"/>
    <w:rsid w:val="03160C67"/>
    <w:rsid w:val="031E437E"/>
    <w:rsid w:val="03244303"/>
    <w:rsid w:val="032F7428"/>
    <w:rsid w:val="03403921"/>
    <w:rsid w:val="034916A3"/>
    <w:rsid w:val="036B5AA6"/>
    <w:rsid w:val="03767667"/>
    <w:rsid w:val="038A592A"/>
    <w:rsid w:val="038D08A2"/>
    <w:rsid w:val="039F2F76"/>
    <w:rsid w:val="03B8064F"/>
    <w:rsid w:val="03BD340B"/>
    <w:rsid w:val="03CA3B07"/>
    <w:rsid w:val="03D670EA"/>
    <w:rsid w:val="03DE080F"/>
    <w:rsid w:val="03F46C50"/>
    <w:rsid w:val="03F74252"/>
    <w:rsid w:val="03FD5038"/>
    <w:rsid w:val="040D2043"/>
    <w:rsid w:val="04147168"/>
    <w:rsid w:val="0415451B"/>
    <w:rsid w:val="04267124"/>
    <w:rsid w:val="042D0365"/>
    <w:rsid w:val="043A7CDB"/>
    <w:rsid w:val="04443E26"/>
    <w:rsid w:val="04572001"/>
    <w:rsid w:val="045D0847"/>
    <w:rsid w:val="046A38D1"/>
    <w:rsid w:val="046F4994"/>
    <w:rsid w:val="0478024A"/>
    <w:rsid w:val="047A62CC"/>
    <w:rsid w:val="04810ADA"/>
    <w:rsid w:val="04827D96"/>
    <w:rsid w:val="04847071"/>
    <w:rsid w:val="048A221C"/>
    <w:rsid w:val="048F06BA"/>
    <w:rsid w:val="049053AF"/>
    <w:rsid w:val="049948D4"/>
    <w:rsid w:val="049A59F3"/>
    <w:rsid w:val="04A6754C"/>
    <w:rsid w:val="04AD3A98"/>
    <w:rsid w:val="04C82453"/>
    <w:rsid w:val="04C95086"/>
    <w:rsid w:val="04CD4685"/>
    <w:rsid w:val="04E02A52"/>
    <w:rsid w:val="04E669C2"/>
    <w:rsid w:val="04EC0E82"/>
    <w:rsid w:val="04F11626"/>
    <w:rsid w:val="04F423D1"/>
    <w:rsid w:val="05031602"/>
    <w:rsid w:val="05080692"/>
    <w:rsid w:val="050F43A0"/>
    <w:rsid w:val="05162670"/>
    <w:rsid w:val="05174BD7"/>
    <w:rsid w:val="05207A25"/>
    <w:rsid w:val="05286BAB"/>
    <w:rsid w:val="053D09E4"/>
    <w:rsid w:val="05416D7C"/>
    <w:rsid w:val="05450EEA"/>
    <w:rsid w:val="054D5A1A"/>
    <w:rsid w:val="054D5CBC"/>
    <w:rsid w:val="055420AC"/>
    <w:rsid w:val="055714BE"/>
    <w:rsid w:val="055B3CBB"/>
    <w:rsid w:val="055C6191"/>
    <w:rsid w:val="057D7BC8"/>
    <w:rsid w:val="058941F5"/>
    <w:rsid w:val="058C75E0"/>
    <w:rsid w:val="059D3F11"/>
    <w:rsid w:val="05C63DAC"/>
    <w:rsid w:val="05C92A4F"/>
    <w:rsid w:val="05D21528"/>
    <w:rsid w:val="05DA06BE"/>
    <w:rsid w:val="05ED5527"/>
    <w:rsid w:val="05F64E55"/>
    <w:rsid w:val="05F676C0"/>
    <w:rsid w:val="05FE7DB5"/>
    <w:rsid w:val="06015DC0"/>
    <w:rsid w:val="06055F93"/>
    <w:rsid w:val="06175020"/>
    <w:rsid w:val="062A154E"/>
    <w:rsid w:val="062D5ACF"/>
    <w:rsid w:val="063106EB"/>
    <w:rsid w:val="06395359"/>
    <w:rsid w:val="064A28D3"/>
    <w:rsid w:val="064E1A65"/>
    <w:rsid w:val="065203B8"/>
    <w:rsid w:val="065544C8"/>
    <w:rsid w:val="06590367"/>
    <w:rsid w:val="065F6B04"/>
    <w:rsid w:val="066400D3"/>
    <w:rsid w:val="066436A4"/>
    <w:rsid w:val="066C4F85"/>
    <w:rsid w:val="066D7AA4"/>
    <w:rsid w:val="067725AB"/>
    <w:rsid w:val="067B04EF"/>
    <w:rsid w:val="06952580"/>
    <w:rsid w:val="06983C28"/>
    <w:rsid w:val="069E3F6F"/>
    <w:rsid w:val="06A101BE"/>
    <w:rsid w:val="06CC740F"/>
    <w:rsid w:val="06CD32A4"/>
    <w:rsid w:val="06CF5E47"/>
    <w:rsid w:val="06D210FA"/>
    <w:rsid w:val="06DF227D"/>
    <w:rsid w:val="06EF09ED"/>
    <w:rsid w:val="06F60EFD"/>
    <w:rsid w:val="06FF1394"/>
    <w:rsid w:val="070F11D3"/>
    <w:rsid w:val="07277AD2"/>
    <w:rsid w:val="07357422"/>
    <w:rsid w:val="073775BB"/>
    <w:rsid w:val="07397259"/>
    <w:rsid w:val="07413570"/>
    <w:rsid w:val="07565A98"/>
    <w:rsid w:val="075C795D"/>
    <w:rsid w:val="0761462B"/>
    <w:rsid w:val="07691F98"/>
    <w:rsid w:val="07795C55"/>
    <w:rsid w:val="077C43AF"/>
    <w:rsid w:val="077C6009"/>
    <w:rsid w:val="07832774"/>
    <w:rsid w:val="0783539E"/>
    <w:rsid w:val="079102BA"/>
    <w:rsid w:val="07914625"/>
    <w:rsid w:val="07914FD1"/>
    <w:rsid w:val="079460D4"/>
    <w:rsid w:val="079A38EC"/>
    <w:rsid w:val="07A51051"/>
    <w:rsid w:val="07AA2567"/>
    <w:rsid w:val="07AD1ADD"/>
    <w:rsid w:val="07C535B5"/>
    <w:rsid w:val="07CE5B2D"/>
    <w:rsid w:val="07D03791"/>
    <w:rsid w:val="07D32A73"/>
    <w:rsid w:val="07E319DC"/>
    <w:rsid w:val="07F0128C"/>
    <w:rsid w:val="07F25078"/>
    <w:rsid w:val="07F35432"/>
    <w:rsid w:val="07FF3568"/>
    <w:rsid w:val="080A4BD0"/>
    <w:rsid w:val="081025B3"/>
    <w:rsid w:val="081341D5"/>
    <w:rsid w:val="081C7BB8"/>
    <w:rsid w:val="081D4F68"/>
    <w:rsid w:val="08212F9E"/>
    <w:rsid w:val="08255D3C"/>
    <w:rsid w:val="08296385"/>
    <w:rsid w:val="082E652D"/>
    <w:rsid w:val="08321432"/>
    <w:rsid w:val="08396B17"/>
    <w:rsid w:val="08396D50"/>
    <w:rsid w:val="084606C2"/>
    <w:rsid w:val="084E4B29"/>
    <w:rsid w:val="084F1876"/>
    <w:rsid w:val="0859385D"/>
    <w:rsid w:val="085A06F9"/>
    <w:rsid w:val="08631010"/>
    <w:rsid w:val="086336A6"/>
    <w:rsid w:val="087E09BD"/>
    <w:rsid w:val="088621C2"/>
    <w:rsid w:val="088A5B91"/>
    <w:rsid w:val="08984771"/>
    <w:rsid w:val="08A613BD"/>
    <w:rsid w:val="08A9285D"/>
    <w:rsid w:val="08C51C1B"/>
    <w:rsid w:val="08EC19A6"/>
    <w:rsid w:val="08FF6D90"/>
    <w:rsid w:val="0902119F"/>
    <w:rsid w:val="090700C8"/>
    <w:rsid w:val="090A1F2D"/>
    <w:rsid w:val="090B421B"/>
    <w:rsid w:val="090C7E22"/>
    <w:rsid w:val="090F0934"/>
    <w:rsid w:val="09127808"/>
    <w:rsid w:val="091A6622"/>
    <w:rsid w:val="091C06A0"/>
    <w:rsid w:val="09367BCA"/>
    <w:rsid w:val="095061E6"/>
    <w:rsid w:val="095444DE"/>
    <w:rsid w:val="09645584"/>
    <w:rsid w:val="096A7C18"/>
    <w:rsid w:val="097A403F"/>
    <w:rsid w:val="097F32CE"/>
    <w:rsid w:val="099A6FA9"/>
    <w:rsid w:val="09AC0872"/>
    <w:rsid w:val="09AE3924"/>
    <w:rsid w:val="09CD516F"/>
    <w:rsid w:val="09CE3BD9"/>
    <w:rsid w:val="09D05CCE"/>
    <w:rsid w:val="09D14EDD"/>
    <w:rsid w:val="09E878B0"/>
    <w:rsid w:val="09EA25D9"/>
    <w:rsid w:val="09EA5086"/>
    <w:rsid w:val="09ED3E9B"/>
    <w:rsid w:val="09EE11AD"/>
    <w:rsid w:val="09F741E6"/>
    <w:rsid w:val="0A001183"/>
    <w:rsid w:val="0A0A60BA"/>
    <w:rsid w:val="0A103DBB"/>
    <w:rsid w:val="0A172278"/>
    <w:rsid w:val="0A1B4645"/>
    <w:rsid w:val="0A2B2DFC"/>
    <w:rsid w:val="0A346E43"/>
    <w:rsid w:val="0A491030"/>
    <w:rsid w:val="0A4C0DF7"/>
    <w:rsid w:val="0A574D9D"/>
    <w:rsid w:val="0A58155A"/>
    <w:rsid w:val="0A674D63"/>
    <w:rsid w:val="0A7B7FD6"/>
    <w:rsid w:val="0A897EC5"/>
    <w:rsid w:val="0A9A3C6E"/>
    <w:rsid w:val="0A9C56C0"/>
    <w:rsid w:val="0AAC547E"/>
    <w:rsid w:val="0AB7065B"/>
    <w:rsid w:val="0AD91D13"/>
    <w:rsid w:val="0AFC7515"/>
    <w:rsid w:val="0B076571"/>
    <w:rsid w:val="0B112023"/>
    <w:rsid w:val="0B15306D"/>
    <w:rsid w:val="0B221E86"/>
    <w:rsid w:val="0B284989"/>
    <w:rsid w:val="0B45656A"/>
    <w:rsid w:val="0B472079"/>
    <w:rsid w:val="0B491CC6"/>
    <w:rsid w:val="0B500C38"/>
    <w:rsid w:val="0B540415"/>
    <w:rsid w:val="0B5C7E3A"/>
    <w:rsid w:val="0B607532"/>
    <w:rsid w:val="0B626216"/>
    <w:rsid w:val="0B6700C7"/>
    <w:rsid w:val="0B68089C"/>
    <w:rsid w:val="0B6F31D5"/>
    <w:rsid w:val="0B776F86"/>
    <w:rsid w:val="0B7D1CAA"/>
    <w:rsid w:val="0B9B3E1A"/>
    <w:rsid w:val="0B9B7D2F"/>
    <w:rsid w:val="0BA11861"/>
    <w:rsid w:val="0BB66C11"/>
    <w:rsid w:val="0BBD0D29"/>
    <w:rsid w:val="0BC43931"/>
    <w:rsid w:val="0BC66348"/>
    <w:rsid w:val="0BCE15F9"/>
    <w:rsid w:val="0BD628C5"/>
    <w:rsid w:val="0BD6787B"/>
    <w:rsid w:val="0BD67DA4"/>
    <w:rsid w:val="0BD818FF"/>
    <w:rsid w:val="0BD85DFA"/>
    <w:rsid w:val="0BE25922"/>
    <w:rsid w:val="0BF55FE4"/>
    <w:rsid w:val="0C0467AB"/>
    <w:rsid w:val="0C0675AB"/>
    <w:rsid w:val="0C0C4B22"/>
    <w:rsid w:val="0C0F6B9B"/>
    <w:rsid w:val="0C2125F8"/>
    <w:rsid w:val="0C2250E5"/>
    <w:rsid w:val="0C230AEF"/>
    <w:rsid w:val="0C254EB6"/>
    <w:rsid w:val="0C35486D"/>
    <w:rsid w:val="0C4854AC"/>
    <w:rsid w:val="0C4A4CE8"/>
    <w:rsid w:val="0C4B5C3E"/>
    <w:rsid w:val="0C4C76C7"/>
    <w:rsid w:val="0C580943"/>
    <w:rsid w:val="0C65365B"/>
    <w:rsid w:val="0C7A345A"/>
    <w:rsid w:val="0C8342E1"/>
    <w:rsid w:val="0C8C74B1"/>
    <w:rsid w:val="0C8F6703"/>
    <w:rsid w:val="0C955BDB"/>
    <w:rsid w:val="0C9867B9"/>
    <w:rsid w:val="0C9E08F3"/>
    <w:rsid w:val="0CA06AAC"/>
    <w:rsid w:val="0CA62B05"/>
    <w:rsid w:val="0CB62CDE"/>
    <w:rsid w:val="0CF271AA"/>
    <w:rsid w:val="0CF43710"/>
    <w:rsid w:val="0CFF2F07"/>
    <w:rsid w:val="0D0063A5"/>
    <w:rsid w:val="0D006BBF"/>
    <w:rsid w:val="0D0B0A6C"/>
    <w:rsid w:val="0D0B10AF"/>
    <w:rsid w:val="0D0C7510"/>
    <w:rsid w:val="0D171937"/>
    <w:rsid w:val="0D210BE4"/>
    <w:rsid w:val="0D217C7D"/>
    <w:rsid w:val="0D3833D2"/>
    <w:rsid w:val="0D3E1425"/>
    <w:rsid w:val="0D484988"/>
    <w:rsid w:val="0D52276D"/>
    <w:rsid w:val="0D584A97"/>
    <w:rsid w:val="0D587387"/>
    <w:rsid w:val="0D7F530C"/>
    <w:rsid w:val="0D8C02F3"/>
    <w:rsid w:val="0D921CD1"/>
    <w:rsid w:val="0D990B8C"/>
    <w:rsid w:val="0D9C1260"/>
    <w:rsid w:val="0DA55C49"/>
    <w:rsid w:val="0DB13F16"/>
    <w:rsid w:val="0DB165FA"/>
    <w:rsid w:val="0DB171D2"/>
    <w:rsid w:val="0DD7185C"/>
    <w:rsid w:val="0DE96BB5"/>
    <w:rsid w:val="0DFF16D3"/>
    <w:rsid w:val="0E036A5D"/>
    <w:rsid w:val="0E06204A"/>
    <w:rsid w:val="0E0B4B43"/>
    <w:rsid w:val="0E1A5ADD"/>
    <w:rsid w:val="0E230D99"/>
    <w:rsid w:val="0E247E46"/>
    <w:rsid w:val="0E252FA4"/>
    <w:rsid w:val="0E2F3227"/>
    <w:rsid w:val="0E36680A"/>
    <w:rsid w:val="0E525322"/>
    <w:rsid w:val="0E5B43E0"/>
    <w:rsid w:val="0E5C25F2"/>
    <w:rsid w:val="0E741D9B"/>
    <w:rsid w:val="0E7F2933"/>
    <w:rsid w:val="0E826123"/>
    <w:rsid w:val="0E92121F"/>
    <w:rsid w:val="0EA04AA5"/>
    <w:rsid w:val="0EA37ED9"/>
    <w:rsid w:val="0EBE292E"/>
    <w:rsid w:val="0EBF6774"/>
    <w:rsid w:val="0EC0000A"/>
    <w:rsid w:val="0EC95867"/>
    <w:rsid w:val="0ECA2EBA"/>
    <w:rsid w:val="0EDC7EDC"/>
    <w:rsid w:val="0EE01ACE"/>
    <w:rsid w:val="0EEE34AC"/>
    <w:rsid w:val="0EEE6B22"/>
    <w:rsid w:val="0EF61843"/>
    <w:rsid w:val="0EF6739D"/>
    <w:rsid w:val="0EF675C8"/>
    <w:rsid w:val="0EFB2FF8"/>
    <w:rsid w:val="0F0D56C8"/>
    <w:rsid w:val="0F107D9F"/>
    <w:rsid w:val="0F1B30B4"/>
    <w:rsid w:val="0F2141FD"/>
    <w:rsid w:val="0F3E7F48"/>
    <w:rsid w:val="0F463EBB"/>
    <w:rsid w:val="0F535D78"/>
    <w:rsid w:val="0F5457A8"/>
    <w:rsid w:val="0F5A0C56"/>
    <w:rsid w:val="0F5A2C0C"/>
    <w:rsid w:val="0F64227B"/>
    <w:rsid w:val="0F6B20D0"/>
    <w:rsid w:val="0F6F4B46"/>
    <w:rsid w:val="0F7355B7"/>
    <w:rsid w:val="0F892F11"/>
    <w:rsid w:val="0FA16908"/>
    <w:rsid w:val="0FA4352D"/>
    <w:rsid w:val="0FAB0F78"/>
    <w:rsid w:val="0FB10738"/>
    <w:rsid w:val="0FB417E5"/>
    <w:rsid w:val="0FBA0CAD"/>
    <w:rsid w:val="0FBB378A"/>
    <w:rsid w:val="0FC27608"/>
    <w:rsid w:val="0FC87AA5"/>
    <w:rsid w:val="0FD64875"/>
    <w:rsid w:val="0FEA2043"/>
    <w:rsid w:val="0FEF6381"/>
    <w:rsid w:val="100152C2"/>
    <w:rsid w:val="1010496C"/>
    <w:rsid w:val="10126054"/>
    <w:rsid w:val="10264923"/>
    <w:rsid w:val="102A5675"/>
    <w:rsid w:val="102B3A0D"/>
    <w:rsid w:val="10332B5D"/>
    <w:rsid w:val="10337EAB"/>
    <w:rsid w:val="103441E3"/>
    <w:rsid w:val="10443679"/>
    <w:rsid w:val="104C7A4A"/>
    <w:rsid w:val="10617628"/>
    <w:rsid w:val="106451B7"/>
    <w:rsid w:val="106C79D7"/>
    <w:rsid w:val="106D7988"/>
    <w:rsid w:val="106E5C27"/>
    <w:rsid w:val="10704222"/>
    <w:rsid w:val="107258C9"/>
    <w:rsid w:val="10912F72"/>
    <w:rsid w:val="1096358C"/>
    <w:rsid w:val="10A4337D"/>
    <w:rsid w:val="10AE7AD5"/>
    <w:rsid w:val="10BE5EF6"/>
    <w:rsid w:val="10C03E2B"/>
    <w:rsid w:val="10C9586F"/>
    <w:rsid w:val="10CB3D88"/>
    <w:rsid w:val="10E36483"/>
    <w:rsid w:val="10E8229A"/>
    <w:rsid w:val="10E97672"/>
    <w:rsid w:val="10EF440E"/>
    <w:rsid w:val="10F4694C"/>
    <w:rsid w:val="10F66C8C"/>
    <w:rsid w:val="10FD7E8B"/>
    <w:rsid w:val="11047220"/>
    <w:rsid w:val="110725C4"/>
    <w:rsid w:val="110A0A06"/>
    <w:rsid w:val="110E3769"/>
    <w:rsid w:val="110F6290"/>
    <w:rsid w:val="1110551C"/>
    <w:rsid w:val="1116156A"/>
    <w:rsid w:val="11223F53"/>
    <w:rsid w:val="112C6BFA"/>
    <w:rsid w:val="11444E8D"/>
    <w:rsid w:val="114C6B3A"/>
    <w:rsid w:val="114D5224"/>
    <w:rsid w:val="114F6B99"/>
    <w:rsid w:val="115A0CEB"/>
    <w:rsid w:val="11644D44"/>
    <w:rsid w:val="1179253B"/>
    <w:rsid w:val="11AA1FF6"/>
    <w:rsid w:val="11AB7C75"/>
    <w:rsid w:val="11B7478E"/>
    <w:rsid w:val="11C04758"/>
    <w:rsid w:val="11DC04E8"/>
    <w:rsid w:val="11E96CF1"/>
    <w:rsid w:val="11EA7B23"/>
    <w:rsid w:val="11EC0B1E"/>
    <w:rsid w:val="11EE58A9"/>
    <w:rsid w:val="11F02D96"/>
    <w:rsid w:val="11FB1D76"/>
    <w:rsid w:val="120A1851"/>
    <w:rsid w:val="120E2452"/>
    <w:rsid w:val="1216351A"/>
    <w:rsid w:val="12164688"/>
    <w:rsid w:val="121B467B"/>
    <w:rsid w:val="122B1034"/>
    <w:rsid w:val="12342907"/>
    <w:rsid w:val="124235DB"/>
    <w:rsid w:val="124B5285"/>
    <w:rsid w:val="124D5DF0"/>
    <w:rsid w:val="1256253E"/>
    <w:rsid w:val="125A0CF1"/>
    <w:rsid w:val="12621E4A"/>
    <w:rsid w:val="12645FE8"/>
    <w:rsid w:val="126901BF"/>
    <w:rsid w:val="12733511"/>
    <w:rsid w:val="127D7781"/>
    <w:rsid w:val="12841BE7"/>
    <w:rsid w:val="12874909"/>
    <w:rsid w:val="128E45C1"/>
    <w:rsid w:val="12A944D8"/>
    <w:rsid w:val="12B30D0A"/>
    <w:rsid w:val="12B328C8"/>
    <w:rsid w:val="12B510A5"/>
    <w:rsid w:val="12B918AA"/>
    <w:rsid w:val="12BC118D"/>
    <w:rsid w:val="12BC6354"/>
    <w:rsid w:val="12C53D94"/>
    <w:rsid w:val="12C91D73"/>
    <w:rsid w:val="12E001F6"/>
    <w:rsid w:val="12E0100A"/>
    <w:rsid w:val="12EB66A3"/>
    <w:rsid w:val="12EC61EA"/>
    <w:rsid w:val="12F01945"/>
    <w:rsid w:val="12F03BE8"/>
    <w:rsid w:val="130473D1"/>
    <w:rsid w:val="131B4BD4"/>
    <w:rsid w:val="131F4CDB"/>
    <w:rsid w:val="132F10CA"/>
    <w:rsid w:val="133C79CA"/>
    <w:rsid w:val="13480E3D"/>
    <w:rsid w:val="134D332A"/>
    <w:rsid w:val="134E5460"/>
    <w:rsid w:val="13583390"/>
    <w:rsid w:val="13653751"/>
    <w:rsid w:val="13682E24"/>
    <w:rsid w:val="136A0B1E"/>
    <w:rsid w:val="136F27DB"/>
    <w:rsid w:val="13776707"/>
    <w:rsid w:val="13777F98"/>
    <w:rsid w:val="137D421C"/>
    <w:rsid w:val="13922B17"/>
    <w:rsid w:val="139A6332"/>
    <w:rsid w:val="139D5A32"/>
    <w:rsid w:val="13A90FAD"/>
    <w:rsid w:val="13A92B1B"/>
    <w:rsid w:val="13AC1006"/>
    <w:rsid w:val="13B45568"/>
    <w:rsid w:val="13C05511"/>
    <w:rsid w:val="13D44B22"/>
    <w:rsid w:val="13DB6FB1"/>
    <w:rsid w:val="13DC49F8"/>
    <w:rsid w:val="13E02272"/>
    <w:rsid w:val="13E03C09"/>
    <w:rsid w:val="13E45A20"/>
    <w:rsid w:val="13EF3282"/>
    <w:rsid w:val="13FC65B9"/>
    <w:rsid w:val="14060947"/>
    <w:rsid w:val="140F60F0"/>
    <w:rsid w:val="14111454"/>
    <w:rsid w:val="14156E34"/>
    <w:rsid w:val="141B44EE"/>
    <w:rsid w:val="141F7265"/>
    <w:rsid w:val="14271588"/>
    <w:rsid w:val="143755CE"/>
    <w:rsid w:val="144C57C2"/>
    <w:rsid w:val="14503CED"/>
    <w:rsid w:val="145A7149"/>
    <w:rsid w:val="14650A4E"/>
    <w:rsid w:val="146C0D33"/>
    <w:rsid w:val="146F0E92"/>
    <w:rsid w:val="146F1661"/>
    <w:rsid w:val="14741FF3"/>
    <w:rsid w:val="147819BA"/>
    <w:rsid w:val="14810D95"/>
    <w:rsid w:val="14852CEE"/>
    <w:rsid w:val="14937AC2"/>
    <w:rsid w:val="14943FAE"/>
    <w:rsid w:val="14A014FE"/>
    <w:rsid w:val="14AD07CB"/>
    <w:rsid w:val="14B12037"/>
    <w:rsid w:val="14BC13A5"/>
    <w:rsid w:val="14C300CA"/>
    <w:rsid w:val="14D32856"/>
    <w:rsid w:val="14D437F4"/>
    <w:rsid w:val="14D74D07"/>
    <w:rsid w:val="14E56BE9"/>
    <w:rsid w:val="14EE35F5"/>
    <w:rsid w:val="14F53060"/>
    <w:rsid w:val="14FF3C9C"/>
    <w:rsid w:val="150213E4"/>
    <w:rsid w:val="1511506B"/>
    <w:rsid w:val="152D4156"/>
    <w:rsid w:val="15354AE9"/>
    <w:rsid w:val="154D3EBC"/>
    <w:rsid w:val="155B40A1"/>
    <w:rsid w:val="155C0746"/>
    <w:rsid w:val="155C54BF"/>
    <w:rsid w:val="15716239"/>
    <w:rsid w:val="158209DD"/>
    <w:rsid w:val="15971D4E"/>
    <w:rsid w:val="159A6EFC"/>
    <w:rsid w:val="15BA796E"/>
    <w:rsid w:val="15C179DA"/>
    <w:rsid w:val="15C454F3"/>
    <w:rsid w:val="15C61F37"/>
    <w:rsid w:val="15D13BF6"/>
    <w:rsid w:val="15D17EFF"/>
    <w:rsid w:val="15E512B2"/>
    <w:rsid w:val="15EE4DF2"/>
    <w:rsid w:val="160D125D"/>
    <w:rsid w:val="160D246F"/>
    <w:rsid w:val="160F420D"/>
    <w:rsid w:val="16155A5A"/>
    <w:rsid w:val="161C065B"/>
    <w:rsid w:val="16207FC5"/>
    <w:rsid w:val="16296AB8"/>
    <w:rsid w:val="16303F6B"/>
    <w:rsid w:val="16385D72"/>
    <w:rsid w:val="163E2A5F"/>
    <w:rsid w:val="16443576"/>
    <w:rsid w:val="16456214"/>
    <w:rsid w:val="165449F7"/>
    <w:rsid w:val="16546038"/>
    <w:rsid w:val="16674838"/>
    <w:rsid w:val="167B77B5"/>
    <w:rsid w:val="16862E87"/>
    <w:rsid w:val="169833DD"/>
    <w:rsid w:val="16993139"/>
    <w:rsid w:val="16A65AC2"/>
    <w:rsid w:val="16A96DF1"/>
    <w:rsid w:val="16CF5BB8"/>
    <w:rsid w:val="16D5183D"/>
    <w:rsid w:val="16DD1398"/>
    <w:rsid w:val="16DE7128"/>
    <w:rsid w:val="16E0720D"/>
    <w:rsid w:val="16EB060B"/>
    <w:rsid w:val="16F120BF"/>
    <w:rsid w:val="16FE3E72"/>
    <w:rsid w:val="17092E5A"/>
    <w:rsid w:val="170F015D"/>
    <w:rsid w:val="17106C8D"/>
    <w:rsid w:val="1725160B"/>
    <w:rsid w:val="17272C86"/>
    <w:rsid w:val="17341A84"/>
    <w:rsid w:val="173A18A7"/>
    <w:rsid w:val="174F5F31"/>
    <w:rsid w:val="17525C66"/>
    <w:rsid w:val="1753115D"/>
    <w:rsid w:val="17625556"/>
    <w:rsid w:val="17670C52"/>
    <w:rsid w:val="177C16DB"/>
    <w:rsid w:val="17804857"/>
    <w:rsid w:val="178756F4"/>
    <w:rsid w:val="17A245D5"/>
    <w:rsid w:val="17A372D0"/>
    <w:rsid w:val="17BE2CEC"/>
    <w:rsid w:val="17C20748"/>
    <w:rsid w:val="17C54F8E"/>
    <w:rsid w:val="17D65DCB"/>
    <w:rsid w:val="18026BE5"/>
    <w:rsid w:val="18073D1B"/>
    <w:rsid w:val="180C427D"/>
    <w:rsid w:val="18220726"/>
    <w:rsid w:val="182F0F0D"/>
    <w:rsid w:val="18393AD5"/>
    <w:rsid w:val="18547ED2"/>
    <w:rsid w:val="18817660"/>
    <w:rsid w:val="189C7262"/>
    <w:rsid w:val="18AF3F2C"/>
    <w:rsid w:val="18BC59AD"/>
    <w:rsid w:val="18C81682"/>
    <w:rsid w:val="18CC4DFB"/>
    <w:rsid w:val="18CF61D7"/>
    <w:rsid w:val="18D92D2C"/>
    <w:rsid w:val="18E04735"/>
    <w:rsid w:val="18E1641D"/>
    <w:rsid w:val="18EF6EEE"/>
    <w:rsid w:val="18F2029D"/>
    <w:rsid w:val="18FA07CC"/>
    <w:rsid w:val="18FA14A8"/>
    <w:rsid w:val="18FA49DD"/>
    <w:rsid w:val="18FD00F4"/>
    <w:rsid w:val="18FF7E8C"/>
    <w:rsid w:val="190D0FE5"/>
    <w:rsid w:val="191020CF"/>
    <w:rsid w:val="19167D83"/>
    <w:rsid w:val="194369C4"/>
    <w:rsid w:val="19484D7C"/>
    <w:rsid w:val="194D7F2D"/>
    <w:rsid w:val="194E0E90"/>
    <w:rsid w:val="1967457E"/>
    <w:rsid w:val="197645E5"/>
    <w:rsid w:val="19773474"/>
    <w:rsid w:val="19945CF2"/>
    <w:rsid w:val="19A0662A"/>
    <w:rsid w:val="19A67A8D"/>
    <w:rsid w:val="19B14754"/>
    <w:rsid w:val="19B863E5"/>
    <w:rsid w:val="19B94B10"/>
    <w:rsid w:val="19BE08F2"/>
    <w:rsid w:val="19BE0E9B"/>
    <w:rsid w:val="19C17487"/>
    <w:rsid w:val="19C2105B"/>
    <w:rsid w:val="19C441BE"/>
    <w:rsid w:val="19D245E8"/>
    <w:rsid w:val="19E405C6"/>
    <w:rsid w:val="19FD56FB"/>
    <w:rsid w:val="1A0F06E5"/>
    <w:rsid w:val="1A137573"/>
    <w:rsid w:val="1A195737"/>
    <w:rsid w:val="1A1F3814"/>
    <w:rsid w:val="1A252C4A"/>
    <w:rsid w:val="1A3069F4"/>
    <w:rsid w:val="1A3E3798"/>
    <w:rsid w:val="1A424493"/>
    <w:rsid w:val="1A471D99"/>
    <w:rsid w:val="1A475F33"/>
    <w:rsid w:val="1A550B9E"/>
    <w:rsid w:val="1A627B70"/>
    <w:rsid w:val="1A6A617B"/>
    <w:rsid w:val="1A7C2869"/>
    <w:rsid w:val="1A7C38A7"/>
    <w:rsid w:val="1A7E4EF6"/>
    <w:rsid w:val="1A8B271E"/>
    <w:rsid w:val="1A8C7DB7"/>
    <w:rsid w:val="1A8E1368"/>
    <w:rsid w:val="1A941ECF"/>
    <w:rsid w:val="1A967332"/>
    <w:rsid w:val="1A9962F3"/>
    <w:rsid w:val="1A9D2F46"/>
    <w:rsid w:val="1AA60838"/>
    <w:rsid w:val="1AB82BE1"/>
    <w:rsid w:val="1ABF753B"/>
    <w:rsid w:val="1AC00ABA"/>
    <w:rsid w:val="1AD5472D"/>
    <w:rsid w:val="1AE60C05"/>
    <w:rsid w:val="1AE76A62"/>
    <w:rsid w:val="1AE96941"/>
    <w:rsid w:val="1AF3399D"/>
    <w:rsid w:val="1AFD5D98"/>
    <w:rsid w:val="1B085BAD"/>
    <w:rsid w:val="1B0C1F48"/>
    <w:rsid w:val="1B0E6401"/>
    <w:rsid w:val="1B1238BA"/>
    <w:rsid w:val="1B165D13"/>
    <w:rsid w:val="1B437573"/>
    <w:rsid w:val="1B4B33D9"/>
    <w:rsid w:val="1B4E55FD"/>
    <w:rsid w:val="1B671AAB"/>
    <w:rsid w:val="1B690406"/>
    <w:rsid w:val="1B8C6EAD"/>
    <w:rsid w:val="1B9A3BDB"/>
    <w:rsid w:val="1B9B25EC"/>
    <w:rsid w:val="1B9D5973"/>
    <w:rsid w:val="1B9E739D"/>
    <w:rsid w:val="1BA44483"/>
    <w:rsid w:val="1BAD343A"/>
    <w:rsid w:val="1BB01EE4"/>
    <w:rsid w:val="1BB44B0D"/>
    <w:rsid w:val="1BCA5DDE"/>
    <w:rsid w:val="1BD551FF"/>
    <w:rsid w:val="1BD826F5"/>
    <w:rsid w:val="1BDC3D95"/>
    <w:rsid w:val="1BE51975"/>
    <w:rsid w:val="1BE619AD"/>
    <w:rsid w:val="1BE6393D"/>
    <w:rsid w:val="1C01701B"/>
    <w:rsid w:val="1C0A2E69"/>
    <w:rsid w:val="1C123EB1"/>
    <w:rsid w:val="1C1B770D"/>
    <w:rsid w:val="1C3E6558"/>
    <w:rsid w:val="1C41357D"/>
    <w:rsid w:val="1C414A67"/>
    <w:rsid w:val="1C624515"/>
    <w:rsid w:val="1C664990"/>
    <w:rsid w:val="1C6A0C9A"/>
    <w:rsid w:val="1C7400F7"/>
    <w:rsid w:val="1C802511"/>
    <w:rsid w:val="1C803EB5"/>
    <w:rsid w:val="1C884F6B"/>
    <w:rsid w:val="1C920873"/>
    <w:rsid w:val="1C950F79"/>
    <w:rsid w:val="1C9A154F"/>
    <w:rsid w:val="1C9F3F98"/>
    <w:rsid w:val="1CB779EB"/>
    <w:rsid w:val="1CBB4978"/>
    <w:rsid w:val="1CCD257F"/>
    <w:rsid w:val="1CD3564C"/>
    <w:rsid w:val="1CD8163F"/>
    <w:rsid w:val="1CF514F2"/>
    <w:rsid w:val="1CF57E6B"/>
    <w:rsid w:val="1CFE3C52"/>
    <w:rsid w:val="1D115D66"/>
    <w:rsid w:val="1D220F59"/>
    <w:rsid w:val="1D255373"/>
    <w:rsid w:val="1D2A7800"/>
    <w:rsid w:val="1D2B58B4"/>
    <w:rsid w:val="1D2F2685"/>
    <w:rsid w:val="1D475C8B"/>
    <w:rsid w:val="1D4E2D2B"/>
    <w:rsid w:val="1D562D49"/>
    <w:rsid w:val="1D5F59BE"/>
    <w:rsid w:val="1D682C88"/>
    <w:rsid w:val="1D7406F0"/>
    <w:rsid w:val="1D8A26B5"/>
    <w:rsid w:val="1D976C45"/>
    <w:rsid w:val="1D9E07F0"/>
    <w:rsid w:val="1DA17B49"/>
    <w:rsid w:val="1DA7188C"/>
    <w:rsid w:val="1DD96E5B"/>
    <w:rsid w:val="1DE2285F"/>
    <w:rsid w:val="1DE26E05"/>
    <w:rsid w:val="1DF36C3E"/>
    <w:rsid w:val="1DFC63CA"/>
    <w:rsid w:val="1E01667E"/>
    <w:rsid w:val="1E215633"/>
    <w:rsid w:val="1E26523E"/>
    <w:rsid w:val="1E313091"/>
    <w:rsid w:val="1E324B51"/>
    <w:rsid w:val="1E4327CA"/>
    <w:rsid w:val="1E4A2052"/>
    <w:rsid w:val="1E4B6AAD"/>
    <w:rsid w:val="1E4E14DA"/>
    <w:rsid w:val="1E7A2004"/>
    <w:rsid w:val="1E851424"/>
    <w:rsid w:val="1E866559"/>
    <w:rsid w:val="1E8A48BD"/>
    <w:rsid w:val="1E9A2F5E"/>
    <w:rsid w:val="1E9F0566"/>
    <w:rsid w:val="1EA86F19"/>
    <w:rsid w:val="1EAD6310"/>
    <w:rsid w:val="1EB34CA4"/>
    <w:rsid w:val="1EB53B6E"/>
    <w:rsid w:val="1EBB2655"/>
    <w:rsid w:val="1EC271D8"/>
    <w:rsid w:val="1ECD1759"/>
    <w:rsid w:val="1ED93C3B"/>
    <w:rsid w:val="1EF221FB"/>
    <w:rsid w:val="1EF857DA"/>
    <w:rsid w:val="1F15580A"/>
    <w:rsid w:val="1F17295F"/>
    <w:rsid w:val="1F181843"/>
    <w:rsid w:val="1F186CC3"/>
    <w:rsid w:val="1F2A0795"/>
    <w:rsid w:val="1F4050BE"/>
    <w:rsid w:val="1F6E7E46"/>
    <w:rsid w:val="1F8A013E"/>
    <w:rsid w:val="1F923131"/>
    <w:rsid w:val="1F93024C"/>
    <w:rsid w:val="1F9F7138"/>
    <w:rsid w:val="1FA23AC0"/>
    <w:rsid w:val="1FAA283E"/>
    <w:rsid w:val="1FAA2C6E"/>
    <w:rsid w:val="1FB77365"/>
    <w:rsid w:val="1FBB689E"/>
    <w:rsid w:val="1FC53CEC"/>
    <w:rsid w:val="1FC9395E"/>
    <w:rsid w:val="1FD70F27"/>
    <w:rsid w:val="20043BEA"/>
    <w:rsid w:val="20046BC6"/>
    <w:rsid w:val="2005716B"/>
    <w:rsid w:val="20091D4F"/>
    <w:rsid w:val="200B17E7"/>
    <w:rsid w:val="20141396"/>
    <w:rsid w:val="20167516"/>
    <w:rsid w:val="201B0E95"/>
    <w:rsid w:val="203D7FB3"/>
    <w:rsid w:val="20441AFB"/>
    <w:rsid w:val="204D08E6"/>
    <w:rsid w:val="205635AD"/>
    <w:rsid w:val="2065342C"/>
    <w:rsid w:val="206F05CB"/>
    <w:rsid w:val="207102DF"/>
    <w:rsid w:val="20742F90"/>
    <w:rsid w:val="208D048A"/>
    <w:rsid w:val="20946CF5"/>
    <w:rsid w:val="2095340D"/>
    <w:rsid w:val="209C2647"/>
    <w:rsid w:val="20AA6E48"/>
    <w:rsid w:val="20AC43EA"/>
    <w:rsid w:val="20AE4B37"/>
    <w:rsid w:val="20B67EA6"/>
    <w:rsid w:val="20C12CB2"/>
    <w:rsid w:val="20C3589E"/>
    <w:rsid w:val="20C92371"/>
    <w:rsid w:val="20D131E2"/>
    <w:rsid w:val="20EB58D0"/>
    <w:rsid w:val="20EB5EE6"/>
    <w:rsid w:val="20EB7AEB"/>
    <w:rsid w:val="20FC28F0"/>
    <w:rsid w:val="21011E48"/>
    <w:rsid w:val="211A2999"/>
    <w:rsid w:val="211C7C62"/>
    <w:rsid w:val="211E345F"/>
    <w:rsid w:val="211E7C27"/>
    <w:rsid w:val="213C11D9"/>
    <w:rsid w:val="21475AA2"/>
    <w:rsid w:val="21546765"/>
    <w:rsid w:val="215B2B5F"/>
    <w:rsid w:val="21761CB3"/>
    <w:rsid w:val="21763C39"/>
    <w:rsid w:val="218A356E"/>
    <w:rsid w:val="21A6698E"/>
    <w:rsid w:val="21B54D18"/>
    <w:rsid w:val="21C64642"/>
    <w:rsid w:val="21C77199"/>
    <w:rsid w:val="21CA73E1"/>
    <w:rsid w:val="21CC33F2"/>
    <w:rsid w:val="21CE0DC1"/>
    <w:rsid w:val="21D23FD3"/>
    <w:rsid w:val="21E626F4"/>
    <w:rsid w:val="21F86A69"/>
    <w:rsid w:val="22020A44"/>
    <w:rsid w:val="22084023"/>
    <w:rsid w:val="221756C3"/>
    <w:rsid w:val="221F7F1E"/>
    <w:rsid w:val="22220348"/>
    <w:rsid w:val="222C02A6"/>
    <w:rsid w:val="222E6797"/>
    <w:rsid w:val="223F241D"/>
    <w:rsid w:val="224A3401"/>
    <w:rsid w:val="224E0375"/>
    <w:rsid w:val="22595597"/>
    <w:rsid w:val="225E4CCC"/>
    <w:rsid w:val="226845E9"/>
    <w:rsid w:val="2271066D"/>
    <w:rsid w:val="227160B9"/>
    <w:rsid w:val="227F2A8A"/>
    <w:rsid w:val="228226F5"/>
    <w:rsid w:val="22931818"/>
    <w:rsid w:val="22993711"/>
    <w:rsid w:val="22A45C31"/>
    <w:rsid w:val="22B35AEB"/>
    <w:rsid w:val="22C16DF2"/>
    <w:rsid w:val="22F05E2E"/>
    <w:rsid w:val="22F80325"/>
    <w:rsid w:val="22F825EB"/>
    <w:rsid w:val="22FA0253"/>
    <w:rsid w:val="23105C40"/>
    <w:rsid w:val="23136533"/>
    <w:rsid w:val="231E3E8F"/>
    <w:rsid w:val="232B6B1C"/>
    <w:rsid w:val="233B5305"/>
    <w:rsid w:val="234964B0"/>
    <w:rsid w:val="234A779B"/>
    <w:rsid w:val="23680CD5"/>
    <w:rsid w:val="236E6481"/>
    <w:rsid w:val="236F5ED8"/>
    <w:rsid w:val="23780F4B"/>
    <w:rsid w:val="237A7705"/>
    <w:rsid w:val="23981A77"/>
    <w:rsid w:val="23A5533E"/>
    <w:rsid w:val="23AF1C70"/>
    <w:rsid w:val="23B6351C"/>
    <w:rsid w:val="23BB13E1"/>
    <w:rsid w:val="23C035D3"/>
    <w:rsid w:val="23C21463"/>
    <w:rsid w:val="23C433D8"/>
    <w:rsid w:val="23CB7674"/>
    <w:rsid w:val="23E2082D"/>
    <w:rsid w:val="23FF1F07"/>
    <w:rsid w:val="2400698B"/>
    <w:rsid w:val="24032ABD"/>
    <w:rsid w:val="2405116F"/>
    <w:rsid w:val="240D7609"/>
    <w:rsid w:val="241105FF"/>
    <w:rsid w:val="241938CD"/>
    <w:rsid w:val="241B1FAB"/>
    <w:rsid w:val="24311002"/>
    <w:rsid w:val="2443369A"/>
    <w:rsid w:val="244419AC"/>
    <w:rsid w:val="245353D3"/>
    <w:rsid w:val="24536B5F"/>
    <w:rsid w:val="24593262"/>
    <w:rsid w:val="245C3FEA"/>
    <w:rsid w:val="24615FD4"/>
    <w:rsid w:val="2461643B"/>
    <w:rsid w:val="247B35F1"/>
    <w:rsid w:val="247B474B"/>
    <w:rsid w:val="24A603E2"/>
    <w:rsid w:val="24AA2750"/>
    <w:rsid w:val="24B04657"/>
    <w:rsid w:val="24B27045"/>
    <w:rsid w:val="24B42426"/>
    <w:rsid w:val="24B76AAD"/>
    <w:rsid w:val="24CC1805"/>
    <w:rsid w:val="24CD1C4B"/>
    <w:rsid w:val="24D06C14"/>
    <w:rsid w:val="24E676C8"/>
    <w:rsid w:val="24F464CD"/>
    <w:rsid w:val="24FC182C"/>
    <w:rsid w:val="250C2B09"/>
    <w:rsid w:val="250D2F65"/>
    <w:rsid w:val="250F3E59"/>
    <w:rsid w:val="251873E3"/>
    <w:rsid w:val="251E323C"/>
    <w:rsid w:val="2537430C"/>
    <w:rsid w:val="25613DB4"/>
    <w:rsid w:val="2563626C"/>
    <w:rsid w:val="256937E4"/>
    <w:rsid w:val="257013B7"/>
    <w:rsid w:val="25972708"/>
    <w:rsid w:val="25BA02D3"/>
    <w:rsid w:val="25BE5CBC"/>
    <w:rsid w:val="25BE7010"/>
    <w:rsid w:val="25C10A84"/>
    <w:rsid w:val="25D14F21"/>
    <w:rsid w:val="25DB4E24"/>
    <w:rsid w:val="25E11768"/>
    <w:rsid w:val="25E908B3"/>
    <w:rsid w:val="25FB7A78"/>
    <w:rsid w:val="25FD7DDD"/>
    <w:rsid w:val="260554FB"/>
    <w:rsid w:val="260B640A"/>
    <w:rsid w:val="261121E5"/>
    <w:rsid w:val="26161A7F"/>
    <w:rsid w:val="26196439"/>
    <w:rsid w:val="261A48A2"/>
    <w:rsid w:val="261B0940"/>
    <w:rsid w:val="26306CC9"/>
    <w:rsid w:val="264A0295"/>
    <w:rsid w:val="26605220"/>
    <w:rsid w:val="266407EF"/>
    <w:rsid w:val="266B7995"/>
    <w:rsid w:val="26926178"/>
    <w:rsid w:val="269F0E47"/>
    <w:rsid w:val="26A0698E"/>
    <w:rsid w:val="26A20C23"/>
    <w:rsid w:val="26BF0FC2"/>
    <w:rsid w:val="26C61868"/>
    <w:rsid w:val="26CD5654"/>
    <w:rsid w:val="26DC4C59"/>
    <w:rsid w:val="26DF5F72"/>
    <w:rsid w:val="26E002C2"/>
    <w:rsid w:val="26E1622A"/>
    <w:rsid w:val="26E80D0B"/>
    <w:rsid w:val="26F66C41"/>
    <w:rsid w:val="26F756AF"/>
    <w:rsid w:val="2702070A"/>
    <w:rsid w:val="27031FEF"/>
    <w:rsid w:val="270861DE"/>
    <w:rsid w:val="270C1678"/>
    <w:rsid w:val="27103427"/>
    <w:rsid w:val="27134416"/>
    <w:rsid w:val="27141B8B"/>
    <w:rsid w:val="271471E3"/>
    <w:rsid w:val="27211CA9"/>
    <w:rsid w:val="27246751"/>
    <w:rsid w:val="27361B28"/>
    <w:rsid w:val="273E1D42"/>
    <w:rsid w:val="273E646A"/>
    <w:rsid w:val="274C6008"/>
    <w:rsid w:val="275C2252"/>
    <w:rsid w:val="27663456"/>
    <w:rsid w:val="276669C5"/>
    <w:rsid w:val="278D3F1A"/>
    <w:rsid w:val="278D3F31"/>
    <w:rsid w:val="27927D16"/>
    <w:rsid w:val="2795417F"/>
    <w:rsid w:val="27993898"/>
    <w:rsid w:val="27B828ED"/>
    <w:rsid w:val="27CC2876"/>
    <w:rsid w:val="27CD28DD"/>
    <w:rsid w:val="27CF731B"/>
    <w:rsid w:val="27E4138F"/>
    <w:rsid w:val="27ED066A"/>
    <w:rsid w:val="27F2718C"/>
    <w:rsid w:val="27F74CCE"/>
    <w:rsid w:val="27F903A5"/>
    <w:rsid w:val="28072967"/>
    <w:rsid w:val="280A19BF"/>
    <w:rsid w:val="280A72F0"/>
    <w:rsid w:val="280D6CE5"/>
    <w:rsid w:val="281351C8"/>
    <w:rsid w:val="28243901"/>
    <w:rsid w:val="283403BD"/>
    <w:rsid w:val="28364CE2"/>
    <w:rsid w:val="284765F0"/>
    <w:rsid w:val="28506F9C"/>
    <w:rsid w:val="285C7BF6"/>
    <w:rsid w:val="28754410"/>
    <w:rsid w:val="28754B1F"/>
    <w:rsid w:val="28757955"/>
    <w:rsid w:val="287B33AD"/>
    <w:rsid w:val="287E1816"/>
    <w:rsid w:val="287F3ABB"/>
    <w:rsid w:val="28883A17"/>
    <w:rsid w:val="288A4095"/>
    <w:rsid w:val="288C6BFB"/>
    <w:rsid w:val="2897569C"/>
    <w:rsid w:val="28992AAD"/>
    <w:rsid w:val="28AB3D99"/>
    <w:rsid w:val="28BC462C"/>
    <w:rsid w:val="28C05C79"/>
    <w:rsid w:val="28C83361"/>
    <w:rsid w:val="28D21C1E"/>
    <w:rsid w:val="28D41D86"/>
    <w:rsid w:val="28D52AC5"/>
    <w:rsid w:val="28D857A6"/>
    <w:rsid w:val="28DF4631"/>
    <w:rsid w:val="28F212EB"/>
    <w:rsid w:val="28F27ACD"/>
    <w:rsid w:val="28F843A3"/>
    <w:rsid w:val="28FA3377"/>
    <w:rsid w:val="290839E1"/>
    <w:rsid w:val="2908475B"/>
    <w:rsid w:val="290A4CD8"/>
    <w:rsid w:val="290B717B"/>
    <w:rsid w:val="29167BAA"/>
    <w:rsid w:val="2918789B"/>
    <w:rsid w:val="29241DE8"/>
    <w:rsid w:val="293422F3"/>
    <w:rsid w:val="2940770B"/>
    <w:rsid w:val="29417837"/>
    <w:rsid w:val="29491AA8"/>
    <w:rsid w:val="294D2A47"/>
    <w:rsid w:val="295421C9"/>
    <w:rsid w:val="295730B5"/>
    <w:rsid w:val="29595CA1"/>
    <w:rsid w:val="295B4696"/>
    <w:rsid w:val="296D1CB5"/>
    <w:rsid w:val="296F2730"/>
    <w:rsid w:val="29816886"/>
    <w:rsid w:val="29860596"/>
    <w:rsid w:val="298A729B"/>
    <w:rsid w:val="29A9175A"/>
    <w:rsid w:val="29AB2F45"/>
    <w:rsid w:val="29AF48F0"/>
    <w:rsid w:val="29B41863"/>
    <w:rsid w:val="29B7684E"/>
    <w:rsid w:val="29C84DAE"/>
    <w:rsid w:val="29CE65FF"/>
    <w:rsid w:val="29CF1B3C"/>
    <w:rsid w:val="29D942D3"/>
    <w:rsid w:val="29DA37C0"/>
    <w:rsid w:val="29DA40EB"/>
    <w:rsid w:val="29DC17BA"/>
    <w:rsid w:val="29E05331"/>
    <w:rsid w:val="29E10CC2"/>
    <w:rsid w:val="29E150D1"/>
    <w:rsid w:val="29E36E96"/>
    <w:rsid w:val="29E85765"/>
    <w:rsid w:val="29FE6585"/>
    <w:rsid w:val="2A0301EC"/>
    <w:rsid w:val="2A0702A0"/>
    <w:rsid w:val="2A103A15"/>
    <w:rsid w:val="2A150784"/>
    <w:rsid w:val="2A3507A2"/>
    <w:rsid w:val="2A390351"/>
    <w:rsid w:val="2A3D7C03"/>
    <w:rsid w:val="2A483F7C"/>
    <w:rsid w:val="2A4B2A46"/>
    <w:rsid w:val="2A535A4F"/>
    <w:rsid w:val="2A6417C3"/>
    <w:rsid w:val="2A694845"/>
    <w:rsid w:val="2A782DBF"/>
    <w:rsid w:val="2A7E4F71"/>
    <w:rsid w:val="2A841045"/>
    <w:rsid w:val="2A8503BC"/>
    <w:rsid w:val="2AA85C06"/>
    <w:rsid w:val="2AB63DD9"/>
    <w:rsid w:val="2ABB5A6F"/>
    <w:rsid w:val="2ABC53FF"/>
    <w:rsid w:val="2ABE52B2"/>
    <w:rsid w:val="2AC31357"/>
    <w:rsid w:val="2ACF213C"/>
    <w:rsid w:val="2AD06B2E"/>
    <w:rsid w:val="2AE00298"/>
    <w:rsid w:val="2AEE18F2"/>
    <w:rsid w:val="2B065EA8"/>
    <w:rsid w:val="2B082830"/>
    <w:rsid w:val="2B111B74"/>
    <w:rsid w:val="2B200A60"/>
    <w:rsid w:val="2B2569A9"/>
    <w:rsid w:val="2B26507C"/>
    <w:rsid w:val="2B2F2B6A"/>
    <w:rsid w:val="2B442E2C"/>
    <w:rsid w:val="2B546FAD"/>
    <w:rsid w:val="2B5F705A"/>
    <w:rsid w:val="2B68319F"/>
    <w:rsid w:val="2B6D66ED"/>
    <w:rsid w:val="2B6F14BC"/>
    <w:rsid w:val="2B8C6B5B"/>
    <w:rsid w:val="2B9549CD"/>
    <w:rsid w:val="2B991DB4"/>
    <w:rsid w:val="2B9E6DB8"/>
    <w:rsid w:val="2B9F501A"/>
    <w:rsid w:val="2BA158FC"/>
    <w:rsid w:val="2BAD299C"/>
    <w:rsid w:val="2BAD7B2D"/>
    <w:rsid w:val="2BBE4202"/>
    <w:rsid w:val="2BC01A9B"/>
    <w:rsid w:val="2BC23E3E"/>
    <w:rsid w:val="2BC2537D"/>
    <w:rsid w:val="2BCD758B"/>
    <w:rsid w:val="2BD778C5"/>
    <w:rsid w:val="2BDA76E5"/>
    <w:rsid w:val="2BDE7B8C"/>
    <w:rsid w:val="2BE30698"/>
    <w:rsid w:val="2BE45C21"/>
    <w:rsid w:val="2BEC428D"/>
    <w:rsid w:val="2BF02414"/>
    <w:rsid w:val="2BF034C0"/>
    <w:rsid w:val="2BF927E5"/>
    <w:rsid w:val="2C154EA3"/>
    <w:rsid w:val="2C32344B"/>
    <w:rsid w:val="2C350231"/>
    <w:rsid w:val="2C3C1DDF"/>
    <w:rsid w:val="2C45637E"/>
    <w:rsid w:val="2C4B3A80"/>
    <w:rsid w:val="2C501B10"/>
    <w:rsid w:val="2C6722BB"/>
    <w:rsid w:val="2C6751A5"/>
    <w:rsid w:val="2C722D48"/>
    <w:rsid w:val="2C876AA4"/>
    <w:rsid w:val="2C8D4C88"/>
    <w:rsid w:val="2C8D50FD"/>
    <w:rsid w:val="2C8F7596"/>
    <w:rsid w:val="2C9329EC"/>
    <w:rsid w:val="2CA146F6"/>
    <w:rsid w:val="2CA2355B"/>
    <w:rsid w:val="2CB046A9"/>
    <w:rsid w:val="2CBB2F5E"/>
    <w:rsid w:val="2CC16922"/>
    <w:rsid w:val="2CDD598F"/>
    <w:rsid w:val="2CF43DDD"/>
    <w:rsid w:val="2D03617A"/>
    <w:rsid w:val="2D06776C"/>
    <w:rsid w:val="2D080E63"/>
    <w:rsid w:val="2D0F69CE"/>
    <w:rsid w:val="2D186F84"/>
    <w:rsid w:val="2D1D516B"/>
    <w:rsid w:val="2D1E4605"/>
    <w:rsid w:val="2D1F648A"/>
    <w:rsid w:val="2D23363D"/>
    <w:rsid w:val="2D24230E"/>
    <w:rsid w:val="2D2F7010"/>
    <w:rsid w:val="2D333B85"/>
    <w:rsid w:val="2D361C67"/>
    <w:rsid w:val="2D3C3A86"/>
    <w:rsid w:val="2D4F3B0E"/>
    <w:rsid w:val="2D57038A"/>
    <w:rsid w:val="2D5D029D"/>
    <w:rsid w:val="2D63525D"/>
    <w:rsid w:val="2D6A503C"/>
    <w:rsid w:val="2D6F1F6B"/>
    <w:rsid w:val="2D7540EF"/>
    <w:rsid w:val="2D76180F"/>
    <w:rsid w:val="2D7B0F24"/>
    <w:rsid w:val="2D8313AA"/>
    <w:rsid w:val="2D8A658C"/>
    <w:rsid w:val="2D994E80"/>
    <w:rsid w:val="2DA17FF7"/>
    <w:rsid w:val="2DA9707E"/>
    <w:rsid w:val="2DAC38F2"/>
    <w:rsid w:val="2DB5416D"/>
    <w:rsid w:val="2DC001D0"/>
    <w:rsid w:val="2DC61D71"/>
    <w:rsid w:val="2DC70B97"/>
    <w:rsid w:val="2DCA4407"/>
    <w:rsid w:val="2DCA6ED5"/>
    <w:rsid w:val="2DCC0113"/>
    <w:rsid w:val="2DD670B2"/>
    <w:rsid w:val="2DE53A1F"/>
    <w:rsid w:val="2DE776FC"/>
    <w:rsid w:val="2DEB0499"/>
    <w:rsid w:val="2DFC0070"/>
    <w:rsid w:val="2DFF75BB"/>
    <w:rsid w:val="2E055BB4"/>
    <w:rsid w:val="2E056118"/>
    <w:rsid w:val="2E0A40E4"/>
    <w:rsid w:val="2E0B3F10"/>
    <w:rsid w:val="2E0D44F8"/>
    <w:rsid w:val="2E12651F"/>
    <w:rsid w:val="2E157C2B"/>
    <w:rsid w:val="2E1B0326"/>
    <w:rsid w:val="2E290AF8"/>
    <w:rsid w:val="2E2D148E"/>
    <w:rsid w:val="2E4B40D4"/>
    <w:rsid w:val="2E65407B"/>
    <w:rsid w:val="2E6C336C"/>
    <w:rsid w:val="2E6C7A7F"/>
    <w:rsid w:val="2E837046"/>
    <w:rsid w:val="2E867D42"/>
    <w:rsid w:val="2E8A4F73"/>
    <w:rsid w:val="2E8D51CF"/>
    <w:rsid w:val="2E8F0043"/>
    <w:rsid w:val="2E916494"/>
    <w:rsid w:val="2E924BBF"/>
    <w:rsid w:val="2E941A10"/>
    <w:rsid w:val="2E9D1675"/>
    <w:rsid w:val="2E9E0FC7"/>
    <w:rsid w:val="2EAB5015"/>
    <w:rsid w:val="2EB57EBC"/>
    <w:rsid w:val="2EB70101"/>
    <w:rsid w:val="2EBD78D4"/>
    <w:rsid w:val="2EBE2A14"/>
    <w:rsid w:val="2EEF207D"/>
    <w:rsid w:val="2F045E19"/>
    <w:rsid w:val="2F070365"/>
    <w:rsid w:val="2F0D1B3E"/>
    <w:rsid w:val="2F0D62B0"/>
    <w:rsid w:val="2F111945"/>
    <w:rsid w:val="2F127D9B"/>
    <w:rsid w:val="2F1C3D66"/>
    <w:rsid w:val="2F3724FA"/>
    <w:rsid w:val="2F3A40B0"/>
    <w:rsid w:val="2F3B0454"/>
    <w:rsid w:val="2F694525"/>
    <w:rsid w:val="2F702CD0"/>
    <w:rsid w:val="2F7874D0"/>
    <w:rsid w:val="2F796912"/>
    <w:rsid w:val="2F7F0876"/>
    <w:rsid w:val="2F944E1E"/>
    <w:rsid w:val="2F996F6A"/>
    <w:rsid w:val="2F9F7D7E"/>
    <w:rsid w:val="2FB62B6C"/>
    <w:rsid w:val="2FB95020"/>
    <w:rsid w:val="2FBB7906"/>
    <w:rsid w:val="2FC140F8"/>
    <w:rsid w:val="2FCE4510"/>
    <w:rsid w:val="2FD054F0"/>
    <w:rsid w:val="2FD600E2"/>
    <w:rsid w:val="2FDB565E"/>
    <w:rsid w:val="2FEC193C"/>
    <w:rsid w:val="2FFD5899"/>
    <w:rsid w:val="2FFE6210"/>
    <w:rsid w:val="300233A9"/>
    <w:rsid w:val="300F68D4"/>
    <w:rsid w:val="30152F48"/>
    <w:rsid w:val="301625C6"/>
    <w:rsid w:val="301C0737"/>
    <w:rsid w:val="301F06B8"/>
    <w:rsid w:val="302B2B26"/>
    <w:rsid w:val="303E5823"/>
    <w:rsid w:val="303F3C02"/>
    <w:rsid w:val="30405A56"/>
    <w:rsid w:val="30473F4C"/>
    <w:rsid w:val="30632976"/>
    <w:rsid w:val="306552D4"/>
    <w:rsid w:val="306B03E7"/>
    <w:rsid w:val="30721429"/>
    <w:rsid w:val="307B4127"/>
    <w:rsid w:val="307F0DCE"/>
    <w:rsid w:val="307F198A"/>
    <w:rsid w:val="30801608"/>
    <w:rsid w:val="30852572"/>
    <w:rsid w:val="30861DBA"/>
    <w:rsid w:val="308D48CE"/>
    <w:rsid w:val="30904AC9"/>
    <w:rsid w:val="30917F06"/>
    <w:rsid w:val="3099709A"/>
    <w:rsid w:val="309B07A1"/>
    <w:rsid w:val="30A00D15"/>
    <w:rsid w:val="30A23524"/>
    <w:rsid w:val="30A5551F"/>
    <w:rsid w:val="30AD24B4"/>
    <w:rsid w:val="30AF44B7"/>
    <w:rsid w:val="30B91A8C"/>
    <w:rsid w:val="30C8406C"/>
    <w:rsid w:val="30E7088B"/>
    <w:rsid w:val="30E85B4C"/>
    <w:rsid w:val="30F12623"/>
    <w:rsid w:val="30F54131"/>
    <w:rsid w:val="310748D2"/>
    <w:rsid w:val="31217B87"/>
    <w:rsid w:val="31281572"/>
    <w:rsid w:val="31324095"/>
    <w:rsid w:val="31353572"/>
    <w:rsid w:val="313653B5"/>
    <w:rsid w:val="313E2EA7"/>
    <w:rsid w:val="314556D6"/>
    <w:rsid w:val="31464287"/>
    <w:rsid w:val="314752F9"/>
    <w:rsid w:val="314A2614"/>
    <w:rsid w:val="3154653A"/>
    <w:rsid w:val="31585083"/>
    <w:rsid w:val="315908CE"/>
    <w:rsid w:val="315D2E1F"/>
    <w:rsid w:val="315E2141"/>
    <w:rsid w:val="31653485"/>
    <w:rsid w:val="318A1270"/>
    <w:rsid w:val="319816B0"/>
    <w:rsid w:val="319856A2"/>
    <w:rsid w:val="31B4617C"/>
    <w:rsid w:val="31BA0376"/>
    <w:rsid w:val="31D30F03"/>
    <w:rsid w:val="31E160D1"/>
    <w:rsid w:val="31EA2D86"/>
    <w:rsid w:val="31EB28AD"/>
    <w:rsid w:val="31EB6C7C"/>
    <w:rsid w:val="31FC3297"/>
    <w:rsid w:val="321410DD"/>
    <w:rsid w:val="32264983"/>
    <w:rsid w:val="32396F05"/>
    <w:rsid w:val="3245395E"/>
    <w:rsid w:val="32473E43"/>
    <w:rsid w:val="32556057"/>
    <w:rsid w:val="32622EEA"/>
    <w:rsid w:val="32654FE1"/>
    <w:rsid w:val="326C0288"/>
    <w:rsid w:val="326F7F33"/>
    <w:rsid w:val="32751F90"/>
    <w:rsid w:val="32800829"/>
    <w:rsid w:val="3281433A"/>
    <w:rsid w:val="32816E28"/>
    <w:rsid w:val="32862EAA"/>
    <w:rsid w:val="3288473B"/>
    <w:rsid w:val="328D0380"/>
    <w:rsid w:val="328F4F4B"/>
    <w:rsid w:val="3291003D"/>
    <w:rsid w:val="32AC1A4B"/>
    <w:rsid w:val="32AD33E2"/>
    <w:rsid w:val="32B165FD"/>
    <w:rsid w:val="32CA556C"/>
    <w:rsid w:val="32DB3D1D"/>
    <w:rsid w:val="32E324CB"/>
    <w:rsid w:val="32E97C30"/>
    <w:rsid w:val="32EB5704"/>
    <w:rsid w:val="32ED17E6"/>
    <w:rsid w:val="32F9624E"/>
    <w:rsid w:val="32FB3BB5"/>
    <w:rsid w:val="331A7BE2"/>
    <w:rsid w:val="33344C8A"/>
    <w:rsid w:val="334174A0"/>
    <w:rsid w:val="33434129"/>
    <w:rsid w:val="33450C77"/>
    <w:rsid w:val="334C6A95"/>
    <w:rsid w:val="336B58AE"/>
    <w:rsid w:val="336E18C2"/>
    <w:rsid w:val="33736C99"/>
    <w:rsid w:val="3373735E"/>
    <w:rsid w:val="33812BB5"/>
    <w:rsid w:val="3381341A"/>
    <w:rsid w:val="338A5355"/>
    <w:rsid w:val="338D25EE"/>
    <w:rsid w:val="33A61D5C"/>
    <w:rsid w:val="33B231A3"/>
    <w:rsid w:val="33B40FC9"/>
    <w:rsid w:val="33B6584F"/>
    <w:rsid w:val="33B664A5"/>
    <w:rsid w:val="33B82C35"/>
    <w:rsid w:val="33C04D86"/>
    <w:rsid w:val="33CF5096"/>
    <w:rsid w:val="33D07EAF"/>
    <w:rsid w:val="33E511BB"/>
    <w:rsid w:val="33EC6262"/>
    <w:rsid w:val="33F559BA"/>
    <w:rsid w:val="33FF1992"/>
    <w:rsid w:val="340155C0"/>
    <w:rsid w:val="340A0B44"/>
    <w:rsid w:val="340B4624"/>
    <w:rsid w:val="34145E07"/>
    <w:rsid w:val="341F501F"/>
    <w:rsid w:val="34211D0C"/>
    <w:rsid w:val="343671CD"/>
    <w:rsid w:val="343B7374"/>
    <w:rsid w:val="34402EBA"/>
    <w:rsid w:val="344E1B1C"/>
    <w:rsid w:val="34552C0F"/>
    <w:rsid w:val="34557901"/>
    <w:rsid w:val="34610938"/>
    <w:rsid w:val="346128D1"/>
    <w:rsid w:val="34691946"/>
    <w:rsid w:val="34785C7A"/>
    <w:rsid w:val="347A7859"/>
    <w:rsid w:val="347E342A"/>
    <w:rsid w:val="3482430B"/>
    <w:rsid w:val="349E7617"/>
    <w:rsid w:val="34A50831"/>
    <w:rsid w:val="34AA3FE0"/>
    <w:rsid w:val="34B9333A"/>
    <w:rsid w:val="34D1412B"/>
    <w:rsid w:val="34EA5A8C"/>
    <w:rsid w:val="34EF45E3"/>
    <w:rsid w:val="35040D5A"/>
    <w:rsid w:val="350E69D2"/>
    <w:rsid w:val="351468B5"/>
    <w:rsid w:val="3526148C"/>
    <w:rsid w:val="352C0D0D"/>
    <w:rsid w:val="352F4A67"/>
    <w:rsid w:val="3534230C"/>
    <w:rsid w:val="35357413"/>
    <w:rsid w:val="355D12B0"/>
    <w:rsid w:val="35722688"/>
    <w:rsid w:val="35790341"/>
    <w:rsid w:val="357D1857"/>
    <w:rsid w:val="35814A3E"/>
    <w:rsid w:val="35846B80"/>
    <w:rsid w:val="35921A44"/>
    <w:rsid w:val="35926711"/>
    <w:rsid w:val="359A1ED0"/>
    <w:rsid w:val="359E0EE8"/>
    <w:rsid w:val="359F3D0E"/>
    <w:rsid w:val="35A05E6D"/>
    <w:rsid w:val="35A1521E"/>
    <w:rsid w:val="35A160CB"/>
    <w:rsid w:val="35AB12D1"/>
    <w:rsid w:val="35B96A04"/>
    <w:rsid w:val="35C25195"/>
    <w:rsid w:val="35D307DB"/>
    <w:rsid w:val="35D40934"/>
    <w:rsid w:val="35E8343C"/>
    <w:rsid w:val="35E86A4E"/>
    <w:rsid w:val="3602547F"/>
    <w:rsid w:val="360578CF"/>
    <w:rsid w:val="360C78D1"/>
    <w:rsid w:val="36132A48"/>
    <w:rsid w:val="36202957"/>
    <w:rsid w:val="363711FC"/>
    <w:rsid w:val="36451453"/>
    <w:rsid w:val="364C1314"/>
    <w:rsid w:val="364F5C0D"/>
    <w:rsid w:val="36637F4F"/>
    <w:rsid w:val="366625E7"/>
    <w:rsid w:val="366C32AC"/>
    <w:rsid w:val="366F7D38"/>
    <w:rsid w:val="36756300"/>
    <w:rsid w:val="36797E49"/>
    <w:rsid w:val="368A5470"/>
    <w:rsid w:val="368B3D13"/>
    <w:rsid w:val="368D51BA"/>
    <w:rsid w:val="368D7458"/>
    <w:rsid w:val="36915EB6"/>
    <w:rsid w:val="36934B64"/>
    <w:rsid w:val="36977E47"/>
    <w:rsid w:val="3699579F"/>
    <w:rsid w:val="369F16A9"/>
    <w:rsid w:val="36A17268"/>
    <w:rsid w:val="36AA403E"/>
    <w:rsid w:val="36AB266F"/>
    <w:rsid w:val="36B3122C"/>
    <w:rsid w:val="36B5402B"/>
    <w:rsid w:val="36B66ECD"/>
    <w:rsid w:val="36C8290A"/>
    <w:rsid w:val="36D015FB"/>
    <w:rsid w:val="36D206D6"/>
    <w:rsid w:val="36D86F76"/>
    <w:rsid w:val="36DA5FA3"/>
    <w:rsid w:val="36DF71A4"/>
    <w:rsid w:val="36E04D3F"/>
    <w:rsid w:val="36E4719F"/>
    <w:rsid w:val="36F443CE"/>
    <w:rsid w:val="370E3C1B"/>
    <w:rsid w:val="3712090D"/>
    <w:rsid w:val="371548E5"/>
    <w:rsid w:val="372014DD"/>
    <w:rsid w:val="3722325D"/>
    <w:rsid w:val="372B696A"/>
    <w:rsid w:val="372F0220"/>
    <w:rsid w:val="37320869"/>
    <w:rsid w:val="373E7CA0"/>
    <w:rsid w:val="374E322C"/>
    <w:rsid w:val="3756676C"/>
    <w:rsid w:val="375F6430"/>
    <w:rsid w:val="3762307E"/>
    <w:rsid w:val="377545E3"/>
    <w:rsid w:val="37863C63"/>
    <w:rsid w:val="378D7D5B"/>
    <w:rsid w:val="379A4272"/>
    <w:rsid w:val="379B5612"/>
    <w:rsid w:val="37A000F1"/>
    <w:rsid w:val="37A252DF"/>
    <w:rsid w:val="37A273E2"/>
    <w:rsid w:val="37A674E4"/>
    <w:rsid w:val="37A74DCB"/>
    <w:rsid w:val="37AC1EF9"/>
    <w:rsid w:val="37AC4A5E"/>
    <w:rsid w:val="37AC7E7C"/>
    <w:rsid w:val="37AF08B4"/>
    <w:rsid w:val="37B32689"/>
    <w:rsid w:val="37B92E6A"/>
    <w:rsid w:val="37BC3437"/>
    <w:rsid w:val="37C1318B"/>
    <w:rsid w:val="37C6453A"/>
    <w:rsid w:val="37C65E97"/>
    <w:rsid w:val="37DC35BD"/>
    <w:rsid w:val="37DE3164"/>
    <w:rsid w:val="37F26402"/>
    <w:rsid w:val="380954E5"/>
    <w:rsid w:val="381679A8"/>
    <w:rsid w:val="38246E6E"/>
    <w:rsid w:val="382F1FB2"/>
    <w:rsid w:val="383F4618"/>
    <w:rsid w:val="38400EF4"/>
    <w:rsid w:val="38422C27"/>
    <w:rsid w:val="38424926"/>
    <w:rsid w:val="38447E08"/>
    <w:rsid w:val="38715EF4"/>
    <w:rsid w:val="387458B3"/>
    <w:rsid w:val="387D7E38"/>
    <w:rsid w:val="38817CF4"/>
    <w:rsid w:val="389122E8"/>
    <w:rsid w:val="38972E01"/>
    <w:rsid w:val="38B54B8B"/>
    <w:rsid w:val="38B80F3F"/>
    <w:rsid w:val="38BA28A8"/>
    <w:rsid w:val="38CA0D0F"/>
    <w:rsid w:val="38CF4345"/>
    <w:rsid w:val="38D02EC1"/>
    <w:rsid w:val="38E01AAD"/>
    <w:rsid w:val="38E05A97"/>
    <w:rsid w:val="38E7587E"/>
    <w:rsid w:val="38F1362B"/>
    <w:rsid w:val="38F319B9"/>
    <w:rsid w:val="39044053"/>
    <w:rsid w:val="39077440"/>
    <w:rsid w:val="390D07C7"/>
    <w:rsid w:val="39112EA8"/>
    <w:rsid w:val="39131862"/>
    <w:rsid w:val="39170C1A"/>
    <w:rsid w:val="39173ECD"/>
    <w:rsid w:val="39265521"/>
    <w:rsid w:val="393511EA"/>
    <w:rsid w:val="393E2197"/>
    <w:rsid w:val="394201BB"/>
    <w:rsid w:val="395304A2"/>
    <w:rsid w:val="396F0F19"/>
    <w:rsid w:val="39862BD2"/>
    <w:rsid w:val="399B66CB"/>
    <w:rsid w:val="39AA131E"/>
    <w:rsid w:val="39B94302"/>
    <w:rsid w:val="39BE0EAA"/>
    <w:rsid w:val="39C363FA"/>
    <w:rsid w:val="39C42AAC"/>
    <w:rsid w:val="39E960AB"/>
    <w:rsid w:val="39F12702"/>
    <w:rsid w:val="39F61763"/>
    <w:rsid w:val="39F82D15"/>
    <w:rsid w:val="3A0076F3"/>
    <w:rsid w:val="3A053C48"/>
    <w:rsid w:val="3A082862"/>
    <w:rsid w:val="3A0B2366"/>
    <w:rsid w:val="3A0E2F4F"/>
    <w:rsid w:val="3A0E4A9A"/>
    <w:rsid w:val="3A117FDB"/>
    <w:rsid w:val="3A1F0884"/>
    <w:rsid w:val="3A2A25EF"/>
    <w:rsid w:val="3A5547CD"/>
    <w:rsid w:val="3A56741A"/>
    <w:rsid w:val="3A7E7FFA"/>
    <w:rsid w:val="3A834FC6"/>
    <w:rsid w:val="3A88392A"/>
    <w:rsid w:val="3AAB116D"/>
    <w:rsid w:val="3AAE0D13"/>
    <w:rsid w:val="3AAE294E"/>
    <w:rsid w:val="3ABE31E4"/>
    <w:rsid w:val="3AD058C1"/>
    <w:rsid w:val="3AD10C34"/>
    <w:rsid w:val="3AD1490E"/>
    <w:rsid w:val="3AD61311"/>
    <w:rsid w:val="3ADF711C"/>
    <w:rsid w:val="3AF243AC"/>
    <w:rsid w:val="3AF31D7D"/>
    <w:rsid w:val="3AF461ED"/>
    <w:rsid w:val="3B2349EA"/>
    <w:rsid w:val="3B251117"/>
    <w:rsid w:val="3B2722D5"/>
    <w:rsid w:val="3B2D4579"/>
    <w:rsid w:val="3B355316"/>
    <w:rsid w:val="3B4549B5"/>
    <w:rsid w:val="3B46037D"/>
    <w:rsid w:val="3B495AF5"/>
    <w:rsid w:val="3B52008D"/>
    <w:rsid w:val="3B5D2B59"/>
    <w:rsid w:val="3B6410CA"/>
    <w:rsid w:val="3B6E3DD5"/>
    <w:rsid w:val="3B772066"/>
    <w:rsid w:val="3B7E1F3F"/>
    <w:rsid w:val="3B867E9D"/>
    <w:rsid w:val="3B906974"/>
    <w:rsid w:val="3B9503FF"/>
    <w:rsid w:val="3B9E79F3"/>
    <w:rsid w:val="3BAC0B71"/>
    <w:rsid w:val="3BB02C02"/>
    <w:rsid w:val="3BB24B35"/>
    <w:rsid w:val="3BBC4FAD"/>
    <w:rsid w:val="3BBC6D00"/>
    <w:rsid w:val="3BBD1199"/>
    <w:rsid w:val="3BCE0A9B"/>
    <w:rsid w:val="3BF44E90"/>
    <w:rsid w:val="3BFF0E9E"/>
    <w:rsid w:val="3C044D9C"/>
    <w:rsid w:val="3C064DBE"/>
    <w:rsid w:val="3C067366"/>
    <w:rsid w:val="3C0A1ABB"/>
    <w:rsid w:val="3C255CDF"/>
    <w:rsid w:val="3C2B31BC"/>
    <w:rsid w:val="3C3A5388"/>
    <w:rsid w:val="3C5B6217"/>
    <w:rsid w:val="3C5C35C5"/>
    <w:rsid w:val="3C6530FC"/>
    <w:rsid w:val="3C7722D0"/>
    <w:rsid w:val="3C8B57C8"/>
    <w:rsid w:val="3C8F3423"/>
    <w:rsid w:val="3C983A81"/>
    <w:rsid w:val="3CBD0D35"/>
    <w:rsid w:val="3CC77815"/>
    <w:rsid w:val="3CC82AA6"/>
    <w:rsid w:val="3CC84177"/>
    <w:rsid w:val="3CD05F60"/>
    <w:rsid w:val="3CDD2087"/>
    <w:rsid w:val="3CDE4AFB"/>
    <w:rsid w:val="3CE0255F"/>
    <w:rsid w:val="3CEA75E7"/>
    <w:rsid w:val="3CF656A9"/>
    <w:rsid w:val="3D0172CC"/>
    <w:rsid w:val="3D0C44FC"/>
    <w:rsid w:val="3D110F1A"/>
    <w:rsid w:val="3D1469A8"/>
    <w:rsid w:val="3D16710A"/>
    <w:rsid w:val="3D1E369B"/>
    <w:rsid w:val="3D2332AA"/>
    <w:rsid w:val="3D2E497E"/>
    <w:rsid w:val="3D5202B2"/>
    <w:rsid w:val="3D64756B"/>
    <w:rsid w:val="3D7514A1"/>
    <w:rsid w:val="3D922AAA"/>
    <w:rsid w:val="3D9C75DD"/>
    <w:rsid w:val="3D9F0037"/>
    <w:rsid w:val="3DA23C3B"/>
    <w:rsid w:val="3DA81CA3"/>
    <w:rsid w:val="3DAB193D"/>
    <w:rsid w:val="3DAE0115"/>
    <w:rsid w:val="3DC06678"/>
    <w:rsid w:val="3DD04A9C"/>
    <w:rsid w:val="3DE87202"/>
    <w:rsid w:val="3DF315D6"/>
    <w:rsid w:val="3DF60ABA"/>
    <w:rsid w:val="3DF67D98"/>
    <w:rsid w:val="3E075FE6"/>
    <w:rsid w:val="3E0F3AD9"/>
    <w:rsid w:val="3E0F7518"/>
    <w:rsid w:val="3E1149DB"/>
    <w:rsid w:val="3E1B0BDA"/>
    <w:rsid w:val="3E2112A0"/>
    <w:rsid w:val="3E215391"/>
    <w:rsid w:val="3E245459"/>
    <w:rsid w:val="3E3F44C8"/>
    <w:rsid w:val="3E41410B"/>
    <w:rsid w:val="3E4409E7"/>
    <w:rsid w:val="3E474F29"/>
    <w:rsid w:val="3E48742E"/>
    <w:rsid w:val="3E4C23B8"/>
    <w:rsid w:val="3E6971D1"/>
    <w:rsid w:val="3E72366D"/>
    <w:rsid w:val="3E7C7D01"/>
    <w:rsid w:val="3E8707FF"/>
    <w:rsid w:val="3E8F52EB"/>
    <w:rsid w:val="3E972092"/>
    <w:rsid w:val="3EA14B98"/>
    <w:rsid w:val="3EA5079C"/>
    <w:rsid w:val="3EA63EC4"/>
    <w:rsid w:val="3EC21C8A"/>
    <w:rsid w:val="3EC459AC"/>
    <w:rsid w:val="3EC95688"/>
    <w:rsid w:val="3EDB3102"/>
    <w:rsid w:val="3EDD3CF3"/>
    <w:rsid w:val="3EE71678"/>
    <w:rsid w:val="3EF72565"/>
    <w:rsid w:val="3EF767A0"/>
    <w:rsid w:val="3EF92B18"/>
    <w:rsid w:val="3EF93AF5"/>
    <w:rsid w:val="3EFA6C7B"/>
    <w:rsid w:val="3F005B25"/>
    <w:rsid w:val="3F075D97"/>
    <w:rsid w:val="3F0D773E"/>
    <w:rsid w:val="3F1545B3"/>
    <w:rsid w:val="3F18033D"/>
    <w:rsid w:val="3F242A79"/>
    <w:rsid w:val="3F29148F"/>
    <w:rsid w:val="3F335B3F"/>
    <w:rsid w:val="3F43196F"/>
    <w:rsid w:val="3F597864"/>
    <w:rsid w:val="3F76265B"/>
    <w:rsid w:val="3F784BD8"/>
    <w:rsid w:val="3F8A3984"/>
    <w:rsid w:val="3F8B101F"/>
    <w:rsid w:val="3F8E084D"/>
    <w:rsid w:val="3F9428EA"/>
    <w:rsid w:val="3F987673"/>
    <w:rsid w:val="3F9D7EEA"/>
    <w:rsid w:val="3FA4206D"/>
    <w:rsid w:val="3FA60BBF"/>
    <w:rsid w:val="3FAA77DA"/>
    <w:rsid w:val="3FD625DE"/>
    <w:rsid w:val="3FDF3EC9"/>
    <w:rsid w:val="3FE22914"/>
    <w:rsid w:val="3FE90393"/>
    <w:rsid w:val="3FF0777B"/>
    <w:rsid w:val="3FF527D4"/>
    <w:rsid w:val="3FFB524C"/>
    <w:rsid w:val="3FFE6B60"/>
    <w:rsid w:val="401707A1"/>
    <w:rsid w:val="401D6D56"/>
    <w:rsid w:val="40242C4D"/>
    <w:rsid w:val="40326BBC"/>
    <w:rsid w:val="40352407"/>
    <w:rsid w:val="40475917"/>
    <w:rsid w:val="405C3DC5"/>
    <w:rsid w:val="405E16CD"/>
    <w:rsid w:val="405F22DD"/>
    <w:rsid w:val="40634454"/>
    <w:rsid w:val="406F290A"/>
    <w:rsid w:val="406F6351"/>
    <w:rsid w:val="40716393"/>
    <w:rsid w:val="407B7BE8"/>
    <w:rsid w:val="40936497"/>
    <w:rsid w:val="4095761D"/>
    <w:rsid w:val="40A24D07"/>
    <w:rsid w:val="40A361AD"/>
    <w:rsid w:val="40AA63C2"/>
    <w:rsid w:val="40AC7F2C"/>
    <w:rsid w:val="40B870F9"/>
    <w:rsid w:val="40C31A07"/>
    <w:rsid w:val="40C56D01"/>
    <w:rsid w:val="40C76A2A"/>
    <w:rsid w:val="40CB7457"/>
    <w:rsid w:val="40CE7637"/>
    <w:rsid w:val="40D175C5"/>
    <w:rsid w:val="40D27950"/>
    <w:rsid w:val="40D53DBE"/>
    <w:rsid w:val="40DC38A7"/>
    <w:rsid w:val="40E87656"/>
    <w:rsid w:val="40EB158C"/>
    <w:rsid w:val="40EE0E4E"/>
    <w:rsid w:val="40EF0561"/>
    <w:rsid w:val="40F030B5"/>
    <w:rsid w:val="410D09A4"/>
    <w:rsid w:val="41125440"/>
    <w:rsid w:val="41142813"/>
    <w:rsid w:val="41156519"/>
    <w:rsid w:val="411F1E09"/>
    <w:rsid w:val="41225E52"/>
    <w:rsid w:val="4146227B"/>
    <w:rsid w:val="414A46DE"/>
    <w:rsid w:val="414B5C05"/>
    <w:rsid w:val="414E1A7E"/>
    <w:rsid w:val="41592FB5"/>
    <w:rsid w:val="415D4006"/>
    <w:rsid w:val="41612860"/>
    <w:rsid w:val="4166741E"/>
    <w:rsid w:val="41821173"/>
    <w:rsid w:val="41A23A7E"/>
    <w:rsid w:val="41A85EFD"/>
    <w:rsid w:val="41BD787D"/>
    <w:rsid w:val="41C468BA"/>
    <w:rsid w:val="41CF6170"/>
    <w:rsid w:val="41DC4AF7"/>
    <w:rsid w:val="41DE7B6D"/>
    <w:rsid w:val="41DF3303"/>
    <w:rsid w:val="41EC2B95"/>
    <w:rsid w:val="41EC563B"/>
    <w:rsid w:val="41F87A24"/>
    <w:rsid w:val="41F926C8"/>
    <w:rsid w:val="41FF42B4"/>
    <w:rsid w:val="4200638D"/>
    <w:rsid w:val="4217687B"/>
    <w:rsid w:val="42207A3F"/>
    <w:rsid w:val="42225E16"/>
    <w:rsid w:val="422F5E59"/>
    <w:rsid w:val="423550FF"/>
    <w:rsid w:val="42391F6D"/>
    <w:rsid w:val="425A54AE"/>
    <w:rsid w:val="426C2773"/>
    <w:rsid w:val="42701B5F"/>
    <w:rsid w:val="427A6FBE"/>
    <w:rsid w:val="42857CC5"/>
    <w:rsid w:val="429632DD"/>
    <w:rsid w:val="429D6499"/>
    <w:rsid w:val="42A0093A"/>
    <w:rsid w:val="42A0577F"/>
    <w:rsid w:val="42B77FCF"/>
    <w:rsid w:val="42C54F54"/>
    <w:rsid w:val="42CA207F"/>
    <w:rsid w:val="42CF45FF"/>
    <w:rsid w:val="42D1387B"/>
    <w:rsid w:val="42E854FD"/>
    <w:rsid w:val="42EC0C69"/>
    <w:rsid w:val="42EC41EB"/>
    <w:rsid w:val="42ED1451"/>
    <w:rsid w:val="42F11C88"/>
    <w:rsid w:val="430626C7"/>
    <w:rsid w:val="431B53DD"/>
    <w:rsid w:val="431F5FC1"/>
    <w:rsid w:val="432F108A"/>
    <w:rsid w:val="43316752"/>
    <w:rsid w:val="433248F0"/>
    <w:rsid w:val="43344014"/>
    <w:rsid w:val="43662330"/>
    <w:rsid w:val="4369289A"/>
    <w:rsid w:val="436D2A8E"/>
    <w:rsid w:val="43776497"/>
    <w:rsid w:val="43784EAB"/>
    <w:rsid w:val="437A5E98"/>
    <w:rsid w:val="4385170C"/>
    <w:rsid w:val="438E6B09"/>
    <w:rsid w:val="43941171"/>
    <w:rsid w:val="439672FA"/>
    <w:rsid w:val="43A87EB0"/>
    <w:rsid w:val="43AB180D"/>
    <w:rsid w:val="43B00617"/>
    <w:rsid w:val="43B20D89"/>
    <w:rsid w:val="43B81E8D"/>
    <w:rsid w:val="43BF49F5"/>
    <w:rsid w:val="43CA6B71"/>
    <w:rsid w:val="43CD165D"/>
    <w:rsid w:val="43DE74AE"/>
    <w:rsid w:val="43EA74BF"/>
    <w:rsid w:val="43F277D2"/>
    <w:rsid w:val="43F90406"/>
    <w:rsid w:val="43FB7840"/>
    <w:rsid w:val="440A0104"/>
    <w:rsid w:val="44227971"/>
    <w:rsid w:val="44293400"/>
    <w:rsid w:val="44307190"/>
    <w:rsid w:val="44346DF3"/>
    <w:rsid w:val="444203D2"/>
    <w:rsid w:val="444C7F27"/>
    <w:rsid w:val="44582CC7"/>
    <w:rsid w:val="445E7B26"/>
    <w:rsid w:val="44601DE7"/>
    <w:rsid w:val="446A21F3"/>
    <w:rsid w:val="44720F3B"/>
    <w:rsid w:val="4476073D"/>
    <w:rsid w:val="44764D9C"/>
    <w:rsid w:val="447955AF"/>
    <w:rsid w:val="448B2E2D"/>
    <w:rsid w:val="448F5352"/>
    <w:rsid w:val="44A63368"/>
    <w:rsid w:val="44AF18AD"/>
    <w:rsid w:val="44B412F4"/>
    <w:rsid w:val="44C036FF"/>
    <w:rsid w:val="44C07BA4"/>
    <w:rsid w:val="44C50B4F"/>
    <w:rsid w:val="44C652E8"/>
    <w:rsid w:val="44DC0100"/>
    <w:rsid w:val="44E1414C"/>
    <w:rsid w:val="44EA5537"/>
    <w:rsid w:val="44FA7CE1"/>
    <w:rsid w:val="45005371"/>
    <w:rsid w:val="450137B6"/>
    <w:rsid w:val="45071457"/>
    <w:rsid w:val="45176067"/>
    <w:rsid w:val="45201741"/>
    <w:rsid w:val="45204290"/>
    <w:rsid w:val="45267AEB"/>
    <w:rsid w:val="452E0304"/>
    <w:rsid w:val="452F3454"/>
    <w:rsid w:val="4530687B"/>
    <w:rsid w:val="45360D68"/>
    <w:rsid w:val="45377B04"/>
    <w:rsid w:val="453B77B6"/>
    <w:rsid w:val="453E2E56"/>
    <w:rsid w:val="45411C5E"/>
    <w:rsid w:val="45562D29"/>
    <w:rsid w:val="45692172"/>
    <w:rsid w:val="45794FDF"/>
    <w:rsid w:val="45997AFB"/>
    <w:rsid w:val="45B43897"/>
    <w:rsid w:val="45BA6F0A"/>
    <w:rsid w:val="45BC49C9"/>
    <w:rsid w:val="45C935ED"/>
    <w:rsid w:val="45CA2B3B"/>
    <w:rsid w:val="45D25761"/>
    <w:rsid w:val="45D33476"/>
    <w:rsid w:val="45E95708"/>
    <w:rsid w:val="45EC3D76"/>
    <w:rsid w:val="45F97686"/>
    <w:rsid w:val="46142CEB"/>
    <w:rsid w:val="46345CD8"/>
    <w:rsid w:val="4639258F"/>
    <w:rsid w:val="4641795B"/>
    <w:rsid w:val="46434AE4"/>
    <w:rsid w:val="464455FD"/>
    <w:rsid w:val="465316DB"/>
    <w:rsid w:val="46537F19"/>
    <w:rsid w:val="46563876"/>
    <w:rsid w:val="46702285"/>
    <w:rsid w:val="46706CE7"/>
    <w:rsid w:val="468003CB"/>
    <w:rsid w:val="468211D1"/>
    <w:rsid w:val="46840F28"/>
    <w:rsid w:val="4689280E"/>
    <w:rsid w:val="469D4A6D"/>
    <w:rsid w:val="46A71BAD"/>
    <w:rsid w:val="46AB0542"/>
    <w:rsid w:val="46AD5F62"/>
    <w:rsid w:val="46B97F54"/>
    <w:rsid w:val="46C74027"/>
    <w:rsid w:val="46C871E0"/>
    <w:rsid w:val="46D7538F"/>
    <w:rsid w:val="46DA6335"/>
    <w:rsid w:val="46E126A8"/>
    <w:rsid w:val="46E66664"/>
    <w:rsid w:val="46E772D4"/>
    <w:rsid w:val="46EB5E08"/>
    <w:rsid w:val="46F22E08"/>
    <w:rsid w:val="46F31CF1"/>
    <w:rsid w:val="46F42154"/>
    <w:rsid w:val="46F72222"/>
    <w:rsid w:val="46F8773B"/>
    <w:rsid w:val="4703655D"/>
    <w:rsid w:val="470409ED"/>
    <w:rsid w:val="470C13AB"/>
    <w:rsid w:val="47104D56"/>
    <w:rsid w:val="472E4D4A"/>
    <w:rsid w:val="472E4FBF"/>
    <w:rsid w:val="47567AFE"/>
    <w:rsid w:val="47A84541"/>
    <w:rsid w:val="47AE3A9C"/>
    <w:rsid w:val="47C4427C"/>
    <w:rsid w:val="47C62223"/>
    <w:rsid w:val="47CC2455"/>
    <w:rsid w:val="47D91CC6"/>
    <w:rsid w:val="47DD2800"/>
    <w:rsid w:val="47E658F0"/>
    <w:rsid w:val="47ED1A99"/>
    <w:rsid w:val="47FE735B"/>
    <w:rsid w:val="48003AEA"/>
    <w:rsid w:val="48026C04"/>
    <w:rsid w:val="48080E5D"/>
    <w:rsid w:val="481B25C0"/>
    <w:rsid w:val="481B7C8A"/>
    <w:rsid w:val="481D04F4"/>
    <w:rsid w:val="481D5167"/>
    <w:rsid w:val="482346B5"/>
    <w:rsid w:val="482870ED"/>
    <w:rsid w:val="482C656F"/>
    <w:rsid w:val="482F4E72"/>
    <w:rsid w:val="48380D58"/>
    <w:rsid w:val="483E28EE"/>
    <w:rsid w:val="484358AA"/>
    <w:rsid w:val="4847739C"/>
    <w:rsid w:val="484D1353"/>
    <w:rsid w:val="485865F4"/>
    <w:rsid w:val="485975F1"/>
    <w:rsid w:val="48632AF0"/>
    <w:rsid w:val="48640512"/>
    <w:rsid w:val="48715621"/>
    <w:rsid w:val="487B242C"/>
    <w:rsid w:val="48836EA4"/>
    <w:rsid w:val="488E3996"/>
    <w:rsid w:val="48901540"/>
    <w:rsid w:val="48930858"/>
    <w:rsid w:val="48975874"/>
    <w:rsid w:val="48997996"/>
    <w:rsid w:val="48B35273"/>
    <w:rsid w:val="48B54C16"/>
    <w:rsid w:val="48B67992"/>
    <w:rsid w:val="48C70B70"/>
    <w:rsid w:val="48EB5B14"/>
    <w:rsid w:val="48EC3D64"/>
    <w:rsid w:val="490415E6"/>
    <w:rsid w:val="49053F56"/>
    <w:rsid w:val="49095979"/>
    <w:rsid w:val="493402AB"/>
    <w:rsid w:val="49571AA3"/>
    <w:rsid w:val="49606D37"/>
    <w:rsid w:val="49624F53"/>
    <w:rsid w:val="49654AAD"/>
    <w:rsid w:val="49687926"/>
    <w:rsid w:val="497D5132"/>
    <w:rsid w:val="498004F2"/>
    <w:rsid w:val="4986666B"/>
    <w:rsid w:val="499176D9"/>
    <w:rsid w:val="499315A9"/>
    <w:rsid w:val="499A54D6"/>
    <w:rsid w:val="499E4254"/>
    <w:rsid w:val="49A24AA3"/>
    <w:rsid w:val="49BA51C2"/>
    <w:rsid w:val="49C834B6"/>
    <w:rsid w:val="49CA663E"/>
    <w:rsid w:val="49D110E7"/>
    <w:rsid w:val="49D562C7"/>
    <w:rsid w:val="49D94A96"/>
    <w:rsid w:val="49DA0784"/>
    <w:rsid w:val="49E21A9D"/>
    <w:rsid w:val="49ED6612"/>
    <w:rsid w:val="49F07A9C"/>
    <w:rsid w:val="49F710B1"/>
    <w:rsid w:val="4A037D8C"/>
    <w:rsid w:val="4A04471B"/>
    <w:rsid w:val="4A087BC2"/>
    <w:rsid w:val="4A1148F4"/>
    <w:rsid w:val="4A1806AE"/>
    <w:rsid w:val="4A1864FC"/>
    <w:rsid w:val="4A1B6AB9"/>
    <w:rsid w:val="4A1E32A8"/>
    <w:rsid w:val="4A276925"/>
    <w:rsid w:val="4A316754"/>
    <w:rsid w:val="4A3366AF"/>
    <w:rsid w:val="4A365EFE"/>
    <w:rsid w:val="4A3A6EA6"/>
    <w:rsid w:val="4A443C25"/>
    <w:rsid w:val="4A474D73"/>
    <w:rsid w:val="4A49236F"/>
    <w:rsid w:val="4A523A11"/>
    <w:rsid w:val="4A563F71"/>
    <w:rsid w:val="4A6A1DC0"/>
    <w:rsid w:val="4A6F58B0"/>
    <w:rsid w:val="4A703D7B"/>
    <w:rsid w:val="4A743DE3"/>
    <w:rsid w:val="4A7757E4"/>
    <w:rsid w:val="4A7F1B63"/>
    <w:rsid w:val="4A97482C"/>
    <w:rsid w:val="4AA45A5C"/>
    <w:rsid w:val="4AAF14D8"/>
    <w:rsid w:val="4AAF511C"/>
    <w:rsid w:val="4AB458FE"/>
    <w:rsid w:val="4ABA271E"/>
    <w:rsid w:val="4ABC06A2"/>
    <w:rsid w:val="4AC4323D"/>
    <w:rsid w:val="4AC829D1"/>
    <w:rsid w:val="4ACA3BBC"/>
    <w:rsid w:val="4AD65B82"/>
    <w:rsid w:val="4ADC1726"/>
    <w:rsid w:val="4AE43CD5"/>
    <w:rsid w:val="4AE46961"/>
    <w:rsid w:val="4AF22802"/>
    <w:rsid w:val="4AF66FE1"/>
    <w:rsid w:val="4AF85233"/>
    <w:rsid w:val="4B044D83"/>
    <w:rsid w:val="4B220AB1"/>
    <w:rsid w:val="4B2A28C8"/>
    <w:rsid w:val="4B2B0151"/>
    <w:rsid w:val="4B3959E9"/>
    <w:rsid w:val="4B47511F"/>
    <w:rsid w:val="4B49128E"/>
    <w:rsid w:val="4B4B3729"/>
    <w:rsid w:val="4B5C6711"/>
    <w:rsid w:val="4B6457D6"/>
    <w:rsid w:val="4B6D421C"/>
    <w:rsid w:val="4B6E67B3"/>
    <w:rsid w:val="4B716A4C"/>
    <w:rsid w:val="4B736FE4"/>
    <w:rsid w:val="4B76699F"/>
    <w:rsid w:val="4B7B6DA7"/>
    <w:rsid w:val="4B7C1CC4"/>
    <w:rsid w:val="4B7F6C85"/>
    <w:rsid w:val="4B870B30"/>
    <w:rsid w:val="4B8E0D2D"/>
    <w:rsid w:val="4BA844B4"/>
    <w:rsid w:val="4BB90A7B"/>
    <w:rsid w:val="4BB91810"/>
    <w:rsid w:val="4BD94260"/>
    <w:rsid w:val="4BE2499F"/>
    <w:rsid w:val="4BE3053C"/>
    <w:rsid w:val="4C162CFC"/>
    <w:rsid w:val="4C1750E9"/>
    <w:rsid w:val="4C2532C1"/>
    <w:rsid w:val="4C266FE1"/>
    <w:rsid w:val="4C2C565A"/>
    <w:rsid w:val="4C2F52EE"/>
    <w:rsid w:val="4C3B2FFF"/>
    <w:rsid w:val="4C3C3868"/>
    <w:rsid w:val="4C4802E1"/>
    <w:rsid w:val="4C487A22"/>
    <w:rsid w:val="4C4A41C7"/>
    <w:rsid w:val="4C4D5FCE"/>
    <w:rsid w:val="4C587D04"/>
    <w:rsid w:val="4C5E005F"/>
    <w:rsid w:val="4C5E1BF4"/>
    <w:rsid w:val="4C675964"/>
    <w:rsid w:val="4C6844AC"/>
    <w:rsid w:val="4C69315F"/>
    <w:rsid w:val="4C6E7DE1"/>
    <w:rsid w:val="4C702349"/>
    <w:rsid w:val="4C7049A9"/>
    <w:rsid w:val="4C713A52"/>
    <w:rsid w:val="4C8676DC"/>
    <w:rsid w:val="4C8E22B8"/>
    <w:rsid w:val="4CAD07A5"/>
    <w:rsid w:val="4CB22A79"/>
    <w:rsid w:val="4CB25AEE"/>
    <w:rsid w:val="4CB54D22"/>
    <w:rsid w:val="4CBE455A"/>
    <w:rsid w:val="4CC259B2"/>
    <w:rsid w:val="4CD0784D"/>
    <w:rsid w:val="4CD11AA4"/>
    <w:rsid w:val="4CD8079C"/>
    <w:rsid w:val="4CDE749A"/>
    <w:rsid w:val="4CE945F1"/>
    <w:rsid w:val="4CF04290"/>
    <w:rsid w:val="4CF10441"/>
    <w:rsid w:val="4CF93C04"/>
    <w:rsid w:val="4CFA03DE"/>
    <w:rsid w:val="4CFA1EAA"/>
    <w:rsid w:val="4CFD665F"/>
    <w:rsid w:val="4D0834F3"/>
    <w:rsid w:val="4D0E4F7C"/>
    <w:rsid w:val="4D156CF1"/>
    <w:rsid w:val="4D16644A"/>
    <w:rsid w:val="4D2F4AE2"/>
    <w:rsid w:val="4D3B0AFB"/>
    <w:rsid w:val="4D3E08A5"/>
    <w:rsid w:val="4D4C02C2"/>
    <w:rsid w:val="4D553802"/>
    <w:rsid w:val="4D67718D"/>
    <w:rsid w:val="4D72428E"/>
    <w:rsid w:val="4D7745E1"/>
    <w:rsid w:val="4D7A7B31"/>
    <w:rsid w:val="4D7B0376"/>
    <w:rsid w:val="4D876026"/>
    <w:rsid w:val="4D890E96"/>
    <w:rsid w:val="4D8F539D"/>
    <w:rsid w:val="4D93540F"/>
    <w:rsid w:val="4D9539DB"/>
    <w:rsid w:val="4DA3434F"/>
    <w:rsid w:val="4DA718B6"/>
    <w:rsid w:val="4DAC3095"/>
    <w:rsid w:val="4DAF5C63"/>
    <w:rsid w:val="4DB27A2A"/>
    <w:rsid w:val="4DBA2C58"/>
    <w:rsid w:val="4DBB1103"/>
    <w:rsid w:val="4DC27634"/>
    <w:rsid w:val="4DD83910"/>
    <w:rsid w:val="4DDB58FC"/>
    <w:rsid w:val="4DDD4B9A"/>
    <w:rsid w:val="4DE35D2A"/>
    <w:rsid w:val="4DE52FEA"/>
    <w:rsid w:val="4DE938DF"/>
    <w:rsid w:val="4DEC7F55"/>
    <w:rsid w:val="4DED2ED0"/>
    <w:rsid w:val="4DED4910"/>
    <w:rsid w:val="4DEE3E2E"/>
    <w:rsid w:val="4DF77FE0"/>
    <w:rsid w:val="4DF86DFF"/>
    <w:rsid w:val="4E130286"/>
    <w:rsid w:val="4E154943"/>
    <w:rsid w:val="4E1B6D0E"/>
    <w:rsid w:val="4E1E325A"/>
    <w:rsid w:val="4E2121F6"/>
    <w:rsid w:val="4E342B70"/>
    <w:rsid w:val="4E3D1AF5"/>
    <w:rsid w:val="4E3E3635"/>
    <w:rsid w:val="4E3E7E3A"/>
    <w:rsid w:val="4E427FF9"/>
    <w:rsid w:val="4E537E21"/>
    <w:rsid w:val="4E550A63"/>
    <w:rsid w:val="4E562908"/>
    <w:rsid w:val="4E5A4234"/>
    <w:rsid w:val="4E685981"/>
    <w:rsid w:val="4E7237ED"/>
    <w:rsid w:val="4E74375F"/>
    <w:rsid w:val="4E7A386E"/>
    <w:rsid w:val="4E7F1815"/>
    <w:rsid w:val="4E870628"/>
    <w:rsid w:val="4E8E3E61"/>
    <w:rsid w:val="4E9448EE"/>
    <w:rsid w:val="4EA13BDE"/>
    <w:rsid w:val="4EA8150A"/>
    <w:rsid w:val="4EAB4717"/>
    <w:rsid w:val="4EAB4B2C"/>
    <w:rsid w:val="4EAB7F9E"/>
    <w:rsid w:val="4EC50A18"/>
    <w:rsid w:val="4EC70C2F"/>
    <w:rsid w:val="4ED15361"/>
    <w:rsid w:val="4ED53852"/>
    <w:rsid w:val="4ED670F8"/>
    <w:rsid w:val="4EDE45C5"/>
    <w:rsid w:val="4EEF319D"/>
    <w:rsid w:val="4EEF7ABA"/>
    <w:rsid w:val="4EF0707B"/>
    <w:rsid w:val="4EFF30A2"/>
    <w:rsid w:val="4F0018AF"/>
    <w:rsid w:val="4F030E7C"/>
    <w:rsid w:val="4F1E4BDA"/>
    <w:rsid w:val="4F255A16"/>
    <w:rsid w:val="4F35188A"/>
    <w:rsid w:val="4F4121C8"/>
    <w:rsid w:val="4F441906"/>
    <w:rsid w:val="4F44761E"/>
    <w:rsid w:val="4F513725"/>
    <w:rsid w:val="4F531A3B"/>
    <w:rsid w:val="4F5E24C5"/>
    <w:rsid w:val="4F8D124B"/>
    <w:rsid w:val="4F952806"/>
    <w:rsid w:val="4F99052D"/>
    <w:rsid w:val="4F9A2BEC"/>
    <w:rsid w:val="4F9F0AFE"/>
    <w:rsid w:val="4FA3271F"/>
    <w:rsid w:val="4FA73A75"/>
    <w:rsid w:val="4FAE38F1"/>
    <w:rsid w:val="4FB8249F"/>
    <w:rsid w:val="4FBB04B2"/>
    <w:rsid w:val="4FC41D0E"/>
    <w:rsid w:val="4FC62BC4"/>
    <w:rsid w:val="4FD47FEE"/>
    <w:rsid w:val="4FD50002"/>
    <w:rsid w:val="4FE757B1"/>
    <w:rsid w:val="4FEB1A1E"/>
    <w:rsid w:val="4FF15872"/>
    <w:rsid w:val="4FF875BC"/>
    <w:rsid w:val="4FFE7E71"/>
    <w:rsid w:val="500C5E35"/>
    <w:rsid w:val="500F3D2D"/>
    <w:rsid w:val="502263B5"/>
    <w:rsid w:val="502267D8"/>
    <w:rsid w:val="502F5641"/>
    <w:rsid w:val="50350C8F"/>
    <w:rsid w:val="503E0FED"/>
    <w:rsid w:val="503F65BA"/>
    <w:rsid w:val="50725C16"/>
    <w:rsid w:val="507438E9"/>
    <w:rsid w:val="50752005"/>
    <w:rsid w:val="507D7FCA"/>
    <w:rsid w:val="5088385F"/>
    <w:rsid w:val="509A71B9"/>
    <w:rsid w:val="50AE0EED"/>
    <w:rsid w:val="50B62B9D"/>
    <w:rsid w:val="50B71F8C"/>
    <w:rsid w:val="50C50F7C"/>
    <w:rsid w:val="50C76110"/>
    <w:rsid w:val="50D1141F"/>
    <w:rsid w:val="50D84C69"/>
    <w:rsid w:val="50D906EC"/>
    <w:rsid w:val="50E8272A"/>
    <w:rsid w:val="50EA2A6E"/>
    <w:rsid w:val="50F15964"/>
    <w:rsid w:val="50FD4B70"/>
    <w:rsid w:val="50FF64AE"/>
    <w:rsid w:val="510409AE"/>
    <w:rsid w:val="510936A1"/>
    <w:rsid w:val="510E4A62"/>
    <w:rsid w:val="51242012"/>
    <w:rsid w:val="5125392C"/>
    <w:rsid w:val="512C77BF"/>
    <w:rsid w:val="513078EE"/>
    <w:rsid w:val="51315DDA"/>
    <w:rsid w:val="513B3854"/>
    <w:rsid w:val="514627EE"/>
    <w:rsid w:val="514B71C3"/>
    <w:rsid w:val="514E1D12"/>
    <w:rsid w:val="5154002C"/>
    <w:rsid w:val="516070A0"/>
    <w:rsid w:val="51626BD3"/>
    <w:rsid w:val="516A0BC5"/>
    <w:rsid w:val="516F1F3B"/>
    <w:rsid w:val="5176295E"/>
    <w:rsid w:val="517C6077"/>
    <w:rsid w:val="51812CE3"/>
    <w:rsid w:val="519426AC"/>
    <w:rsid w:val="519B0334"/>
    <w:rsid w:val="519F7262"/>
    <w:rsid w:val="51A939DB"/>
    <w:rsid w:val="51AC1533"/>
    <w:rsid w:val="51B86D96"/>
    <w:rsid w:val="51BE5B74"/>
    <w:rsid w:val="51DC6445"/>
    <w:rsid w:val="51E85ECA"/>
    <w:rsid w:val="51E9687A"/>
    <w:rsid w:val="51F510B6"/>
    <w:rsid w:val="51F97118"/>
    <w:rsid w:val="520052AC"/>
    <w:rsid w:val="52134B4B"/>
    <w:rsid w:val="5215429A"/>
    <w:rsid w:val="52181582"/>
    <w:rsid w:val="522231BA"/>
    <w:rsid w:val="5249536B"/>
    <w:rsid w:val="524F2355"/>
    <w:rsid w:val="525701EE"/>
    <w:rsid w:val="525C00ED"/>
    <w:rsid w:val="526B5333"/>
    <w:rsid w:val="526D47DB"/>
    <w:rsid w:val="527B5E3A"/>
    <w:rsid w:val="52813965"/>
    <w:rsid w:val="528739D3"/>
    <w:rsid w:val="529473F4"/>
    <w:rsid w:val="529A7D4C"/>
    <w:rsid w:val="52A03330"/>
    <w:rsid w:val="52AB1E11"/>
    <w:rsid w:val="52B53681"/>
    <w:rsid w:val="52BA772A"/>
    <w:rsid w:val="52C403D1"/>
    <w:rsid w:val="52CD1582"/>
    <w:rsid w:val="52D618FF"/>
    <w:rsid w:val="52E77B25"/>
    <w:rsid w:val="52EB29F0"/>
    <w:rsid w:val="52ED054B"/>
    <w:rsid w:val="52EF250C"/>
    <w:rsid w:val="52FA073B"/>
    <w:rsid w:val="52FE0822"/>
    <w:rsid w:val="52FE2D92"/>
    <w:rsid w:val="5300316C"/>
    <w:rsid w:val="53031761"/>
    <w:rsid w:val="53040F8E"/>
    <w:rsid w:val="53050C88"/>
    <w:rsid w:val="53153603"/>
    <w:rsid w:val="531A0779"/>
    <w:rsid w:val="532714EE"/>
    <w:rsid w:val="53274E5F"/>
    <w:rsid w:val="53296E98"/>
    <w:rsid w:val="53334ECE"/>
    <w:rsid w:val="53393CDF"/>
    <w:rsid w:val="534100C7"/>
    <w:rsid w:val="53533441"/>
    <w:rsid w:val="535833D9"/>
    <w:rsid w:val="535A0D36"/>
    <w:rsid w:val="536E52CE"/>
    <w:rsid w:val="537658E4"/>
    <w:rsid w:val="53993AD3"/>
    <w:rsid w:val="53A05B68"/>
    <w:rsid w:val="53B25B5B"/>
    <w:rsid w:val="53C7572F"/>
    <w:rsid w:val="53C94568"/>
    <w:rsid w:val="53CD09F4"/>
    <w:rsid w:val="53DD2017"/>
    <w:rsid w:val="53DE7DEB"/>
    <w:rsid w:val="53E25259"/>
    <w:rsid w:val="53E83758"/>
    <w:rsid w:val="53F150B1"/>
    <w:rsid w:val="53F32353"/>
    <w:rsid w:val="53F832DD"/>
    <w:rsid w:val="540E08A5"/>
    <w:rsid w:val="540E3612"/>
    <w:rsid w:val="540F1EC8"/>
    <w:rsid w:val="54111CD1"/>
    <w:rsid w:val="54176B62"/>
    <w:rsid w:val="54177471"/>
    <w:rsid w:val="54195138"/>
    <w:rsid w:val="54196023"/>
    <w:rsid w:val="541B0675"/>
    <w:rsid w:val="541E6F67"/>
    <w:rsid w:val="54244317"/>
    <w:rsid w:val="54264647"/>
    <w:rsid w:val="54315109"/>
    <w:rsid w:val="5436155A"/>
    <w:rsid w:val="5442171F"/>
    <w:rsid w:val="54465B74"/>
    <w:rsid w:val="54536370"/>
    <w:rsid w:val="54574901"/>
    <w:rsid w:val="54647B02"/>
    <w:rsid w:val="54697F0B"/>
    <w:rsid w:val="547528F1"/>
    <w:rsid w:val="547F099E"/>
    <w:rsid w:val="54804ACC"/>
    <w:rsid w:val="548365D5"/>
    <w:rsid w:val="54A133D5"/>
    <w:rsid w:val="54A15AD5"/>
    <w:rsid w:val="54B7527E"/>
    <w:rsid w:val="54B87005"/>
    <w:rsid w:val="54BC7862"/>
    <w:rsid w:val="54BE547D"/>
    <w:rsid w:val="54CB3B99"/>
    <w:rsid w:val="54CC68ED"/>
    <w:rsid w:val="54EB5DF2"/>
    <w:rsid w:val="54F13481"/>
    <w:rsid w:val="54F22252"/>
    <w:rsid w:val="54F32A3A"/>
    <w:rsid w:val="54F362ED"/>
    <w:rsid w:val="54FB203D"/>
    <w:rsid w:val="54FB770B"/>
    <w:rsid w:val="550475B4"/>
    <w:rsid w:val="551A3D13"/>
    <w:rsid w:val="551E3495"/>
    <w:rsid w:val="55227F4C"/>
    <w:rsid w:val="55483FF2"/>
    <w:rsid w:val="554A6187"/>
    <w:rsid w:val="554D2090"/>
    <w:rsid w:val="555D0513"/>
    <w:rsid w:val="555E2D27"/>
    <w:rsid w:val="55740FB0"/>
    <w:rsid w:val="557C4261"/>
    <w:rsid w:val="557F1AED"/>
    <w:rsid w:val="558340B9"/>
    <w:rsid w:val="55866AEA"/>
    <w:rsid w:val="559B1856"/>
    <w:rsid w:val="55A1029C"/>
    <w:rsid w:val="55AA7868"/>
    <w:rsid w:val="55AF4C8C"/>
    <w:rsid w:val="55B351E8"/>
    <w:rsid w:val="55C306BD"/>
    <w:rsid w:val="55C84BC0"/>
    <w:rsid w:val="55D3292D"/>
    <w:rsid w:val="55F03930"/>
    <w:rsid w:val="560C529D"/>
    <w:rsid w:val="56162FB7"/>
    <w:rsid w:val="561C5075"/>
    <w:rsid w:val="56236F29"/>
    <w:rsid w:val="562472A3"/>
    <w:rsid w:val="56257952"/>
    <w:rsid w:val="562A20A4"/>
    <w:rsid w:val="562A33C3"/>
    <w:rsid w:val="562D7E5E"/>
    <w:rsid w:val="563264CC"/>
    <w:rsid w:val="563C34D8"/>
    <w:rsid w:val="563D3E63"/>
    <w:rsid w:val="564F36F6"/>
    <w:rsid w:val="5656164E"/>
    <w:rsid w:val="5683216C"/>
    <w:rsid w:val="56842DE8"/>
    <w:rsid w:val="568E13D2"/>
    <w:rsid w:val="569A1B11"/>
    <w:rsid w:val="569E3F29"/>
    <w:rsid w:val="56AA4FCB"/>
    <w:rsid w:val="56BF74A6"/>
    <w:rsid w:val="56DF44F5"/>
    <w:rsid w:val="56F7636D"/>
    <w:rsid w:val="5708147A"/>
    <w:rsid w:val="57081BA9"/>
    <w:rsid w:val="571C22A2"/>
    <w:rsid w:val="571E4F1E"/>
    <w:rsid w:val="572457EB"/>
    <w:rsid w:val="57276958"/>
    <w:rsid w:val="572C484B"/>
    <w:rsid w:val="572C4FBF"/>
    <w:rsid w:val="572C681F"/>
    <w:rsid w:val="572D5FE0"/>
    <w:rsid w:val="573C0C1C"/>
    <w:rsid w:val="57477F87"/>
    <w:rsid w:val="575058FF"/>
    <w:rsid w:val="57511587"/>
    <w:rsid w:val="575A03A1"/>
    <w:rsid w:val="57707B0B"/>
    <w:rsid w:val="57835B1A"/>
    <w:rsid w:val="57851D5A"/>
    <w:rsid w:val="578A0CF5"/>
    <w:rsid w:val="578A1171"/>
    <w:rsid w:val="578B2FF9"/>
    <w:rsid w:val="578C2AE0"/>
    <w:rsid w:val="579A013E"/>
    <w:rsid w:val="579D3111"/>
    <w:rsid w:val="579D4E88"/>
    <w:rsid w:val="57A62578"/>
    <w:rsid w:val="57B91651"/>
    <w:rsid w:val="57C66BF9"/>
    <w:rsid w:val="57CE4F86"/>
    <w:rsid w:val="57D443F0"/>
    <w:rsid w:val="57E21300"/>
    <w:rsid w:val="57ED145A"/>
    <w:rsid w:val="57F97196"/>
    <w:rsid w:val="58061A68"/>
    <w:rsid w:val="580853B2"/>
    <w:rsid w:val="580A426F"/>
    <w:rsid w:val="58133EBE"/>
    <w:rsid w:val="58144CD0"/>
    <w:rsid w:val="581B5F4D"/>
    <w:rsid w:val="581C3D9D"/>
    <w:rsid w:val="581E6F15"/>
    <w:rsid w:val="58293C82"/>
    <w:rsid w:val="583F709D"/>
    <w:rsid w:val="584B555C"/>
    <w:rsid w:val="584B60FD"/>
    <w:rsid w:val="585B44C6"/>
    <w:rsid w:val="587142A1"/>
    <w:rsid w:val="58722BFB"/>
    <w:rsid w:val="58751F2D"/>
    <w:rsid w:val="58753543"/>
    <w:rsid w:val="587B7DF3"/>
    <w:rsid w:val="587E0031"/>
    <w:rsid w:val="58850F19"/>
    <w:rsid w:val="588859EA"/>
    <w:rsid w:val="58910453"/>
    <w:rsid w:val="589C4CC4"/>
    <w:rsid w:val="58A53CF6"/>
    <w:rsid w:val="58A800A0"/>
    <w:rsid w:val="58AE21BE"/>
    <w:rsid w:val="58B845E9"/>
    <w:rsid w:val="58BA31D2"/>
    <w:rsid w:val="58C77EF2"/>
    <w:rsid w:val="58C83BC4"/>
    <w:rsid w:val="58CE77DA"/>
    <w:rsid w:val="58D45D2F"/>
    <w:rsid w:val="58F26239"/>
    <w:rsid w:val="58F67D96"/>
    <w:rsid w:val="58FD2B55"/>
    <w:rsid w:val="590E37C2"/>
    <w:rsid w:val="591B3FFD"/>
    <w:rsid w:val="59242871"/>
    <w:rsid w:val="592873E4"/>
    <w:rsid w:val="592C47D8"/>
    <w:rsid w:val="59302D2A"/>
    <w:rsid w:val="5930503C"/>
    <w:rsid w:val="593B0E09"/>
    <w:rsid w:val="59412841"/>
    <w:rsid w:val="594D376D"/>
    <w:rsid w:val="59504628"/>
    <w:rsid w:val="596357B6"/>
    <w:rsid w:val="59683177"/>
    <w:rsid w:val="597566F8"/>
    <w:rsid w:val="597C35F9"/>
    <w:rsid w:val="59A139A3"/>
    <w:rsid w:val="59B83F62"/>
    <w:rsid w:val="59B87D3F"/>
    <w:rsid w:val="59C20F40"/>
    <w:rsid w:val="59C61A4C"/>
    <w:rsid w:val="59CE1C42"/>
    <w:rsid w:val="59D36CDF"/>
    <w:rsid w:val="59E73E6C"/>
    <w:rsid w:val="59E855FA"/>
    <w:rsid w:val="59ED184F"/>
    <w:rsid w:val="59EE761B"/>
    <w:rsid w:val="59EF4451"/>
    <w:rsid w:val="59F57CB5"/>
    <w:rsid w:val="59FB79C0"/>
    <w:rsid w:val="59FE3990"/>
    <w:rsid w:val="5A074413"/>
    <w:rsid w:val="5A161762"/>
    <w:rsid w:val="5A1728C3"/>
    <w:rsid w:val="5A267313"/>
    <w:rsid w:val="5A2949BF"/>
    <w:rsid w:val="5A334E6C"/>
    <w:rsid w:val="5A3754E8"/>
    <w:rsid w:val="5A3C253D"/>
    <w:rsid w:val="5A3D0F04"/>
    <w:rsid w:val="5A431340"/>
    <w:rsid w:val="5A536B6C"/>
    <w:rsid w:val="5A554F0D"/>
    <w:rsid w:val="5A5B48A2"/>
    <w:rsid w:val="5A8176A3"/>
    <w:rsid w:val="5A886771"/>
    <w:rsid w:val="5A962E8E"/>
    <w:rsid w:val="5AA275F0"/>
    <w:rsid w:val="5AB0221B"/>
    <w:rsid w:val="5AB07146"/>
    <w:rsid w:val="5ABD6EB6"/>
    <w:rsid w:val="5AC141C5"/>
    <w:rsid w:val="5AC144BE"/>
    <w:rsid w:val="5AC957C1"/>
    <w:rsid w:val="5AD10434"/>
    <w:rsid w:val="5AD63A9A"/>
    <w:rsid w:val="5AE01EA2"/>
    <w:rsid w:val="5AF77298"/>
    <w:rsid w:val="5B03394A"/>
    <w:rsid w:val="5B0E575A"/>
    <w:rsid w:val="5B130B84"/>
    <w:rsid w:val="5B1810E8"/>
    <w:rsid w:val="5B187BC8"/>
    <w:rsid w:val="5B1B090D"/>
    <w:rsid w:val="5B262595"/>
    <w:rsid w:val="5B2A467A"/>
    <w:rsid w:val="5B2B3FE9"/>
    <w:rsid w:val="5B324432"/>
    <w:rsid w:val="5B3B6CC1"/>
    <w:rsid w:val="5B3F2722"/>
    <w:rsid w:val="5B4328BB"/>
    <w:rsid w:val="5B4E43D5"/>
    <w:rsid w:val="5B4E69B2"/>
    <w:rsid w:val="5B565CD9"/>
    <w:rsid w:val="5B79215F"/>
    <w:rsid w:val="5B802734"/>
    <w:rsid w:val="5B894E5E"/>
    <w:rsid w:val="5B8D0DD3"/>
    <w:rsid w:val="5B9D1ED6"/>
    <w:rsid w:val="5BB4425C"/>
    <w:rsid w:val="5BB826BC"/>
    <w:rsid w:val="5BBE6379"/>
    <w:rsid w:val="5BC63330"/>
    <w:rsid w:val="5BCA1451"/>
    <w:rsid w:val="5BCB146C"/>
    <w:rsid w:val="5BD058EB"/>
    <w:rsid w:val="5BD31F76"/>
    <w:rsid w:val="5BD75977"/>
    <w:rsid w:val="5BE95C92"/>
    <w:rsid w:val="5BF9632E"/>
    <w:rsid w:val="5C242743"/>
    <w:rsid w:val="5C476BBD"/>
    <w:rsid w:val="5C4855D0"/>
    <w:rsid w:val="5C4C0388"/>
    <w:rsid w:val="5C56301D"/>
    <w:rsid w:val="5C567646"/>
    <w:rsid w:val="5C5F17BE"/>
    <w:rsid w:val="5C677D9C"/>
    <w:rsid w:val="5C766433"/>
    <w:rsid w:val="5C7E7510"/>
    <w:rsid w:val="5C814C64"/>
    <w:rsid w:val="5C8672A8"/>
    <w:rsid w:val="5C883552"/>
    <w:rsid w:val="5C8B7D37"/>
    <w:rsid w:val="5C906E28"/>
    <w:rsid w:val="5C93251D"/>
    <w:rsid w:val="5CAE2A48"/>
    <w:rsid w:val="5CB74AA7"/>
    <w:rsid w:val="5CB832BE"/>
    <w:rsid w:val="5CBC08F6"/>
    <w:rsid w:val="5CBD4803"/>
    <w:rsid w:val="5CBE7651"/>
    <w:rsid w:val="5CD3251D"/>
    <w:rsid w:val="5CE120F2"/>
    <w:rsid w:val="5CEE2198"/>
    <w:rsid w:val="5CFE0E14"/>
    <w:rsid w:val="5CFF0BF7"/>
    <w:rsid w:val="5D007CE6"/>
    <w:rsid w:val="5D0F04C0"/>
    <w:rsid w:val="5D222E4E"/>
    <w:rsid w:val="5D262580"/>
    <w:rsid w:val="5D2B7750"/>
    <w:rsid w:val="5D2C352D"/>
    <w:rsid w:val="5D314C0D"/>
    <w:rsid w:val="5D3C0796"/>
    <w:rsid w:val="5D3F5796"/>
    <w:rsid w:val="5D484E09"/>
    <w:rsid w:val="5D4E25EE"/>
    <w:rsid w:val="5D4E35C8"/>
    <w:rsid w:val="5D4E5192"/>
    <w:rsid w:val="5D580CA3"/>
    <w:rsid w:val="5D5C008F"/>
    <w:rsid w:val="5D6A6CD8"/>
    <w:rsid w:val="5D7145DB"/>
    <w:rsid w:val="5D793B89"/>
    <w:rsid w:val="5D83001C"/>
    <w:rsid w:val="5D84455E"/>
    <w:rsid w:val="5D8E4AFB"/>
    <w:rsid w:val="5D9A4B0C"/>
    <w:rsid w:val="5DA71F4A"/>
    <w:rsid w:val="5DAE13F3"/>
    <w:rsid w:val="5DC40A51"/>
    <w:rsid w:val="5DCB36CE"/>
    <w:rsid w:val="5DD94E61"/>
    <w:rsid w:val="5DE336ED"/>
    <w:rsid w:val="5DE554A1"/>
    <w:rsid w:val="5E15230A"/>
    <w:rsid w:val="5E202F0B"/>
    <w:rsid w:val="5E21148A"/>
    <w:rsid w:val="5E231839"/>
    <w:rsid w:val="5E295CAD"/>
    <w:rsid w:val="5E2D3606"/>
    <w:rsid w:val="5E42206F"/>
    <w:rsid w:val="5E442582"/>
    <w:rsid w:val="5E47305D"/>
    <w:rsid w:val="5E500C28"/>
    <w:rsid w:val="5E506034"/>
    <w:rsid w:val="5E526DA7"/>
    <w:rsid w:val="5E553D9A"/>
    <w:rsid w:val="5E5956AF"/>
    <w:rsid w:val="5E5C5EBB"/>
    <w:rsid w:val="5E6F044F"/>
    <w:rsid w:val="5E84385A"/>
    <w:rsid w:val="5E88796B"/>
    <w:rsid w:val="5E9E663A"/>
    <w:rsid w:val="5EA17D21"/>
    <w:rsid w:val="5EA36B8D"/>
    <w:rsid w:val="5EB31011"/>
    <w:rsid w:val="5EB3786F"/>
    <w:rsid w:val="5EB674BD"/>
    <w:rsid w:val="5EB7142F"/>
    <w:rsid w:val="5EB868E2"/>
    <w:rsid w:val="5EC3675D"/>
    <w:rsid w:val="5ECA5C0D"/>
    <w:rsid w:val="5ED03536"/>
    <w:rsid w:val="5EE558D9"/>
    <w:rsid w:val="5EE8312D"/>
    <w:rsid w:val="5EE951EF"/>
    <w:rsid w:val="5EEF2A99"/>
    <w:rsid w:val="5EF518A9"/>
    <w:rsid w:val="5EF7320D"/>
    <w:rsid w:val="5F0436DD"/>
    <w:rsid w:val="5F381934"/>
    <w:rsid w:val="5F3A3CD9"/>
    <w:rsid w:val="5F400FA7"/>
    <w:rsid w:val="5F463453"/>
    <w:rsid w:val="5F510EB0"/>
    <w:rsid w:val="5F5A7807"/>
    <w:rsid w:val="5F632C49"/>
    <w:rsid w:val="5F634B51"/>
    <w:rsid w:val="5F644058"/>
    <w:rsid w:val="5F6B06B6"/>
    <w:rsid w:val="5F9021B3"/>
    <w:rsid w:val="5F986174"/>
    <w:rsid w:val="5F9F60E3"/>
    <w:rsid w:val="5FA37A43"/>
    <w:rsid w:val="5FB91726"/>
    <w:rsid w:val="5FC72E72"/>
    <w:rsid w:val="5FC866CF"/>
    <w:rsid w:val="5FCA572E"/>
    <w:rsid w:val="5FCF639E"/>
    <w:rsid w:val="5FD46DA5"/>
    <w:rsid w:val="5FDF09EC"/>
    <w:rsid w:val="5FE10E22"/>
    <w:rsid w:val="5FF5423B"/>
    <w:rsid w:val="5FF67512"/>
    <w:rsid w:val="5FFD5F39"/>
    <w:rsid w:val="60146F1C"/>
    <w:rsid w:val="601E0041"/>
    <w:rsid w:val="60230F38"/>
    <w:rsid w:val="602730B6"/>
    <w:rsid w:val="602E2526"/>
    <w:rsid w:val="602E6F21"/>
    <w:rsid w:val="6032325B"/>
    <w:rsid w:val="603C60BB"/>
    <w:rsid w:val="60576DDD"/>
    <w:rsid w:val="605E0801"/>
    <w:rsid w:val="606261D6"/>
    <w:rsid w:val="60665D2C"/>
    <w:rsid w:val="606D777B"/>
    <w:rsid w:val="607B0793"/>
    <w:rsid w:val="608A4373"/>
    <w:rsid w:val="60926C86"/>
    <w:rsid w:val="60950AA6"/>
    <w:rsid w:val="60A369F8"/>
    <w:rsid w:val="60A40C36"/>
    <w:rsid w:val="60A821D8"/>
    <w:rsid w:val="60B16A09"/>
    <w:rsid w:val="60B33C03"/>
    <w:rsid w:val="60B54661"/>
    <w:rsid w:val="60C00150"/>
    <w:rsid w:val="60CD41D0"/>
    <w:rsid w:val="60D01D55"/>
    <w:rsid w:val="60DA3D0F"/>
    <w:rsid w:val="60DA7E20"/>
    <w:rsid w:val="60EA3B44"/>
    <w:rsid w:val="60ED55FF"/>
    <w:rsid w:val="60F429CB"/>
    <w:rsid w:val="60F512B1"/>
    <w:rsid w:val="60FA677E"/>
    <w:rsid w:val="610E6320"/>
    <w:rsid w:val="6110099E"/>
    <w:rsid w:val="61157668"/>
    <w:rsid w:val="611F5F7C"/>
    <w:rsid w:val="612C3252"/>
    <w:rsid w:val="613771A2"/>
    <w:rsid w:val="614E222D"/>
    <w:rsid w:val="6156669A"/>
    <w:rsid w:val="615E08AE"/>
    <w:rsid w:val="617A56C7"/>
    <w:rsid w:val="617D1C16"/>
    <w:rsid w:val="61807275"/>
    <w:rsid w:val="618E7385"/>
    <w:rsid w:val="61931056"/>
    <w:rsid w:val="6194506C"/>
    <w:rsid w:val="61A05323"/>
    <w:rsid w:val="61A81987"/>
    <w:rsid w:val="61A85251"/>
    <w:rsid w:val="61AF345E"/>
    <w:rsid w:val="61BB6154"/>
    <w:rsid w:val="61BC55D6"/>
    <w:rsid w:val="61C10F72"/>
    <w:rsid w:val="61C20981"/>
    <w:rsid w:val="61C60643"/>
    <w:rsid w:val="61CC161E"/>
    <w:rsid w:val="61CC7694"/>
    <w:rsid w:val="61D118DF"/>
    <w:rsid w:val="61DF3DAA"/>
    <w:rsid w:val="61E50677"/>
    <w:rsid w:val="61E63F4D"/>
    <w:rsid w:val="61E64D59"/>
    <w:rsid w:val="61E7716C"/>
    <w:rsid w:val="61F47CB6"/>
    <w:rsid w:val="62021286"/>
    <w:rsid w:val="62183793"/>
    <w:rsid w:val="621E2F01"/>
    <w:rsid w:val="62285872"/>
    <w:rsid w:val="62330C6E"/>
    <w:rsid w:val="6244076E"/>
    <w:rsid w:val="624F43D4"/>
    <w:rsid w:val="62533FE1"/>
    <w:rsid w:val="625C70D1"/>
    <w:rsid w:val="625F1188"/>
    <w:rsid w:val="62611B6B"/>
    <w:rsid w:val="6269077E"/>
    <w:rsid w:val="62742259"/>
    <w:rsid w:val="62775164"/>
    <w:rsid w:val="627805A5"/>
    <w:rsid w:val="628011EE"/>
    <w:rsid w:val="6285137F"/>
    <w:rsid w:val="628D268E"/>
    <w:rsid w:val="62916074"/>
    <w:rsid w:val="62A142EB"/>
    <w:rsid w:val="62A317D7"/>
    <w:rsid w:val="62A502C2"/>
    <w:rsid w:val="62B24801"/>
    <w:rsid w:val="62B92B26"/>
    <w:rsid w:val="62BE286B"/>
    <w:rsid w:val="62C620DC"/>
    <w:rsid w:val="62D86F3B"/>
    <w:rsid w:val="62DD3744"/>
    <w:rsid w:val="62DF74EF"/>
    <w:rsid w:val="62FE1CA9"/>
    <w:rsid w:val="6310296C"/>
    <w:rsid w:val="632C6EA4"/>
    <w:rsid w:val="63363D54"/>
    <w:rsid w:val="6337336C"/>
    <w:rsid w:val="63491274"/>
    <w:rsid w:val="634D0343"/>
    <w:rsid w:val="63526B00"/>
    <w:rsid w:val="63597189"/>
    <w:rsid w:val="635B49D1"/>
    <w:rsid w:val="635D16BD"/>
    <w:rsid w:val="636317E3"/>
    <w:rsid w:val="63722915"/>
    <w:rsid w:val="637315C8"/>
    <w:rsid w:val="63777600"/>
    <w:rsid w:val="637C3623"/>
    <w:rsid w:val="63805AA7"/>
    <w:rsid w:val="638E1BC0"/>
    <w:rsid w:val="639014A5"/>
    <w:rsid w:val="63936784"/>
    <w:rsid w:val="63AC030E"/>
    <w:rsid w:val="63B17301"/>
    <w:rsid w:val="63C250F0"/>
    <w:rsid w:val="63CE1E81"/>
    <w:rsid w:val="63D632B2"/>
    <w:rsid w:val="63DC6475"/>
    <w:rsid w:val="63E15AC3"/>
    <w:rsid w:val="63E62DF9"/>
    <w:rsid w:val="63F02FE6"/>
    <w:rsid w:val="63F10B0C"/>
    <w:rsid w:val="63F470E0"/>
    <w:rsid w:val="63FD5803"/>
    <w:rsid w:val="642A4A85"/>
    <w:rsid w:val="642C20FD"/>
    <w:rsid w:val="642C62BA"/>
    <w:rsid w:val="6431063D"/>
    <w:rsid w:val="644A103A"/>
    <w:rsid w:val="64533495"/>
    <w:rsid w:val="64572B0E"/>
    <w:rsid w:val="645F2E7C"/>
    <w:rsid w:val="64606918"/>
    <w:rsid w:val="64607C29"/>
    <w:rsid w:val="6466601E"/>
    <w:rsid w:val="64681700"/>
    <w:rsid w:val="6474732C"/>
    <w:rsid w:val="64775843"/>
    <w:rsid w:val="647E6060"/>
    <w:rsid w:val="64836546"/>
    <w:rsid w:val="6495757E"/>
    <w:rsid w:val="64970A5C"/>
    <w:rsid w:val="64B35155"/>
    <w:rsid w:val="64B539CB"/>
    <w:rsid w:val="64B7081D"/>
    <w:rsid w:val="64BD479E"/>
    <w:rsid w:val="64C13AFF"/>
    <w:rsid w:val="64C15342"/>
    <w:rsid w:val="64C92943"/>
    <w:rsid w:val="64CA4A8B"/>
    <w:rsid w:val="64D9143D"/>
    <w:rsid w:val="64E12DB5"/>
    <w:rsid w:val="64E838D1"/>
    <w:rsid w:val="64EB2F25"/>
    <w:rsid w:val="650C4C19"/>
    <w:rsid w:val="65103685"/>
    <w:rsid w:val="65130F4D"/>
    <w:rsid w:val="65136107"/>
    <w:rsid w:val="651C0EE0"/>
    <w:rsid w:val="65287BEF"/>
    <w:rsid w:val="653070BD"/>
    <w:rsid w:val="65582964"/>
    <w:rsid w:val="657D2DDC"/>
    <w:rsid w:val="657E1C28"/>
    <w:rsid w:val="6584591A"/>
    <w:rsid w:val="65847A88"/>
    <w:rsid w:val="658C290D"/>
    <w:rsid w:val="659C4B53"/>
    <w:rsid w:val="659C6D96"/>
    <w:rsid w:val="659D692C"/>
    <w:rsid w:val="659D7B99"/>
    <w:rsid w:val="659E1A4D"/>
    <w:rsid w:val="659E6E67"/>
    <w:rsid w:val="65A07786"/>
    <w:rsid w:val="65AF581A"/>
    <w:rsid w:val="65B54830"/>
    <w:rsid w:val="65C6788C"/>
    <w:rsid w:val="65D24CDE"/>
    <w:rsid w:val="65D802BD"/>
    <w:rsid w:val="65D85E0C"/>
    <w:rsid w:val="65D903E6"/>
    <w:rsid w:val="65E33FDD"/>
    <w:rsid w:val="65E568F9"/>
    <w:rsid w:val="65EC3257"/>
    <w:rsid w:val="65F20EC9"/>
    <w:rsid w:val="65F42107"/>
    <w:rsid w:val="65FA5D8A"/>
    <w:rsid w:val="66070183"/>
    <w:rsid w:val="66287A1B"/>
    <w:rsid w:val="66300205"/>
    <w:rsid w:val="66325537"/>
    <w:rsid w:val="66393306"/>
    <w:rsid w:val="663D5408"/>
    <w:rsid w:val="66406AA3"/>
    <w:rsid w:val="66462AB3"/>
    <w:rsid w:val="664D1645"/>
    <w:rsid w:val="664E2EC1"/>
    <w:rsid w:val="665316AD"/>
    <w:rsid w:val="665354D0"/>
    <w:rsid w:val="66642DF9"/>
    <w:rsid w:val="66734B64"/>
    <w:rsid w:val="66844BE3"/>
    <w:rsid w:val="66874C3D"/>
    <w:rsid w:val="6688031C"/>
    <w:rsid w:val="66894B6D"/>
    <w:rsid w:val="669F13C4"/>
    <w:rsid w:val="66A075BE"/>
    <w:rsid w:val="66B052E0"/>
    <w:rsid w:val="66B77386"/>
    <w:rsid w:val="66C50039"/>
    <w:rsid w:val="66CA1F3A"/>
    <w:rsid w:val="66D21B59"/>
    <w:rsid w:val="66D644E4"/>
    <w:rsid w:val="66DF5830"/>
    <w:rsid w:val="66E056EC"/>
    <w:rsid w:val="66E05D9D"/>
    <w:rsid w:val="66E22909"/>
    <w:rsid w:val="66E35C35"/>
    <w:rsid w:val="66E67837"/>
    <w:rsid w:val="66F44C32"/>
    <w:rsid w:val="67020FDE"/>
    <w:rsid w:val="670E01D3"/>
    <w:rsid w:val="67182081"/>
    <w:rsid w:val="6718404E"/>
    <w:rsid w:val="672635CB"/>
    <w:rsid w:val="672878C8"/>
    <w:rsid w:val="672B7BE8"/>
    <w:rsid w:val="672D6A4A"/>
    <w:rsid w:val="6736049F"/>
    <w:rsid w:val="673F1848"/>
    <w:rsid w:val="6743135F"/>
    <w:rsid w:val="6746460A"/>
    <w:rsid w:val="675F6431"/>
    <w:rsid w:val="67607444"/>
    <w:rsid w:val="67617F59"/>
    <w:rsid w:val="676E5748"/>
    <w:rsid w:val="67701119"/>
    <w:rsid w:val="6785768C"/>
    <w:rsid w:val="678F0BA3"/>
    <w:rsid w:val="67942AA5"/>
    <w:rsid w:val="6796260D"/>
    <w:rsid w:val="67A05658"/>
    <w:rsid w:val="67A206E8"/>
    <w:rsid w:val="67AB3579"/>
    <w:rsid w:val="67C217F4"/>
    <w:rsid w:val="67C400F0"/>
    <w:rsid w:val="67CC38EF"/>
    <w:rsid w:val="67D45308"/>
    <w:rsid w:val="67E75F09"/>
    <w:rsid w:val="67E81FD8"/>
    <w:rsid w:val="67F9743A"/>
    <w:rsid w:val="67FF1F87"/>
    <w:rsid w:val="680269A0"/>
    <w:rsid w:val="681E2045"/>
    <w:rsid w:val="682001D8"/>
    <w:rsid w:val="68231FA2"/>
    <w:rsid w:val="682F6BAF"/>
    <w:rsid w:val="683114AC"/>
    <w:rsid w:val="6838425F"/>
    <w:rsid w:val="683D2304"/>
    <w:rsid w:val="685338EA"/>
    <w:rsid w:val="68580E35"/>
    <w:rsid w:val="68581F23"/>
    <w:rsid w:val="685A4082"/>
    <w:rsid w:val="68625734"/>
    <w:rsid w:val="6879053B"/>
    <w:rsid w:val="68822E29"/>
    <w:rsid w:val="68824EBB"/>
    <w:rsid w:val="688C310D"/>
    <w:rsid w:val="68A01663"/>
    <w:rsid w:val="68B250FC"/>
    <w:rsid w:val="68B43D29"/>
    <w:rsid w:val="68B721B5"/>
    <w:rsid w:val="68BA3729"/>
    <w:rsid w:val="68C00662"/>
    <w:rsid w:val="68C44DE9"/>
    <w:rsid w:val="68C5067C"/>
    <w:rsid w:val="68DA076B"/>
    <w:rsid w:val="68DC0279"/>
    <w:rsid w:val="68DC1F91"/>
    <w:rsid w:val="68DC3F7D"/>
    <w:rsid w:val="68E6173D"/>
    <w:rsid w:val="68EF4323"/>
    <w:rsid w:val="68FE7DA5"/>
    <w:rsid w:val="690824DB"/>
    <w:rsid w:val="69192073"/>
    <w:rsid w:val="691A4F8B"/>
    <w:rsid w:val="691F01E1"/>
    <w:rsid w:val="69213202"/>
    <w:rsid w:val="692C7963"/>
    <w:rsid w:val="69332E30"/>
    <w:rsid w:val="69495B7D"/>
    <w:rsid w:val="694C6886"/>
    <w:rsid w:val="694D520D"/>
    <w:rsid w:val="694F723A"/>
    <w:rsid w:val="695D7F00"/>
    <w:rsid w:val="69633B8C"/>
    <w:rsid w:val="6986780E"/>
    <w:rsid w:val="698D2CC6"/>
    <w:rsid w:val="69971753"/>
    <w:rsid w:val="69973FB8"/>
    <w:rsid w:val="699B0F2D"/>
    <w:rsid w:val="699E194B"/>
    <w:rsid w:val="69B34EB6"/>
    <w:rsid w:val="69C65782"/>
    <w:rsid w:val="69C74F39"/>
    <w:rsid w:val="69C90514"/>
    <w:rsid w:val="69D05743"/>
    <w:rsid w:val="69D128A6"/>
    <w:rsid w:val="69D55EC5"/>
    <w:rsid w:val="69EA32D8"/>
    <w:rsid w:val="69F82821"/>
    <w:rsid w:val="6A105967"/>
    <w:rsid w:val="6A2D2E78"/>
    <w:rsid w:val="6A362BAB"/>
    <w:rsid w:val="6A3E7BA6"/>
    <w:rsid w:val="6A4308EA"/>
    <w:rsid w:val="6A5673CC"/>
    <w:rsid w:val="6A580810"/>
    <w:rsid w:val="6A5E0C92"/>
    <w:rsid w:val="6A611270"/>
    <w:rsid w:val="6A677B1F"/>
    <w:rsid w:val="6A8A1BED"/>
    <w:rsid w:val="6A927AD3"/>
    <w:rsid w:val="6A976F58"/>
    <w:rsid w:val="6A9E55FC"/>
    <w:rsid w:val="6A9F12A6"/>
    <w:rsid w:val="6AB00B4F"/>
    <w:rsid w:val="6AB26F2D"/>
    <w:rsid w:val="6AB90732"/>
    <w:rsid w:val="6ABA6BD9"/>
    <w:rsid w:val="6AC33B93"/>
    <w:rsid w:val="6ACE5AF3"/>
    <w:rsid w:val="6AD417F7"/>
    <w:rsid w:val="6AE476D4"/>
    <w:rsid w:val="6AF014EA"/>
    <w:rsid w:val="6AF86A08"/>
    <w:rsid w:val="6AFE7FA9"/>
    <w:rsid w:val="6B085216"/>
    <w:rsid w:val="6B0F575E"/>
    <w:rsid w:val="6B10332E"/>
    <w:rsid w:val="6B15117B"/>
    <w:rsid w:val="6B26248F"/>
    <w:rsid w:val="6B2B781F"/>
    <w:rsid w:val="6B2F202B"/>
    <w:rsid w:val="6B330F92"/>
    <w:rsid w:val="6B33712D"/>
    <w:rsid w:val="6B374111"/>
    <w:rsid w:val="6B3A4D78"/>
    <w:rsid w:val="6B413C25"/>
    <w:rsid w:val="6B48472F"/>
    <w:rsid w:val="6B4A6677"/>
    <w:rsid w:val="6B56264E"/>
    <w:rsid w:val="6B5D3076"/>
    <w:rsid w:val="6B6002EB"/>
    <w:rsid w:val="6B6967A9"/>
    <w:rsid w:val="6B6A36CD"/>
    <w:rsid w:val="6B714DFC"/>
    <w:rsid w:val="6B834303"/>
    <w:rsid w:val="6B8822FE"/>
    <w:rsid w:val="6B8B524F"/>
    <w:rsid w:val="6BA1783A"/>
    <w:rsid w:val="6BA827ED"/>
    <w:rsid w:val="6BAA2CBA"/>
    <w:rsid w:val="6BAF31A3"/>
    <w:rsid w:val="6BB22F68"/>
    <w:rsid w:val="6BB255E9"/>
    <w:rsid w:val="6BBA57F1"/>
    <w:rsid w:val="6BBD68B6"/>
    <w:rsid w:val="6BBE3EFC"/>
    <w:rsid w:val="6BC57152"/>
    <w:rsid w:val="6BC93A23"/>
    <w:rsid w:val="6BD034F2"/>
    <w:rsid w:val="6BD15788"/>
    <w:rsid w:val="6BD70853"/>
    <w:rsid w:val="6BDA294B"/>
    <w:rsid w:val="6C0048A5"/>
    <w:rsid w:val="6C0449B4"/>
    <w:rsid w:val="6C044C78"/>
    <w:rsid w:val="6C085314"/>
    <w:rsid w:val="6C133CF3"/>
    <w:rsid w:val="6C1926A3"/>
    <w:rsid w:val="6C193957"/>
    <w:rsid w:val="6C1E7C45"/>
    <w:rsid w:val="6C1F519D"/>
    <w:rsid w:val="6C2D0735"/>
    <w:rsid w:val="6C3636D7"/>
    <w:rsid w:val="6C4F2DD3"/>
    <w:rsid w:val="6C51599E"/>
    <w:rsid w:val="6C565694"/>
    <w:rsid w:val="6C5B244A"/>
    <w:rsid w:val="6C5B2C1A"/>
    <w:rsid w:val="6C5E650E"/>
    <w:rsid w:val="6C6B234B"/>
    <w:rsid w:val="6C6C4CB2"/>
    <w:rsid w:val="6C701F36"/>
    <w:rsid w:val="6C7463DE"/>
    <w:rsid w:val="6C85554B"/>
    <w:rsid w:val="6C857BED"/>
    <w:rsid w:val="6C924B91"/>
    <w:rsid w:val="6C952103"/>
    <w:rsid w:val="6C9A159C"/>
    <w:rsid w:val="6CA4332E"/>
    <w:rsid w:val="6CC85AF2"/>
    <w:rsid w:val="6CCA0699"/>
    <w:rsid w:val="6CCB1094"/>
    <w:rsid w:val="6CCD0B95"/>
    <w:rsid w:val="6CD80D44"/>
    <w:rsid w:val="6CE36320"/>
    <w:rsid w:val="6CF11928"/>
    <w:rsid w:val="6CFE1BAE"/>
    <w:rsid w:val="6D00375A"/>
    <w:rsid w:val="6D03127F"/>
    <w:rsid w:val="6D0F32FF"/>
    <w:rsid w:val="6D0F78D2"/>
    <w:rsid w:val="6D1D21F3"/>
    <w:rsid w:val="6D2012A6"/>
    <w:rsid w:val="6D241EC4"/>
    <w:rsid w:val="6D2A3EAF"/>
    <w:rsid w:val="6D2B3F63"/>
    <w:rsid w:val="6D2C442B"/>
    <w:rsid w:val="6D346D90"/>
    <w:rsid w:val="6D361BE2"/>
    <w:rsid w:val="6D3C502B"/>
    <w:rsid w:val="6D3D72A9"/>
    <w:rsid w:val="6D423B2F"/>
    <w:rsid w:val="6D4247D4"/>
    <w:rsid w:val="6D4419A3"/>
    <w:rsid w:val="6D4C7730"/>
    <w:rsid w:val="6D506ED7"/>
    <w:rsid w:val="6D5439B4"/>
    <w:rsid w:val="6D634637"/>
    <w:rsid w:val="6D694214"/>
    <w:rsid w:val="6D697FF2"/>
    <w:rsid w:val="6D6A7199"/>
    <w:rsid w:val="6D8C4680"/>
    <w:rsid w:val="6D957212"/>
    <w:rsid w:val="6D9A0FD5"/>
    <w:rsid w:val="6DA54C9F"/>
    <w:rsid w:val="6DA860E7"/>
    <w:rsid w:val="6DAE0703"/>
    <w:rsid w:val="6DB1708D"/>
    <w:rsid w:val="6DB4190D"/>
    <w:rsid w:val="6DB54168"/>
    <w:rsid w:val="6DBA51C2"/>
    <w:rsid w:val="6DBC21D6"/>
    <w:rsid w:val="6DBD6FD7"/>
    <w:rsid w:val="6DCA5AF7"/>
    <w:rsid w:val="6DD543CB"/>
    <w:rsid w:val="6DDD49BB"/>
    <w:rsid w:val="6DDE6CB1"/>
    <w:rsid w:val="6DEE2A1D"/>
    <w:rsid w:val="6DF151A4"/>
    <w:rsid w:val="6DFF107B"/>
    <w:rsid w:val="6E026BAA"/>
    <w:rsid w:val="6E0F66AC"/>
    <w:rsid w:val="6E110B81"/>
    <w:rsid w:val="6E1B0DEA"/>
    <w:rsid w:val="6E3216D4"/>
    <w:rsid w:val="6E51547B"/>
    <w:rsid w:val="6E59266D"/>
    <w:rsid w:val="6E625CF9"/>
    <w:rsid w:val="6E67343C"/>
    <w:rsid w:val="6E753177"/>
    <w:rsid w:val="6E83182A"/>
    <w:rsid w:val="6E883457"/>
    <w:rsid w:val="6E896D72"/>
    <w:rsid w:val="6E8B64BE"/>
    <w:rsid w:val="6E992951"/>
    <w:rsid w:val="6EAE7F99"/>
    <w:rsid w:val="6EB010E9"/>
    <w:rsid w:val="6EB10411"/>
    <w:rsid w:val="6EB35C38"/>
    <w:rsid w:val="6EB62477"/>
    <w:rsid w:val="6EC3534C"/>
    <w:rsid w:val="6EEB0DCB"/>
    <w:rsid w:val="6F020EE5"/>
    <w:rsid w:val="6F0910ED"/>
    <w:rsid w:val="6F0E0DA1"/>
    <w:rsid w:val="6F0F68A9"/>
    <w:rsid w:val="6F1167A0"/>
    <w:rsid w:val="6F165EB7"/>
    <w:rsid w:val="6F1E216A"/>
    <w:rsid w:val="6F226DFC"/>
    <w:rsid w:val="6F242910"/>
    <w:rsid w:val="6F252CD9"/>
    <w:rsid w:val="6F262B2B"/>
    <w:rsid w:val="6F2E2ADC"/>
    <w:rsid w:val="6F32549C"/>
    <w:rsid w:val="6F325C45"/>
    <w:rsid w:val="6F41314C"/>
    <w:rsid w:val="6F4B18F5"/>
    <w:rsid w:val="6F4F7D75"/>
    <w:rsid w:val="6F5371CA"/>
    <w:rsid w:val="6F5E3D07"/>
    <w:rsid w:val="6F6C4A8C"/>
    <w:rsid w:val="6F7A2DB2"/>
    <w:rsid w:val="6F80709F"/>
    <w:rsid w:val="6F851AC5"/>
    <w:rsid w:val="6F8B7B38"/>
    <w:rsid w:val="6F9315DC"/>
    <w:rsid w:val="6F9925FC"/>
    <w:rsid w:val="6FA74076"/>
    <w:rsid w:val="6FAA3BE0"/>
    <w:rsid w:val="6FAE0753"/>
    <w:rsid w:val="6FC5551B"/>
    <w:rsid w:val="6FDB0946"/>
    <w:rsid w:val="6FE2705C"/>
    <w:rsid w:val="6FEA12C2"/>
    <w:rsid w:val="6FEF3044"/>
    <w:rsid w:val="6FF27623"/>
    <w:rsid w:val="6FFE0400"/>
    <w:rsid w:val="701A4637"/>
    <w:rsid w:val="70253E84"/>
    <w:rsid w:val="7028616E"/>
    <w:rsid w:val="702E45FD"/>
    <w:rsid w:val="70377C2F"/>
    <w:rsid w:val="7039155C"/>
    <w:rsid w:val="703E3759"/>
    <w:rsid w:val="703E44AD"/>
    <w:rsid w:val="70552F9E"/>
    <w:rsid w:val="705937D6"/>
    <w:rsid w:val="706257BA"/>
    <w:rsid w:val="707124BF"/>
    <w:rsid w:val="707F2F35"/>
    <w:rsid w:val="70842E04"/>
    <w:rsid w:val="70847E60"/>
    <w:rsid w:val="70897045"/>
    <w:rsid w:val="70913723"/>
    <w:rsid w:val="709A267E"/>
    <w:rsid w:val="709E11D4"/>
    <w:rsid w:val="70A1007E"/>
    <w:rsid w:val="70A35872"/>
    <w:rsid w:val="70BD1DA9"/>
    <w:rsid w:val="70C53F19"/>
    <w:rsid w:val="70CE0FBF"/>
    <w:rsid w:val="70D12E6B"/>
    <w:rsid w:val="70E03CA8"/>
    <w:rsid w:val="70E6742A"/>
    <w:rsid w:val="70F33E45"/>
    <w:rsid w:val="71026BAE"/>
    <w:rsid w:val="71087C3F"/>
    <w:rsid w:val="710B411E"/>
    <w:rsid w:val="710B70D7"/>
    <w:rsid w:val="71164C7E"/>
    <w:rsid w:val="712344B7"/>
    <w:rsid w:val="712673C3"/>
    <w:rsid w:val="712C7B3D"/>
    <w:rsid w:val="712F0ED4"/>
    <w:rsid w:val="713346FB"/>
    <w:rsid w:val="71351823"/>
    <w:rsid w:val="71437212"/>
    <w:rsid w:val="7147043B"/>
    <w:rsid w:val="716314A2"/>
    <w:rsid w:val="717E446E"/>
    <w:rsid w:val="71820766"/>
    <w:rsid w:val="7190168A"/>
    <w:rsid w:val="71A01347"/>
    <w:rsid w:val="71B45E1F"/>
    <w:rsid w:val="71C94F34"/>
    <w:rsid w:val="71D41F6E"/>
    <w:rsid w:val="71D55ADA"/>
    <w:rsid w:val="71DB688D"/>
    <w:rsid w:val="71F24518"/>
    <w:rsid w:val="71F36782"/>
    <w:rsid w:val="71F51B0D"/>
    <w:rsid w:val="71F575C1"/>
    <w:rsid w:val="72045241"/>
    <w:rsid w:val="72084C32"/>
    <w:rsid w:val="720A5EE5"/>
    <w:rsid w:val="720D7E8D"/>
    <w:rsid w:val="720E5CBC"/>
    <w:rsid w:val="72137D81"/>
    <w:rsid w:val="723B1063"/>
    <w:rsid w:val="7263576B"/>
    <w:rsid w:val="72675070"/>
    <w:rsid w:val="726A45A9"/>
    <w:rsid w:val="726E0C75"/>
    <w:rsid w:val="727752CE"/>
    <w:rsid w:val="72817570"/>
    <w:rsid w:val="728E3A1D"/>
    <w:rsid w:val="72901934"/>
    <w:rsid w:val="72926E0A"/>
    <w:rsid w:val="72A22C73"/>
    <w:rsid w:val="72B04143"/>
    <w:rsid w:val="72B06537"/>
    <w:rsid w:val="72C529C3"/>
    <w:rsid w:val="72D22C05"/>
    <w:rsid w:val="72E01018"/>
    <w:rsid w:val="72E45187"/>
    <w:rsid w:val="72F51B2B"/>
    <w:rsid w:val="72FF3099"/>
    <w:rsid w:val="73041AFC"/>
    <w:rsid w:val="73082758"/>
    <w:rsid w:val="730C1C7A"/>
    <w:rsid w:val="731868BD"/>
    <w:rsid w:val="73307D60"/>
    <w:rsid w:val="73325AD2"/>
    <w:rsid w:val="7346127F"/>
    <w:rsid w:val="734B1CDD"/>
    <w:rsid w:val="7357204E"/>
    <w:rsid w:val="735A283F"/>
    <w:rsid w:val="735C0C3F"/>
    <w:rsid w:val="73645128"/>
    <w:rsid w:val="736D1CC5"/>
    <w:rsid w:val="736F3987"/>
    <w:rsid w:val="737620A7"/>
    <w:rsid w:val="737C2308"/>
    <w:rsid w:val="7387632C"/>
    <w:rsid w:val="739635A4"/>
    <w:rsid w:val="739A626F"/>
    <w:rsid w:val="73CF6DEF"/>
    <w:rsid w:val="73D746A5"/>
    <w:rsid w:val="73EF06F0"/>
    <w:rsid w:val="73FB330E"/>
    <w:rsid w:val="740057CC"/>
    <w:rsid w:val="740A4022"/>
    <w:rsid w:val="74175362"/>
    <w:rsid w:val="741A0113"/>
    <w:rsid w:val="741A1797"/>
    <w:rsid w:val="741A48BA"/>
    <w:rsid w:val="742123AD"/>
    <w:rsid w:val="742E10C6"/>
    <w:rsid w:val="744424E9"/>
    <w:rsid w:val="745B5181"/>
    <w:rsid w:val="74620137"/>
    <w:rsid w:val="74625391"/>
    <w:rsid w:val="74665664"/>
    <w:rsid w:val="74764E0C"/>
    <w:rsid w:val="749454B4"/>
    <w:rsid w:val="749809C7"/>
    <w:rsid w:val="7498631C"/>
    <w:rsid w:val="74997F90"/>
    <w:rsid w:val="749C489E"/>
    <w:rsid w:val="74A0102B"/>
    <w:rsid w:val="74A55206"/>
    <w:rsid w:val="74A60258"/>
    <w:rsid w:val="74B17B15"/>
    <w:rsid w:val="74B20D25"/>
    <w:rsid w:val="74C3059F"/>
    <w:rsid w:val="74C33C9B"/>
    <w:rsid w:val="74C66535"/>
    <w:rsid w:val="74CC17D4"/>
    <w:rsid w:val="74D765D2"/>
    <w:rsid w:val="74DF1825"/>
    <w:rsid w:val="74E76599"/>
    <w:rsid w:val="74EA2BC2"/>
    <w:rsid w:val="75003903"/>
    <w:rsid w:val="75114285"/>
    <w:rsid w:val="75143CC4"/>
    <w:rsid w:val="75371237"/>
    <w:rsid w:val="753D37FE"/>
    <w:rsid w:val="753E79CF"/>
    <w:rsid w:val="754240FB"/>
    <w:rsid w:val="75542FCC"/>
    <w:rsid w:val="75543CB4"/>
    <w:rsid w:val="755D7AD9"/>
    <w:rsid w:val="755E70DD"/>
    <w:rsid w:val="756202A7"/>
    <w:rsid w:val="756203E7"/>
    <w:rsid w:val="75683679"/>
    <w:rsid w:val="75740126"/>
    <w:rsid w:val="7574564A"/>
    <w:rsid w:val="75774D32"/>
    <w:rsid w:val="758056D8"/>
    <w:rsid w:val="7584690C"/>
    <w:rsid w:val="75907D1A"/>
    <w:rsid w:val="75942661"/>
    <w:rsid w:val="759E1AA6"/>
    <w:rsid w:val="75A33484"/>
    <w:rsid w:val="75B36434"/>
    <w:rsid w:val="75BA6198"/>
    <w:rsid w:val="75BF1779"/>
    <w:rsid w:val="75CA5CF3"/>
    <w:rsid w:val="75CB2AA9"/>
    <w:rsid w:val="75E17424"/>
    <w:rsid w:val="75E551D5"/>
    <w:rsid w:val="75E70832"/>
    <w:rsid w:val="75E76BA4"/>
    <w:rsid w:val="75E913AB"/>
    <w:rsid w:val="75FB0113"/>
    <w:rsid w:val="76170DE7"/>
    <w:rsid w:val="761825FF"/>
    <w:rsid w:val="761C1796"/>
    <w:rsid w:val="762232AD"/>
    <w:rsid w:val="76353F52"/>
    <w:rsid w:val="7639698C"/>
    <w:rsid w:val="763D6698"/>
    <w:rsid w:val="76452DA5"/>
    <w:rsid w:val="7646703E"/>
    <w:rsid w:val="765A225D"/>
    <w:rsid w:val="76686355"/>
    <w:rsid w:val="76817372"/>
    <w:rsid w:val="768B7739"/>
    <w:rsid w:val="768E26A4"/>
    <w:rsid w:val="769346CE"/>
    <w:rsid w:val="76A97C94"/>
    <w:rsid w:val="76B6749B"/>
    <w:rsid w:val="76BC09F4"/>
    <w:rsid w:val="76BD46D6"/>
    <w:rsid w:val="76BF3968"/>
    <w:rsid w:val="76C21BD8"/>
    <w:rsid w:val="76CF7C16"/>
    <w:rsid w:val="76F60B99"/>
    <w:rsid w:val="76F72977"/>
    <w:rsid w:val="76FE6B73"/>
    <w:rsid w:val="77113944"/>
    <w:rsid w:val="77132B0C"/>
    <w:rsid w:val="771668C0"/>
    <w:rsid w:val="771A6B84"/>
    <w:rsid w:val="772A1944"/>
    <w:rsid w:val="773431D1"/>
    <w:rsid w:val="77422EC3"/>
    <w:rsid w:val="77444A68"/>
    <w:rsid w:val="774A5D0C"/>
    <w:rsid w:val="774F62C7"/>
    <w:rsid w:val="77701A1A"/>
    <w:rsid w:val="778D39AE"/>
    <w:rsid w:val="778E1825"/>
    <w:rsid w:val="779020BB"/>
    <w:rsid w:val="779225A5"/>
    <w:rsid w:val="77943DDC"/>
    <w:rsid w:val="77960FEE"/>
    <w:rsid w:val="779B099E"/>
    <w:rsid w:val="779B0DFE"/>
    <w:rsid w:val="779C369E"/>
    <w:rsid w:val="779E4F81"/>
    <w:rsid w:val="77A87883"/>
    <w:rsid w:val="77B3244D"/>
    <w:rsid w:val="77C5128D"/>
    <w:rsid w:val="77CC4BB7"/>
    <w:rsid w:val="77E1172F"/>
    <w:rsid w:val="77E61B24"/>
    <w:rsid w:val="77F44CAE"/>
    <w:rsid w:val="77F77031"/>
    <w:rsid w:val="77FB2567"/>
    <w:rsid w:val="7827041C"/>
    <w:rsid w:val="78286C43"/>
    <w:rsid w:val="782E6943"/>
    <w:rsid w:val="78323CD4"/>
    <w:rsid w:val="7837693B"/>
    <w:rsid w:val="78517C49"/>
    <w:rsid w:val="786D43E9"/>
    <w:rsid w:val="78754207"/>
    <w:rsid w:val="78781924"/>
    <w:rsid w:val="78962E01"/>
    <w:rsid w:val="78A303F0"/>
    <w:rsid w:val="78B754FF"/>
    <w:rsid w:val="78BB2425"/>
    <w:rsid w:val="78C63344"/>
    <w:rsid w:val="78D032FE"/>
    <w:rsid w:val="78D4141E"/>
    <w:rsid w:val="78E01771"/>
    <w:rsid w:val="78F05C01"/>
    <w:rsid w:val="78F8505A"/>
    <w:rsid w:val="78F9027A"/>
    <w:rsid w:val="79062925"/>
    <w:rsid w:val="79062C7B"/>
    <w:rsid w:val="79093AA8"/>
    <w:rsid w:val="791234ED"/>
    <w:rsid w:val="79185EB8"/>
    <w:rsid w:val="791A4F3B"/>
    <w:rsid w:val="792A7DCF"/>
    <w:rsid w:val="792F46C5"/>
    <w:rsid w:val="79357581"/>
    <w:rsid w:val="79383D6C"/>
    <w:rsid w:val="793A4C75"/>
    <w:rsid w:val="79720205"/>
    <w:rsid w:val="797C7338"/>
    <w:rsid w:val="797D0567"/>
    <w:rsid w:val="79843BB9"/>
    <w:rsid w:val="798F1BFA"/>
    <w:rsid w:val="7993449E"/>
    <w:rsid w:val="79987463"/>
    <w:rsid w:val="79996A3C"/>
    <w:rsid w:val="799A35C5"/>
    <w:rsid w:val="799C2E76"/>
    <w:rsid w:val="799F28E4"/>
    <w:rsid w:val="79A27D62"/>
    <w:rsid w:val="79BF233C"/>
    <w:rsid w:val="79C85EFE"/>
    <w:rsid w:val="79DB4A90"/>
    <w:rsid w:val="79E92F13"/>
    <w:rsid w:val="79EA203C"/>
    <w:rsid w:val="79ED6C2E"/>
    <w:rsid w:val="79F07452"/>
    <w:rsid w:val="79F36086"/>
    <w:rsid w:val="79F942C5"/>
    <w:rsid w:val="79FC750D"/>
    <w:rsid w:val="7A006342"/>
    <w:rsid w:val="7A0241F9"/>
    <w:rsid w:val="7A137B4E"/>
    <w:rsid w:val="7A1B515B"/>
    <w:rsid w:val="7A1D4994"/>
    <w:rsid w:val="7A2505B8"/>
    <w:rsid w:val="7A291EC8"/>
    <w:rsid w:val="7A3B7CE1"/>
    <w:rsid w:val="7A3E6DEA"/>
    <w:rsid w:val="7A472011"/>
    <w:rsid w:val="7A49591F"/>
    <w:rsid w:val="7A4F52FB"/>
    <w:rsid w:val="7A54708D"/>
    <w:rsid w:val="7A5856E7"/>
    <w:rsid w:val="7A6B045F"/>
    <w:rsid w:val="7A723107"/>
    <w:rsid w:val="7A85486D"/>
    <w:rsid w:val="7A90318D"/>
    <w:rsid w:val="7A9036D4"/>
    <w:rsid w:val="7A9C32FE"/>
    <w:rsid w:val="7A9D798E"/>
    <w:rsid w:val="7A9E1B9B"/>
    <w:rsid w:val="7AA85755"/>
    <w:rsid w:val="7AAB492D"/>
    <w:rsid w:val="7AAB6304"/>
    <w:rsid w:val="7AB02028"/>
    <w:rsid w:val="7AB04404"/>
    <w:rsid w:val="7ABA53B8"/>
    <w:rsid w:val="7AF75570"/>
    <w:rsid w:val="7AFA5830"/>
    <w:rsid w:val="7AFD55B0"/>
    <w:rsid w:val="7B0A58BE"/>
    <w:rsid w:val="7B1431A7"/>
    <w:rsid w:val="7B3140B4"/>
    <w:rsid w:val="7B57677C"/>
    <w:rsid w:val="7B632CB5"/>
    <w:rsid w:val="7B722F44"/>
    <w:rsid w:val="7B7560AB"/>
    <w:rsid w:val="7B782B1E"/>
    <w:rsid w:val="7B7A3DF3"/>
    <w:rsid w:val="7B961243"/>
    <w:rsid w:val="7B9649D2"/>
    <w:rsid w:val="7B97695E"/>
    <w:rsid w:val="7B992D67"/>
    <w:rsid w:val="7BA14A5E"/>
    <w:rsid w:val="7BB64072"/>
    <w:rsid w:val="7BB714C0"/>
    <w:rsid w:val="7BC340E2"/>
    <w:rsid w:val="7BC4427A"/>
    <w:rsid w:val="7BD13F67"/>
    <w:rsid w:val="7BD349A4"/>
    <w:rsid w:val="7BDD388A"/>
    <w:rsid w:val="7BE0535E"/>
    <w:rsid w:val="7BE64A19"/>
    <w:rsid w:val="7BF94D82"/>
    <w:rsid w:val="7C0177EF"/>
    <w:rsid w:val="7C022843"/>
    <w:rsid w:val="7C0A02AC"/>
    <w:rsid w:val="7C170B21"/>
    <w:rsid w:val="7C1B49A6"/>
    <w:rsid w:val="7C267B72"/>
    <w:rsid w:val="7C300D0B"/>
    <w:rsid w:val="7C316D25"/>
    <w:rsid w:val="7C4105C1"/>
    <w:rsid w:val="7C445228"/>
    <w:rsid w:val="7C565FA3"/>
    <w:rsid w:val="7C572B14"/>
    <w:rsid w:val="7C64777F"/>
    <w:rsid w:val="7C6611DE"/>
    <w:rsid w:val="7C6D55C7"/>
    <w:rsid w:val="7C713741"/>
    <w:rsid w:val="7C724A5E"/>
    <w:rsid w:val="7C76431A"/>
    <w:rsid w:val="7C7661D4"/>
    <w:rsid w:val="7C7B4482"/>
    <w:rsid w:val="7C8612A8"/>
    <w:rsid w:val="7C8A4F28"/>
    <w:rsid w:val="7C933EE4"/>
    <w:rsid w:val="7C96732B"/>
    <w:rsid w:val="7CA17C9C"/>
    <w:rsid w:val="7CA82DF6"/>
    <w:rsid w:val="7CA9553D"/>
    <w:rsid w:val="7CAB6B17"/>
    <w:rsid w:val="7CB102BF"/>
    <w:rsid w:val="7CB64F81"/>
    <w:rsid w:val="7CB87465"/>
    <w:rsid w:val="7CBA48C9"/>
    <w:rsid w:val="7CDD31F8"/>
    <w:rsid w:val="7CDF4C45"/>
    <w:rsid w:val="7CE02F7D"/>
    <w:rsid w:val="7CF2322E"/>
    <w:rsid w:val="7CF8449F"/>
    <w:rsid w:val="7D0D7168"/>
    <w:rsid w:val="7D373918"/>
    <w:rsid w:val="7D402C8A"/>
    <w:rsid w:val="7D403808"/>
    <w:rsid w:val="7D4A04EA"/>
    <w:rsid w:val="7D4A4691"/>
    <w:rsid w:val="7D4A7A23"/>
    <w:rsid w:val="7D531C70"/>
    <w:rsid w:val="7D570200"/>
    <w:rsid w:val="7D59575B"/>
    <w:rsid w:val="7D63445A"/>
    <w:rsid w:val="7D675061"/>
    <w:rsid w:val="7D741234"/>
    <w:rsid w:val="7D763D32"/>
    <w:rsid w:val="7D7975E0"/>
    <w:rsid w:val="7D802F15"/>
    <w:rsid w:val="7D833DFF"/>
    <w:rsid w:val="7D8B533D"/>
    <w:rsid w:val="7D984756"/>
    <w:rsid w:val="7DB10A2B"/>
    <w:rsid w:val="7DBB3D3F"/>
    <w:rsid w:val="7DBB62A6"/>
    <w:rsid w:val="7DBB651C"/>
    <w:rsid w:val="7DC80965"/>
    <w:rsid w:val="7DCB49A6"/>
    <w:rsid w:val="7DD562A9"/>
    <w:rsid w:val="7DE72928"/>
    <w:rsid w:val="7DEA0040"/>
    <w:rsid w:val="7DEE449E"/>
    <w:rsid w:val="7DF56CEC"/>
    <w:rsid w:val="7DFB2484"/>
    <w:rsid w:val="7E0C5834"/>
    <w:rsid w:val="7E1131A2"/>
    <w:rsid w:val="7E1C1165"/>
    <w:rsid w:val="7E331F37"/>
    <w:rsid w:val="7E434462"/>
    <w:rsid w:val="7E4A27D2"/>
    <w:rsid w:val="7E533D95"/>
    <w:rsid w:val="7E5851C9"/>
    <w:rsid w:val="7E5D6DA2"/>
    <w:rsid w:val="7E614624"/>
    <w:rsid w:val="7E6A0634"/>
    <w:rsid w:val="7E726F8F"/>
    <w:rsid w:val="7E78731A"/>
    <w:rsid w:val="7E891068"/>
    <w:rsid w:val="7E891272"/>
    <w:rsid w:val="7E8C17D9"/>
    <w:rsid w:val="7E9321D3"/>
    <w:rsid w:val="7E9B2C14"/>
    <w:rsid w:val="7E9B3EA7"/>
    <w:rsid w:val="7EA7093B"/>
    <w:rsid w:val="7EB45EC2"/>
    <w:rsid w:val="7EBF12DF"/>
    <w:rsid w:val="7ED215EA"/>
    <w:rsid w:val="7ED71584"/>
    <w:rsid w:val="7EEE41F5"/>
    <w:rsid w:val="7EF40AC9"/>
    <w:rsid w:val="7EF95C22"/>
    <w:rsid w:val="7EF971DE"/>
    <w:rsid w:val="7F121B5B"/>
    <w:rsid w:val="7F166AB2"/>
    <w:rsid w:val="7F1B7CEA"/>
    <w:rsid w:val="7F24678D"/>
    <w:rsid w:val="7F2B0577"/>
    <w:rsid w:val="7F376CF2"/>
    <w:rsid w:val="7F3B4B6F"/>
    <w:rsid w:val="7F472D76"/>
    <w:rsid w:val="7F4D2AF4"/>
    <w:rsid w:val="7F4E21C4"/>
    <w:rsid w:val="7F4E35BA"/>
    <w:rsid w:val="7F524481"/>
    <w:rsid w:val="7F53487B"/>
    <w:rsid w:val="7F6C2F2C"/>
    <w:rsid w:val="7F740EFE"/>
    <w:rsid w:val="7F7964B4"/>
    <w:rsid w:val="7F7A51B3"/>
    <w:rsid w:val="7FA001D9"/>
    <w:rsid w:val="7FA6117B"/>
    <w:rsid w:val="7FA77191"/>
    <w:rsid w:val="7FAD6288"/>
    <w:rsid w:val="7FB00A8F"/>
    <w:rsid w:val="7FC80F4A"/>
    <w:rsid w:val="7FCA2609"/>
    <w:rsid w:val="7FD04617"/>
    <w:rsid w:val="7FD84C4B"/>
    <w:rsid w:val="7FDC6891"/>
    <w:rsid w:val="7FE04DBF"/>
    <w:rsid w:val="7FEE47EB"/>
    <w:rsid w:val="7FF7094B"/>
    <w:rsid w:val="7FF853C9"/>
    <w:rsid w:val="7FF85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ind w:firstLine="200" w:firstLineChars="200"/>
      <w:outlineLvl w:val="0"/>
    </w:pPr>
    <w:rPr>
      <w:rFonts w:eastAsia="黑体" w:asciiTheme="majorHAnsi" w:hAnsiTheme="majorHAnsi" w:cstheme="majorBidi"/>
      <w:b/>
      <w:bCs/>
      <w:sz w:val="32"/>
      <w:szCs w:val="32"/>
    </w:rPr>
  </w:style>
  <w:style w:type="paragraph" w:styleId="4">
    <w:name w:val="Normal (Web)"/>
    <w:basedOn w:val="1"/>
    <w:unhideWhenUsed/>
    <w:qFormat/>
    <w:uiPriority w:val="0"/>
    <w:pPr>
      <w:widowControl/>
      <w:spacing w:before="100" w:beforeAutospacing="1" w:after="100" w:afterAutospacing="1"/>
    </w:pPr>
    <w:rPr>
      <w:rFonts w:ascii="宋体" w:hAnsi="宋体" w:cs="宋体"/>
    </w:rPr>
  </w:style>
  <w:style w:type="character" w:styleId="7">
    <w:name w:val="Strong"/>
    <w:basedOn w:val="6"/>
    <w:qFormat/>
    <w:uiPriority w:val="0"/>
    <w:rPr>
      <w:b/>
    </w:rPr>
  </w:style>
  <w:style w:type="character" w:styleId="8">
    <w:name w:val="FollowedHyperlink"/>
    <w:basedOn w:val="6"/>
    <w:qFormat/>
    <w:uiPriority w:val="0"/>
    <w:rPr>
      <w:rFonts w:ascii="微软雅黑" w:hAnsi="微软雅黑" w:eastAsia="微软雅黑" w:cs="微软雅黑"/>
      <w:color w:val="800080"/>
      <w:u w:val="none"/>
    </w:rPr>
  </w:style>
  <w:style w:type="character" w:styleId="9">
    <w:name w:val="Hyperlink"/>
    <w:basedOn w:val="6"/>
    <w:qFormat/>
    <w:uiPriority w:val="0"/>
    <w:rPr>
      <w:rFonts w:hint="eastAsia" w:ascii="微软雅黑" w:hAnsi="微软雅黑" w:eastAsia="微软雅黑" w:cs="微软雅黑"/>
      <w:color w:val="0000FF"/>
      <w:u w:val="none"/>
    </w:rPr>
  </w:style>
  <w:style w:type="paragraph" w:customStyle="1" w:styleId="10">
    <w:name w:val="Body text|1"/>
    <w:basedOn w:val="1"/>
    <w:qFormat/>
    <w:uiPriority w:val="0"/>
    <w:pPr>
      <w:spacing w:line="593" w:lineRule="exact"/>
      <w:ind w:firstLine="610"/>
    </w:pPr>
    <w:rPr>
      <w:rFonts w:ascii="宋体" w:hAnsi="宋体" w:eastAsia="宋体" w:cs="宋体"/>
      <w:sz w:val="26"/>
      <w:szCs w:val="26"/>
      <w:lang w:val="zh-TW" w:eastAsia="zh-TW" w:bidi="zh-TW"/>
    </w:rPr>
  </w:style>
  <w:style w:type="paragraph" w:customStyle="1" w:styleId="11">
    <w:name w:val="Other|1"/>
    <w:basedOn w:val="1"/>
    <w:qFormat/>
    <w:uiPriority w:val="0"/>
    <w:pPr>
      <w:spacing w:line="442" w:lineRule="auto"/>
      <w:ind w:firstLine="400"/>
    </w:pPr>
    <w:rPr>
      <w:rFonts w:ascii="宋体" w:hAnsi="宋体" w:eastAsia="宋体" w:cs="宋体"/>
      <w:sz w:val="28"/>
      <w:szCs w:val="28"/>
      <w:lang w:val="zh-TW" w:eastAsia="zh-TW" w:bidi="zh-TW"/>
    </w:rPr>
  </w:style>
  <w:style w:type="paragraph" w:customStyle="1" w:styleId="12">
    <w:name w:val="Other|2"/>
    <w:basedOn w:val="1"/>
    <w:qFormat/>
    <w:uiPriority w:val="0"/>
    <w:pPr>
      <w:spacing w:before="90"/>
      <w:jc w:val="center"/>
    </w:pPr>
    <w:rPr>
      <w:rFonts w:ascii="宋体" w:hAnsi="宋体" w:eastAsia="宋体" w:cs="宋体"/>
      <w:sz w:val="20"/>
      <w:szCs w:val="20"/>
      <w:lang w:val="zh-TW" w:eastAsia="zh-TW" w:bidi="zh-TW"/>
    </w:rPr>
  </w:style>
  <w:style w:type="paragraph" w:customStyle="1" w:styleId="13">
    <w:name w:val="Header or footer|1"/>
    <w:basedOn w:val="1"/>
    <w:qFormat/>
    <w:uiPriority w:val="0"/>
    <w:rPr>
      <w:sz w:val="26"/>
      <w:szCs w:val="26"/>
      <w:lang w:val="zh-TW" w:eastAsia="zh-TW" w:bidi="zh-TW"/>
    </w:rPr>
  </w:style>
  <w:style w:type="paragraph" w:customStyle="1" w:styleId="14">
    <w:name w:val="Heading #1|1"/>
    <w:basedOn w:val="1"/>
    <w:qFormat/>
    <w:uiPriority w:val="0"/>
    <w:pPr>
      <w:spacing w:after="500" w:line="562" w:lineRule="exact"/>
      <w:jc w:val="center"/>
      <w:outlineLvl w:val="0"/>
    </w:pPr>
    <w:rPr>
      <w:rFonts w:ascii="宋体" w:hAnsi="宋体" w:eastAsia="宋体" w:cs="宋体"/>
      <w:sz w:val="44"/>
      <w:szCs w:val="44"/>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t>主动公开政府信息</a:t>
            </a:r>
          </a:p>
        </c:rich>
      </c:tx>
      <c:layout/>
      <c:overlay val="0"/>
      <c:spPr>
        <a:noFill/>
        <a:ln>
          <a:noFill/>
        </a:ln>
        <a:effectLst/>
      </c:spPr>
    </c:title>
    <c:autoTitleDeleted val="0"/>
    <c:plotArea>
      <c:layout>
        <c:manualLayout>
          <c:layoutTarget val="inner"/>
          <c:xMode val="edge"/>
          <c:yMode val="edge"/>
          <c:x val="0.300459674049311"/>
          <c:y val="0.25974025974026"/>
          <c:w val="0.408552723220504"/>
          <c:h val="0.692561983471074"/>
        </c:manualLayout>
      </c:layout>
      <c:pieChart>
        <c:varyColors val="1"/>
        <c:ser>
          <c:idx val="0"/>
          <c:order val="0"/>
          <c:tx>
            <c:strRef>
              <c:f>Sheet1!$B$1</c:f>
              <c:strCache>
                <c:ptCount val="1"/>
                <c:pt idx="0">
                  <c:v>系列 1</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0.0740177990015194"/>
                  <c:y val="0.0097397413380169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1786411981767"/>
                  <c:y val="-0.002395018361807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4115476448882"/>
                      <c:h val="0.124540954813987"/>
                    </c:manualLayout>
                  </c15:layout>
                </c:ext>
              </c:extLst>
            </c:dLbl>
            <c:dLbl>
              <c:idx val="2"/>
              <c:layout>
                <c:manualLayout>
                  <c:x val="-0.0526372910787931"/>
                  <c:y val="0.0047900367236148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29911004992403"/>
                  <c:y val="-0.00958007344722976"/>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政府网站</c:v>
                </c:pt>
                <c:pt idx="1">
                  <c:v>政府公报和其他渠道</c:v>
                </c:pt>
                <c:pt idx="2">
                  <c:v>政务微信</c:v>
                </c:pt>
                <c:pt idx="3">
                  <c:v>政务微博</c:v>
                </c:pt>
              </c:strCache>
            </c:strRef>
          </c:cat>
          <c:val>
            <c:numRef>
              <c:f>Sheet1!$B$2:$B$7</c:f>
              <c:numCache>
                <c:formatCode>General</c:formatCode>
                <c:ptCount val="6"/>
                <c:pt idx="0">
                  <c:v>6479</c:v>
                </c:pt>
                <c:pt idx="1">
                  <c:v>425</c:v>
                </c:pt>
                <c:pt idx="2">
                  <c:v>4576</c:v>
                </c:pt>
                <c:pt idx="3">
                  <c:v>784</c:v>
                </c:pt>
              </c:numCache>
            </c:numRef>
          </c:val>
        </c:ser>
        <c:ser>
          <c:idx val="1"/>
          <c:order val="1"/>
          <c:tx>
            <c:strRef>
              <c:f>Sheet1!$C$1</c:f>
              <c:strCache>
                <c:ptCount val="1"/>
                <c:pt idx="0">
                  <c:v>系列 2</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政府网站</c:v>
                </c:pt>
                <c:pt idx="1">
                  <c:v>政府公报和其他渠道</c:v>
                </c:pt>
                <c:pt idx="2">
                  <c:v>政务微信</c:v>
                </c:pt>
                <c:pt idx="3">
                  <c:v>政务微博</c:v>
                </c:pt>
              </c:strCache>
            </c:strRef>
          </c:cat>
          <c:val>
            <c:numRef>
              <c:f>Sheet1!$C$2:$C$7</c:f>
              <c:numCache>
                <c:formatCode>General</c:formatCode>
                <c:ptCount val="6"/>
                <c:pt idx="0">
                  <c:v>2.4</c:v>
                </c:pt>
                <c:pt idx="1">
                  <c:v>2.8</c:v>
                </c:pt>
                <c:pt idx="2">
                  <c:v>1.8</c:v>
                </c:pt>
                <c:pt idx="3">
                  <c:v>4.4</c:v>
                </c:pt>
              </c:numCache>
            </c:numRef>
          </c:val>
        </c:ser>
        <c:ser>
          <c:idx val="2"/>
          <c:order val="2"/>
          <c:tx>
            <c:strRef>
              <c:f>Sheet1!#REF!</c:f>
              <c:strCache>
                <c:ptCount val="1"/>
                <c:pt idx="0">
                  <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政府网站</c:v>
                </c:pt>
                <c:pt idx="1">
                  <c:v>政府公报和其他渠道</c:v>
                </c:pt>
                <c:pt idx="2">
                  <c:v>政务微信</c:v>
                </c:pt>
                <c:pt idx="3">
                  <c:v>政务微博</c:v>
                </c:pt>
              </c:strCache>
            </c:strRef>
          </c:cat>
          <c:val>
            <c:numRef>
              <c:f>Sheet1!#REF!</c:f>
              <c:numCache>
                <c:formatCode>General</c:formatCode>
                <c:ptCount val="1"/>
                <c:pt idx="0">
                  <c:v>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2021-01-22T06:57:00Z</dcterms:created>
  <dc:creator>Darren</dc:creator>
  <cp:lastModifiedBy>白白白白</cp:lastModifiedBy>
  <dcterms:modified xsi:type="dcterms:W3CDTF">2021-05-20T10:07:01Z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1770BA0F286C492E9BEA65A5C2CD9809</vt:lpwstr>
  </property>
</Properties>
</file>