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360" w:lineRule="auto"/>
        <w:jc w:val="center"/>
        <w:rPr>
          <w:rFonts w:eastAsia="方正小标宋简体"/>
          <w:sz w:val="44"/>
          <w:szCs w:val="44"/>
        </w:rPr>
      </w:pPr>
    </w:p>
    <w:p>
      <w:pPr>
        <w:spacing w:line="360" w:lineRule="auto"/>
        <w:jc w:val="center"/>
        <w:rPr>
          <w:rFonts w:eastAsia="方正小标宋简体"/>
          <w:sz w:val="44"/>
          <w:szCs w:val="44"/>
        </w:rPr>
      </w:pPr>
      <w:r>
        <w:rPr>
          <w:rFonts w:hint="eastAsia" w:eastAsia="方正小标宋简体"/>
          <w:sz w:val="44"/>
          <w:szCs w:val="44"/>
        </w:rPr>
        <w:t>沂源县“绿水青山就是金山银山”实践创新基地建设实施方案</w:t>
      </w:r>
    </w:p>
    <w:p>
      <w:pPr>
        <w:spacing w:line="360" w:lineRule="auto"/>
        <w:jc w:val="center"/>
        <w:rPr>
          <w:rFonts w:eastAsia="方正小标宋简体"/>
          <w:sz w:val="44"/>
          <w:szCs w:val="44"/>
        </w:rPr>
      </w:pPr>
      <w:r>
        <w:rPr>
          <w:rFonts w:hint="eastAsia" w:eastAsia="方正小标宋简体"/>
          <w:sz w:val="44"/>
          <w:szCs w:val="44"/>
        </w:rPr>
        <w:t>（202</w:t>
      </w:r>
      <w:r>
        <w:rPr>
          <w:rFonts w:hint="eastAsia" w:eastAsia="方正小标宋简体"/>
          <w:sz w:val="44"/>
          <w:szCs w:val="44"/>
          <w:lang w:val="en-US" w:eastAsia="zh-CN"/>
        </w:rPr>
        <w:t>3</w:t>
      </w:r>
      <w:r>
        <w:rPr>
          <w:rFonts w:hint="eastAsia" w:eastAsia="方正小标宋简体"/>
          <w:sz w:val="44"/>
          <w:szCs w:val="44"/>
          <w:lang w:eastAsia="zh-CN"/>
        </w:rPr>
        <w:t>—</w:t>
      </w:r>
      <w:r>
        <w:rPr>
          <w:rFonts w:hint="eastAsia" w:eastAsia="方正小标宋简体"/>
          <w:sz w:val="44"/>
          <w:szCs w:val="44"/>
        </w:rPr>
        <w:t>20</w:t>
      </w:r>
      <w:r>
        <w:rPr>
          <w:rFonts w:hint="eastAsia" w:eastAsia="方正小标宋简体"/>
          <w:sz w:val="44"/>
          <w:szCs w:val="44"/>
          <w:lang w:val="en-US" w:eastAsia="zh-CN"/>
        </w:rPr>
        <w:t>30</w:t>
      </w:r>
      <w:r>
        <w:rPr>
          <w:rFonts w:hint="eastAsia" w:eastAsia="方正小标宋简体"/>
          <w:sz w:val="44"/>
          <w:szCs w:val="44"/>
        </w:rPr>
        <w:t>年）</w:t>
      </w:r>
    </w:p>
    <w:p>
      <w:pPr>
        <w:spacing w:line="360" w:lineRule="auto"/>
        <w:jc w:val="center"/>
        <w:rPr>
          <w:rFonts w:hint="eastAsia" w:eastAsia="方正小标宋简体"/>
          <w:sz w:val="44"/>
          <w:szCs w:val="44"/>
          <w:lang w:eastAsia="zh-CN"/>
        </w:rPr>
      </w:pPr>
      <w:r>
        <w:rPr>
          <w:rFonts w:hint="eastAsia" w:eastAsia="方正小标宋简体"/>
          <w:sz w:val="44"/>
          <w:szCs w:val="44"/>
          <w:lang w:eastAsia="zh-CN"/>
        </w:rPr>
        <w:t>（</w:t>
      </w:r>
      <w:r>
        <w:rPr>
          <w:rFonts w:hint="eastAsia" w:eastAsia="方正小标宋简体"/>
          <w:sz w:val="44"/>
          <w:szCs w:val="44"/>
          <w:lang w:val="en-US" w:eastAsia="zh-CN"/>
        </w:rPr>
        <w:t>初稿</w:t>
      </w:r>
      <w:r>
        <w:rPr>
          <w:rFonts w:hint="eastAsia" w:eastAsia="方正小标宋简体"/>
          <w:sz w:val="44"/>
          <w:szCs w:val="44"/>
          <w:lang w:eastAsia="zh-CN"/>
        </w:rPr>
        <w:t>）</w:t>
      </w:r>
    </w:p>
    <w:p>
      <w:pPr>
        <w:spacing w:line="360" w:lineRule="auto"/>
        <w:jc w:val="center"/>
        <w:rPr>
          <w:rFonts w:eastAsia="方正小标宋简体"/>
          <w:sz w:val="44"/>
          <w:szCs w:val="44"/>
        </w:rPr>
      </w:pPr>
      <w:r>
        <w:rPr>
          <w:rFonts w:ascii="宋体" w:hAnsi="宋体" w:eastAsia="宋体" w:cs="宋体"/>
          <w:sz w:val="24"/>
          <w:szCs w:val="24"/>
        </w:rPr>
        <w:drawing>
          <wp:inline distT="0" distB="0" distL="114300" distR="114300">
            <wp:extent cx="5619750" cy="3743325"/>
            <wp:effectExtent l="0" t="0" r="6350" b="317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7"/>
                    <a:stretch>
                      <a:fillRect/>
                    </a:stretch>
                  </pic:blipFill>
                  <pic:spPr>
                    <a:xfrm>
                      <a:off x="0" y="0"/>
                      <a:ext cx="5619750" cy="3743325"/>
                    </a:xfrm>
                    <a:prstGeom prst="rect">
                      <a:avLst/>
                    </a:prstGeom>
                    <a:noFill/>
                    <a:ln w="9525">
                      <a:noFill/>
                    </a:ln>
                  </pic:spPr>
                </pic:pic>
              </a:graphicData>
            </a:graphic>
          </wp:inline>
        </w:drawing>
      </w:r>
    </w:p>
    <w:p>
      <w:pPr>
        <w:spacing w:line="360" w:lineRule="auto"/>
        <w:jc w:val="center"/>
        <w:rPr>
          <w:rFonts w:eastAsia="方正小标宋简体"/>
          <w:sz w:val="44"/>
          <w:szCs w:val="44"/>
        </w:rPr>
      </w:pPr>
    </w:p>
    <w:p>
      <w:pPr>
        <w:pStyle w:val="2"/>
        <w:rPr>
          <w:rFonts w:eastAsia="方正小标宋简体"/>
          <w:sz w:val="44"/>
          <w:szCs w:val="44"/>
        </w:rPr>
      </w:pPr>
    </w:p>
    <w:p>
      <w:pPr>
        <w:pStyle w:val="2"/>
        <w:rPr>
          <w:rFonts w:eastAsia="方正小标宋简体"/>
          <w:sz w:val="44"/>
          <w:szCs w:val="44"/>
        </w:rPr>
      </w:pPr>
    </w:p>
    <w:p>
      <w:pPr>
        <w:spacing w:line="360" w:lineRule="auto"/>
        <w:jc w:val="center"/>
        <w:rPr>
          <w:rFonts w:eastAsia="方正小标宋简体"/>
          <w:b/>
          <w:sz w:val="36"/>
          <w:szCs w:val="36"/>
        </w:rPr>
      </w:pPr>
      <w:r>
        <w:rPr>
          <w:rFonts w:hint="eastAsia" w:eastAsia="方正小标宋简体"/>
          <w:sz w:val="36"/>
          <w:szCs w:val="36"/>
        </w:rPr>
        <w:t>生态环境部环境规划院</w:t>
      </w:r>
    </w:p>
    <w:p>
      <w:pPr>
        <w:jc w:val="center"/>
        <w:rPr>
          <w:rFonts w:hint="eastAsia" w:eastAsia="方正小标宋简体"/>
          <w:sz w:val="36"/>
          <w:szCs w:val="36"/>
        </w:rPr>
      </w:pPr>
      <w:r>
        <w:rPr>
          <w:rFonts w:hint="eastAsia" w:eastAsia="方正小标宋简体"/>
          <w:sz w:val="36"/>
          <w:szCs w:val="36"/>
        </w:rPr>
        <w:t>2</w:t>
      </w:r>
      <w:r>
        <w:rPr>
          <w:rFonts w:eastAsia="方正小标宋简体"/>
          <w:sz w:val="36"/>
          <w:szCs w:val="36"/>
        </w:rPr>
        <w:t>02</w:t>
      </w:r>
      <w:r>
        <w:rPr>
          <w:rFonts w:hint="eastAsia" w:eastAsia="方正小标宋简体"/>
          <w:sz w:val="36"/>
          <w:szCs w:val="36"/>
        </w:rPr>
        <w:t>3年</w:t>
      </w:r>
      <w:r>
        <w:rPr>
          <w:rFonts w:hint="eastAsia" w:eastAsia="方正小标宋简体"/>
          <w:sz w:val="36"/>
          <w:szCs w:val="36"/>
          <w:lang w:val="en-US" w:eastAsia="zh-CN"/>
        </w:rPr>
        <w:t>6</w:t>
      </w:r>
      <w:r>
        <w:rPr>
          <w:rFonts w:hint="eastAsia" w:eastAsia="方正小标宋简体"/>
          <w:sz w:val="36"/>
          <w:szCs w:val="36"/>
        </w:rPr>
        <w:t>月</w:t>
      </w:r>
    </w:p>
    <w:p>
      <w:pPr>
        <w:pStyle w:val="2"/>
        <w:jc w:val="center"/>
        <w:rPr>
          <w:rFonts w:hint="eastAsia" w:ascii="黑体" w:hAnsi="黑体" w:eastAsia="黑体" w:cs="黑体"/>
          <w:sz w:val="44"/>
          <w:szCs w:val="44"/>
        </w:rPr>
        <w:sectPr>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Times New Roman" w:hAnsi="Times New Roman" w:eastAsia="方正小标宋简体" w:cs="Times New Roman"/>
          <w:kern w:val="2"/>
          <w:sz w:val="44"/>
          <w:szCs w:val="44"/>
          <w:lang w:val="en-US" w:eastAsia="zh-CN" w:bidi="ar-SA"/>
        </w:rPr>
      </w:pPr>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r>
        <w:rPr>
          <w:rFonts w:eastAsia="方正小标宋简体"/>
          <w:sz w:val="44"/>
          <w:szCs w:val="44"/>
        </w:rPr>
        <w:fldChar w:fldCharType="begin"/>
      </w:r>
      <w:r>
        <w:rPr>
          <w:rFonts w:eastAsia="方正小标宋简体"/>
          <w:sz w:val="44"/>
          <w:szCs w:val="44"/>
        </w:rPr>
        <w:instrText xml:space="preserve"> TOC \o "1-3" \h \z \u </w:instrText>
      </w:r>
      <w:r>
        <w:rPr>
          <w:rFonts w:eastAsia="方正小标宋简体"/>
          <w:sz w:val="44"/>
          <w:szCs w:val="44"/>
        </w:rPr>
        <w:fldChar w:fldCharType="separate"/>
      </w:r>
    </w:p>
    <w:p>
      <w:pPr>
        <w:pStyle w:val="11"/>
        <w:tabs>
          <w:tab w:val="right" w:leader="dot" w:pos="8306"/>
        </w:tabs>
      </w:pPr>
      <w:r>
        <w:rPr>
          <w:rFonts w:eastAsia="方正小标宋简体"/>
          <w:szCs w:val="44"/>
        </w:rPr>
        <w:fldChar w:fldCharType="begin"/>
      </w:r>
      <w:r>
        <w:rPr>
          <w:rFonts w:eastAsia="方正小标宋简体"/>
          <w:szCs w:val="44"/>
        </w:rPr>
        <w:instrText xml:space="preserve"> HYPERLINK \l _Toc7446 </w:instrText>
      </w:r>
      <w:r>
        <w:rPr>
          <w:rFonts w:eastAsia="方正小标宋简体"/>
          <w:szCs w:val="44"/>
        </w:rPr>
        <w:fldChar w:fldCharType="separate"/>
      </w:r>
      <w:r>
        <w:rPr>
          <w:rFonts w:eastAsia="黑体"/>
          <w:bCs/>
          <w:szCs w:val="32"/>
        </w:rPr>
        <w:t>一、建设背景与意义</w:t>
      </w:r>
      <w:r>
        <w:tab/>
      </w:r>
      <w:r>
        <w:fldChar w:fldCharType="begin"/>
      </w:r>
      <w:r>
        <w:instrText xml:space="preserve"> PAGEREF _Toc7446 \h </w:instrText>
      </w:r>
      <w:r>
        <w:fldChar w:fldCharType="separate"/>
      </w:r>
      <w:r>
        <w:t>1</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_Toc16439 </w:instrText>
      </w:r>
      <w:r>
        <w:rPr>
          <w:rFonts w:eastAsia="方正小标宋简体"/>
          <w:szCs w:val="44"/>
        </w:rPr>
        <w:fldChar w:fldCharType="separate"/>
      </w:r>
      <w:r>
        <w:rPr>
          <w:rFonts w:eastAsia="楷体_GB2312"/>
          <w:bCs/>
          <w:szCs w:val="32"/>
        </w:rPr>
        <w:t>（一）建设背景</w:t>
      </w:r>
      <w:r>
        <w:tab/>
      </w:r>
      <w:r>
        <w:fldChar w:fldCharType="begin"/>
      </w:r>
      <w:r>
        <w:instrText xml:space="preserve"> PAGEREF _Toc16439 \h </w:instrText>
      </w:r>
      <w:r>
        <w:fldChar w:fldCharType="separate"/>
      </w:r>
      <w:r>
        <w:t>1</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_Toc19956 </w:instrText>
      </w:r>
      <w:r>
        <w:rPr>
          <w:rFonts w:eastAsia="方正小标宋简体"/>
          <w:szCs w:val="44"/>
        </w:rPr>
        <w:fldChar w:fldCharType="separate"/>
      </w:r>
      <w:r>
        <w:rPr>
          <w:rFonts w:hint="eastAsia" w:eastAsia="楷体_GB2312"/>
          <w:bCs/>
          <w:szCs w:val="32"/>
        </w:rPr>
        <w:t>（二）重要</w:t>
      </w:r>
      <w:r>
        <w:rPr>
          <w:rFonts w:eastAsia="楷体_GB2312"/>
          <w:bCs/>
          <w:szCs w:val="32"/>
        </w:rPr>
        <w:t>意义</w:t>
      </w:r>
      <w:r>
        <w:tab/>
      </w:r>
      <w:r>
        <w:fldChar w:fldCharType="begin"/>
      </w:r>
      <w:r>
        <w:instrText xml:space="preserve"> PAGEREF _Toc19956 \h </w:instrText>
      </w:r>
      <w:r>
        <w:fldChar w:fldCharType="separate"/>
      </w:r>
      <w:r>
        <w:t>2</w:t>
      </w:r>
      <w:r>
        <w:fldChar w:fldCharType="end"/>
      </w:r>
      <w:r>
        <w:rPr>
          <w:rFonts w:eastAsia="方正小标宋简体"/>
          <w:szCs w:val="44"/>
        </w:rPr>
        <w:fldChar w:fldCharType="end"/>
      </w:r>
    </w:p>
    <w:p>
      <w:pPr>
        <w:pStyle w:val="11"/>
        <w:tabs>
          <w:tab w:val="right" w:leader="dot" w:pos="8306"/>
        </w:tabs>
      </w:pPr>
      <w:r>
        <w:rPr>
          <w:rFonts w:eastAsia="方正小标宋简体"/>
          <w:szCs w:val="44"/>
        </w:rPr>
        <w:fldChar w:fldCharType="begin"/>
      </w:r>
      <w:r>
        <w:rPr>
          <w:rFonts w:eastAsia="方正小标宋简体"/>
          <w:szCs w:val="44"/>
        </w:rPr>
        <w:instrText xml:space="preserve"> HYPERLINK \l _Toc20882 </w:instrText>
      </w:r>
      <w:r>
        <w:rPr>
          <w:rFonts w:eastAsia="方正小标宋简体"/>
          <w:szCs w:val="44"/>
        </w:rPr>
        <w:fldChar w:fldCharType="separate"/>
      </w:r>
      <w:r>
        <w:rPr>
          <w:rFonts w:eastAsia="黑体"/>
          <w:bCs/>
          <w:szCs w:val="32"/>
        </w:rPr>
        <w:t>二、区域概况</w:t>
      </w:r>
      <w:r>
        <w:tab/>
      </w:r>
      <w:r>
        <w:fldChar w:fldCharType="begin"/>
      </w:r>
      <w:r>
        <w:instrText xml:space="preserve"> PAGEREF _Toc20882 \h </w:instrText>
      </w:r>
      <w:r>
        <w:fldChar w:fldCharType="separate"/>
      </w:r>
      <w:r>
        <w:t>4</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_Toc18861 </w:instrText>
      </w:r>
      <w:r>
        <w:rPr>
          <w:rFonts w:eastAsia="方正小标宋简体"/>
          <w:szCs w:val="44"/>
        </w:rPr>
        <w:fldChar w:fldCharType="separate"/>
      </w:r>
      <w:r>
        <w:rPr>
          <w:rFonts w:eastAsia="楷体_GB2312"/>
          <w:bCs/>
          <w:szCs w:val="32"/>
        </w:rPr>
        <w:t>（一）区位概况</w:t>
      </w:r>
      <w:r>
        <w:tab/>
      </w:r>
      <w:r>
        <w:fldChar w:fldCharType="begin"/>
      </w:r>
      <w:r>
        <w:instrText xml:space="preserve"> PAGEREF _Toc18861 \h </w:instrText>
      </w:r>
      <w:r>
        <w:fldChar w:fldCharType="separate"/>
      </w:r>
      <w:r>
        <w:t>4</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_Toc31788 </w:instrText>
      </w:r>
      <w:r>
        <w:rPr>
          <w:rFonts w:eastAsia="方正小标宋简体"/>
          <w:szCs w:val="44"/>
        </w:rPr>
        <w:fldChar w:fldCharType="separate"/>
      </w:r>
      <w:r>
        <w:rPr>
          <w:rFonts w:eastAsia="仿宋_GB2312"/>
          <w:szCs w:val="32"/>
        </w:rPr>
        <w:t>1.</w:t>
      </w:r>
      <w:r>
        <w:rPr>
          <w:rFonts w:hint="eastAsia" w:eastAsia="仿宋_GB2312"/>
          <w:szCs w:val="32"/>
        </w:rPr>
        <w:t xml:space="preserve"> 地理位置</w:t>
      </w:r>
      <w:r>
        <w:tab/>
      </w:r>
      <w:r>
        <w:fldChar w:fldCharType="begin"/>
      </w:r>
      <w:r>
        <w:instrText xml:space="preserve"> PAGEREF _Toc31788 \h </w:instrText>
      </w:r>
      <w:r>
        <w:fldChar w:fldCharType="separate"/>
      </w:r>
      <w:r>
        <w:t>4</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_Toc26925 </w:instrText>
      </w:r>
      <w:r>
        <w:rPr>
          <w:rFonts w:eastAsia="方正小标宋简体"/>
          <w:szCs w:val="44"/>
        </w:rPr>
        <w:fldChar w:fldCharType="separate"/>
      </w:r>
      <w:r>
        <w:rPr>
          <w:rFonts w:hint="eastAsia" w:eastAsia="仿宋_GB2312"/>
          <w:szCs w:val="32"/>
        </w:rPr>
        <w:t xml:space="preserve">2. </w:t>
      </w:r>
      <w:r>
        <w:rPr>
          <w:rFonts w:eastAsia="仿宋_GB2312"/>
          <w:szCs w:val="32"/>
        </w:rPr>
        <w:t>行政区划</w:t>
      </w:r>
      <w:r>
        <w:tab/>
      </w:r>
      <w:r>
        <w:fldChar w:fldCharType="begin"/>
      </w:r>
      <w:r>
        <w:instrText xml:space="preserve"> PAGEREF _Toc26925 \h </w:instrText>
      </w:r>
      <w:r>
        <w:fldChar w:fldCharType="separate"/>
      </w:r>
      <w:r>
        <w:t>5</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_Toc21982 </w:instrText>
      </w:r>
      <w:r>
        <w:rPr>
          <w:rFonts w:eastAsia="方正小标宋简体"/>
          <w:szCs w:val="44"/>
        </w:rPr>
        <w:fldChar w:fldCharType="separate"/>
      </w:r>
      <w:r>
        <w:rPr>
          <w:rFonts w:eastAsia="楷体_GB2312"/>
          <w:bCs/>
          <w:szCs w:val="32"/>
        </w:rPr>
        <w:t>（二）自然状况</w:t>
      </w:r>
      <w:r>
        <w:tab/>
      </w:r>
      <w:r>
        <w:fldChar w:fldCharType="begin"/>
      </w:r>
      <w:r>
        <w:instrText xml:space="preserve"> PAGEREF _Toc21982 \h </w:instrText>
      </w:r>
      <w:r>
        <w:fldChar w:fldCharType="separate"/>
      </w:r>
      <w:r>
        <w:t>6</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_Toc28959 </w:instrText>
      </w:r>
      <w:r>
        <w:rPr>
          <w:rFonts w:eastAsia="方正小标宋简体"/>
          <w:szCs w:val="44"/>
        </w:rPr>
        <w:fldChar w:fldCharType="separate"/>
      </w:r>
      <w:r>
        <w:rPr>
          <w:rFonts w:eastAsia="仿宋_GB2312"/>
          <w:szCs w:val="32"/>
        </w:rPr>
        <w:t>1.</w:t>
      </w:r>
      <w:r>
        <w:rPr>
          <w:rFonts w:hint="eastAsia" w:eastAsia="仿宋_GB2312"/>
          <w:szCs w:val="32"/>
        </w:rPr>
        <w:t xml:space="preserve"> 地形地貌</w:t>
      </w:r>
      <w:r>
        <w:tab/>
      </w:r>
      <w:r>
        <w:fldChar w:fldCharType="begin"/>
      </w:r>
      <w:r>
        <w:instrText xml:space="preserve"> PAGEREF _Toc28959 \h </w:instrText>
      </w:r>
      <w:r>
        <w:fldChar w:fldCharType="separate"/>
      </w:r>
      <w:r>
        <w:t>6</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_Toc17938 </w:instrText>
      </w:r>
      <w:r>
        <w:rPr>
          <w:rFonts w:eastAsia="方正小标宋简体"/>
          <w:szCs w:val="44"/>
        </w:rPr>
        <w:fldChar w:fldCharType="separate"/>
      </w:r>
      <w:r>
        <w:rPr>
          <w:rFonts w:hint="eastAsia" w:eastAsia="仿宋_GB2312"/>
          <w:szCs w:val="32"/>
        </w:rPr>
        <w:t>2. 气候特征</w:t>
      </w:r>
      <w:r>
        <w:tab/>
      </w:r>
      <w:r>
        <w:fldChar w:fldCharType="begin"/>
      </w:r>
      <w:r>
        <w:instrText xml:space="preserve"> PAGEREF _Toc17938 \h </w:instrText>
      </w:r>
      <w:r>
        <w:fldChar w:fldCharType="separate"/>
      </w:r>
      <w:r>
        <w:t>6</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_Toc13059 </w:instrText>
      </w:r>
      <w:r>
        <w:rPr>
          <w:rFonts w:eastAsia="方正小标宋简体"/>
          <w:szCs w:val="44"/>
        </w:rPr>
        <w:fldChar w:fldCharType="separate"/>
      </w:r>
      <w:r>
        <w:rPr>
          <w:rFonts w:hint="eastAsia" w:eastAsia="仿宋_GB2312"/>
          <w:szCs w:val="32"/>
        </w:rPr>
        <w:t>3. 水文水系</w:t>
      </w:r>
      <w:r>
        <w:tab/>
      </w:r>
      <w:r>
        <w:fldChar w:fldCharType="begin"/>
      </w:r>
      <w:r>
        <w:instrText xml:space="preserve"> PAGEREF _Toc13059 \h </w:instrText>
      </w:r>
      <w:r>
        <w:fldChar w:fldCharType="separate"/>
      </w:r>
      <w:r>
        <w:t>6</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_Toc18688 </w:instrText>
      </w:r>
      <w:r>
        <w:rPr>
          <w:rFonts w:eastAsia="方正小标宋简体"/>
          <w:szCs w:val="44"/>
        </w:rPr>
        <w:fldChar w:fldCharType="separate"/>
      </w:r>
      <w:r>
        <w:rPr>
          <w:rFonts w:hint="eastAsia" w:eastAsia="仿宋_GB2312"/>
          <w:szCs w:val="32"/>
        </w:rPr>
        <w:t>4. 土壤植被</w:t>
      </w:r>
      <w:r>
        <w:tab/>
      </w:r>
      <w:r>
        <w:fldChar w:fldCharType="begin"/>
      </w:r>
      <w:r>
        <w:instrText xml:space="preserve"> PAGEREF _Toc18688 \h </w:instrText>
      </w:r>
      <w:r>
        <w:fldChar w:fldCharType="separate"/>
      </w:r>
      <w:r>
        <w:t>7</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_Toc20486 </w:instrText>
      </w:r>
      <w:r>
        <w:rPr>
          <w:rFonts w:eastAsia="方正小标宋简体"/>
          <w:szCs w:val="44"/>
        </w:rPr>
        <w:fldChar w:fldCharType="separate"/>
      </w:r>
      <w:r>
        <w:rPr>
          <w:rFonts w:hint="eastAsia" w:eastAsia="楷体_GB2312"/>
          <w:bCs/>
          <w:szCs w:val="32"/>
        </w:rPr>
        <w:t xml:space="preserve">（三） </w:t>
      </w:r>
      <w:r>
        <w:rPr>
          <w:rFonts w:eastAsia="楷体_GB2312"/>
          <w:bCs/>
          <w:szCs w:val="32"/>
        </w:rPr>
        <w:t>资源状况</w:t>
      </w:r>
      <w:r>
        <w:tab/>
      </w:r>
      <w:r>
        <w:fldChar w:fldCharType="begin"/>
      </w:r>
      <w:r>
        <w:instrText xml:space="preserve"> PAGEREF _Toc20486 \h </w:instrText>
      </w:r>
      <w:r>
        <w:fldChar w:fldCharType="separate"/>
      </w:r>
      <w:r>
        <w:t>8</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_Toc430 </w:instrText>
      </w:r>
      <w:r>
        <w:rPr>
          <w:rFonts w:eastAsia="方正小标宋简体"/>
          <w:szCs w:val="44"/>
        </w:rPr>
        <w:fldChar w:fldCharType="separate"/>
      </w:r>
      <w:r>
        <w:rPr>
          <w:rFonts w:hint="default" w:eastAsia="仿宋_GB2312"/>
          <w:szCs w:val="32"/>
        </w:rPr>
        <w:t xml:space="preserve">1. </w:t>
      </w:r>
      <w:r>
        <w:rPr>
          <w:rFonts w:hint="eastAsia" w:eastAsia="仿宋_GB2312"/>
          <w:szCs w:val="32"/>
        </w:rPr>
        <w:t>水资源</w:t>
      </w:r>
      <w:r>
        <w:tab/>
      </w:r>
      <w:r>
        <w:fldChar w:fldCharType="begin"/>
      </w:r>
      <w:r>
        <w:instrText xml:space="preserve"> PAGEREF _Toc430 \h </w:instrText>
      </w:r>
      <w:r>
        <w:fldChar w:fldCharType="separate"/>
      </w:r>
      <w:r>
        <w:t>8</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_Toc29561 </w:instrText>
      </w:r>
      <w:r>
        <w:rPr>
          <w:rFonts w:eastAsia="方正小标宋简体"/>
          <w:szCs w:val="44"/>
        </w:rPr>
        <w:fldChar w:fldCharType="separate"/>
      </w:r>
      <w:r>
        <w:rPr>
          <w:rFonts w:hint="default" w:eastAsia="仿宋_GB2312"/>
          <w:szCs w:val="32"/>
        </w:rPr>
        <w:t xml:space="preserve">2. </w:t>
      </w:r>
      <w:r>
        <w:rPr>
          <w:rFonts w:hint="eastAsia" w:eastAsia="仿宋_GB2312"/>
          <w:szCs w:val="32"/>
        </w:rPr>
        <w:t>土地资源</w:t>
      </w:r>
      <w:r>
        <w:tab/>
      </w:r>
      <w:r>
        <w:fldChar w:fldCharType="begin"/>
      </w:r>
      <w:r>
        <w:instrText xml:space="preserve"> PAGEREF _Toc29561 \h </w:instrText>
      </w:r>
      <w:r>
        <w:fldChar w:fldCharType="separate"/>
      </w:r>
      <w:r>
        <w:t>9</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_Toc14595 </w:instrText>
      </w:r>
      <w:r>
        <w:rPr>
          <w:rFonts w:eastAsia="方正小标宋简体"/>
          <w:szCs w:val="44"/>
        </w:rPr>
        <w:fldChar w:fldCharType="separate"/>
      </w:r>
      <w:r>
        <w:rPr>
          <w:rFonts w:hint="default" w:eastAsia="仿宋_GB2312"/>
          <w:szCs w:val="32"/>
        </w:rPr>
        <w:t xml:space="preserve">3. </w:t>
      </w:r>
      <w:r>
        <w:rPr>
          <w:rFonts w:hint="eastAsia" w:eastAsia="仿宋_GB2312"/>
          <w:szCs w:val="32"/>
        </w:rPr>
        <w:t>生物资源</w:t>
      </w:r>
      <w:r>
        <w:tab/>
      </w:r>
      <w:r>
        <w:fldChar w:fldCharType="begin"/>
      </w:r>
      <w:r>
        <w:instrText xml:space="preserve"> PAGEREF _Toc14595 \h </w:instrText>
      </w:r>
      <w:r>
        <w:fldChar w:fldCharType="separate"/>
      </w:r>
      <w:r>
        <w:t>10</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_Toc18967 </w:instrText>
      </w:r>
      <w:r>
        <w:rPr>
          <w:rFonts w:eastAsia="方正小标宋简体"/>
          <w:szCs w:val="44"/>
        </w:rPr>
        <w:fldChar w:fldCharType="separate"/>
      </w:r>
      <w:r>
        <w:rPr>
          <w:rFonts w:hint="default" w:eastAsia="仿宋_GB2312"/>
          <w:szCs w:val="32"/>
        </w:rPr>
        <w:t xml:space="preserve">4. </w:t>
      </w:r>
      <w:r>
        <w:rPr>
          <w:rFonts w:hint="eastAsia" w:eastAsia="仿宋_GB2312"/>
          <w:szCs w:val="32"/>
        </w:rPr>
        <w:t>旅游资源</w:t>
      </w:r>
      <w:r>
        <w:tab/>
      </w:r>
      <w:r>
        <w:fldChar w:fldCharType="begin"/>
      </w:r>
      <w:r>
        <w:instrText xml:space="preserve"> PAGEREF _Toc18967 \h </w:instrText>
      </w:r>
      <w:r>
        <w:fldChar w:fldCharType="separate"/>
      </w:r>
      <w:r>
        <w:t>10</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_Toc6771 </w:instrText>
      </w:r>
      <w:r>
        <w:rPr>
          <w:rFonts w:eastAsia="方正小标宋简体"/>
          <w:szCs w:val="44"/>
        </w:rPr>
        <w:fldChar w:fldCharType="separate"/>
      </w:r>
      <w:r>
        <w:rPr>
          <w:rFonts w:hint="default" w:eastAsia="仿宋_GB2312"/>
          <w:szCs w:val="32"/>
        </w:rPr>
        <w:t xml:space="preserve">5. </w:t>
      </w:r>
      <w:r>
        <w:rPr>
          <w:rFonts w:hint="eastAsia" w:eastAsia="仿宋_GB2312"/>
          <w:szCs w:val="32"/>
        </w:rPr>
        <w:t>文化资源</w:t>
      </w:r>
      <w:r>
        <w:tab/>
      </w:r>
      <w:r>
        <w:fldChar w:fldCharType="begin"/>
      </w:r>
      <w:r>
        <w:instrText xml:space="preserve"> PAGEREF _Toc6771 \h </w:instrText>
      </w:r>
      <w:r>
        <w:fldChar w:fldCharType="separate"/>
      </w:r>
      <w:r>
        <w:t>11</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_Toc25733 </w:instrText>
      </w:r>
      <w:r>
        <w:rPr>
          <w:rFonts w:eastAsia="方正小标宋简体"/>
          <w:szCs w:val="44"/>
        </w:rPr>
        <w:fldChar w:fldCharType="separate"/>
      </w:r>
      <w:r>
        <w:rPr>
          <w:rFonts w:eastAsia="楷体_GB2312"/>
          <w:bCs/>
          <w:szCs w:val="32"/>
        </w:rPr>
        <w:t>（四）社会经济状况</w:t>
      </w:r>
      <w:r>
        <w:tab/>
      </w:r>
      <w:r>
        <w:fldChar w:fldCharType="begin"/>
      </w:r>
      <w:r>
        <w:instrText xml:space="preserve"> PAGEREF _Toc25733 \h </w:instrText>
      </w:r>
      <w:r>
        <w:fldChar w:fldCharType="separate"/>
      </w:r>
      <w:r>
        <w:t>12</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_Toc17167 </w:instrText>
      </w:r>
      <w:r>
        <w:rPr>
          <w:rFonts w:eastAsia="方正小标宋简体"/>
          <w:szCs w:val="44"/>
        </w:rPr>
        <w:fldChar w:fldCharType="separate"/>
      </w:r>
      <w:r>
        <w:rPr>
          <w:rFonts w:eastAsia="仿宋_GB2312"/>
          <w:szCs w:val="32"/>
        </w:rPr>
        <w:t>1.</w:t>
      </w:r>
      <w:r>
        <w:rPr>
          <w:rFonts w:hint="eastAsia" w:eastAsia="仿宋_GB2312"/>
          <w:szCs w:val="32"/>
        </w:rPr>
        <w:t xml:space="preserve"> 经济发展状况</w:t>
      </w:r>
      <w:r>
        <w:tab/>
      </w:r>
      <w:r>
        <w:fldChar w:fldCharType="begin"/>
      </w:r>
      <w:r>
        <w:instrText xml:space="preserve"> PAGEREF _Toc17167 \h </w:instrText>
      </w:r>
      <w:r>
        <w:fldChar w:fldCharType="separate"/>
      </w:r>
      <w:r>
        <w:t>12</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_Toc26277 </w:instrText>
      </w:r>
      <w:r>
        <w:rPr>
          <w:rFonts w:eastAsia="方正小标宋简体"/>
          <w:szCs w:val="44"/>
        </w:rPr>
        <w:fldChar w:fldCharType="separate"/>
      </w:r>
      <w:r>
        <w:rPr>
          <w:rFonts w:hint="eastAsia" w:eastAsia="仿宋_GB2312"/>
          <w:szCs w:val="32"/>
        </w:rPr>
        <w:t>2. 社会发展状况</w:t>
      </w:r>
      <w:r>
        <w:tab/>
      </w:r>
      <w:r>
        <w:fldChar w:fldCharType="begin"/>
      </w:r>
      <w:r>
        <w:instrText xml:space="preserve"> PAGEREF _Toc26277 \h </w:instrText>
      </w:r>
      <w:r>
        <w:fldChar w:fldCharType="separate"/>
      </w:r>
      <w:r>
        <w:t>14</w:t>
      </w:r>
      <w:r>
        <w:fldChar w:fldCharType="end"/>
      </w:r>
      <w:r>
        <w:rPr>
          <w:rFonts w:eastAsia="方正小标宋简体"/>
          <w:szCs w:val="44"/>
        </w:rPr>
        <w:fldChar w:fldCharType="end"/>
      </w:r>
    </w:p>
    <w:p>
      <w:pPr>
        <w:pStyle w:val="11"/>
        <w:tabs>
          <w:tab w:val="right" w:leader="dot" w:pos="8306"/>
        </w:tabs>
      </w:pPr>
      <w:r>
        <w:rPr>
          <w:rFonts w:eastAsia="方正小标宋简体"/>
          <w:szCs w:val="44"/>
        </w:rPr>
        <w:fldChar w:fldCharType="begin"/>
      </w:r>
      <w:r>
        <w:rPr>
          <w:rFonts w:eastAsia="方正小标宋简体"/>
          <w:szCs w:val="44"/>
        </w:rPr>
        <w:instrText xml:space="preserve"> HYPERLINK \l _Toc7670 </w:instrText>
      </w:r>
      <w:r>
        <w:rPr>
          <w:rFonts w:eastAsia="方正小标宋简体"/>
          <w:szCs w:val="44"/>
        </w:rPr>
        <w:fldChar w:fldCharType="separate"/>
      </w:r>
      <w:r>
        <w:rPr>
          <w:rFonts w:eastAsia="黑体"/>
          <w:bCs/>
          <w:szCs w:val="32"/>
        </w:rPr>
        <w:t>三、</w:t>
      </w:r>
      <w:r>
        <w:rPr>
          <w:rFonts w:hint="eastAsia" w:eastAsia="黑体"/>
          <w:bCs/>
          <w:szCs w:val="32"/>
        </w:rPr>
        <w:t>“</w:t>
      </w:r>
      <w:r>
        <w:rPr>
          <w:rFonts w:eastAsia="黑体"/>
          <w:bCs/>
          <w:szCs w:val="32"/>
        </w:rPr>
        <w:t>两山</w:t>
      </w:r>
      <w:r>
        <w:rPr>
          <w:rFonts w:hint="eastAsia" w:eastAsia="黑体"/>
          <w:bCs/>
          <w:szCs w:val="32"/>
        </w:rPr>
        <w:t>”</w:t>
      </w:r>
      <w:r>
        <w:rPr>
          <w:rFonts w:eastAsia="黑体"/>
          <w:bCs/>
          <w:szCs w:val="32"/>
        </w:rPr>
        <w:t>实践探索成效与问题分析</w:t>
      </w:r>
      <w:r>
        <w:tab/>
      </w:r>
      <w:r>
        <w:fldChar w:fldCharType="begin"/>
      </w:r>
      <w:r>
        <w:instrText xml:space="preserve"> PAGEREF _Toc7670 \h </w:instrText>
      </w:r>
      <w:r>
        <w:fldChar w:fldCharType="separate"/>
      </w:r>
      <w:r>
        <w:t>15</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_Toc12984 </w:instrText>
      </w:r>
      <w:r>
        <w:rPr>
          <w:rFonts w:eastAsia="方正小标宋简体"/>
          <w:szCs w:val="44"/>
        </w:rPr>
        <w:fldChar w:fldCharType="separate"/>
      </w:r>
      <w:r>
        <w:rPr>
          <w:rFonts w:eastAsia="楷体_GB2312"/>
          <w:bCs/>
          <w:szCs w:val="32"/>
        </w:rPr>
        <w:t>（一）进展与成效</w:t>
      </w:r>
      <w:r>
        <w:tab/>
      </w:r>
      <w:r>
        <w:fldChar w:fldCharType="begin"/>
      </w:r>
      <w:r>
        <w:instrText xml:space="preserve"> PAGEREF _Toc12984 \h </w:instrText>
      </w:r>
      <w:r>
        <w:fldChar w:fldCharType="separate"/>
      </w:r>
      <w:r>
        <w:t>15</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_Toc8578 </w:instrText>
      </w:r>
      <w:r>
        <w:rPr>
          <w:rFonts w:eastAsia="方正小标宋简体"/>
          <w:szCs w:val="44"/>
        </w:rPr>
        <w:fldChar w:fldCharType="separate"/>
      </w:r>
      <w:r>
        <w:rPr>
          <w:rFonts w:hint="default" w:ascii="Times New Roman" w:hAnsi="Times New Roman" w:eastAsia="仿宋_GB2312" w:cs="Times New Roman"/>
          <w:szCs w:val="32"/>
        </w:rPr>
        <w:t xml:space="preserve">1. </w:t>
      </w:r>
      <w:r>
        <w:rPr>
          <w:rFonts w:hint="eastAsia" w:ascii="Times New Roman" w:hAnsi="Times New Roman" w:eastAsia="仿宋_GB2312" w:cs="Times New Roman"/>
          <w:szCs w:val="32"/>
        </w:rPr>
        <w:t>生态环境质量稳中趋好</w:t>
      </w:r>
      <w:r>
        <w:tab/>
      </w:r>
      <w:r>
        <w:fldChar w:fldCharType="begin"/>
      </w:r>
      <w:r>
        <w:instrText xml:space="preserve"> PAGEREF _Toc8578 \h </w:instrText>
      </w:r>
      <w:r>
        <w:fldChar w:fldCharType="separate"/>
      </w:r>
      <w:r>
        <w:t>15</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_Toc30310 </w:instrText>
      </w:r>
      <w:r>
        <w:rPr>
          <w:rFonts w:eastAsia="方正小标宋简体"/>
          <w:szCs w:val="44"/>
        </w:rPr>
        <w:fldChar w:fldCharType="separate"/>
      </w:r>
      <w:r>
        <w:rPr>
          <w:rFonts w:hint="default" w:ascii="Times New Roman" w:hAnsi="Times New Roman" w:eastAsia="仿宋_GB2312" w:cs="Times New Roman"/>
          <w:szCs w:val="32"/>
        </w:rPr>
        <w:t xml:space="preserve">2. </w:t>
      </w:r>
      <w:r>
        <w:rPr>
          <w:rFonts w:hint="eastAsia" w:ascii="Times New Roman" w:hAnsi="Times New Roman" w:eastAsia="仿宋_GB2312" w:cs="Times New Roman"/>
          <w:szCs w:val="32"/>
        </w:rPr>
        <w:t>自然资本实现保值增值</w:t>
      </w:r>
      <w:r>
        <w:tab/>
      </w:r>
      <w:r>
        <w:fldChar w:fldCharType="begin"/>
      </w:r>
      <w:r>
        <w:instrText xml:space="preserve"> PAGEREF _Toc30310 \h </w:instrText>
      </w:r>
      <w:r>
        <w:fldChar w:fldCharType="separate"/>
      </w:r>
      <w:r>
        <w:t>16</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_Toc23202 </w:instrText>
      </w:r>
      <w:r>
        <w:rPr>
          <w:rFonts w:eastAsia="方正小标宋简体"/>
          <w:szCs w:val="44"/>
        </w:rPr>
        <w:fldChar w:fldCharType="separate"/>
      </w:r>
      <w:r>
        <w:rPr>
          <w:rFonts w:hint="default" w:ascii="Times New Roman" w:hAnsi="Times New Roman" w:eastAsia="仿宋_GB2312" w:cs="Times New Roman"/>
          <w:szCs w:val="32"/>
        </w:rPr>
        <w:t xml:space="preserve">3. </w:t>
      </w:r>
      <w:r>
        <w:rPr>
          <w:rFonts w:hint="eastAsia" w:ascii="Times New Roman" w:hAnsi="Times New Roman" w:eastAsia="仿宋_GB2312" w:cs="Times New Roman"/>
          <w:szCs w:val="32"/>
        </w:rPr>
        <w:t>“两山”转化通道不断拓展</w:t>
      </w:r>
      <w:r>
        <w:tab/>
      </w:r>
      <w:r>
        <w:fldChar w:fldCharType="begin"/>
      </w:r>
      <w:r>
        <w:instrText xml:space="preserve"> PAGEREF _Toc23202 \h </w:instrText>
      </w:r>
      <w:r>
        <w:fldChar w:fldCharType="separate"/>
      </w:r>
      <w:r>
        <w:t>18</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_Toc28960 </w:instrText>
      </w:r>
      <w:r>
        <w:rPr>
          <w:rFonts w:eastAsia="方正小标宋简体"/>
          <w:szCs w:val="44"/>
        </w:rPr>
        <w:fldChar w:fldCharType="separate"/>
      </w:r>
      <w:r>
        <w:rPr>
          <w:rFonts w:hint="default" w:ascii="Times New Roman" w:hAnsi="Times New Roman" w:eastAsia="仿宋_GB2312" w:cs="Times New Roman"/>
          <w:szCs w:val="32"/>
        </w:rPr>
        <w:t xml:space="preserve">4. </w:t>
      </w:r>
      <w:r>
        <w:rPr>
          <w:rFonts w:hint="eastAsia" w:ascii="Times New Roman" w:hAnsi="Times New Roman" w:eastAsia="仿宋_GB2312" w:cs="Times New Roman"/>
          <w:szCs w:val="32"/>
          <w:highlight w:val="none"/>
        </w:rPr>
        <w:t>城乡人居环境明显改善</w:t>
      </w:r>
      <w:r>
        <w:tab/>
      </w:r>
      <w:r>
        <w:fldChar w:fldCharType="begin"/>
      </w:r>
      <w:r>
        <w:instrText xml:space="preserve"> PAGEREF _Toc28960 \h </w:instrText>
      </w:r>
      <w:r>
        <w:fldChar w:fldCharType="separate"/>
      </w:r>
      <w:r>
        <w:t>19</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_Toc24641 </w:instrText>
      </w:r>
      <w:r>
        <w:rPr>
          <w:rFonts w:eastAsia="方正小标宋简体"/>
          <w:szCs w:val="44"/>
        </w:rPr>
        <w:fldChar w:fldCharType="separate"/>
      </w:r>
      <w:r>
        <w:rPr>
          <w:rFonts w:hint="default" w:ascii="Times New Roman" w:hAnsi="Times New Roman" w:eastAsia="仿宋_GB2312" w:cs="Times New Roman"/>
          <w:szCs w:val="32"/>
        </w:rPr>
        <w:t xml:space="preserve">5. </w:t>
      </w:r>
      <w:r>
        <w:rPr>
          <w:rFonts w:hint="eastAsia" w:ascii="Times New Roman" w:hAnsi="Times New Roman" w:eastAsia="仿宋_GB2312" w:cs="Times New Roman"/>
          <w:szCs w:val="32"/>
          <w:highlight w:val="none"/>
        </w:rPr>
        <w:t>“两山”转化保障机制创新完善</w:t>
      </w:r>
      <w:r>
        <w:tab/>
      </w:r>
      <w:r>
        <w:fldChar w:fldCharType="begin"/>
      </w:r>
      <w:r>
        <w:instrText xml:space="preserve"> PAGEREF _Toc24641 \h </w:instrText>
      </w:r>
      <w:r>
        <w:fldChar w:fldCharType="separate"/>
      </w:r>
      <w:r>
        <w:t>21</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_Toc18042 </w:instrText>
      </w:r>
      <w:r>
        <w:rPr>
          <w:rFonts w:eastAsia="方正小标宋简体"/>
          <w:szCs w:val="44"/>
        </w:rPr>
        <w:fldChar w:fldCharType="separate"/>
      </w:r>
      <w:r>
        <w:rPr>
          <w:rFonts w:hint="default" w:ascii="Times New Roman" w:hAnsi="Times New Roman" w:eastAsia="仿宋_GB2312" w:cs="Times New Roman"/>
          <w:szCs w:val="32"/>
        </w:rPr>
        <w:t xml:space="preserve">6. </w:t>
      </w:r>
      <w:r>
        <w:rPr>
          <w:rFonts w:hint="eastAsia" w:ascii="Times New Roman" w:hAnsi="Times New Roman" w:eastAsia="仿宋_GB2312" w:cs="Times New Roman"/>
          <w:szCs w:val="32"/>
        </w:rPr>
        <w:t>绿色生活</w:t>
      </w:r>
      <w:r>
        <w:rPr>
          <w:rFonts w:hint="eastAsia" w:eastAsia="仿宋_GB2312" w:cs="Times New Roman"/>
          <w:szCs w:val="32"/>
          <w:lang w:val="en-US" w:eastAsia="zh-CN"/>
        </w:rPr>
        <w:t>理念</w:t>
      </w:r>
      <w:r>
        <w:rPr>
          <w:rFonts w:hint="eastAsia" w:ascii="Times New Roman" w:hAnsi="Times New Roman" w:eastAsia="仿宋_GB2312" w:cs="Times New Roman"/>
          <w:szCs w:val="32"/>
        </w:rPr>
        <w:t>深入人心</w:t>
      </w:r>
      <w:r>
        <w:tab/>
      </w:r>
      <w:r>
        <w:fldChar w:fldCharType="begin"/>
      </w:r>
      <w:r>
        <w:instrText xml:space="preserve"> PAGEREF _Toc18042 \h </w:instrText>
      </w:r>
      <w:r>
        <w:fldChar w:fldCharType="separate"/>
      </w:r>
      <w:r>
        <w:t>23</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_Toc22189 </w:instrText>
      </w:r>
      <w:r>
        <w:rPr>
          <w:rFonts w:eastAsia="方正小标宋简体"/>
          <w:szCs w:val="44"/>
        </w:rPr>
        <w:fldChar w:fldCharType="separate"/>
      </w:r>
      <w:r>
        <w:rPr>
          <w:rFonts w:hint="eastAsia" w:eastAsia="楷体_GB2312"/>
          <w:bCs/>
          <w:szCs w:val="32"/>
        </w:rPr>
        <w:t xml:space="preserve">（二） </w:t>
      </w:r>
      <w:r>
        <w:rPr>
          <w:rFonts w:eastAsia="楷体_GB2312"/>
          <w:bCs/>
          <w:szCs w:val="32"/>
        </w:rPr>
        <w:t>问题</w:t>
      </w:r>
      <w:r>
        <w:rPr>
          <w:rFonts w:hint="eastAsia" w:eastAsia="楷体_GB2312"/>
          <w:bCs/>
          <w:szCs w:val="32"/>
        </w:rPr>
        <w:t>和</w:t>
      </w:r>
      <w:r>
        <w:rPr>
          <w:rFonts w:eastAsia="楷体_GB2312"/>
          <w:bCs/>
          <w:szCs w:val="32"/>
        </w:rPr>
        <w:t>挑战</w:t>
      </w:r>
      <w:r>
        <w:rPr>
          <w:rFonts w:hint="eastAsia" w:eastAsia="楷体_GB2312"/>
          <w:bCs/>
          <w:szCs w:val="32"/>
        </w:rPr>
        <w:t>分析</w:t>
      </w:r>
      <w:r>
        <w:tab/>
      </w:r>
      <w:r>
        <w:fldChar w:fldCharType="begin"/>
      </w:r>
      <w:r>
        <w:instrText xml:space="preserve"> PAGEREF _Toc22189 \h </w:instrText>
      </w:r>
      <w:r>
        <w:fldChar w:fldCharType="separate"/>
      </w:r>
      <w:r>
        <w:t>24</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_Toc1134 </w:instrText>
      </w:r>
      <w:r>
        <w:rPr>
          <w:rFonts w:eastAsia="方正小标宋简体"/>
          <w:szCs w:val="44"/>
        </w:rPr>
        <w:fldChar w:fldCharType="separate"/>
      </w:r>
      <w:r>
        <w:rPr>
          <w:rFonts w:hint="default" w:ascii="Times New Roman" w:hAnsi="Times New Roman" w:eastAsia="仿宋_GB2312" w:cs="Times New Roman"/>
          <w:szCs w:val="32"/>
        </w:rPr>
        <w:t xml:space="preserve">1. </w:t>
      </w:r>
      <w:r>
        <w:rPr>
          <w:rFonts w:hint="eastAsia" w:ascii="Times New Roman" w:hAnsi="Times New Roman" w:eastAsia="仿宋_GB2312" w:cs="Times New Roman"/>
          <w:szCs w:val="32"/>
          <w:highlight w:val="none"/>
        </w:rPr>
        <w:t>生态环境保护形势依然严峻</w:t>
      </w:r>
      <w:r>
        <w:tab/>
      </w:r>
      <w:r>
        <w:fldChar w:fldCharType="begin"/>
      </w:r>
      <w:r>
        <w:instrText xml:space="preserve"> PAGEREF _Toc1134 \h </w:instrText>
      </w:r>
      <w:r>
        <w:fldChar w:fldCharType="separate"/>
      </w:r>
      <w:r>
        <w:t>24</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_Toc11089 </w:instrText>
      </w:r>
      <w:r>
        <w:rPr>
          <w:rFonts w:eastAsia="方正小标宋简体"/>
          <w:szCs w:val="44"/>
        </w:rPr>
        <w:fldChar w:fldCharType="separate"/>
      </w:r>
      <w:r>
        <w:rPr>
          <w:rFonts w:hint="default" w:ascii="Times New Roman" w:hAnsi="Times New Roman" w:eastAsia="仿宋_GB2312" w:cs="Times New Roman"/>
          <w:szCs w:val="32"/>
        </w:rPr>
        <w:t xml:space="preserve">2. </w:t>
      </w:r>
      <w:r>
        <w:rPr>
          <w:rFonts w:hint="eastAsia" w:ascii="Times New Roman" w:hAnsi="Times New Roman" w:eastAsia="仿宋_GB2312" w:cs="Times New Roman"/>
          <w:szCs w:val="32"/>
        </w:rPr>
        <w:t>“两山”转化路径尚未完全打通</w:t>
      </w:r>
      <w:r>
        <w:tab/>
      </w:r>
      <w:r>
        <w:fldChar w:fldCharType="begin"/>
      </w:r>
      <w:r>
        <w:instrText xml:space="preserve"> PAGEREF _Toc11089 \h </w:instrText>
      </w:r>
      <w:r>
        <w:fldChar w:fldCharType="separate"/>
      </w:r>
      <w:r>
        <w:t>25</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_Toc1193 </w:instrText>
      </w:r>
      <w:r>
        <w:rPr>
          <w:rFonts w:eastAsia="方正小标宋简体"/>
          <w:szCs w:val="44"/>
        </w:rPr>
        <w:fldChar w:fldCharType="separate"/>
      </w:r>
      <w:r>
        <w:rPr>
          <w:rFonts w:hint="default" w:ascii="Times New Roman" w:hAnsi="Times New Roman" w:eastAsia="仿宋_GB2312" w:cs="Times New Roman"/>
          <w:szCs w:val="32"/>
        </w:rPr>
        <w:t xml:space="preserve">3. </w:t>
      </w:r>
      <w:r>
        <w:rPr>
          <w:rFonts w:hint="eastAsia" w:ascii="Times New Roman" w:hAnsi="Times New Roman" w:eastAsia="仿宋_GB2312" w:cs="Times New Roman"/>
          <w:szCs w:val="32"/>
          <w:highlight w:val="none"/>
        </w:rPr>
        <w:t>“两山”制度保障仍不健全</w:t>
      </w:r>
      <w:r>
        <w:tab/>
      </w:r>
      <w:r>
        <w:fldChar w:fldCharType="begin"/>
      </w:r>
      <w:r>
        <w:instrText xml:space="preserve"> PAGEREF _Toc1193 \h </w:instrText>
      </w:r>
      <w:r>
        <w:fldChar w:fldCharType="separate"/>
      </w:r>
      <w:r>
        <w:t>25</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_Toc13130 </w:instrText>
      </w:r>
      <w:r>
        <w:rPr>
          <w:rFonts w:eastAsia="方正小标宋简体"/>
          <w:szCs w:val="44"/>
        </w:rPr>
        <w:fldChar w:fldCharType="separate"/>
      </w:r>
      <w:r>
        <w:rPr>
          <w:rFonts w:hint="default" w:ascii="Times New Roman" w:hAnsi="Times New Roman" w:eastAsia="仿宋_GB2312" w:cs="Times New Roman"/>
          <w:szCs w:val="32"/>
        </w:rPr>
        <w:t xml:space="preserve">4. </w:t>
      </w:r>
      <w:r>
        <w:rPr>
          <w:rFonts w:hint="eastAsia" w:ascii="Times New Roman" w:hAnsi="Times New Roman" w:eastAsia="仿宋_GB2312" w:cs="Times New Roman"/>
          <w:szCs w:val="32"/>
          <w:highlight w:val="none"/>
        </w:rPr>
        <w:t>“两山”文化和绿色生活理念仍需加强</w:t>
      </w:r>
      <w:r>
        <w:tab/>
      </w:r>
      <w:r>
        <w:fldChar w:fldCharType="begin"/>
      </w:r>
      <w:r>
        <w:instrText xml:space="preserve"> PAGEREF _Toc13130 \h </w:instrText>
      </w:r>
      <w:r>
        <w:fldChar w:fldCharType="separate"/>
      </w:r>
      <w:r>
        <w:t>26</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_Toc18772 </w:instrText>
      </w:r>
      <w:r>
        <w:rPr>
          <w:rFonts w:eastAsia="方正小标宋简体"/>
          <w:szCs w:val="44"/>
        </w:rPr>
        <w:fldChar w:fldCharType="separate"/>
      </w:r>
      <w:r>
        <w:rPr>
          <w:rFonts w:hint="eastAsia" w:eastAsia="楷体_GB2312"/>
          <w:bCs/>
          <w:szCs w:val="32"/>
        </w:rPr>
        <w:t>（三）“</w:t>
      </w:r>
      <w:r>
        <w:rPr>
          <w:rFonts w:eastAsia="楷体_GB2312"/>
          <w:bCs/>
          <w:szCs w:val="32"/>
        </w:rPr>
        <w:t>两山</w:t>
      </w:r>
      <w:r>
        <w:rPr>
          <w:rFonts w:hint="eastAsia" w:eastAsia="楷体_GB2312"/>
          <w:bCs/>
          <w:szCs w:val="32"/>
        </w:rPr>
        <w:t>”</w:t>
      </w:r>
      <w:r>
        <w:rPr>
          <w:rFonts w:eastAsia="楷体_GB2312"/>
          <w:bCs/>
          <w:szCs w:val="32"/>
        </w:rPr>
        <w:t>转化典型案例</w:t>
      </w:r>
      <w:r>
        <w:tab/>
      </w:r>
      <w:r>
        <w:fldChar w:fldCharType="begin"/>
      </w:r>
      <w:r>
        <w:instrText xml:space="preserve"> PAGEREF _Toc18772 \h </w:instrText>
      </w:r>
      <w:r>
        <w:fldChar w:fldCharType="separate"/>
      </w:r>
      <w:r>
        <w:t>26</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_Toc27553 </w:instrText>
      </w:r>
      <w:r>
        <w:rPr>
          <w:rFonts w:eastAsia="方正小标宋简体"/>
          <w:szCs w:val="44"/>
        </w:rPr>
        <w:fldChar w:fldCharType="separate"/>
      </w:r>
      <w:r>
        <w:rPr>
          <w:rFonts w:hint="default" w:ascii="Times New Roman" w:hAnsi="Times New Roman" w:eastAsia="仿宋_GB2312" w:cs="Times New Roman"/>
          <w:szCs w:val="32"/>
        </w:rPr>
        <w:t xml:space="preserve">1. </w:t>
      </w:r>
      <w:r>
        <w:rPr>
          <w:rFonts w:hint="eastAsia" w:eastAsia="仿宋_GB2312" w:cs="Times New Roman"/>
          <w:szCs w:val="32"/>
          <w:highlight w:val="none"/>
          <w:lang w:val="en-US" w:eastAsia="zh-CN"/>
        </w:rPr>
        <w:t>生态农业模式：以</w:t>
      </w:r>
      <w:r>
        <w:rPr>
          <w:rFonts w:hint="eastAsia" w:ascii="Times New Roman" w:hAnsi="Times New Roman" w:eastAsia="仿宋_GB2312" w:cs="Times New Roman"/>
          <w:szCs w:val="32"/>
          <w:highlight w:val="none"/>
        </w:rPr>
        <w:t>“锶”润最美“沂源红”</w:t>
      </w:r>
      <w:r>
        <w:rPr>
          <w:rFonts w:hint="eastAsia" w:eastAsia="仿宋_GB2312" w:cs="Times New Roman"/>
          <w:szCs w:val="32"/>
          <w:highlight w:val="none"/>
          <w:lang w:val="en-US" w:eastAsia="zh-CN"/>
        </w:rPr>
        <w:t>为代表的品牌果业</w:t>
      </w:r>
      <w:r>
        <w:rPr>
          <w:rFonts w:hint="eastAsia" w:ascii="Times New Roman" w:hAnsi="Times New Roman" w:eastAsia="仿宋_GB2312" w:cs="Times New Roman"/>
          <w:szCs w:val="32"/>
          <w:highlight w:val="none"/>
        </w:rPr>
        <w:t>让生态“吐”金</w:t>
      </w:r>
      <w:r>
        <w:tab/>
      </w:r>
      <w:r>
        <w:fldChar w:fldCharType="begin"/>
      </w:r>
      <w:r>
        <w:instrText xml:space="preserve"> PAGEREF _Toc27553 \h </w:instrText>
      </w:r>
      <w:r>
        <w:fldChar w:fldCharType="separate"/>
      </w:r>
      <w:r>
        <w:t>27</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_Toc14573 </w:instrText>
      </w:r>
      <w:r>
        <w:rPr>
          <w:rFonts w:eastAsia="方正小标宋简体"/>
          <w:szCs w:val="44"/>
        </w:rPr>
        <w:fldChar w:fldCharType="separate"/>
      </w:r>
      <w:r>
        <w:rPr>
          <w:rFonts w:hint="default" w:ascii="Times New Roman" w:hAnsi="Times New Roman" w:eastAsia="仿宋_GB2312" w:cs="Times New Roman"/>
          <w:szCs w:val="32"/>
        </w:rPr>
        <w:t xml:space="preserve">2. </w:t>
      </w:r>
      <w:r>
        <w:rPr>
          <w:rFonts w:hint="eastAsia" w:eastAsia="仿宋_GB2312" w:cs="Times New Roman"/>
          <w:szCs w:val="32"/>
          <w:lang w:val="en-US" w:eastAsia="zh-CN"/>
        </w:rPr>
        <w:t>“农业+文化+旅游”模式：</w:t>
      </w:r>
      <w:r>
        <w:rPr>
          <w:rFonts w:hint="eastAsia" w:ascii="Times New Roman" w:hAnsi="Times New Roman" w:eastAsia="仿宋_GB2312" w:cs="Times New Roman"/>
          <w:szCs w:val="32"/>
        </w:rPr>
        <w:t>沂河源田园综合体</w:t>
      </w:r>
      <w:r>
        <w:rPr>
          <w:rFonts w:hint="eastAsia" w:ascii="Times New Roman" w:hAnsi="Times New Roman" w:eastAsia="仿宋_GB2312" w:cs="Times New Roman"/>
          <w:szCs w:val="32"/>
          <w:lang w:eastAsia="zh-CN"/>
        </w:rPr>
        <w:t>打造</w:t>
      </w:r>
      <w:r>
        <w:rPr>
          <w:rFonts w:hint="eastAsia" w:ascii="Times New Roman" w:hAnsi="Times New Roman" w:eastAsia="仿宋_GB2312" w:cs="Times New Roman"/>
          <w:szCs w:val="32"/>
          <w:lang w:val="en-US" w:eastAsia="zh-CN"/>
        </w:rPr>
        <w:t>全链条</w:t>
      </w:r>
      <w:r>
        <w:rPr>
          <w:rFonts w:hint="eastAsia" w:ascii="Times New Roman" w:hAnsi="Times New Roman" w:eastAsia="仿宋_GB2312" w:cs="Times New Roman"/>
          <w:szCs w:val="32"/>
          <w:lang w:eastAsia="zh-CN"/>
        </w:rPr>
        <w:t>乡村振兴齐鲁样板中的“沂源特色板块”</w:t>
      </w:r>
      <w:r>
        <w:tab/>
      </w:r>
      <w:r>
        <w:fldChar w:fldCharType="begin"/>
      </w:r>
      <w:r>
        <w:instrText xml:space="preserve"> PAGEREF _Toc14573 \h </w:instrText>
      </w:r>
      <w:r>
        <w:fldChar w:fldCharType="separate"/>
      </w:r>
      <w:r>
        <w:t>34</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_Toc20513 </w:instrText>
      </w:r>
      <w:r>
        <w:rPr>
          <w:rFonts w:eastAsia="方正小标宋简体"/>
          <w:szCs w:val="44"/>
        </w:rPr>
        <w:fldChar w:fldCharType="separate"/>
      </w:r>
      <w:r>
        <w:rPr>
          <w:rFonts w:hint="default" w:ascii="Times New Roman" w:hAnsi="Times New Roman" w:eastAsia="仿宋_GB2312" w:cs="Times New Roman"/>
          <w:szCs w:val="32"/>
        </w:rPr>
        <w:t xml:space="preserve">3. </w:t>
      </w:r>
      <w:r>
        <w:rPr>
          <w:rFonts w:hint="eastAsia" w:eastAsia="仿宋_GB2312" w:cs="Times New Roman"/>
          <w:szCs w:val="32"/>
          <w:lang w:val="en-US" w:eastAsia="zh-CN"/>
        </w:rPr>
        <w:t>生态工业模式：点燃“绿色引擎”推动做大做强“金山银山”</w:t>
      </w:r>
      <w:r>
        <w:tab/>
      </w:r>
      <w:r>
        <w:fldChar w:fldCharType="begin"/>
      </w:r>
      <w:r>
        <w:instrText xml:space="preserve"> PAGEREF _Toc20513 \h </w:instrText>
      </w:r>
      <w:r>
        <w:fldChar w:fldCharType="separate"/>
      </w:r>
      <w:r>
        <w:t>42</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_Toc31281 </w:instrText>
      </w:r>
      <w:r>
        <w:rPr>
          <w:rFonts w:eastAsia="方正小标宋简体"/>
          <w:szCs w:val="44"/>
        </w:rPr>
        <w:fldChar w:fldCharType="separate"/>
      </w:r>
      <w:r>
        <w:rPr>
          <w:rFonts w:hint="default" w:ascii="Times New Roman" w:hAnsi="Times New Roman" w:eastAsia="仿宋_GB2312" w:cs="Times New Roman"/>
          <w:szCs w:val="32"/>
        </w:rPr>
        <w:t xml:space="preserve">4. </w:t>
      </w:r>
      <w:r>
        <w:rPr>
          <w:rFonts w:hint="eastAsia" w:eastAsia="仿宋_GB2312" w:cs="Times New Roman"/>
          <w:szCs w:val="32"/>
          <w:lang w:val="en-US" w:eastAsia="zh-CN"/>
        </w:rPr>
        <w:t>生态修复模式：管好用活“绿色碳库”释放</w:t>
      </w:r>
      <w:r>
        <w:rPr>
          <w:rFonts w:hint="eastAsia" w:ascii="Times New Roman" w:hAnsi="Times New Roman" w:eastAsia="仿宋_GB2312" w:cs="Times New Roman"/>
          <w:szCs w:val="32"/>
        </w:rPr>
        <w:t>林业资源</w:t>
      </w:r>
      <w:r>
        <w:rPr>
          <w:rFonts w:hint="eastAsia" w:eastAsia="仿宋_GB2312" w:cs="Times New Roman"/>
          <w:szCs w:val="32"/>
          <w:lang w:val="en-US" w:eastAsia="zh-CN"/>
        </w:rPr>
        <w:t>生态价值</w:t>
      </w:r>
      <w:r>
        <w:tab/>
      </w:r>
      <w:r>
        <w:fldChar w:fldCharType="begin"/>
      </w:r>
      <w:r>
        <w:instrText xml:space="preserve"> PAGEREF _Toc31281 \h </w:instrText>
      </w:r>
      <w:r>
        <w:fldChar w:fldCharType="separate"/>
      </w:r>
      <w:r>
        <w:t>46</w:t>
      </w:r>
      <w:r>
        <w:fldChar w:fldCharType="end"/>
      </w:r>
      <w:r>
        <w:rPr>
          <w:rFonts w:eastAsia="方正小标宋简体"/>
          <w:szCs w:val="44"/>
        </w:rPr>
        <w:fldChar w:fldCharType="end"/>
      </w:r>
    </w:p>
    <w:p>
      <w:pPr>
        <w:pStyle w:val="11"/>
        <w:tabs>
          <w:tab w:val="right" w:leader="dot" w:pos="8306"/>
        </w:tabs>
      </w:pPr>
      <w:r>
        <w:rPr>
          <w:rFonts w:eastAsia="方正小标宋简体"/>
          <w:szCs w:val="44"/>
        </w:rPr>
        <w:fldChar w:fldCharType="begin"/>
      </w:r>
      <w:r>
        <w:rPr>
          <w:rFonts w:eastAsia="方正小标宋简体"/>
          <w:szCs w:val="44"/>
        </w:rPr>
        <w:instrText xml:space="preserve"> HYPERLINK \l _Toc9770 </w:instrText>
      </w:r>
      <w:r>
        <w:rPr>
          <w:rFonts w:eastAsia="方正小标宋简体"/>
          <w:szCs w:val="44"/>
        </w:rPr>
        <w:fldChar w:fldCharType="separate"/>
      </w:r>
      <w:r>
        <w:rPr>
          <w:rFonts w:eastAsia="黑体"/>
          <w:szCs w:val="32"/>
        </w:rPr>
        <w:t>四、总体思路</w:t>
      </w:r>
      <w:r>
        <w:tab/>
      </w:r>
      <w:r>
        <w:fldChar w:fldCharType="begin"/>
      </w:r>
      <w:r>
        <w:instrText xml:space="preserve"> PAGEREF _Toc9770 \h </w:instrText>
      </w:r>
      <w:r>
        <w:fldChar w:fldCharType="separate"/>
      </w:r>
      <w:r>
        <w:t>50</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_Toc30768 </w:instrText>
      </w:r>
      <w:r>
        <w:rPr>
          <w:rFonts w:eastAsia="方正小标宋简体"/>
          <w:szCs w:val="44"/>
        </w:rPr>
        <w:fldChar w:fldCharType="separate"/>
      </w:r>
      <w:r>
        <w:rPr>
          <w:rFonts w:eastAsia="楷体_GB2312"/>
          <w:bCs/>
          <w:szCs w:val="32"/>
        </w:rPr>
        <w:t>（一）指导思想</w:t>
      </w:r>
      <w:r>
        <w:tab/>
      </w:r>
      <w:r>
        <w:fldChar w:fldCharType="begin"/>
      </w:r>
      <w:r>
        <w:instrText xml:space="preserve"> PAGEREF _Toc30768 \h </w:instrText>
      </w:r>
      <w:r>
        <w:fldChar w:fldCharType="separate"/>
      </w:r>
      <w:r>
        <w:t>50</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_Toc17148 </w:instrText>
      </w:r>
      <w:r>
        <w:rPr>
          <w:rFonts w:eastAsia="方正小标宋简体"/>
          <w:szCs w:val="44"/>
        </w:rPr>
        <w:fldChar w:fldCharType="separate"/>
      </w:r>
      <w:r>
        <w:rPr>
          <w:rFonts w:eastAsia="楷体_GB2312"/>
          <w:bCs/>
          <w:szCs w:val="32"/>
        </w:rPr>
        <w:t>（二）基本原则</w:t>
      </w:r>
      <w:r>
        <w:tab/>
      </w:r>
      <w:r>
        <w:fldChar w:fldCharType="begin"/>
      </w:r>
      <w:r>
        <w:instrText xml:space="preserve"> PAGEREF _Toc17148 \h </w:instrText>
      </w:r>
      <w:r>
        <w:fldChar w:fldCharType="separate"/>
      </w:r>
      <w:r>
        <w:t>51</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_Toc6128 </w:instrText>
      </w:r>
      <w:r>
        <w:rPr>
          <w:rFonts w:eastAsia="方正小标宋简体"/>
          <w:szCs w:val="44"/>
        </w:rPr>
        <w:fldChar w:fldCharType="separate"/>
      </w:r>
      <w:r>
        <w:rPr>
          <w:rFonts w:eastAsia="楷体_GB2312"/>
          <w:bCs/>
          <w:szCs w:val="32"/>
        </w:rPr>
        <w:t>（三）</w:t>
      </w:r>
      <w:r>
        <w:rPr>
          <w:rFonts w:hint="eastAsia" w:eastAsia="楷体_GB2312"/>
          <w:bCs/>
          <w:szCs w:val="32"/>
        </w:rPr>
        <w:t>总体</w:t>
      </w:r>
      <w:r>
        <w:rPr>
          <w:rFonts w:eastAsia="楷体_GB2312"/>
          <w:bCs/>
          <w:szCs w:val="32"/>
        </w:rPr>
        <w:t>目标</w:t>
      </w:r>
      <w:r>
        <w:tab/>
      </w:r>
      <w:r>
        <w:fldChar w:fldCharType="begin"/>
      </w:r>
      <w:r>
        <w:instrText xml:space="preserve"> PAGEREF _Toc6128 \h </w:instrText>
      </w:r>
      <w:r>
        <w:fldChar w:fldCharType="separate"/>
      </w:r>
      <w:r>
        <w:t>52</w:t>
      </w:r>
      <w:r>
        <w:fldChar w:fldCharType="end"/>
      </w:r>
      <w:r>
        <w:rPr>
          <w:rFonts w:eastAsia="方正小标宋简体"/>
          <w:szCs w:val="44"/>
        </w:rPr>
        <w:fldChar w:fldCharType="end"/>
      </w:r>
    </w:p>
    <w:p>
      <w:pPr>
        <w:pStyle w:val="11"/>
        <w:tabs>
          <w:tab w:val="right" w:leader="dot" w:pos="8306"/>
        </w:tabs>
      </w:pPr>
      <w:r>
        <w:rPr>
          <w:rFonts w:eastAsia="方正小标宋简体"/>
          <w:szCs w:val="44"/>
        </w:rPr>
        <w:fldChar w:fldCharType="begin"/>
      </w:r>
      <w:r>
        <w:rPr>
          <w:rFonts w:eastAsia="方正小标宋简体"/>
          <w:szCs w:val="44"/>
        </w:rPr>
        <w:instrText xml:space="preserve"> HYPERLINK \l _Toc20794 </w:instrText>
      </w:r>
      <w:r>
        <w:rPr>
          <w:rFonts w:eastAsia="方正小标宋简体"/>
          <w:szCs w:val="44"/>
        </w:rPr>
        <w:fldChar w:fldCharType="separate"/>
      </w:r>
      <w:r>
        <w:rPr>
          <w:rFonts w:eastAsia="黑体"/>
          <w:szCs w:val="32"/>
        </w:rPr>
        <w:t>五、重点任务</w:t>
      </w:r>
      <w:r>
        <w:tab/>
      </w:r>
      <w:r>
        <w:fldChar w:fldCharType="begin"/>
      </w:r>
      <w:r>
        <w:instrText xml:space="preserve"> PAGEREF _Toc20794 \h </w:instrText>
      </w:r>
      <w:r>
        <w:fldChar w:fldCharType="separate"/>
      </w:r>
      <w:r>
        <w:t>54</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_Toc13398 </w:instrText>
      </w:r>
      <w:r>
        <w:rPr>
          <w:rFonts w:eastAsia="方正小标宋简体"/>
          <w:szCs w:val="44"/>
        </w:rPr>
        <w:fldChar w:fldCharType="separate"/>
      </w:r>
      <w:r>
        <w:rPr>
          <w:rFonts w:eastAsia="楷体_GB2312"/>
          <w:bCs/>
          <w:szCs w:val="32"/>
        </w:rPr>
        <w:t>（一）</w:t>
      </w:r>
      <w:r>
        <w:rPr>
          <w:rFonts w:hint="eastAsia" w:eastAsia="楷体_GB2312"/>
          <w:bCs/>
          <w:szCs w:val="32"/>
          <w:lang w:val="en-US" w:eastAsia="zh-CN"/>
        </w:rPr>
        <w:t>切实维护生态环境安全</w:t>
      </w:r>
      <w:r>
        <w:rPr>
          <w:rFonts w:eastAsia="楷体_GB2312"/>
          <w:bCs/>
          <w:szCs w:val="32"/>
        </w:rPr>
        <w:t>，守好绿水青山</w:t>
      </w:r>
      <w:r>
        <w:tab/>
      </w:r>
      <w:r>
        <w:fldChar w:fldCharType="begin"/>
      </w:r>
      <w:r>
        <w:instrText xml:space="preserve"> PAGEREF _Toc13398 \h </w:instrText>
      </w:r>
      <w:r>
        <w:fldChar w:fldCharType="separate"/>
      </w:r>
      <w:r>
        <w:t>54</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_Toc30659 </w:instrText>
      </w:r>
      <w:r>
        <w:rPr>
          <w:rFonts w:eastAsia="方正小标宋简体"/>
          <w:szCs w:val="44"/>
        </w:rPr>
        <w:fldChar w:fldCharType="separate"/>
      </w:r>
      <w:r>
        <w:rPr>
          <w:rFonts w:hint="eastAsia" w:eastAsia="仿宋_GB2312"/>
          <w:szCs w:val="32"/>
          <w:lang w:val="en-US" w:eastAsia="zh-CN"/>
        </w:rPr>
        <w:t>1</w:t>
      </w:r>
      <w:r>
        <w:rPr>
          <w:rFonts w:hint="eastAsia" w:eastAsia="仿宋_GB2312"/>
          <w:szCs w:val="32"/>
        </w:rPr>
        <w:t>.统筹优化国土空间格局</w:t>
      </w:r>
      <w:r>
        <w:tab/>
      </w:r>
      <w:r>
        <w:fldChar w:fldCharType="begin"/>
      </w:r>
      <w:r>
        <w:instrText xml:space="preserve"> PAGEREF _Toc30659 \h </w:instrText>
      </w:r>
      <w:r>
        <w:fldChar w:fldCharType="separate"/>
      </w:r>
      <w:r>
        <w:t>54</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_Toc23085 </w:instrText>
      </w:r>
      <w:r>
        <w:rPr>
          <w:rFonts w:eastAsia="方正小标宋简体"/>
          <w:szCs w:val="44"/>
        </w:rPr>
        <w:fldChar w:fldCharType="separate"/>
      </w:r>
      <w:r>
        <w:rPr>
          <w:rFonts w:hint="eastAsia" w:eastAsia="仿宋_GB2312"/>
          <w:szCs w:val="32"/>
          <w:lang w:val="en-US" w:eastAsia="zh-CN"/>
        </w:rPr>
        <w:t>2</w:t>
      </w:r>
      <w:r>
        <w:rPr>
          <w:rFonts w:hint="eastAsia" w:eastAsia="仿宋_GB2312"/>
          <w:szCs w:val="32"/>
        </w:rPr>
        <w:t>.强化生态环境空间管控</w:t>
      </w:r>
      <w:r>
        <w:tab/>
      </w:r>
      <w:r>
        <w:fldChar w:fldCharType="begin"/>
      </w:r>
      <w:r>
        <w:instrText xml:space="preserve"> PAGEREF _Toc23085 \h </w:instrText>
      </w:r>
      <w:r>
        <w:fldChar w:fldCharType="separate"/>
      </w:r>
      <w:r>
        <w:t>55</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_Toc5133 </w:instrText>
      </w:r>
      <w:r>
        <w:rPr>
          <w:rFonts w:eastAsia="方正小标宋简体"/>
          <w:szCs w:val="44"/>
        </w:rPr>
        <w:fldChar w:fldCharType="separate"/>
      </w:r>
      <w:r>
        <w:rPr>
          <w:rFonts w:hint="eastAsia" w:eastAsia="仿宋_GB2312"/>
          <w:szCs w:val="32"/>
          <w:lang w:val="en-US" w:eastAsia="zh-CN"/>
        </w:rPr>
        <w:t>3</w:t>
      </w:r>
      <w:r>
        <w:rPr>
          <w:rFonts w:eastAsia="仿宋_GB2312"/>
          <w:szCs w:val="32"/>
        </w:rPr>
        <w:t>.</w:t>
      </w:r>
      <w:r>
        <w:rPr>
          <w:rFonts w:hint="eastAsia" w:eastAsia="仿宋_GB2312"/>
          <w:szCs w:val="32"/>
        </w:rPr>
        <w:t>全面提升生态系统服务功能</w:t>
      </w:r>
      <w:r>
        <w:tab/>
      </w:r>
      <w:r>
        <w:fldChar w:fldCharType="begin"/>
      </w:r>
      <w:r>
        <w:instrText xml:space="preserve"> PAGEREF _Toc5133 \h </w:instrText>
      </w:r>
      <w:r>
        <w:fldChar w:fldCharType="separate"/>
      </w:r>
      <w:r>
        <w:t>58</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_Toc19838 </w:instrText>
      </w:r>
      <w:r>
        <w:rPr>
          <w:rFonts w:eastAsia="方正小标宋简体"/>
          <w:szCs w:val="44"/>
        </w:rPr>
        <w:fldChar w:fldCharType="separate"/>
      </w:r>
      <w:r>
        <w:rPr>
          <w:rFonts w:eastAsia="楷体_GB2312"/>
          <w:bCs/>
          <w:szCs w:val="32"/>
        </w:rPr>
        <w:t>（</w:t>
      </w:r>
      <w:r>
        <w:rPr>
          <w:rFonts w:hint="eastAsia" w:eastAsia="楷体_GB2312"/>
          <w:bCs/>
          <w:szCs w:val="32"/>
          <w:highlight w:val="none"/>
        </w:rPr>
        <w:t>二</w:t>
      </w:r>
      <w:r>
        <w:rPr>
          <w:rFonts w:eastAsia="楷体_GB2312"/>
          <w:bCs/>
          <w:szCs w:val="32"/>
          <w:highlight w:val="none"/>
        </w:rPr>
        <w:t>）</w:t>
      </w:r>
      <w:r>
        <w:rPr>
          <w:rFonts w:hint="eastAsia" w:eastAsia="楷体_GB2312"/>
          <w:bCs/>
          <w:szCs w:val="32"/>
          <w:highlight w:val="none"/>
          <w:lang w:val="en-US" w:eastAsia="zh-CN"/>
        </w:rPr>
        <w:t>全面改善环境质量</w:t>
      </w:r>
      <w:r>
        <w:rPr>
          <w:rFonts w:eastAsia="楷体_GB2312"/>
          <w:bCs/>
          <w:szCs w:val="32"/>
          <w:highlight w:val="none"/>
        </w:rPr>
        <w:t>，保增</w:t>
      </w:r>
      <w:r>
        <w:rPr>
          <w:rFonts w:hint="eastAsia" w:eastAsia="楷体_GB2312"/>
          <w:bCs/>
          <w:szCs w:val="32"/>
          <w:highlight w:val="none"/>
          <w:lang w:val="en-US" w:eastAsia="zh-CN"/>
        </w:rPr>
        <w:t>增值绿水青山</w:t>
      </w:r>
      <w:r>
        <w:tab/>
      </w:r>
      <w:r>
        <w:fldChar w:fldCharType="begin"/>
      </w:r>
      <w:r>
        <w:instrText xml:space="preserve"> PAGEREF _Toc19838 \h </w:instrText>
      </w:r>
      <w:r>
        <w:fldChar w:fldCharType="separate"/>
      </w:r>
      <w:r>
        <w:t>60</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_Toc3242 </w:instrText>
      </w:r>
      <w:r>
        <w:rPr>
          <w:rFonts w:eastAsia="方正小标宋简体"/>
          <w:szCs w:val="44"/>
        </w:rPr>
        <w:fldChar w:fldCharType="separate"/>
      </w:r>
      <w:r>
        <w:rPr>
          <w:rFonts w:hint="eastAsia" w:eastAsia="仿宋_GB2312"/>
          <w:szCs w:val="32"/>
          <w:lang w:val="en-US" w:eastAsia="zh-CN"/>
        </w:rPr>
        <w:t>1</w:t>
      </w:r>
      <w:r>
        <w:rPr>
          <w:rFonts w:hint="eastAsia" w:eastAsia="仿宋_GB2312"/>
          <w:szCs w:val="32"/>
        </w:rPr>
        <w:t>.全面整治水环境污染</w:t>
      </w:r>
      <w:r>
        <w:tab/>
      </w:r>
      <w:r>
        <w:fldChar w:fldCharType="begin"/>
      </w:r>
      <w:r>
        <w:instrText xml:space="preserve"> PAGEREF _Toc3242 \h </w:instrText>
      </w:r>
      <w:r>
        <w:fldChar w:fldCharType="separate"/>
      </w:r>
      <w:r>
        <w:t>60</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_Toc27290 </w:instrText>
      </w:r>
      <w:r>
        <w:rPr>
          <w:rFonts w:eastAsia="方正小标宋简体"/>
          <w:szCs w:val="44"/>
        </w:rPr>
        <w:fldChar w:fldCharType="separate"/>
      </w:r>
      <w:r>
        <w:rPr>
          <w:rFonts w:hint="eastAsia" w:eastAsia="仿宋_GB2312"/>
          <w:szCs w:val="32"/>
          <w:lang w:val="en-US" w:eastAsia="zh-CN"/>
        </w:rPr>
        <w:t>2</w:t>
      </w:r>
      <w:r>
        <w:rPr>
          <w:rFonts w:hint="eastAsia" w:eastAsia="仿宋_GB2312"/>
          <w:szCs w:val="32"/>
        </w:rPr>
        <w:t>.系统改善水生态环境</w:t>
      </w:r>
      <w:r>
        <w:tab/>
      </w:r>
      <w:r>
        <w:fldChar w:fldCharType="begin"/>
      </w:r>
      <w:r>
        <w:instrText xml:space="preserve"> PAGEREF _Toc27290 \h </w:instrText>
      </w:r>
      <w:r>
        <w:fldChar w:fldCharType="separate"/>
      </w:r>
      <w:r>
        <w:t>61</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_Toc9374 </w:instrText>
      </w:r>
      <w:r>
        <w:rPr>
          <w:rFonts w:eastAsia="方正小标宋简体"/>
          <w:szCs w:val="44"/>
        </w:rPr>
        <w:fldChar w:fldCharType="separate"/>
      </w:r>
      <w:r>
        <w:rPr>
          <w:rFonts w:hint="eastAsia" w:eastAsia="仿宋_GB2312"/>
          <w:szCs w:val="32"/>
          <w:lang w:val="en-US" w:eastAsia="zh-CN"/>
        </w:rPr>
        <w:t>3</w:t>
      </w:r>
      <w:r>
        <w:rPr>
          <w:rFonts w:hint="eastAsia" w:eastAsia="仿宋_GB2312"/>
          <w:szCs w:val="32"/>
        </w:rPr>
        <w:t>.提升大气环境质量</w:t>
      </w:r>
      <w:r>
        <w:tab/>
      </w:r>
      <w:r>
        <w:fldChar w:fldCharType="begin"/>
      </w:r>
      <w:r>
        <w:instrText xml:space="preserve"> PAGEREF _Toc9374 \h </w:instrText>
      </w:r>
      <w:r>
        <w:fldChar w:fldCharType="separate"/>
      </w:r>
      <w:r>
        <w:t>62</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_Toc18565 </w:instrText>
      </w:r>
      <w:r>
        <w:rPr>
          <w:rFonts w:eastAsia="方正小标宋简体"/>
          <w:szCs w:val="44"/>
        </w:rPr>
        <w:fldChar w:fldCharType="separate"/>
      </w:r>
      <w:r>
        <w:rPr>
          <w:rFonts w:hint="eastAsia" w:eastAsia="仿宋_GB2312"/>
          <w:szCs w:val="32"/>
          <w:lang w:val="en-US" w:eastAsia="zh-CN"/>
        </w:rPr>
        <w:t>4</w:t>
      </w:r>
      <w:r>
        <w:rPr>
          <w:rFonts w:hint="eastAsia" w:eastAsia="仿宋_GB2312"/>
          <w:szCs w:val="32"/>
        </w:rPr>
        <w:t>.提升土壤环境质量</w:t>
      </w:r>
      <w:r>
        <w:tab/>
      </w:r>
      <w:r>
        <w:fldChar w:fldCharType="begin"/>
      </w:r>
      <w:r>
        <w:instrText xml:space="preserve"> PAGEREF _Toc18565 \h </w:instrText>
      </w:r>
      <w:r>
        <w:fldChar w:fldCharType="separate"/>
      </w:r>
      <w:r>
        <w:t>63</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_Toc16041 </w:instrText>
      </w:r>
      <w:r>
        <w:rPr>
          <w:rFonts w:eastAsia="方正小标宋简体"/>
          <w:szCs w:val="44"/>
        </w:rPr>
        <w:fldChar w:fldCharType="separate"/>
      </w:r>
      <w:r>
        <w:rPr>
          <w:rFonts w:hint="eastAsia" w:ascii="Times New Roman" w:hAnsi="Times New Roman" w:eastAsia="仿宋_GB2312" w:cs="Times New Roman"/>
          <w:szCs w:val="32"/>
          <w:lang w:val="en-US" w:eastAsia="zh-CN"/>
        </w:rPr>
        <w:t>5.</w:t>
      </w:r>
      <w:r>
        <w:rPr>
          <w:rFonts w:hint="eastAsia" w:eastAsia="仿宋_GB2312" w:cs="Times New Roman"/>
          <w:szCs w:val="32"/>
          <w:lang w:val="en-US" w:eastAsia="zh-CN"/>
        </w:rPr>
        <w:t>推进</w:t>
      </w:r>
      <w:r>
        <w:rPr>
          <w:rFonts w:hint="eastAsia" w:ascii="Times New Roman" w:hAnsi="Times New Roman" w:eastAsia="仿宋_GB2312" w:cs="Times New Roman"/>
          <w:szCs w:val="32"/>
          <w:lang w:val="en-US" w:eastAsia="zh-CN"/>
        </w:rPr>
        <w:t>固体废物</w:t>
      </w:r>
      <w:r>
        <w:rPr>
          <w:rFonts w:hint="eastAsia" w:eastAsia="仿宋_GB2312" w:cs="Times New Roman"/>
          <w:szCs w:val="32"/>
          <w:lang w:val="en-US" w:eastAsia="zh-CN"/>
        </w:rPr>
        <w:t>治理</w:t>
      </w:r>
      <w:r>
        <w:tab/>
      </w:r>
      <w:r>
        <w:fldChar w:fldCharType="begin"/>
      </w:r>
      <w:r>
        <w:instrText xml:space="preserve"> PAGEREF _Toc16041 \h </w:instrText>
      </w:r>
      <w:r>
        <w:fldChar w:fldCharType="separate"/>
      </w:r>
      <w:r>
        <w:t>64</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_Toc28578 </w:instrText>
      </w:r>
      <w:r>
        <w:rPr>
          <w:rFonts w:eastAsia="方正小标宋简体"/>
          <w:szCs w:val="44"/>
        </w:rPr>
        <w:fldChar w:fldCharType="separate"/>
      </w:r>
      <w:r>
        <w:rPr>
          <w:rFonts w:eastAsia="楷体_GB2312"/>
          <w:bCs/>
          <w:szCs w:val="32"/>
        </w:rPr>
        <w:t>（</w:t>
      </w:r>
      <w:r>
        <w:rPr>
          <w:rFonts w:hint="eastAsia" w:eastAsia="楷体_GB2312"/>
          <w:bCs/>
          <w:szCs w:val="32"/>
        </w:rPr>
        <w:t>三</w:t>
      </w:r>
      <w:r>
        <w:rPr>
          <w:rFonts w:eastAsia="楷体_GB2312"/>
          <w:bCs/>
          <w:szCs w:val="32"/>
        </w:rPr>
        <w:t>）推进绿色高质量发展，践行“两山”转化</w:t>
      </w:r>
      <w:r>
        <w:tab/>
      </w:r>
      <w:r>
        <w:fldChar w:fldCharType="begin"/>
      </w:r>
      <w:r>
        <w:instrText xml:space="preserve"> PAGEREF _Toc28578 \h </w:instrText>
      </w:r>
      <w:r>
        <w:fldChar w:fldCharType="separate"/>
      </w:r>
      <w:r>
        <w:t>65</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_Toc14268 </w:instrText>
      </w:r>
      <w:r>
        <w:rPr>
          <w:rFonts w:eastAsia="方正小标宋简体"/>
          <w:szCs w:val="44"/>
        </w:rPr>
        <w:fldChar w:fldCharType="separate"/>
      </w:r>
      <w:r>
        <w:rPr>
          <w:rFonts w:eastAsia="仿宋_GB2312"/>
          <w:szCs w:val="32"/>
        </w:rPr>
        <w:t xml:space="preserve">1. </w:t>
      </w:r>
      <w:r>
        <w:rPr>
          <w:rFonts w:hint="eastAsia" w:eastAsia="仿宋_GB2312"/>
          <w:szCs w:val="32"/>
          <w:lang w:val="en-US" w:eastAsia="zh-CN"/>
        </w:rPr>
        <w:t>夯实特色</w:t>
      </w:r>
      <w:r>
        <w:rPr>
          <w:rFonts w:eastAsia="仿宋_GB2312"/>
          <w:szCs w:val="32"/>
        </w:rPr>
        <w:t>生态农业</w:t>
      </w:r>
      <w:r>
        <w:rPr>
          <w:rFonts w:hint="eastAsia" w:eastAsia="仿宋_GB2312"/>
          <w:szCs w:val="32"/>
          <w:lang w:val="en-US" w:eastAsia="zh-CN"/>
        </w:rPr>
        <w:t>优势</w:t>
      </w:r>
      <w:r>
        <w:tab/>
      </w:r>
      <w:r>
        <w:fldChar w:fldCharType="begin"/>
      </w:r>
      <w:r>
        <w:instrText xml:space="preserve"> PAGEREF _Toc14268 \h </w:instrText>
      </w:r>
      <w:r>
        <w:fldChar w:fldCharType="separate"/>
      </w:r>
      <w:r>
        <w:t>65</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_Toc20172 </w:instrText>
      </w:r>
      <w:r>
        <w:rPr>
          <w:rFonts w:eastAsia="方正小标宋简体"/>
          <w:szCs w:val="44"/>
        </w:rPr>
        <w:fldChar w:fldCharType="separate"/>
      </w:r>
      <w:r>
        <w:rPr>
          <w:rFonts w:ascii="Times New Roman" w:hAnsi="Times New Roman" w:eastAsia="仿宋_GB2312" w:cs="Times New Roman"/>
          <w:szCs w:val="32"/>
        </w:rPr>
        <w:t xml:space="preserve">2. </w:t>
      </w:r>
      <w:r>
        <w:rPr>
          <w:rFonts w:hint="eastAsia" w:ascii="Times New Roman" w:hAnsi="Times New Roman" w:eastAsia="仿宋_GB2312" w:cs="Times New Roman"/>
          <w:szCs w:val="32"/>
        </w:rPr>
        <w:t>振兴延链补链型生态工业</w:t>
      </w:r>
      <w:r>
        <w:tab/>
      </w:r>
      <w:r>
        <w:fldChar w:fldCharType="begin"/>
      </w:r>
      <w:r>
        <w:instrText xml:space="preserve"> PAGEREF _Toc20172 \h </w:instrText>
      </w:r>
      <w:r>
        <w:fldChar w:fldCharType="separate"/>
      </w:r>
      <w:r>
        <w:t>67</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_Toc31277 </w:instrText>
      </w:r>
      <w:r>
        <w:rPr>
          <w:rFonts w:eastAsia="方正小标宋简体"/>
          <w:szCs w:val="44"/>
        </w:rPr>
        <w:fldChar w:fldCharType="separate"/>
      </w:r>
      <w:r>
        <w:rPr>
          <w:rFonts w:hint="eastAsia" w:ascii="Times New Roman" w:hAnsi="Times New Roman" w:eastAsia="仿宋_GB2312" w:cs="Times New Roman"/>
          <w:szCs w:val="32"/>
        </w:rPr>
        <w:t xml:space="preserve">3. </w:t>
      </w:r>
      <w:r>
        <w:rPr>
          <w:rFonts w:hint="eastAsia" w:ascii="Times New Roman" w:hAnsi="Times New Roman" w:eastAsia="仿宋_GB2312" w:cs="Times New Roman"/>
          <w:szCs w:val="32"/>
          <w:lang w:val="en-US" w:eastAsia="zh-CN"/>
        </w:rPr>
        <w:t>全面提升全域旅游</w:t>
      </w:r>
      <w:r>
        <w:tab/>
      </w:r>
      <w:r>
        <w:fldChar w:fldCharType="begin"/>
      </w:r>
      <w:r>
        <w:instrText xml:space="preserve"> PAGEREF _Toc31277 \h </w:instrText>
      </w:r>
      <w:r>
        <w:fldChar w:fldCharType="separate"/>
      </w:r>
      <w:r>
        <w:t>68</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_Toc10828 </w:instrText>
      </w:r>
      <w:r>
        <w:rPr>
          <w:rFonts w:eastAsia="方正小标宋简体"/>
          <w:szCs w:val="44"/>
        </w:rPr>
        <w:fldChar w:fldCharType="separate"/>
      </w:r>
      <w:r>
        <w:rPr>
          <w:rFonts w:eastAsia="楷体_GB2312"/>
          <w:bCs/>
          <w:szCs w:val="32"/>
        </w:rPr>
        <w:t>（</w:t>
      </w:r>
      <w:r>
        <w:rPr>
          <w:rFonts w:hint="eastAsia" w:eastAsia="楷体_GB2312"/>
          <w:bCs/>
          <w:szCs w:val="32"/>
        </w:rPr>
        <w:t>四</w:t>
      </w:r>
      <w:r>
        <w:rPr>
          <w:rFonts w:eastAsia="楷体_GB2312"/>
          <w:bCs/>
          <w:szCs w:val="32"/>
        </w:rPr>
        <w:t>）打造“两山”文化品牌，促进绿色惠民富民</w:t>
      </w:r>
      <w:r>
        <w:tab/>
      </w:r>
      <w:r>
        <w:fldChar w:fldCharType="begin"/>
      </w:r>
      <w:r>
        <w:instrText xml:space="preserve"> PAGEREF _Toc10828 \h </w:instrText>
      </w:r>
      <w:r>
        <w:fldChar w:fldCharType="separate"/>
      </w:r>
      <w:r>
        <w:t>70</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_Toc14176 </w:instrText>
      </w:r>
      <w:r>
        <w:rPr>
          <w:rFonts w:eastAsia="方正小标宋简体"/>
          <w:szCs w:val="44"/>
        </w:rPr>
        <w:fldChar w:fldCharType="separate"/>
      </w:r>
      <w:r>
        <w:rPr>
          <w:rFonts w:eastAsia="仿宋_GB2312"/>
          <w:szCs w:val="32"/>
          <w:highlight w:val="none"/>
        </w:rPr>
        <w:t>1.</w:t>
      </w:r>
      <w:r>
        <w:rPr>
          <w:rFonts w:hint="eastAsia" w:eastAsia="仿宋_GB2312"/>
          <w:szCs w:val="32"/>
          <w:highlight w:val="none"/>
          <w:lang w:val="en-US" w:eastAsia="zh-CN"/>
        </w:rPr>
        <w:t>发挥非遗文化优势，打造</w:t>
      </w:r>
      <w:r>
        <w:rPr>
          <w:rFonts w:hint="eastAsia" w:eastAsia="仿宋_GB2312"/>
          <w:szCs w:val="32"/>
          <w:highlight w:val="none"/>
        </w:rPr>
        <w:t>特色</w:t>
      </w:r>
      <w:r>
        <w:rPr>
          <w:rFonts w:hint="eastAsia" w:eastAsia="仿宋_GB2312"/>
          <w:szCs w:val="32"/>
          <w:highlight w:val="none"/>
          <w:lang w:val="en-US" w:eastAsia="zh-CN"/>
        </w:rPr>
        <w:t>生态</w:t>
      </w:r>
      <w:r>
        <w:rPr>
          <w:rFonts w:hint="eastAsia" w:eastAsia="仿宋_GB2312"/>
          <w:szCs w:val="32"/>
          <w:highlight w:val="none"/>
        </w:rPr>
        <w:t>文化品牌</w:t>
      </w:r>
      <w:r>
        <w:tab/>
      </w:r>
      <w:r>
        <w:fldChar w:fldCharType="begin"/>
      </w:r>
      <w:r>
        <w:instrText xml:space="preserve"> PAGEREF _Toc14176 \h </w:instrText>
      </w:r>
      <w:r>
        <w:fldChar w:fldCharType="separate"/>
      </w:r>
      <w:r>
        <w:t>71</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_Toc23356 </w:instrText>
      </w:r>
      <w:r>
        <w:rPr>
          <w:rFonts w:eastAsia="方正小标宋简体"/>
          <w:szCs w:val="44"/>
        </w:rPr>
        <w:fldChar w:fldCharType="separate"/>
      </w:r>
      <w:r>
        <w:rPr>
          <w:rFonts w:hint="eastAsia" w:eastAsia="仿宋_GB2312"/>
          <w:szCs w:val="32"/>
        </w:rPr>
        <w:t>2.开展“两山”文化思想教育</w:t>
      </w:r>
      <w:r>
        <w:tab/>
      </w:r>
      <w:r>
        <w:fldChar w:fldCharType="begin"/>
      </w:r>
      <w:r>
        <w:instrText xml:space="preserve"> PAGEREF _Toc23356 \h </w:instrText>
      </w:r>
      <w:r>
        <w:fldChar w:fldCharType="separate"/>
      </w:r>
      <w:r>
        <w:t>72</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_Toc25613 </w:instrText>
      </w:r>
      <w:r>
        <w:rPr>
          <w:rFonts w:eastAsia="方正小标宋简体"/>
          <w:szCs w:val="44"/>
        </w:rPr>
        <w:fldChar w:fldCharType="separate"/>
      </w:r>
      <w:r>
        <w:rPr>
          <w:rFonts w:hint="eastAsia" w:eastAsia="仿宋_GB2312"/>
          <w:szCs w:val="32"/>
        </w:rPr>
        <w:t>3.</w:t>
      </w:r>
      <w:r>
        <w:rPr>
          <w:rFonts w:hint="eastAsia" w:eastAsia="仿宋_GB2312"/>
          <w:szCs w:val="32"/>
          <w:lang w:val="en-US" w:eastAsia="zh-CN"/>
        </w:rPr>
        <w:t>提升沂源民生幸福品质</w:t>
      </w:r>
      <w:r>
        <w:tab/>
      </w:r>
      <w:r>
        <w:fldChar w:fldCharType="begin"/>
      </w:r>
      <w:r>
        <w:instrText xml:space="preserve"> PAGEREF _Toc25613 \h </w:instrText>
      </w:r>
      <w:r>
        <w:fldChar w:fldCharType="separate"/>
      </w:r>
      <w:r>
        <w:t>73</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_Toc11105 </w:instrText>
      </w:r>
      <w:r>
        <w:rPr>
          <w:rFonts w:eastAsia="方正小标宋简体"/>
          <w:szCs w:val="44"/>
        </w:rPr>
        <w:fldChar w:fldCharType="separate"/>
      </w:r>
      <w:r>
        <w:rPr>
          <w:rFonts w:eastAsia="楷体_GB2312"/>
          <w:bCs/>
          <w:szCs w:val="32"/>
        </w:rPr>
        <w:t>（</w:t>
      </w:r>
      <w:r>
        <w:rPr>
          <w:rFonts w:hint="eastAsia" w:eastAsia="楷体_GB2312"/>
          <w:bCs/>
          <w:szCs w:val="32"/>
        </w:rPr>
        <w:t>五</w:t>
      </w:r>
      <w:r>
        <w:rPr>
          <w:rFonts w:eastAsia="楷体_GB2312"/>
          <w:bCs/>
          <w:szCs w:val="32"/>
        </w:rPr>
        <w:t>）建立健全保障机制，助力“两山”长效转化</w:t>
      </w:r>
      <w:r>
        <w:tab/>
      </w:r>
      <w:r>
        <w:fldChar w:fldCharType="begin"/>
      </w:r>
      <w:r>
        <w:instrText xml:space="preserve"> PAGEREF _Toc11105 \h </w:instrText>
      </w:r>
      <w:r>
        <w:fldChar w:fldCharType="separate"/>
      </w:r>
      <w:r>
        <w:t>74</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_Toc13118 </w:instrText>
      </w:r>
      <w:r>
        <w:rPr>
          <w:rFonts w:eastAsia="方正小标宋简体"/>
          <w:szCs w:val="44"/>
        </w:rPr>
        <w:fldChar w:fldCharType="separate"/>
      </w:r>
      <w:r>
        <w:rPr>
          <w:rFonts w:eastAsia="仿宋_GB2312"/>
          <w:szCs w:val="32"/>
        </w:rPr>
        <w:t xml:space="preserve">1. </w:t>
      </w:r>
      <w:r>
        <w:rPr>
          <w:rFonts w:hint="eastAsia" w:eastAsia="仿宋_GB2312"/>
          <w:szCs w:val="32"/>
        </w:rPr>
        <w:t>建立“两山”建设决策支撑机制</w:t>
      </w:r>
      <w:r>
        <w:tab/>
      </w:r>
      <w:r>
        <w:fldChar w:fldCharType="begin"/>
      </w:r>
      <w:r>
        <w:instrText xml:space="preserve"> PAGEREF _Toc13118 \h </w:instrText>
      </w:r>
      <w:r>
        <w:fldChar w:fldCharType="separate"/>
      </w:r>
      <w:r>
        <w:t>74</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_Toc14471 </w:instrText>
      </w:r>
      <w:r>
        <w:rPr>
          <w:rFonts w:eastAsia="方正小标宋简体"/>
          <w:szCs w:val="44"/>
        </w:rPr>
        <w:fldChar w:fldCharType="separate"/>
      </w:r>
      <w:r>
        <w:rPr>
          <w:rFonts w:eastAsia="仿宋_GB2312"/>
          <w:szCs w:val="32"/>
        </w:rPr>
        <w:t xml:space="preserve">2. </w:t>
      </w:r>
      <w:r>
        <w:rPr>
          <w:rFonts w:hint="eastAsia" w:eastAsia="仿宋_GB2312"/>
          <w:szCs w:val="32"/>
        </w:rPr>
        <w:t>健全“两山”资源清查核算机制</w:t>
      </w:r>
      <w:r>
        <w:tab/>
      </w:r>
      <w:r>
        <w:fldChar w:fldCharType="begin"/>
      </w:r>
      <w:r>
        <w:instrText xml:space="preserve"> PAGEREF _Toc14471 \h </w:instrText>
      </w:r>
      <w:r>
        <w:fldChar w:fldCharType="separate"/>
      </w:r>
      <w:r>
        <w:t>76</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_Toc28351 </w:instrText>
      </w:r>
      <w:r>
        <w:rPr>
          <w:rFonts w:eastAsia="方正小标宋简体"/>
          <w:szCs w:val="44"/>
        </w:rPr>
        <w:fldChar w:fldCharType="separate"/>
      </w:r>
      <w:r>
        <w:rPr>
          <w:rFonts w:eastAsia="仿宋_GB2312"/>
          <w:szCs w:val="32"/>
        </w:rPr>
        <w:t xml:space="preserve">3. </w:t>
      </w:r>
      <w:r>
        <w:rPr>
          <w:rFonts w:hint="eastAsia" w:eastAsia="仿宋_GB2312"/>
          <w:szCs w:val="32"/>
        </w:rPr>
        <w:t>完善“两山”价值实现转化机制</w:t>
      </w:r>
      <w:r>
        <w:tab/>
      </w:r>
      <w:r>
        <w:fldChar w:fldCharType="begin"/>
      </w:r>
      <w:r>
        <w:instrText xml:space="preserve"> PAGEREF _Toc28351 \h </w:instrText>
      </w:r>
      <w:r>
        <w:fldChar w:fldCharType="separate"/>
      </w:r>
      <w:r>
        <w:t>77</w:t>
      </w:r>
      <w:r>
        <w:fldChar w:fldCharType="end"/>
      </w:r>
      <w:r>
        <w:rPr>
          <w:rFonts w:eastAsia="方正小标宋简体"/>
          <w:szCs w:val="44"/>
        </w:rPr>
        <w:fldChar w:fldCharType="end"/>
      </w:r>
    </w:p>
    <w:p>
      <w:pPr>
        <w:pStyle w:val="8"/>
        <w:tabs>
          <w:tab w:val="right" w:leader="dot" w:pos="8306"/>
          <w:tab w:val="clear" w:pos="8296"/>
        </w:tabs>
      </w:pPr>
      <w:r>
        <w:rPr>
          <w:rFonts w:eastAsia="方正小标宋简体"/>
          <w:szCs w:val="44"/>
        </w:rPr>
        <w:fldChar w:fldCharType="begin"/>
      </w:r>
      <w:r>
        <w:rPr>
          <w:rFonts w:eastAsia="方正小标宋简体"/>
          <w:szCs w:val="44"/>
        </w:rPr>
        <w:instrText xml:space="preserve"> HYPERLINK \l _Toc25553 </w:instrText>
      </w:r>
      <w:r>
        <w:rPr>
          <w:rFonts w:eastAsia="方正小标宋简体"/>
          <w:szCs w:val="44"/>
        </w:rPr>
        <w:fldChar w:fldCharType="separate"/>
      </w:r>
      <w:r>
        <w:rPr>
          <w:rFonts w:eastAsia="仿宋_GB2312"/>
          <w:szCs w:val="32"/>
        </w:rPr>
        <w:t xml:space="preserve">4. </w:t>
      </w:r>
      <w:r>
        <w:rPr>
          <w:rFonts w:hint="eastAsia" w:eastAsia="仿宋_GB2312"/>
          <w:szCs w:val="32"/>
        </w:rPr>
        <w:t>强化“两山”建设绩效考核机制</w:t>
      </w:r>
      <w:r>
        <w:tab/>
      </w:r>
      <w:r>
        <w:fldChar w:fldCharType="begin"/>
      </w:r>
      <w:r>
        <w:instrText xml:space="preserve"> PAGEREF _Toc25553 \h </w:instrText>
      </w:r>
      <w:r>
        <w:fldChar w:fldCharType="separate"/>
      </w:r>
      <w:r>
        <w:t>78</w:t>
      </w:r>
      <w:r>
        <w:fldChar w:fldCharType="end"/>
      </w:r>
      <w:r>
        <w:rPr>
          <w:rFonts w:eastAsia="方正小标宋简体"/>
          <w:szCs w:val="44"/>
        </w:rPr>
        <w:fldChar w:fldCharType="end"/>
      </w:r>
    </w:p>
    <w:p>
      <w:pPr>
        <w:pStyle w:val="11"/>
        <w:tabs>
          <w:tab w:val="right" w:leader="dot" w:pos="8306"/>
        </w:tabs>
      </w:pPr>
      <w:r>
        <w:rPr>
          <w:rFonts w:eastAsia="方正小标宋简体"/>
          <w:szCs w:val="44"/>
        </w:rPr>
        <w:fldChar w:fldCharType="begin"/>
      </w:r>
      <w:r>
        <w:rPr>
          <w:rFonts w:eastAsia="方正小标宋简体"/>
          <w:szCs w:val="44"/>
        </w:rPr>
        <w:instrText xml:space="preserve"> HYPERLINK \l _Toc16282 </w:instrText>
      </w:r>
      <w:r>
        <w:rPr>
          <w:rFonts w:eastAsia="方正小标宋简体"/>
          <w:szCs w:val="44"/>
        </w:rPr>
        <w:fldChar w:fldCharType="separate"/>
      </w:r>
      <w:r>
        <w:rPr>
          <w:rFonts w:hint="eastAsia" w:eastAsia="黑体"/>
          <w:szCs w:val="32"/>
          <w:lang w:val="en-US" w:eastAsia="zh-CN"/>
        </w:rPr>
        <w:t>六</w:t>
      </w:r>
      <w:r>
        <w:rPr>
          <w:rFonts w:eastAsia="黑体"/>
          <w:szCs w:val="32"/>
        </w:rPr>
        <w:t>、</w:t>
      </w:r>
      <w:r>
        <w:rPr>
          <w:rFonts w:hint="eastAsia" w:eastAsia="黑体"/>
          <w:szCs w:val="32"/>
        </w:rPr>
        <w:t>保障措施</w:t>
      </w:r>
      <w:r>
        <w:tab/>
      </w:r>
      <w:r>
        <w:fldChar w:fldCharType="begin"/>
      </w:r>
      <w:r>
        <w:instrText xml:space="preserve"> PAGEREF _Toc16282 \h </w:instrText>
      </w:r>
      <w:r>
        <w:fldChar w:fldCharType="separate"/>
      </w:r>
      <w:r>
        <w:t>80</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_Toc13488 </w:instrText>
      </w:r>
      <w:r>
        <w:rPr>
          <w:rFonts w:eastAsia="方正小标宋简体"/>
          <w:szCs w:val="44"/>
        </w:rPr>
        <w:fldChar w:fldCharType="separate"/>
      </w:r>
      <w:r>
        <w:rPr>
          <w:rFonts w:ascii="Times New Roman" w:hAnsi="Times New Roman" w:eastAsia="楷体_GB2312" w:cs="Times New Roman"/>
          <w:szCs w:val="32"/>
        </w:rPr>
        <w:t>（</w:t>
      </w:r>
      <w:r>
        <w:rPr>
          <w:rFonts w:hint="eastAsia" w:ascii="Times New Roman" w:hAnsi="Times New Roman" w:eastAsia="楷体_GB2312" w:cs="Times New Roman"/>
          <w:szCs w:val="32"/>
        </w:rPr>
        <w:t>一</w:t>
      </w:r>
      <w:r>
        <w:rPr>
          <w:rFonts w:ascii="Times New Roman" w:hAnsi="Times New Roman" w:eastAsia="楷体_GB2312" w:cs="Times New Roman"/>
          <w:szCs w:val="32"/>
        </w:rPr>
        <w:t>）加强组织领导责任</w:t>
      </w:r>
      <w:r>
        <w:tab/>
      </w:r>
      <w:r>
        <w:fldChar w:fldCharType="begin"/>
      </w:r>
      <w:r>
        <w:instrText xml:space="preserve"> PAGEREF _Toc13488 \h </w:instrText>
      </w:r>
      <w:r>
        <w:fldChar w:fldCharType="separate"/>
      </w:r>
      <w:r>
        <w:t>80</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_Toc20428 </w:instrText>
      </w:r>
      <w:r>
        <w:rPr>
          <w:rFonts w:eastAsia="方正小标宋简体"/>
          <w:szCs w:val="44"/>
        </w:rPr>
        <w:fldChar w:fldCharType="separate"/>
      </w:r>
      <w:r>
        <w:rPr>
          <w:rFonts w:hint="eastAsia" w:ascii="Times New Roman" w:hAnsi="Times New Roman" w:eastAsia="楷体_GB2312" w:cs="Times New Roman"/>
          <w:szCs w:val="32"/>
        </w:rPr>
        <w:t>（二）健全资金保障机制</w:t>
      </w:r>
      <w:r>
        <w:tab/>
      </w:r>
      <w:r>
        <w:fldChar w:fldCharType="begin"/>
      </w:r>
      <w:r>
        <w:instrText xml:space="preserve"> PAGEREF _Toc20428 \h </w:instrText>
      </w:r>
      <w:r>
        <w:fldChar w:fldCharType="separate"/>
      </w:r>
      <w:r>
        <w:t>80</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_Toc5203 </w:instrText>
      </w:r>
      <w:r>
        <w:rPr>
          <w:rFonts w:eastAsia="方正小标宋简体"/>
          <w:szCs w:val="44"/>
        </w:rPr>
        <w:fldChar w:fldCharType="separate"/>
      </w:r>
      <w:r>
        <w:rPr>
          <w:rFonts w:hint="eastAsia" w:ascii="Times New Roman" w:hAnsi="Times New Roman" w:eastAsia="楷体_GB2312" w:cs="Times New Roman"/>
          <w:szCs w:val="32"/>
        </w:rPr>
        <w:t>（三）强化监督考核体系</w:t>
      </w:r>
      <w:r>
        <w:tab/>
      </w:r>
      <w:r>
        <w:fldChar w:fldCharType="begin"/>
      </w:r>
      <w:r>
        <w:instrText xml:space="preserve"> PAGEREF _Toc5203 \h </w:instrText>
      </w:r>
      <w:r>
        <w:fldChar w:fldCharType="separate"/>
      </w:r>
      <w:r>
        <w:t>81</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_Toc13917 </w:instrText>
      </w:r>
      <w:r>
        <w:rPr>
          <w:rFonts w:eastAsia="方正小标宋简体"/>
          <w:szCs w:val="44"/>
        </w:rPr>
        <w:fldChar w:fldCharType="separate"/>
      </w:r>
      <w:r>
        <w:rPr>
          <w:rFonts w:hint="eastAsia" w:ascii="Times New Roman" w:hAnsi="Times New Roman" w:eastAsia="楷体_GB2312" w:cs="Times New Roman"/>
        </w:rPr>
        <w:t>（</w:t>
      </w:r>
      <w:r>
        <w:rPr>
          <w:rFonts w:hint="eastAsia" w:ascii="Times New Roman" w:hAnsi="Times New Roman" w:eastAsia="楷体_GB2312" w:cs="Times New Roman"/>
          <w:lang w:val="en-US" w:eastAsia="zh-CN"/>
        </w:rPr>
        <w:t>四</w:t>
      </w:r>
      <w:r>
        <w:rPr>
          <w:rFonts w:hint="eastAsia" w:ascii="Times New Roman" w:hAnsi="Times New Roman" w:eastAsia="楷体_GB2312" w:cs="Times New Roman"/>
        </w:rPr>
        <w:t>）强化宣传社会参与</w:t>
      </w:r>
      <w:r>
        <w:tab/>
      </w:r>
      <w:r>
        <w:fldChar w:fldCharType="begin"/>
      </w:r>
      <w:r>
        <w:instrText xml:space="preserve"> PAGEREF _Toc13917 \h </w:instrText>
      </w:r>
      <w:r>
        <w:fldChar w:fldCharType="separate"/>
      </w:r>
      <w:r>
        <w:t>81</w:t>
      </w:r>
      <w:r>
        <w:fldChar w:fldCharType="end"/>
      </w:r>
      <w:r>
        <w:rPr>
          <w:rFonts w:eastAsia="方正小标宋简体"/>
          <w:szCs w:val="44"/>
        </w:rPr>
        <w:fldChar w:fldCharType="end"/>
      </w:r>
    </w:p>
    <w:p>
      <w:pPr>
        <w:pStyle w:val="13"/>
        <w:tabs>
          <w:tab w:val="right" w:leader="dot" w:pos="8306"/>
        </w:tabs>
      </w:pPr>
      <w:r>
        <w:rPr>
          <w:rFonts w:eastAsia="方正小标宋简体"/>
          <w:szCs w:val="44"/>
        </w:rPr>
        <w:fldChar w:fldCharType="begin"/>
      </w:r>
      <w:r>
        <w:rPr>
          <w:rFonts w:eastAsia="方正小标宋简体"/>
          <w:szCs w:val="44"/>
        </w:rPr>
        <w:instrText xml:space="preserve"> HYPERLINK \l _Toc11725 </w:instrText>
      </w:r>
      <w:r>
        <w:rPr>
          <w:rFonts w:eastAsia="方正小标宋简体"/>
          <w:szCs w:val="44"/>
        </w:rPr>
        <w:fldChar w:fldCharType="separate"/>
      </w:r>
      <w:r>
        <w:rPr>
          <w:rFonts w:hint="eastAsia" w:ascii="Times New Roman" w:hAnsi="Times New Roman" w:eastAsia="楷体_GB2312" w:cs="Times New Roman"/>
        </w:rPr>
        <w:t>（</w:t>
      </w:r>
      <w:r>
        <w:rPr>
          <w:rFonts w:hint="eastAsia" w:ascii="Times New Roman" w:hAnsi="Times New Roman" w:eastAsia="楷体_GB2312" w:cs="Times New Roman"/>
          <w:lang w:val="en-US" w:eastAsia="zh-CN"/>
        </w:rPr>
        <w:t>五</w:t>
      </w:r>
      <w:r>
        <w:rPr>
          <w:rFonts w:hint="eastAsia" w:ascii="Times New Roman" w:hAnsi="Times New Roman" w:eastAsia="楷体_GB2312" w:cs="Times New Roman"/>
        </w:rPr>
        <w:t>）加强人才队伍建设</w:t>
      </w:r>
      <w:r>
        <w:tab/>
      </w:r>
      <w:r>
        <w:fldChar w:fldCharType="begin"/>
      </w:r>
      <w:r>
        <w:instrText xml:space="preserve"> PAGEREF _Toc11725 \h </w:instrText>
      </w:r>
      <w:r>
        <w:fldChar w:fldCharType="separate"/>
      </w:r>
      <w:r>
        <w:t>82</w:t>
      </w:r>
      <w:r>
        <w:fldChar w:fldCharType="end"/>
      </w:r>
      <w:r>
        <w:rPr>
          <w:rFonts w:eastAsia="方正小标宋简体"/>
          <w:szCs w:val="44"/>
        </w:rPr>
        <w:fldChar w:fldCharType="end"/>
      </w:r>
    </w:p>
    <w:p>
      <w:pPr>
        <w:pStyle w:val="11"/>
        <w:tabs>
          <w:tab w:val="right" w:leader="dot" w:pos="8306"/>
        </w:tabs>
      </w:pPr>
      <w:r>
        <w:rPr>
          <w:rFonts w:eastAsia="方正小标宋简体"/>
          <w:szCs w:val="44"/>
        </w:rPr>
        <w:fldChar w:fldCharType="begin"/>
      </w:r>
      <w:r>
        <w:rPr>
          <w:rFonts w:eastAsia="方正小标宋简体"/>
          <w:szCs w:val="44"/>
        </w:rPr>
        <w:instrText xml:space="preserve"> HYPERLINK \l _Toc27009 </w:instrText>
      </w:r>
      <w:r>
        <w:rPr>
          <w:rFonts w:eastAsia="方正小标宋简体"/>
          <w:szCs w:val="44"/>
        </w:rPr>
        <w:fldChar w:fldCharType="separate"/>
      </w:r>
      <w:r>
        <w:rPr>
          <w:rFonts w:hint="eastAsia" w:eastAsia="黑体"/>
          <w:szCs w:val="32"/>
          <w:lang w:val="en-US" w:eastAsia="zh-CN"/>
        </w:rPr>
        <w:t>七</w:t>
      </w:r>
      <w:r>
        <w:rPr>
          <w:rFonts w:eastAsia="黑体"/>
          <w:szCs w:val="32"/>
        </w:rPr>
        <w:t>、</w:t>
      </w:r>
      <w:r>
        <w:rPr>
          <w:rFonts w:hint="eastAsia" w:eastAsia="黑体"/>
          <w:szCs w:val="32"/>
          <w:lang w:val="en-US" w:eastAsia="zh-CN"/>
        </w:rPr>
        <w:t>重点</w:t>
      </w:r>
      <w:r>
        <w:rPr>
          <w:rFonts w:hint="eastAsia" w:eastAsia="黑体"/>
          <w:szCs w:val="32"/>
        </w:rPr>
        <w:t>工程项目</w:t>
      </w:r>
      <w:r>
        <w:rPr>
          <w:rFonts w:hint="eastAsia" w:eastAsia="黑体"/>
          <w:szCs w:val="32"/>
          <w:lang w:val="en-US" w:eastAsia="zh-CN"/>
        </w:rPr>
        <w:t>清单（暂列）</w:t>
      </w:r>
      <w:r>
        <w:tab/>
      </w:r>
      <w:r>
        <w:fldChar w:fldCharType="begin"/>
      </w:r>
      <w:r>
        <w:instrText xml:space="preserve"> PAGEREF _Toc27009 \h </w:instrText>
      </w:r>
      <w:r>
        <w:fldChar w:fldCharType="separate"/>
      </w:r>
      <w:r>
        <w:t>83</w:t>
      </w:r>
      <w:r>
        <w:fldChar w:fldCharType="end"/>
      </w:r>
      <w:r>
        <w:rPr>
          <w:rFonts w:eastAsia="方正小标宋简体"/>
          <w:szCs w:val="44"/>
        </w:rPr>
        <w:fldChar w:fldCharType="end"/>
      </w:r>
    </w:p>
    <w:p>
      <w:pPr>
        <w:pStyle w:val="2"/>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eastAsia="方正小标宋简体"/>
          <w:sz w:val="36"/>
          <w:szCs w:val="36"/>
        </w:rPr>
      </w:pPr>
      <w:r>
        <w:rPr>
          <w:rFonts w:eastAsia="方正小标宋简体"/>
          <w:sz w:val="44"/>
          <w:szCs w:val="44"/>
        </w:rPr>
        <w:fldChar w:fldCharType="end"/>
      </w:r>
    </w:p>
    <w:p>
      <w:pPr>
        <w:adjustRightInd w:val="0"/>
        <w:snapToGrid w:val="0"/>
        <w:spacing w:line="360" w:lineRule="auto"/>
        <w:outlineLvl w:val="0"/>
        <w:rPr>
          <w:rFonts w:eastAsia="黑体"/>
          <w:b/>
          <w:bCs/>
          <w:sz w:val="32"/>
          <w:szCs w:val="32"/>
        </w:rPr>
        <w:sectPr>
          <w:footerReference r:id="rId3" w:type="default"/>
          <w:pgSz w:w="11906" w:h="16838"/>
          <w:pgMar w:top="1440" w:right="1800" w:bottom="1440" w:left="1800" w:header="851" w:footer="992" w:gutter="0"/>
          <w:pgNumType w:fmt="upperRoman" w:start="1"/>
          <w:cols w:space="425" w:num="1"/>
          <w:docGrid w:type="lines" w:linePitch="312" w:charSpace="0"/>
        </w:sectPr>
      </w:pPr>
    </w:p>
    <w:p>
      <w:pPr>
        <w:adjustRightInd w:val="0"/>
        <w:snapToGrid w:val="0"/>
        <w:spacing w:line="360" w:lineRule="auto"/>
        <w:outlineLvl w:val="0"/>
        <w:rPr>
          <w:rFonts w:eastAsia="黑体"/>
          <w:b/>
          <w:bCs/>
          <w:sz w:val="32"/>
          <w:szCs w:val="32"/>
        </w:rPr>
      </w:pPr>
      <w:bookmarkStart w:id="0" w:name="_Toc7446"/>
      <w:r>
        <w:rPr>
          <w:rFonts w:eastAsia="黑体"/>
          <w:b/>
          <w:bCs/>
          <w:sz w:val="32"/>
          <w:szCs w:val="32"/>
        </w:rPr>
        <w:t>一、建设背景与意义</w:t>
      </w:r>
      <w:bookmarkEnd w:id="0"/>
      <w:bookmarkStart w:id="1" w:name="_Toc104480009"/>
    </w:p>
    <w:p>
      <w:pPr>
        <w:adjustRightInd w:val="0"/>
        <w:snapToGrid w:val="0"/>
        <w:spacing w:line="360" w:lineRule="auto"/>
        <w:outlineLvl w:val="1"/>
      </w:pPr>
      <w:bookmarkStart w:id="2" w:name="_Toc16439"/>
      <w:r>
        <w:rPr>
          <w:rFonts w:eastAsia="楷体_GB2312"/>
          <w:b/>
          <w:bCs/>
          <w:sz w:val="32"/>
          <w:szCs w:val="32"/>
        </w:rPr>
        <w:t>（一）建设背景</w:t>
      </w:r>
      <w:bookmarkEnd w:id="1"/>
      <w:bookmarkEnd w:id="2"/>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“绿水青山就是金山银山”</w:t>
      </w:r>
      <w:r>
        <w:rPr>
          <w:rFonts w:hint="eastAsia" w:ascii="仿宋_GB2312" w:hAnsi="仿宋_GB2312" w:eastAsia="仿宋_GB2312" w:cs="仿宋_GB2312"/>
          <w:sz w:val="32"/>
          <w:szCs w:val="32"/>
        </w:rPr>
        <w:t>（以下简称“两山”）</w:t>
      </w:r>
      <w:r>
        <w:rPr>
          <w:rFonts w:hint="eastAsia" w:ascii="Times New Roman" w:hAnsi="Times New Roman" w:eastAsia="仿宋_GB2312" w:cs="黑体"/>
          <w:color w:val="000000"/>
          <w:sz w:val="32"/>
          <w:szCs w:val="32"/>
          <w:highlight w:val="none"/>
        </w:rPr>
        <w:t>是习近平生态文明思想的核心要义，是生态文明和美丽中国建设的科学指引，具有鲜明的时代意义和实践价值。“</w:t>
      </w:r>
      <w:r>
        <w:rPr>
          <w:rFonts w:hint="eastAsia" w:ascii="Times New Roman" w:hAnsi="Times New Roman" w:eastAsia="仿宋_GB2312" w:cs="黑体"/>
          <w:color w:val="000000"/>
          <w:sz w:val="32"/>
          <w:szCs w:val="32"/>
          <w:highlight w:val="none"/>
          <w:lang w:val="en-US" w:eastAsia="zh-CN"/>
        </w:rPr>
        <w:t>两山</w:t>
      </w:r>
      <w:r>
        <w:rPr>
          <w:rFonts w:hint="eastAsia" w:ascii="Times New Roman" w:hAnsi="Times New Roman"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rPr>
        <w:t>理论深刻阐述了经济发展和生态环境保护的关系，指明了协同推进生态环境高水平保护和经济高质量发展的新路径。</w:t>
      </w:r>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2015年，“坚持绿水青山就是金山银山”被写进了《关于加快推进生态文明建设的意见》。2017年，</w:t>
      </w:r>
      <w:r>
        <w:rPr>
          <w:rFonts w:hint="eastAsia" w:eastAsia="仿宋_GB2312" w:cs="黑体"/>
          <w:color w:val="000000"/>
          <w:sz w:val="32"/>
          <w:szCs w:val="32"/>
          <w:highlight w:val="none"/>
          <w:lang w:eastAsia="zh-CN"/>
        </w:rPr>
        <w:t>党的十九大</w:t>
      </w:r>
      <w:bookmarkStart w:id="95" w:name="_GoBack"/>
      <w:bookmarkEnd w:id="95"/>
      <w:r>
        <w:rPr>
          <w:rFonts w:hint="eastAsia" w:ascii="Times New Roman" w:hAnsi="Times New Roman" w:eastAsia="仿宋_GB2312" w:cs="黑体"/>
          <w:color w:val="000000"/>
          <w:sz w:val="32"/>
          <w:szCs w:val="32"/>
          <w:highlight w:val="none"/>
        </w:rPr>
        <w:t>报告强调坚持人与自然和谐共生，必须树立和践行“绿水青山就是金山银山”的理念</w:t>
      </w:r>
      <w:r>
        <w:rPr>
          <w:rFonts w:hint="eastAsia" w:ascii="Times New Roman" w:hAnsi="Times New Roman"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rPr>
        <w:t>“增强绿水青山就是金山银山的意识”被写进新修订的《中国共产党章程》</w:t>
      </w:r>
      <w:r>
        <w:rPr>
          <w:rFonts w:hint="eastAsia" w:ascii="Times New Roman" w:hAnsi="Times New Roman"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lang w:val="en-US" w:eastAsia="zh-CN"/>
        </w:rPr>
        <w:t>2022年，</w:t>
      </w:r>
      <w:r>
        <w:rPr>
          <w:rFonts w:hint="eastAsia" w:ascii="Times New Roman" w:hAnsi="Times New Roman" w:eastAsia="仿宋_GB2312" w:cs="黑体"/>
          <w:color w:val="000000"/>
          <w:sz w:val="32"/>
          <w:szCs w:val="32"/>
          <w:highlight w:val="none"/>
        </w:rPr>
        <w:t>党的二十大报告提出，推动绿色发展，促进人与自然和谐共生，建设美丽中国，坚持山水林田湖草沙一体化保护和系统治理，统筹产业结构调整、污染治理、生态保护、应对气候变化，协同推进降碳、减污、扩绿、增长，推进生态优先、节约集约、绿色低碳发展</w:t>
      </w:r>
      <w:r>
        <w:rPr>
          <w:rFonts w:hint="eastAsia" w:ascii="Times New Roman" w:hAnsi="Times New Roman"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rPr>
        <w:t>“</w:t>
      </w:r>
      <w:r>
        <w:rPr>
          <w:rFonts w:hint="eastAsia" w:ascii="Times New Roman" w:hAnsi="Times New Roman" w:eastAsia="仿宋_GB2312" w:cs="黑体"/>
          <w:color w:val="000000"/>
          <w:sz w:val="32"/>
          <w:szCs w:val="32"/>
          <w:highlight w:val="none"/>
          <w:lang w:val="en-US" w:eastAsia="zh-CN"/>
        </w:rPr>
        <w:t>两山</w:t>
      </w:r>
      <w:r>
        <w:rPr>
          <w:rFonts w:hint="eastAsia" w:ascii="Times New Roman" w:hAnsi="Times New Roman" w:eastAsia="仿宋_GB2312" w:cs="黑体"/>
          <w:color w:val="000000"/>
          <w:sz w:val="32"/>
          <w:szCs w:val="32"/>
          <w:highlight w:val="none"/>
        </w:rPr>
        <w:t>”实践创新基地建设进入全新阶段。</w:t>
      </w:r>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目前，生态环境部先后组织开展并命名表彰了</w:t>
      </w:r>
      <w:r>
        <w:rPr>
          <w:rFonts w:hint="eastAsia" w:ascii="Times New Roman" w:hAnsi="Times New Roman" w:eastAsia="仿宋_GB2312" w:cs="黑体"/>
          <w:color w:val="000000"/>
          <w:sz w:val="32"/>
          <w:szCs w:val="32"/>
          <w:highlight w:val="none"/>
          <w:lang w:val="en-US" w:eastAsia="zh-CN"/>
        </w:rPr>
        <w:t>六</w:t>
      </w:r>
      <w:r>
        <w:rPr>
          <w:rFonts w:hint="eastAsia" w:ascii="Times New Roman" w:hAnsi="Times New Roman" w:eastAsia="仿宋_GB2312" w:cs="黑体"/>
          <w:color w:val="000000"/>
          <w:sz w:val="32"/>
          <w:szCs w:val="32"/>
          <w:highlight w:val="none"/>
        </w:rPr>
        <w:t>批共</w:t>
      </w:r>
      <w:r>
        <w:rPr>
          <w:rFonts w:hint="eastAsia" w:ascii="Times New Roman" w:hAnsi="Times New Roman" w:eastAsia="仿宋_GB2312" w:cs="黑体"/>
          <w:color w:val="000000"/>
          <w:sz w:val="32"/>
          <w:szCs w:val="32"/>
          <w:highlight w:val="none"/>
          <w:lang w:val="en-US" w:eastAsia="zh-CN"/>
        </w:rPr>
        <w:t>182</w:t>
      </w:r>
      <w:r>
        <w:rPr>
          <w:rFonts w:hint="eastAsia" w:ascii="Times New Roman" w:hAnsi="Times New Roman" w:eastAsia="仿宋_GB2312" w:cs="黑体"/>
          <w:color w:val="000000"/>
          <w:sz w:val="32"/>
          <w:szCs w:val="32"/>
          <w:highlight w:val="none"/>
        </w:rPr>
        <w:t>个“</w:t>
      </w:r>
      <w:r>
        <w:rPr>
          <w:rFonts w:hint="eastAsia" w:ascii="Times New Roman" w:hAnsi="Times New Roman" w:eastAsia="仿宋_GB2312" w:cs="黑体"/>
          <w:color w:val="000000"/>
          <w:sz w:val="32"/>
          <w:szCs w:val="32"/>
          <w:highlight w:val="none"/>
          <w:lang w:val="en-US" w:eastAsia="zh-CN"/>
        </w:rPr>
        <w:t>两山</w:t>
      </w:r>
      <w:r>
        <w:rPr>
          <w:rFonts w:hint="eastAsia" w:ascii="Times New Roman" w:hAnsi="Times New Roman" w:eastAsia="仿宋_GB2312" w:cs="黑体"/>
          <w:color w:val="000000"/>
          <w:sz w:val="32"/>
          <w:szCs w:val="32"/>
          <w:highlight w:val="none"/>
        </w:rPr>
        <w:t>”实践创新基地，推动各地生态文明思想认识和实践不断深化，打造了一批“两山”实践的鲜活案例和实践样本，为建设美丽中国提供了重要支撑。推动国家生态文明建设示范创建向纵深发展，山东省率先探索出多级联建、覆盖广泛的建设方式，自2020年起，开展省级“</w:t>
      </w:r>
      <w:r>
        <w:rPr>
          <w:rFonts w:hint="eastAsia" w:ascii="Times New Roman" w:hAnsi="Times New Roman" w:eastAsia="仿宋_GB2312" w:cs="黑体"/>
          <w:color w:val="000000"/>
          <w:sz w:val="32"/>
          <w:szCs w:val="32"/>
          <w:highlight w:val="none"/>
          <w:lang w:val="en-US" w:eastAsia="zh-CN"/>
        </w:rPr>
        <w:t>两山</w:t>
      </w:r>
      <w:r>
        <w:rPr>
          <w:rFonts w:hint="eastAsia" w:ascii="Times New Roman" w:hAnsi="Times New Roman" w:eastAsia="仿宋_GB2312" w:cs="黑体"/>
          <w:color w:val="000000"/>
          <w:sz w:val="32"/>
          <w:szCs w:val="32"/>
          <w:highlight w:val="none"/>
        </w:rPr>
        <w:t>”实践创新基地建设，制定出台了《山东省省级“绿水青山就是金山银山”实践创新基地建设管理规程（试行）》，目前已开展并命名表彰了</w:t>
      </w:r>
      <w:r>
        <w:rPr>
          <w:rFonts w:hint="eastAsia" w:ascii="Times New Roman" w:hAnsi="Times New Roman" w:eastAsia="仿宋_GB2312" w:cs="黑体"/>
          <w:color w:val="000000"/>
          <w:sz w:val="32"/>
          <w:szCs w:val="32"/>
          <w:highlight w:val="none"/>
          <w:lang w:val="en-US" w:eastAsia="zh-CN"/>
        </w:rPr>
        <w:t>三</w:t>
      </w:r>
      <w:r>
        <w:rPr>
          <w:rFonts w:hint="eastAsia" w:ascii="Times New Roman" w:hAnsi="Times New Roman" w:eastAsia="仿宋_GB2312" w:cs="黑体"/>
          <w:color w:val="000000"/>
          <w:sz w:val="32"/>
          <w:szCs w:val="32"/>
          <w:highlight w:val="none"/>
        </w:rPr>
        <w:t>批共</w:t>
      </w:r>
      <w:r>
        <w:rPr>
          <w:rFonts w:hint="eastAsia" w:ascii="Times New Roman" w:hAnsi="Times New Roman" w:eastAsia="仿宋_GB2312" w:cs="黑体"/>
          <w:color w:val="000000"/>
          <w:sz w:val="32"/>
          <w:szCs w:val="32"/>
          <w:highlight w:val="none"/>
          <w:lang w:val="en-US" w:eastAsia="zh-CN"/>
        </w:rPr>
        <w:t>38</w:t>
      </w:r>
      <w:r>
        <w:rPr>
          <w:rFonts w:hint="eastAsia" w:ascii="Times New Roman" w:hAnsi="Times New Roman" w:eastAsia="仿宋_GB2312" w:cs="黑体"/>
          <w:color w:val="000000"/>
          <w:sz w:val="32"/>
          <w:szCs w:val="32"/>
          <w:highlight w:val="none"/>
        </w:rPr>
        <w:t>个“</w:t>
      </w:r>
      <w:r>
        <w:rPr>
          <w:rFonts w:hint="eastAsia" w:ascii="Times New Roman" w:hAnsi="Times New Roman" w:eastAsia="仿宋_GB2312" w:cs="黑体"/>
          <w:color w:val="000000"/>
          <w:sz w:val="32"/>
          <w:szCs w:val="32"/>
          <w:highlight w:val="none"/>
          <w:lang w:val="en-US" w:eastAsia="zh-CN"/>
        </w:rPr>
        <w:t>两山</w:t>
      </w:r>
      <w:r>
        <w:rPr>
          <w:rFonts w:hint="eastAsia" w:ascii="Times New Roman" w:hAnsi="Times New Roman" w:eastAsia="仿宋_GB2312" w:cs="黑体"/>
          <w:color w:val="000000"/>
          <w:sz w:val="32"/>
          <w:szCs w:val="32"/>
          <w:highlight w:val="none"/>
        </w:rPr>
        <w:t>”实践创新基地，有力推动山东生态文明建设示范工作再上新台阶。</w:t>
      </w:r>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隶属山东省淄博市，是国家重点生态功能区，是沂河、弥河、汶河“三河之源”，也是山东古人类发源地，平均海拔为全省最高，素有“山东屋脊”之称。近年来，沂源县源高度重视生态文明建设，始终坚持“生态立县”不动摇，做活“生态保护、治理提升、绿色发展”三篇文章，不断探索、协同推进生态优先和绿色发展新路，被评为全国绿化模范县、国家园林县城、国家生态文明建设示范区，三年两次获评山东省高质量发展先进县。沂源全面践行</w:t>
      </w:r>
      <w:r>
        <w:rPr>
          <w:rFonts w:hint="eastAsia" w:ascii="Times New Roman" w:hAnsi="Times New Roman"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lang w:val="en-US" w:eastAsia="zh-CN"/>
        </w:rPr>
        <w:t>两山</w:t>
      </w:r>
      <w:r>
        <w:rPr>
          <w:rFonts w:hint="eastAsia" w:ascii="Times New Roman" w:hAnsi="Times New Roman"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rPr>
        <w:t>理念</w:t>
      </w:r>
      <w:r>
        <w:rPr>
          <w:rFonts w:hint="eastAsia" w:ascii="Times New Roman" w:hAnsi="Times New Roman"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rPr>
        <w:t>围绕“将生态优势转为胜势，塑造绿色发展典范”的定位，实现了从生态优先向生态保护同经济发展相得益彰、互促共赢的生动跨越。</w:t>
      </w:r>
    </w:p>
    <w:p>
      <w:pPr>
        <w:numPr>
          <w:ilvl w:val="0"/>
          <w:numId w:val="1"/>
        </w:numPr>
        <w:adjustRightInd w:val="0"/>
        <w:snapToGrid w:val="0"/>
        <w:spacing w:line="360" w:lineRule="auto"/>
        <w:outlineLvl w:val="1"/>
        <w:rPr>
          <w:rFonts w:eastAsia="楷体_GB2312"/>
          <w:b/>
          <w:bCs/>
          <w:sz w:val="32"/>
          <w:szCs w:val="32"/>
        </w:rPr>
      </w:pPr>
      <w:bookmarkStart w:id="3" w:name="_Toc104480010"/>
      <w:bookmarkStart w:id="4" w:name="_Toc19956"/>
      <w:r>
        <w:rPr>
          <w:rFonts w:hint="eastAsia" w:eastAsia="楷体_GB2312"/>
          <w:b/>
          <w:bCs/>
          <w:sz w:val="32"/>
          <w:szCs w:val="32"/>
        </w:rPr>
        <w:t>重要</w:t>
      </w:r>
      <w:r>
        <w:rPr>
          <w:rFonts w:eastAsia="楷体_GB2312"/>
          <w:b/>
          <w:bCs/>
          <w:sz w:val="32"/>
          <w:szCs w:val="32"/>
        </w:rPr>
        <w:t>意义</w:t>
      </w:r>
      <w:bookmarkEnd w:id="3"/>
      <w:bookmarkEnd w:id="4"/>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lang w:val="en-US" w:eastAsia="zh-CN"/>
        </w:rPr>
        <w:t>沂源县</w:t>
      </w:r>
      <w:r>
        <w:rPr>
          <w:rFonts w:hint="eastAsia" w:ascii="Times New Roman" w:hAnsi="Times New Roman" w:eastAsia="仿宋_GB2312" w:cs="黑体"/>
          <w:color w:val="000000"/>
          <w:sz w:val="32"/>
          <w:szCs w:val="32"/>
          <w:highlight w:val="none"/>
        </w:rPr>
        <w:t>具有得天独厚的</w:t>
      </w:r>
      <w:r>
        <w:rPr>
          <w:rFonts w:hint="eastAsia" w:ascii="Times New Roman" w:hAnsi="Times New Roman" w:eastAsia="仿宋_GB2312" w:cs="黑体"/>
          <w:color w:val="000000"/>
          <w:sz w:val="32"/>
          <w:szCs w:val="32"/>
          <w:highlight w:val="none"/>
          <w:lang w:val="en-US" w:eastAsia="zh-CN"/>
        </w:rPr>
        <w:t>生态</w:t>
      </w:r>
      <w:r>
        <w:rPr>
          <w:rFonts w:hint="eastAsia" w:ascii="Times New Roman" w:hAnsi="Times New Roman" w:eastAsia="仿宋_GB2312" w:cs="黑体"/>
          <w:color w:val="000000"/>
          <w:sz w:val="32"/>
          <w:szCs w:val="32"/>
          <w:highlight w:val="none"/>
        </w:rPr>
        <w:t>禀赋，建设“两山”实践创新基地符合区域自身定位，对于践行习近平生态文明思想、发挥生态优势聚力打造“生态高地”</w:t>
      </w:r>
      <w:r>
        <w:rPr>
          <w:rFonts w:hint="eastAsia" w:ascii="Times New Roman" w:hAnsi="Times New Roman" w:eastAsia="仿宋_GB2312" w:cs="黑体"/>
          <w:color w:val="000000"/>
          <w:sz w:val="32"/>
          <w:szCs w:val="32"/>
          <w:highlight w:val="none"/>
          <w:lang w:eastAsia="zh-CN"/>
        </w:rPr>
        <w:t>、实现高质量绿色转型发展</w:t>
      </w:r>
      <w:r>
        <w:rPr>
          <w:rFonts w:hint="eastAsia" w:ascii="Times New Roman" w:hAnsi="Times New Roman" w:eastAsia="仿宋_GB2312" w:cs="黑体"/>
          <w:color w:val="000000"/>
          <w:sz w:val="32"/>
          <w:szCs w:val="32"/>
          <w:highlight w:val="none"/>
        </w:rPr>
        <w:t>、探索“两山”转化模式，具有特殊而重要的意义。</w:t>
      </w:r>
    </w:p>
    <w:p>
      <w:pPr>
        <w:adjustRightInd w:val="0"/>
        <w:snapToGrid w:val="0"/>
        <w:spacing w:line="360" w:lineRule="auto"/>
        <w:ind w:firstLine="643" w:firstLineChars="200"/>
        <w:rPr>
          <w:rFonts w:hint="eastAsia" w:ascii="Times New Roman" w:hAnsi="Times New Roman" w:eastAsia="仿宋_GB2312" w:cs="黑体"/>
          <w:b/>
          <w:bCs/>
          <w:color w:val="000000"/>
          <w:sz w:val="32"/>
          <w:szCs w:val="32"/>
          <w:highlight w:val="none"/>
          <w:lang w:val="en-US" w:eastAsia="zh-CN"/>
        </w:rPr>
      </w:pPr>
      <w:r>
        <w:rPr>
          <w:rFonts w:hint="eastAsia" w:ascii="Times New Roman" w:hAnsi="Times New Roman" w:eastAsia="仿宋_GB2312" w:cs="黑体"/>
          <w:b/>
          <w:bCs/>
          <w:color w:val="000000"/>
          <w:sz w:val="32"/>
          <w:szCs w:val="32"/>
          <w:highlight w:val="none"/>
          <w:lang w:val="en-US" w:eastAsia="zh-CN"/>
        </w:rPr>
        <w:t>创建“两山”实践创新基地是沂源县践行习近平生态文明思想的重要举措。</w:t>
      </w:r>
      <w:r>
        <w:rPr>
          <w:rFonts w:hint="eastAsia" w:ascii="仿宋_GB2312" w:hAnsi="仿宋_GB2312" w:eastAsia="仿宋_GB2312" w:cs="仿宋_GB2312"/>
          <w:sz w:val="32"/>
          <w:szCs w:val="32"/>
        </w:rPr>
        <w:t>党的十八大以来，以习近平同志为核心的党中央把生态文明建设摆在治国理政的突出位置，作为统筹推进“五位一体”总体布局和协调推进“四个全面”战略布局的重要内容。“两山”实践创新基地</w:t>
      </w:r>
      <w:r>
        <w:rPr>
          <w:rFonts w:hint="eastAsia" w:ascii="仿宋_GB2312" w:hAnsi="仿宋_GB2312" w:eastAsia="仿宋_GB2312" w:cs="仿宋_GB2312"/>
          <w:sz w:val="32"/>
          <w:szCs w:val="32"/>
          <w:lang w:val="en-US" w:eastAsia="zh-CN"/>
        </w:rPr>
        <w:t>创建工作</w:t>
      </w:r>
      <w:r>
        <w:rPr>
          <w:rFonts w:hint="eastAsia" w:ascii="仿宋_GB2312" w:hAnsi="仿宋_GB2312" w:eastAsia="仿宋_GB2312" w:cs="仿宋_GB2312"/>
          <w:sz w:val="32"/>
          <w:szCs w:val="32"/>
        </w:rPr>
        <w:t>是当前推进生态文明建设的重要载体和平台，要求创建地区以习近平生态文明思想为指导，因地制宜，探索符合自身条件、本地特</w:t>
      </w:r>
      <w:r>
        <w:rPr>
          <w:rFonts w:hint="eastAsia" w:ascii="仿宋_GB2312" w:hAnsi="仿宋_GB2312" w:eastAsia="仿宋_GB2312" w:cs="仿宋_GB2312"/>
          <w:sz w:val="32"/>
          <w:szCs w:val="32"/>
          <w:lang w:val="en-US" w:eastAsia="zh-CN"/>
        </w:rPr>
        <w:t>色</w:t>
      </w:r>
      <w:r>
        <w:rPr>
          <w:rFonts w:hint="eastAsia" w:ascii="仿宋_GB2312" w:hAnsi="仿宋_GB2312" w:eastAsia="仿宋_GB2312" w:cs="仿宋_GB2312"/>
          <w:sz w:val="32"/>
          <w:szCs w:val="32"/>
        </w:rPr>
        <w:t>的有效模式和典型经验，为提升生态文明水平提供重要支撑和有力保障。</w:t>
      </w:r>
      <w:r>
        <w:rPr>
          <w:rFonts w:hint="eastAsia" w:ascii="仿宋_GB2312" w:hAnsi="仿宋_GB2312" w:eastAsia="仿宋_GB2312" w:cs="仿宋_GB2312"/>
          <w:sz w:val="32"/>
          <w:szCs w:val="32"/>
          <w:lang w:val="en-US" w:eastAsia="zh-CN"/>
        </w:rPr>
        <w:t>沂源</w:t>
      </w:r>
      <w:r>
        <w:rPr>
          <w:rFonts w:hint="eastAsia" w:ascii="仿宋_GB2312" w:hAnsi="仿宋_GB2312" w:eastAsia="仿宋_GB2312" w:cs="仿宋_GB2312"/>
          <w:sz w:val="32"/>
          <w:szCs w:val="32"/>
        </w:rPr>
        <w:t>县主动开展“两山”</w:t>
      </w:r>
      <w:r>
        <w:rPr>
          <w:rFonts w:hint="eastAsia" w:ascii="仿宋_GB2312" w:hAnsi="仿宋_GB2312" w:eastAsia="仿宋_GB2312" w:cs="仿宋_GB2312"/>
          <w:sz w:val="32"/>
          <w:szCs w:val="32"/>
          <w:lang w:val="en-US" w:eastAsia="zh-CN"/>
        </w:rPr>
        <w:t>实践创新</w:t>
      </w:r>
      <w:r>
        <w:rPr>
          <w:rFonts w:hint="eastAsia" w:ascii="仿宋_GB2312" w:hAnsi="仿宋_GB2312" w:eastAsia="仿宋_GB2312" w:cs="仿宋_GB2312"/>
          <w:sz w:val="32"/>
          <w:szCs w:val="32"/>
        </w:rPr>
        <w:t>基地建设，是县委县政府全面贯彻落实习近平新时代中国特色社会主义思想和党的历次全会精神，坚决扛起推进生态文明建设和生态环境保护的政治责任</w:t>
      </w:r>
      <w:r>
        <w:rPr>
          <w:rFonts w:hint="eastAsia" w:ascii="仿宋_GB2312" w:hAnsi="仿宋_GB2312" w:eastAsia="仿宋_GB2312" w:cs="仿宋_GB2312"/>
          <w:sz w:val="32"/>
          <w:szCs w:val="32"/>
          <w:lang w:eastAsia="zh-CN"/>
        </w:rPr>
        <w:t>，也是不断满足人民群众日益增长的美好生活需要、推动建设美丽</w:t>
      </w:r>
      <w:r>
        <w:rPr>
          <w:rFonts w:hint="eastAsia" w:ascii="仿宋_GB2312" w:hAnsi="仿宋_GB2312" w:eastAsia="仿宋_GB2312" w:cs="仿宋_GB2312"/>
          <w:sz w:val="32"/>
          <w:szCs w:val="32"/>
          <w:lang w:val="en-US" w:eastAsia="zh-CN"/>
        </w:rPr>
        <w:t>沂源</w:t>
      </w:r>
      <w:r>
        <w:rPr>
          <w:rFonts w:hint="eastAsia" w:ascii="仿宋_GB2312" w:hAnsi="仿宋_GB2312" w:eastAsia="仿宋_GB2312" w:cs="仿宋_GB2312"/>
          <w:sz w:val="32"/>
          <w:szCs w:val="32"/>
          <w:lang w:eastAsia="zh-CN"/>
        </w:rPr>
        <w:t>的具体实践。</w:t>
      </w:r>
    </w:p>
    <w:p>
      <w:pPr>
        <w:adjustRightInd w:val="0"/>
        <w:snapToGrid w:val="0"/>
        <w:spacing w:line="360" w:lineRule="auto"/>
        <w:ind w:firstLine="643" w:firstLineChars="200"/>
        <w:rPr>
          <w:rFonts w:hint="eastAsia" w:ascii="Times New Roman" w:hAnsi="Times New Roman" w:eastAsia="仿宋_GB2312" w:cs="黑体"/>
          <w:b w:val="0"/>
          <w:bCs w:val="0"/>
          <w:color w:val="000000"/>
          <w:sz w:val="32"/>
          <w:szCs w:val="32"/>
          <w:highlight w:val="none"/>
          <w:lang w:val="en-US" w:eastAsia="zh-CN"/>
        </w:rPr>
      </w:pPr>
      <w:r>
        <w:rPr>
          <w:rFonts w:hint="eastAsia" w:ascii="Times New Roman" w:hAnsi="Times New Roman" w:eastAsia="仿宋_GB2312" w:cs="黑体"/>
          <w:b/>
          <w:bCs/>
          <w:color w:val="000000"/>
          <w:sz w:val="32"/>
          <w:szCs w:val="32"/>
          <w:highlight w:val="none"/>
          <w:lang w:val="en-US" w:eastAsia="zh-CN"/>
        </w:rPr>
        <w:t>创建“两山”实践创新基地是沂源县发挥生态优势聚力打造“生态高地”的重要抓手。</w:t>
      </w:r>
      <w:r>
        <w:rPr>
          <w:rFonts w:hint="eastAsia" w:ascii="Times New Roman" w:hAnsi="Times New Roman" w:eastAsia="仿宋_GB2312" w:cs="黑体"/>
          <w:b w:val="0"/>
          <w:bCs w:val="0"/>
          <w:color w:val="000000"/>
          <w:sz w:val="32"/>
          <w:szCs w:val="32"/>
          <w:highlight w:val="none"/>
          <w:lang w:val="en-US" w:eastAsia="zh-CN"/>
        </w:rPr>
        <w:t>沂源县是国家重点生态功能区，其生态环境优良、文化底蕴深厚，在国家、山东省生态文明建设战略布局中占有重要地位。沂源以生态为底色，在各个领域着力添色，致力打造环境质量高水平、产业绿色高效能、城镇融合高能级、乡村振兴高成色、人文和谐高品质、特色名片高亮度的“沂源样板”，努力让鲁中高地、产业高地、宜居高地、创新高地、生态高地、幸福高地建设更富“含绿量”“含金量”，量质齐升之美成色更足</w:t>
      </w:r>
      <w:r>
        <w:rPr>
          <w:rFonts w:hint="eastAsia" w:eastAsia="仿宋_GB2312" w:cs="黑体"/>
          <w:b w:val="0"/>
          <w:bCs w:val="0"/>
          <w:color w:val="000000"/>
          <w:sz w:val="32"/>
          <w:szCs w:val="32"/>
          <w:highlight w:val="none"/>
          <w:lang w:val="en-US" w:eastAsia="zh-CN"/>
        </w:rPr>
        <w:t>。</w:t>
      </w:r>
      <w:r>
        <w:rPr>
          <w:rFonts w:hint="eastAsia" w:ascii="Times New Roman" w:hAnsi="Times New Roman" w:eastAsia="仿宋_GB2312" w:cs="黑体"/>
          <w:b w:val="0"/>
          <w:bCs w:val="0"/>
          <w:color w:val="000000"/>
          <w:sz w:val="32"/>
          <w:szCs w:val="32"/>
          <w:highlight w:val="none"/>
          <w:lang w:val="en-US" w:eastAsia="zh-CN"/>
        </w:rPr>
        <w:t>建设“两山”实践创新基地与沂源深化“生态立县”发展一脉相承，是沂源形成节约资源和保护生态环境的空间格局、产业结构、生产方式和生活方式的必然选择，有助于沂源探索实现生态环境高水平保护和经济社会高质量发展的示范协同路径。</w:t>
      </w:r>
    </w:p>
    <w:p>
      <w:pPr>
        <w:adjustRightInd w:val="0"/>
        <w:snapToGrid w:val="0"/>
        <w:spacing w:line="360" w:lineRule="auto"/>
        <w:ind w:firstLine="643" w:firstLineChars="200"/>
        <w:rPr>
          <w:rFonts w:hint="eastAsia" w:ascii="Times New Roman" w:hAnsi="Times New Roman" w:eastAsia="仿宋_GB2312" w:cs="黑体"/>
          <w:b/>
          <w:bCs/>
          <w:color w:val="000000"/>
          <w:sz w:val="32"/>
          <w:szCs w:val="32"/>
          <w:highlight w:val="none"/>
          <w:lang w:val="en-US" w:eastAsia="zh-CN"/>
        </w:rPr>
      </w:pPr>
      <w:r>
        <w:rPr>
          <w:rFonts w:hint="eastAsia" w:ascii="Times New Roman" w:hAnsi="Times New Roman" w:eastAsia="仿宋_GB2312" w:cs="黑体"/>
          <w:b/>
          <w:bCs/>
          <w:color w:val="000000"/>
          <w:sz w:val="32"/>
          <w:szCs w:val="32"/>
          <w:highlight w:val="none"/>
          <w:lang w:val="en-US" w:eastAsia="zh-CN"/>
        </w:rPr>
        <w:t>创建“两山”实践创新基地是沂源县实现高质量绿色转型发展的重要途径。</w:t>
      </w:r>
      <w:r>
        <w:rPr>
          <w:rFonts w:hint="eastAsia" w:ascii="Times New Roman" w:hAnsi="Times New Roman" w:eastAsia="仿宋_GB2312" w:cs="Times New Roman"/>
          <w:sz w:val="32"/>
          <w:szCs w:val="40"/>
          <w:lang w:val="en-US" w:eastAsia="zh-CN"/>
        </w:rPr>
        <w:t>当前，沂源发展面临经济发展基础薄弱、生态环境保护形势严峻、“两山”制度不健全、生态产品价值实现不成熟等问题，打通“两山”转化通道还需要完善经验模式、开拓创新。</w:t>
      </w:r>
      <w:r>
        <w:rPr>
          <w:rFonts w:ascii="Times New Roman" w:hAnsi="Times New Roman" w:eastAsia="仿宋_GB2312" w:cs="Times New Roman"/>
          <w:sz w:val="32"/>
          <w:szCs w:val="40"/>
        </w:rPr>
        <w:t>开展</w:t>
      </w:r>
      <w:r>
        <w:rPr>
          <w:rFonts w:hint="eastAsia" w:ascii="Times New Roman" w:hAnsi="Times New Roman" w:eastAsia="仿宋_GB2312" w:cs="Times New Roman"/>
          <w:sz w:val="32"/>
          <w:szCs w:val="40"/>
          <w:lang w:val="en-US" w:eastAsia="zh-CN"/>
        </w:rPr>
        <w:t>沂源</w:t>
      </w:r>
      <w:r>
        <w:rPr>
          <w:rFonts w:ascii="Times New Roman" w:hAnsi="Times New Roman" w:eastAsia="仿宋_GB2312" w:cs="Times New Roman"/>
          <w:sz w:val="32"/>
          <w:szCs w:val="40"/>
        </w:rPr>
        <w:t>“</w:t>
      </w:r>
      <w:r>
        <w:rPr>
          <w:rFonts w:hint="eastAsia" w:ascii="Times New Roman" w:hAnsi="Times New Roman" w:eastAsia="仿宋_GB2312" w:cs="Times New Roman"/>
          <w:sz w:val="32"/>
          <w:szCs w:val="40"/>
          <w:lang w:val="en-US" w:eastAsia="zh-CN"/>
        </w:rPr>
        <w:t>两山</w:t>
      </w:r>
      <w:r>
        <w:rPr>
          <w:rFonts w:ascii="Times New Roman" w:hAnsi="Times New Roman" w:eastAsia="仿宋_GB2312" w:cs="Times New Roman"/>
          <w:sz w:val="32"/>
          <w:szCs w:val="40"/>
        </w:rPr>
        <w:t>”实践创新基地建设，就是要破解</w:t>
      </w:r>
      <w:r>
        <w:rPr>
          <w:rFonts w:hint="eastAsia" w:ascii="Times New Roman" w:hAnsi="Times New Roman" w:eastAsia="仿宋_GB2312" w:cs="Times New Roman"/>
          <w:sz w:val="32"/>
          <w:szCs w:val="40"/>
          <w:lang w:val="en-US" w:eastAsia="zh-CN"/>
        </w:rPr>
        <w:t>区域</w:t>
      </w:r>
      <w:r>
        <w:rPr>
          <w:rFonts w:ascii="Times New Roman" w:hAnsi="Times New Roman" w:eastAsia="仿宋_GB2312" w:cs="Times New Roman"/>
          <w:sz w:val="32"/>
          <w:szCs w:val="40"/>
        </w:rPr>
        <w:t>生态</w:t>
      </w:r>
      <w:r>
        <w:rPr>
          <w:rFonts w:hint="eastAsia" w:ascii="Times New Roman" w:hAnsi="Times New Roman" w:eastAsia="仿宋_GB2312" w:cs="Times New Roman"/>
          <w:sz w:val="32"/>
          <w:szCs w:val="40"/>
          <w:lang w:val="en-US" w:eastAsia="zh-CN"/>
        </w:rPr>
        <w:t>环境</w:t>
      </w:r>
      <w:r>
        <w:rPr>
          <w:rFonts w:ascii="Times New Roman" w:hAnsi="Times New Roman" w:eastAsia="仿宋_GB2312" w:cs="Times New Roman"/>
          <w:sz w:val="32"/>
          <w:szCs w:val="40"/>
        </w:rPr>
        <w:t>保护与经济</w:t>
      </w:r>
      <w:r>
        <w:rPr>
          <w:rFonts w:hint="eastAsia" w:ascii="Times New Roman" w:hAnsi="Times New Roman" w:eastAsia="仿宋_GB2312" w:cs="Times New Roman"/>
          <w:sz w:val="32"/>
          <w:szCs w:val="40"/>
          <w:lang w:val="en-US" w:eastAsia="zh-CN"/>
        </w:rPr>
        <w:t>高质量</w:t>
      </w:r>
      <w:r>
        <w:rPr>
          <w:rFonts w:ascii="Times New Roman" w:hAnsi="Times New Roman" w:eastAsia="仿宋_GB2312" w:cs="Times New Roman"/>
          <w:sz w:val="32"/>
          <w:szCs w:val="40"/>
        </w:rPr>
        <w:t>发展难题，依托</w:t>
      </w:r>
      <w:r>
        <w:rPr>
          <w:rFonts w:hint="eastAsia" w:ascii="Times New Roman" w:hAnsi="Times New Roman" w:eastAsia="仿宋_GB2312" w:cs="Times New Roman"/>
          <w:sz w:val="32"/>
          <w:szCs w:val="40"/>
          <w:lang w:val="en-US" w:eastAsia="zh-CN"/>
        </w:rPr>
        <w:t>沂源</w:t>
      </w:r>
      <w:r>
        <w:rPr>
          <w:rFonts w:ascii="Times New Roman" w:hAnsi="Times New Roman" w:eastAsia="仿宋_GB2312" w:cs="Times New Roman"/>
          <w:sz w:val="32"/>
          <w:szCs w:val="40"/>
        </w:rPr>
        <w:t>优美的生态环境和丰富的生态资源，着力探索</w:t>
      </w:r>
      <w:r>
        <w:rPr>
          <w:rFonts w:hint="eastAsia" w:ascii="Times New Roman" w:hAnsi="Times New Roman" w:eastAsia="仿宋_GB2312" w:cs="Times New Roman"/>
          <w:sz w:val="32"/>
          <w:szCs w:val="40"/>
          <w:lang w:eastAsia="zh-CN"/>
        </w:rPr>
        <w:t>“</w:t>
      </w:r>
      <w:r>
        <w:rPr>
          <w:rFonts w:hint="eastAsia" w:ascii="Times New Roman" w:hAnsi="Times New Roman" w:eastAsia="仿宋_GB2312" w:cs="Times New Roman"/>
          <w:sz w:val="32"/>
          <w:szCs w:val="40"/>
          <w:lang w:val="en-US" w:eastAsia="zh-CN"/>
        </w:rPr>
        <w:t>两山</w:t>
      </w:r>
      <w:r>
        <w:rPr>
          <w:rFonts w:hint="eastAsia" w:ascii="Times New Roman" w:hAnsi="Times New Roman" w:eastAsia="仿宋_GB2312" w:cs="Times New Roman"/>
          <w:sz w:val="32"/>
          <w:szCs w:val="40"/>
          <w:lang w:eastAsia="zh-CN"/>
        </w:rPr>
        <w:t>”</w:t>
      </w:r>
      <w:r>
        <w:rPr>
          <w:rFonts w:hint="eastAsia" w:ascii="Times New Roman" w:hAnsi="Times New Roman" w:eastAsia="仿宋_GB2312" w:cs="Times New Roman"/>
          <w:sz w:val="32"/>
          <w:szCs w:val="40"/>
          <w:lang w:val="en-US" w:eastAsia="zh-CN"/>
        </w:rPr>
        <w:t>转化</w:t>
      </w:r>
      <w:r>
        <w:rPr>
          <w:rFonts w:ascii="Times New Roman" w:hAnsi="Times New Roman" w:eastAsia="仿宋_GB2312" w:cs="Times New Roman"/>
          <w:sz w:val="32"/>
          <w:szCs w:val="40"/>
        </w:rPr>
        <w:t>的有效路径、提升生态产品供给水平和保障能力的有力措施、促进生态产品价值实现的体制机制、打造绿色惠民和绿色共享品牌的可行方法</w:t>
      </w:r>
      <w:r>
        <w:rPr>
          <w:rFonts w:hint="eastAsia" w:ascii="Times New Roman" w:hAnsi="Times New Roman" w:eastAsia="仿宋_GB2312" w:cs="Times New Roman"/>
          <w:sz w:val="32"/>
          <w:szCs w:val="40"/>
        </w:rPr>
        <w:t>，有利于全县促进经济结构调整与转型升级，探索形式丰富多样的“两山”转化通道和生态产品价值实现路径，协同推进经济高质量发展和生态环境高水平保护。</w:t>
      </w:r>
    </w:p>
    <w:p>
      <w:pPr>
        <w:adjustRightInd w:val="0"/>
        <w:snapToGrid w:val="0"/>
        <w:spacing w:line="360" w:lineRule="auto"/>
        <w:outlineLvl w:val="0"/>
        <w:rPr>
          <w:rFonts w:eastAsia="黑体"/>
          <w:b/>
          <w:bCs/>
          <w:sz w:val="32"/>
          <w:szCs w:val="32"/>
        </w:rPr>
      </w:pPr>
      <w:bookmarkStart w:id="5" w:name="_Toc20882"/>
      <w:r>
        <w:rPr>
          <w:rFonts w:eastAsia="黑体"/>
          <w:b/>
          <w:bCs/>
          <w:sz w:val="32"/>
          <w:szCs w:val="32"/>
        </w:rPr>
        <w:t>二、区域概况</w:t>
      </w:r>
      <w:bookmarkEnd w:id="5"/>
    </w:p>
    <w:p>
      <w:pPr>
        <w:adjustRightInd w:val="0"/>
        <w:snapToGrid w:val="0"/>
        <w:spacing w:line="360" w:lineRule="auto"/>
        <w:outlineLvl w:val="1"/>
        <w:rPr>
          <w:rFonts w:eastAsia="楷体_GB2312"/>
          <w:b/>
          <w:bCs/>
          <w:sz w:val="32"/>
          <w:szCs w:val="32"/>
        </w:rPr>
      </w:pPr>
      <w:bookmarkStart w:id="6" w:name="_Toc18861"/>
      <w:bookmarkStart w:id="7" w:name="_Toc104480012"/>
      <w:r>
        <w:rPr>
          <w:rFonts w:eastAsia="楷体_GB2312"/>
          <w:b/>
          <w:bCs/>
          <w:sz w:val="32"/>
          <w:szCs w:val="32"/>
        </w:rPr>
        <w:t>（一）区位概况</w:t>
      </w:r>
      <w:bookmarkEnd w:id="6"/>
      <w:bookmarkEnd w:id="7"/>
    </w:p>
    <w:p>
      <w:pPr>
        <w:adjustRightInd w:val="0"/>
        <w:snapToGrid w:val="0"/>
        <w:spacing w:line="360" w:lineRule="auto"/>
        <w:ind w:firstLine="643" w:firstLineChars="200"/>
        <w:outlineLvl w:val="2"/>
        <w:rPr>
          <w:rFonts w:eastAsia="仿宋_GB2312"/>
          <w:b/>
          <w:sz w:val="32"/>
          <w:szCs w:val="32"/>
        </w:rPr>
      </w:pPr>
      <w:bookmarkStart w:id="8" w:name="_Toc31788"/>
      <w:bookmarkStart w:id="9" w:name="_Toc104480013"/>
      <w:r>
        <w:rPr>
          <w:rFonts w:eastAsia="仿宋_GB2312"/>
          <w:b/>
          <w:sz w:val="32"/>
          <w:szCs w:val="32"/>
        </w:rPr>
        <w:t>1.</w:t>
      </w:r>
      <w:r>
        <w:rPr>
          <w:rFonts w:hint="eastAsia" w:eastAsia="仿宋_GB2312"/>
          <w:b/>
          <w:sz w:val="32"/>
          <w:szCs w:val="32"/>
        </w:rPr>
        <w:t xml:space="preserve"> 地理位置</w:t>
      </w:r>
      <w:bookmarkEnd w:id="8"/>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位于山东省中部，隶属山东省淄博市，在淄博市的最南端，属沂蒙山区，是“齐鲁之心”。地处东经117°54'～118°31'，北纬35°55'～36°23'之间，东靠潍坊市临朐县，东南与沂水县毗邻，西依济南市莱芜区、钢城区，西南与泰安市新泰市接壤，南连临沂市蒙阴县，北与博山区、淄川区相望。东西长63.6千米，南北宽52.2千米，总面积1636平方千米。</w:t>
      </w:r>
    </w:p>
    <w:p>
      <w:pPr>
        <w:adjustRightInd w:val="0"/>
        <w:snapToGrid w:val="0"/>
        <w:spacing w:line="360" w:lineRule="auto"/>
        <w:ind w:firstLine="643" w:firstLineChars="200"/>
        <w:outlineLvl w:val="2"/>
        <w:rPr>
          <w:rFonts w:eastAsia="仿宋_GB2312"/>
          <w:b/>
          <w:sz w:val="32"/>
          <w:szCs w:val="32"/>
        </w:rPr>
      </w:pPr>
      <w:bookmarkStart w:id="10" w:name="_Toc26925"/>
      <w:r>
        <w:rPr>
          <w:rFonts w:hint="eastAsia" w:eastAsia="仿宋_GB2312"/>
          <w:b/>
          <w:sz w:val="32"/>
          <w:szCs w:val="32"/>
        </w:rPr>
        <w:t xml:space="preserve">2. </w:t>
      </w:r>
      <w:r>
        <w:rPr>
          <w:rFonts w:eastAsia="仿宋_GB2312"/>
          <w:b/>
          <w:sz w:val="32"/>
          <w:szCs w:val="32"/>
        </w:rPr>
        <w:t>行政区划</w:t>
      </w:r>
      <w:bookmarkEnd w:id="9"/>
      <w:bookmarkEnd w:id="10"/>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现辖2个街道（历山街道、南麻街道）、10个镇（鲁村镇、东里镇、悦庄镇、西里镇、大张庄镇、中庄镇、张家坡镇、燕崖镇、石桥镇、南鲁山镇）、1个省级经济开发区，共有41个居民委员会、445个村民委员会、1018个自然村。全县常住人口57.25万人。</w:t>
      </w:r>
    </w:p>
    <w:p>
      <w:pPr>
        <w:adjustRightInd w:val="0"/>
        <w:snapToGrid w:val="0"/>
        <w:spacing w:line="360" w:lineRule="auto"/>
        <w:jc w:val="center"/>
        <w:rPr>
          <w:rFonts w:ascii="仿宋" w:hAnsi="仿宋" w:eastAsia="仿宋"/>
          <w:sz w:val="32"/>
          <w:szCs w:val="32"/>
        </w:rPr>
      </w:pPr>
      <w:r>
        <w:rPr>
          <w:rFonts w:hint="eastAsia" w:ascii="仿宋" w:hAnsi="仿宋" w:eastAsia="仿宋"/>
          <w:sz w:val="32"/>
          <w:szCs w:val="32"/>
        </w:rPr>
        <w:drawing>
          <wp:inline distT="0" distB="0" distL="0" distR="0">
            <wp:extent cx="3884295" cy="3952240"/>
            <wp:effectExtent l="0" t="0" r="1905" b="10160"/>
            <wp:docPr id="15755142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14294" name="图片 5"/>
                    <pic:cNvPicPr>
                      <a:picLocks noChangeAspect="1"/>
                    </pic:cNvPicPr>
                  </pic:nvPicPr>
                  <pic:blipFill>
                    <a:blip r:embed="rId8">
                      <a:extLst>
                        <a:ext uri="{28A0092B-C50C-407E-A947-70E740481C1C}">
                          <a14:useLocalDpi xmlns:a14="http://schemas.microsoft.com/office/drawing/2010/main" val="0"/>
                        </a:ext>
                      </a:extLst>
                    </a:blip>
                    <a:srcRect l="4805"/>
                    <a:stretch>
                      <a:fillRect/>
                    </a:stretch>
                  </pic:blipFill>
                  <pic:spPr>
                    <a:xfrm>
                      <a:off x="0" y="0"/>
                      <a:ext cx="3884295" cy="3952240"/>
                    </a:xfrm>
                    <a:prstGeom prst="rect">
                      <a:avLst/>
                    </a:prstGeom>
                    <a:ln>
                      <a:noFill/>
                    </a:ln>
                  </pic:spPr>
                </pic:pic>
              </a:graphicData>
            </a:graphic>
          </wp:inline>
        </w:drawing>
      </w:r>
    </w:p>
    <w:p>
      <w:pPr>
        <w:spacing w:line="360" w:lineRule="auto"/>
        <w:ind w:left="-6" w:leftChars="-3" w:firstLine="2" w:firstLineChars="1"/>
        <w:jc w:val="center"/>
        <w:rPr>
          <w:rFonts w:hint="default" w:ascii="Times New Roman" w:hAnsi="Times New Roman" w:eastAsia="黑体" w:cs="Times New Roman"/>
          <w:sz w:val="28"/>
          <w:szCs w:val="28"/>
        </w:rPr>
      </w:pPr>
      <w:bookmarkStart w:id="11" w:name="_Hlk139725430"/>
      <w:r>
        <w:rPr>
          <w:rFonts w:hint="default" w:ascii="Times New Roman" w:hAnsi="Times New Roman" w:eastAsia="黑体" w:cs="Times New Roman"/>
          <w:sz w:val="28"/>
          <w:szCs w:val="28"/>
        </w:rPr>
        <w:t>图</w:t>
      </w:r>
      <w:r>
        <w:rPr>
          <w:rFonts w:hint="default" w:ascii="Times New Roman" w:hAnsi="Times New Roman" w:eastAsia="黑体" w:cs="Times New Roman"/>
          <w:sz w:val="28"/>
          <w:szCs w:val="28"/>
          <w:lang w:val="en-US" w:eastAsia="zh-CN"/>
        </w:rPr>
        <w:t>2-1</w:t>
      </w:r>
      <w:r>
        <w:rPr>
          <w:rFonts w:hint="default" w:ascii="Times New Roman" w:hAnsi="Times New Roman" w:eastAsia="黑体" w:cs="Times New Roman"/>
          <w:sz w:val="28"/>
          <w:szCs w:val="28"/>
        </w:rPr>
        <w:t xml:space="preserve"> 沂源县地理区位</w:t>
      </w:r>
    </w:p>
    <w:bookmarkEnd w:id="11"/>
    <w:p>
      <w:pPr>
        <w:adjustRightInd w:val="0"/>
        <w:snapToGrid w:val="0"/>
        <w:spacing w:line="360" w:lineRule="auto"/>
        <w:outlineLvl w:val="1"/>
        <w:rPr>
          <w:rFonts w:eastAsia="楷体_GB2312"/>
          <w:b/>
          <w:bCs/>
          <w:sz w:val="32"/>
          <w:szCs w:val="32"/>
        </w:rPr>
      </w:pPr>
      <w:bookmarkStart w:id="12" w:name="_Toc104480015"/>
      <w:bookmarkStart w:id="13" w:name="_Toc21982"/>
      <w:r>
        <w:rPr>
          <w:rFonts w:eastAsia="楷体_GB2312"/>
          <w:b/>
          <w:bCs/>
          <w:sz w:val="32"/>
          <w:szCs w:val="32"/>
        </w:rPr>
        <w:t>（二）自然状况</w:t>
      </w:r>
      <w:bookmarkEnd w:id="12"/>
      <w:bookmarkEnd w:id="13"/>
    </w:p>
    <w:p>
      <w:pPr>
        <w:adjustRightInd w:val="0"/>
        <w:snapToGrid w:val="0"/>
        <w:spacing w:line="360" w:lineRule="auto"/>
        <w:ind w:firstLine="643" w:firstLineChars="200"/>
        <w:outlineLvl w:val="2"/>
        <w:rPr>
          <w:rFonts w:eastAsia="仿宋_GB2312"/>
          <w:b/>
          <w:sz w:val="32"/>
          <w:szCs w:val="32"/>
        </w:rPr>
      </w:pPr>
      <w:bookmarkStart w:id="14" w:name="_Toc28959"/>
      <w:r>
        <w:rPr>
          <w:rFonts w:eastAsia="仿宋_GB2312"/>
          <w:b/>
          <w:sz w:val="32"/>
          <w:szCs w:val="32"/>
        </w:rPr>
        <w:t>1.</w:t>
      </w:r>
      <w:r>
        <w:rPr>
          <w:rFonts w:hint="eastAsia" w:eastAsia="仿宋_GB2312"/>
          <w:b/>
          <w:sz w:val="32"/>
          <w:szCs w:val="32"/>
        </w:rPr>
        <w:t xml:space="preserve"> 地形地貌</w:t>
      </w:r>
      <w:bookmarkEnd w:id="14"/>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沂源县地处沂蒙山区腹地，平均海拔401米，是山东省平均海拔最高的县，素有“山东屋脊”之称</w:t>
      </w:r>
      <w:bookmarkStart w:id="15" w:name="_Hlk139463319"/>
      <w:r>
        <w:rPr>
          <w:rFonts w:hint="eastAsia" w:ascii="Times New Roman" w:hAnsi="Times New Roman" w:eastAsia="仿宋_GB2312" w:cs="黑体"/>
          <w:color w:val="000000"/>
          <w:sz w:val="32"/>
          <w:szCs w:val="32"/>
          <w:highlight w:val="none"/>
        </w:rPr>
        <w:t>。</w:t>
      </w:r>
      <w:bookmarkEnd w:id="15"/>
      <w:r>
        <w:rPr>
          <w:rFonts w:hint="eastAsia" w:ascii="Times New Roman" w:hAnsi="Times New Roman" w:eastAsia="仿宋_GB2312" w:cs="黑体"/>
          <w:color w:val="000000"/>
          <w:sz w:val="32"/>
          <w:szCs w:val="32"/>
          <w:highlight w:val="none"/>
        </w:rPr>
        <w:t>西北部鲁山主峰海拔1108.3米，东南沂河谷地海拔180米，县域的南部和北部为山地或丘陵，而且山地和丘陵面积占全县面积的99.3%，系纯山区，只有中北部的沂河两岸（即鲁村镇经县城至石桥镇走廊上）有较大块的山间盆地平原。县内地层较全，构造复杂，岩浆活动较弱，岩浆岩不甚发育。境内地貌，因受地质构造、岩性、河流、气候等内外营力作用的控制和影响，山峦起伏、沟壑纵横，地势自西北向东南倾斜。</w:t>
      </w:r>
    </w:p>
    <w:p>
      <w:pPr>
        <w:adjustRightInd w:val="0"/>
        <w:snapToGrid w:val="0"/>
        <w:spacing w:line="360" w:lineRule="auto"/>
        <w:ind w:firstLine="643" w:firstLineChars="200"/>
        <w:outlineLvl w:val="2"/>
        <w:rPr>
          <w:rFonts w:eastAsia="仿宋_GB2312"/>
          <w:b/>
          <w:sz w:val="32"/>
          <w:szCs w:val="32"/>
        </w:rPr>
      </w:pPr>
      <w:bookmarkStart w:id="16" w:name="_Toc17938"/>
      <w:r>
        <w:rPr>
          <w:rFonts w:hint="eastAsia" w:eastAsia="仿宋_GB2312"/>
          <w:b/>
          <w:sz w:val="32"/>
          <w:szCs w:val="32"/>
        </w:rPr>
        <w:t>2. 气候特征</w:t>
      </w:r>
      <w:bookmarkEnd w:id="16"/>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属暖温带季风区域大陆性气候，四季分明。春季回暖迟而迅速，风大雨少。夏季湿热多雨，间有干旱。秋季凉爽，干燥少雨。冬季寒冷，雨雪稀少。因受山区地形影响，气候特点明显，干旱威胁较严重。年平均气温13.7℃</w:t>
      </w:r>
      <w:r>
        <w:rPr>
          <w:rFonts w:hint="eastAsia"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rPr>
        <w:t>年较差为27.9℃，年降水量760.8毫米左右, 平均日照时数2296.7小时，年平均无霜期189d，非常适宜人类居住。</w:t>
      </w:r>
    </w:p>
    <w:p>
      <w:pPr>
        <w:adjustRightInd w:val="0"/>
        <w:snapToGrid w:val="0"/>
        <w:spacing w:line="360" w:lineRule="auto"/>
        <w:ind w:firstLine="643" w:firstLineChars="200"/>
        <w:outlineLvl w:val="2"/>
        <w:rPr>
          <w:rFonts w:eastAsia="仿宋_GB2312"/>
          <w:b/>
          <w:sz w:val="32"/>
          <w:szCs w:val="32"/>
        </w:rPr>
      </w:pPr>
      <w:bookmarkStart w:id="17" w:name="_Toc13059"/>
      <w:r>
        <w:rPr>
          <w:rFonts w:hint="eastAsia" w:eastAsia="仿宋_GB2312"/>
          <w:b/>
          <w:sz w:val="32"/>
          <w:szCs w:val="32"/>
        </w:rPr>
        <w:t>3. 水文水系</w:t>
      </w:r>
      <w:bookmarkEnd w:id="17"/>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地势高，无客水过境。沂河、弥河、汶河均发源于境内，形成3条水系，境内大小河流多达1530条，全县河道总长1056.6千米，以沂河水系最大，属淮河流域。沂河水系主要河流是沂河，主河道由田庄水库流向东南，从韩旺乡西南部流出县境。境内长84.6公里，河床最宽处800米，最窄处百余米，流域面积波及15个乡（镇），共1451平方公里。沂河支流螳螂河发源于鲁山西南部的三府山，向东南流经土门镇、南麻镇，由北向南穿越县城，在城区南部汇入沂河，全长27公里，流域面积187平方公里。</w:t>
      </w:r>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共有水库114座，其中大型水库1座(田庄水库)，中型水库1座(红旗水库)，小型水库112座，多数水库为头顶库、串联库。全县水库总库容2.1亿立方米，兴利库容1.2亿立方米，流域面积740.4平方公里，年均水资源总量4.62亿立方米，被誉为“齐鲁水塔”。</w:t>
      </w:r>
    </w:p>
    <w:p>
      <w:pPr>
        <w:adjustRightInd w:val="0"/>
        <w:snapToGrid w:val="0"/>
        <w:spacing w:line="360" w:lineRule="auto"/>
        <w:ind w:firstLine="643" w:firstLineChars="200"/>
        <w:outlineLvl w:val="2"/>
        <w:rPr>
          <w:rFonts w:eastAsia="仿宋_GB2312"/>
          <w:b/>
          <w:sz w:val="32"/>
          <w:szCs w:val="32"/>
        </w:rPr>
      </w:pPr>
      <w:bookmarkStart w:id="18" w:name="_Toc18688"/>
      <w:r>
        <w:rPr>
          <w:rFonts w:hint="eastAsia" w:eastAsia="仿宋_GB2312"/>
          <w:b/>
          <w:sz w:val="32"/>
          <w:szCs w:val="32"/>
        </w:rPr>
        <w:t>4. 土壤植被</w:t>
      </w:r>
      <w:bookmarkEnd w:id="18"/>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土壤大体分三类:棕壤土类，面积72260公顷，占全县可利用土地面积的45.13%，主要分布在砂石山区，呈酸性，为非钙质岩风化的残积物和坡积物。分布在山地和丘陵中上部的棕壤，土层浅薄粗糙，通气性好，但跑水漏肥;分布在地势较低处无障碍层的典型棕壤，土质粘重，保水保肥，适宜种植高粱、大豆等。褐土土类，面积85053公顷，占全县可利用土地面积的53.12%，主要分布在青石山区，绝大部分为钙质岩发育而成，少数为基性岩发育而成。其中分布在青石岭中上部的褐壤性土土层较薄，富含石砾，质地粗劣，保水保肥能力差;分布在山丘中下部及一些近山阶地上的褐土和淋溶褐土，土质偏粘，水土流失较轻，除小部分淋溶褐土呈中性外，其余呈碱性且富含钙质，适宜种植花生、黄烟、地瓜、豆类等。潮土土类，只有河潮土一个亚类，面积2800公顷，占全县可利用土地面积的1.8%，主要分布在沂河两岸的沿河阶地上，地下水位浅，潮化作用强，土层深厚，理化性状好，自然肥力高，适宜种植小麦、玉米等。</w:t>
      </w:r>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近三年，沂源县森林面积分别为1052.04平方公里、1150.14平方公里、956.79平方公里，草地面积分别为212.49平方公里、93.56平方公里、91.76平方公里，林草覆盖率分别为77.30%、76.03%、64.10%。沂源县还是我国林果等农特产品生产的最佳地理区域之一，荣获全国绿化模范县、国家园林县城、全国百佳深呼吸小城、中国最具绿意百佳县市、山东省首批省级森林城市等荣誉称号。</w:t>
      </w:r>
    </w:p>
    <w:p>
      <w:pPr>
        <w:numPr>
          <w:ilvl w:val="0"/>
          <w:numId w:val="2"/>
        </w:numPr>
        <w:adjustRightInd w:val="0"/>
        <w:snapToGrid w:val="0"/>
        <w:spacing w:line="360" w:lineRule="auto"/>
        <w:outlineLvl w:val="1"/>
        <w:rPr>
          <w:rFonts w:eastAsia="楷体_GB2312"/>
          <w:b/>
          <w:bCs/>
          <w:sz w:val="32"/>
          <w:szCs w:val="32"/>
        </w:rPr>
      </w:pPr>
      <w:bookmarkStart w:id="19" w:name="_Toc104480019"/>
      <w:bookmarkStart w:id="20" w:name="_Toc20486"/>
      <w:r>
        <w:rPr>
          <w:rFonts w:eastAsia="楷体_GB2312"/>
          <w:b/>
          <w:bCs/>
          <w:sz w:val="32"/>
          <w:szCs w:val="32"/>
        </w:rPr>
        <w:t>资源状况</w:t>
      </w:r>
      <w:bookmarkEnd w:id="19"/>
      <w:bookmarkEnd w:id="20"/>
    </w:p>
    <w:p>
      <w:pPr>
        <w:pStyle w:val="25"/>
        <w:numPr>
          <w:ilvl w:val="0"/>
          <w:numId w:val="3"/>
        </w:numPr>
        <w:adjustRightInd w:val="0"/>
        <w:snapToGrid w:val="0"/>
        <w:spacing w:line="360" w:lineRule="auto"/>
        <w:ind w:firstLineChars="0"/>
        <w:outlineLvl w:val="2"/>
        <w:rPr>
          <w:rFonts w:eastAsia="仿宋_GB2312"/>
          <w:b/>
          <w:sz w:val="32"/>
          <w:szCs w:val="32"/>
        </w:rPr>
      </w:pPr>
      <w:bookmarkStart w:id="21" w:name="_Toc430"/>
      <w:r>
        <w:rPr>
          <w:rFonts w:hint="eastAsia" w:eastAsia="仿宋_GB2312"/>
          <w:b/>
          <w:sz w:val="32"/>
          <w:szCs w:val="32"/>
        </w:rPr>
        <w:t>水资源</w:t>
      </w:r>
      <w:bookmarkEnd w:id="21"/>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水资源全部来自于大气降水，没有客水资源，境内有沂河、弥河、汶河三条水系，大小水库114座、大小塘坝403座，年均水资源总量4.62亿立方米，地表水2.56亿立方米,地下水2.06亿立方米。全年降水主要集中在6-9月，近十年来平均年降水量760.8毫米左右，最大降水量1071.5毫米，最小降水量451.1毫米，最大值是最小值的2.4倍，降水时空分布不均，不仅年内分配不均，年际变化大而且在平面分布上也很不均匀。</w:t>
      </w:r>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水质优良，沂源县在全市地表水环境质量排名中位列第</w:t>
      </w:r>
      <w:r>
        <w:rPr>
          <w:rFonts w:hint="eastAsia" w:eastAsia="仿宋_GB2312" w:cs="黑体"/>
          <w:color w:val="000000"/>
          <w:sz w:val="32"/>
          <w:szCs w:val="32"/>
          <w:highlight w:val="none"/>
          <w:lang w:val="en-US" w:eastAsia="zh-CN"/>
        </w:rPr>
        <w:t>一</w:t>
      </w:r>
      <w:r>
        <w:rPr>
          <w:rFonts w:hint="eastAsia" w:ascii="Times New Roman" w:hAnsi="Times New Roman" w:eastAsia="仿宋_GB2312" w:cs="黑体"/>
          <w:color w:val="000000"/>
          <w:sz w:val="32"/>
          <w:szCs w:val="32"/>
          <w:highlight w:val="none"/>
        </w:rPr>
        <w:t>，集中式生活饮用水水源水质《生活饮用水卫生标准》、《地下水环境质量标准》GB/T14848-2017所规定标准，田庄水库坝上国控断面水质达到地表水Ⅰ类标准，沂河韩旺大桥国控断面水质达到地表水Ⅱ类标准，均高于国家规定的Ⅲ类标准。境内水质属软水，3/4地区锶含量超过法国依云水含量标准,是“富锶型矿泉水集中分布区”，适于人畜饮用和农田灌溉。</w:t>
      </w:r>
    </w:p>
    <w:p>
      <w:pPr>
        <w:pStyle w:val="25"/>
        <w:numPr>
          <w:ilvl w:val="0"/>
          <w:numId w:val="3"/>
        </w:numPr>
        <w:adjustRightInd w:val="0"/>
        <w:snapToGrid w:val="0"/>
        <w:spacing w:line="360" w:lineRule="auto"/>
        <w:ind w:firstLineChars="0"/>
        <w:outlineLvl w:val="2"/>
        <w:rPr>
          <w:rFonts w:eastAsia="仿宋_GB2312"/>
          <w:b/>
          <w:sz w:val="32"/>
          <w:szCs w:val="32"/>
        </w:rPr>
      </w:pPr>
      <w:bookmarkStart w:id="22" w:name="_Toc29561"/>
      <w:r>
        <w:rPr>
          <w:rFonts w:hint="eastAsia" w:eastAsia="仿宋_GB2312"/>
          <w:b/>
          <w:sz w:val="32"/>
          <w:szCs w:val="32"/>
        </w:rPr>
        <w:t>土地资源</w:t>
      </w:r>
      <w:bookmarkEnd w:id="22"/>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据沂源县第三次国土调查，沂源县土地总面积245.35万亩。其中，耕地面积26.94万亩，占全县总面积的10.98%，其中水田151.50亩，占0.06%；水浇地2.51万亩，占9.32%；旱地24.41万亩，占90.62%，鲁村镇耕地面积占全县耕地的78.04%，占比最大。园地86.90万亩，其中果园85.42万亩，占98.31%；茶园124.05亩和其他园地1.46万亩，占1.69%，园地主要分布在大张庄镇。林地79.90万亩，其中乔木林地53.52万亩，占66.98%；竹林地48.30亩，占0.01%；灌木林地2.70万亩，占3.38%；其他林地23.68万亩，占29.63%。林地主要分布在南鲁山镇。草地13.94万亩，全部为其他草地，主要分布在鲁村镇。另城镇村及工矿用地、交通运输用地和水域及水利设施用地分别为20.06万亩、4.63万亩、6.21万亩。</w:t>
      </w:r>
    </w:p>
    <w:p>
      <w:pPr>
        <w:pStyle w:val="25"/>
        <w:numPr>
          <w:ilvl w:val="0"/>
          <w:numId w:val="3"/>
        </w:numPr>
        <w:adjustRightInd w:val="0"/>
        <w:snapToGrid w:val="0"/>
        <w:spacing w:line="360" w:lineRule="auto"/>
        <w:ind w:firstLineChars="0"/>
        <w:outlineLvl w:val="2"/>
        <w:rPr>
          <w:rFonts w:eastAsia="仿宋_GB2312"/>
          <w:b/>
          <w:sz w:val="32"/>
          <w:szCs w:val="32"/>
        </w:rPr>
      </w:pPr>
      <w:bookmarkStart w:id="23" w:name="_Toc14595"/>
      <w:r>
        <w:rPr>
          <w:rFonts w:hint="eastAsia" w:eastAsia="仿宋_GB2312"/>
          <w:b/>
          <w:sz w:val="32"/>
          <w:szCs w:val="32"/>
        </w:rPr>
        <w:t>生物资源</w:t>
      </w:r>
      <w:bookmarkEnd w:id="23"/>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生物资源多样。植物树种56个科233种，陆地植物饲草用的野生植物有10科70余种，药用野生植物50余科100多种。水生植物主要有浮萍、芜萍、紫背浮萍、轮叶黑藻、金鱼藻等。境内已发现的野生陆栖脊椎动物约300种，其中兽类约40种。爬行类动物有上百种，常见的有∶壁虎、蜥蜴、红点绵蛇、蝮蛇、气鼓子(蛙)、大蟾蜍等。鸟类境内已查明的有82种，分属13目30科61属。有留鸟31种，旅鸟25种，夏候鸟20种，冬候鸟6种。国家一级、二级重点保护鸟类10余种，著名益鸟40余种。水生类全县鱼类共有6目10科30种。水生动物除鱼类外，有腹足类、瓣鳃类、甲壳类、两栖类、爬行类20多种。昆虫类境内昆虫类的森林虫害天敌有8目37科92种。</w:t>
      </w:r>
    </w:p>
    <w:p>
      <w:pPr>
        <w:pStyle w:val="25"/>
        <w:numPr>
          <w:ilvl w:val="0"/>
          <w:numId w:val="3"/>
        </w:numPr>
        <w:adjustRightInd w:val="0"/>
        <w:snapToGrid w:val="0"/>
        <w:spacing w:line="360" w:lineRule="auto"/>
        <w:ind w:firstLineChars="0"/>
        <w:outlineLvl w:val="2"/>
        <w:rPr>
          <w:rFonts w:eastAsia="仿宋_GB2312"/>
          <w:b/>
          <w:sz w:val="32"/>
          <w:szCs w:val="32"/>
        </w:rPr>
      </w:pPr>
      <w:bookmarkStart w:id="24" w:name="_Toc18967"/>
      <w:r>
        <w:rPr>
          <w:rFonts w:hint="eastAsia" w:eastAsia="仿宋_GB2312"/>
          <w:b/>
          <w:sz w:val="32"/>
          <w:szCs w:val="32"/>
        </w:rPr>
        <w:t>旅游资源</w:t>
      </w:r>
      <w:bookmarkEnd w:id="24"/>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沂源县旅游资源丰富，共有A级景区14家，分别为国家4A级景区鲁山溶洞群风景区；国家3A级景区618战备电台旧址旅游区、洋三峪乡村旅游度假区、沐心·双马山旅游度假区、汇泉桃花岛景区、青兰高速沂源服务区、山东鲁山神农药谷、朱彦夫事迹党性教育基地、朱家户乡村旅游休闲区；国家2A级景区唐山佛雕文化园、骏马度假村（青龙湖景区）、苹果谷景区、田园柳舍、锦水崖景区。牛郎织女风景区拥有国内唯——处传说与实地实景相对应的古建筑遗址，被专家称为“中国爱情文化源地”，是国家非物质文化遗产、省级非物质文化遗产、省级地质公园、市级风景名胜区。以“牛郎织女”唐代古建筑为代表的爱情文化景观，举办中国</w:t>
      </w:r>
      <w:r>
        <w:rPr>
          <w:rFonts w:hint="eastAsia"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rPr>
        <w:t>沂源</w:t>
      </w:r>
      <w:r>
        <w:rPr>
          <w:rFonts w:hint="eastAsia"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rPr>
        <w:t>七夕情侣节等大型活动，推出精品旅游线路，形成了“牛郎织女·情定沂源”等旅游品牌，持续深化文化赋能</w:t>
      </w:r>
      <w:r>
        <w:rPr>
          <w:rFonts w:hint="eastAsia" w:eastAsia="仿宋_GB2312" w:cs="黑体"/>
          <w:color w:val="000000"/>
          <w:sz w:val="32"/>
          <w:szCs w:val="32"/>
          <w:highlight w:val="none"/>
          <w:lang w:eastAsia="zh-CN"/>
        </w:rPr>
        <w:t>，</w:t>
      </w:r>
      <w:r>
        <w:rPr>
          <w:rFonts w:hint="eastAsia" w:ascii="Times New Roman" w:hAnsi="Times New Roman" w:eastAsia="仿宋_GB2312" w:cs="黑体"/>
          <w:color w:val="000000"/>
          <w:sz w:val="32"/>
          <w:szCs w:val="32"/>
          <w:highlight w:val="none"/>
        </w:rPr>
        <w:t>以全域旅游带动全域发展。大力整合林果资源、生态资源和文化资源，推动农文旅融合发展，形成了沂源全域旅游核心区、“地上银河”生态景观带、历史文化体验区、爱情主题旅游区、自在山水休闲区、红色文化传承区的“一心一带四区”格局，吸引了省内外广大游客，旅游综合收入年均增长12.9%。</w:t>
      </w:r>
    </w:p>
    <w:p>
      <w:pPr>
        <w:pStyle w:val="25"/>
        <w:numPr>
          <w:ilvl w:val="0"/>
          <w:numId w:val="3"/>
        </w:numPr>
        <w:adjustRightInd w:val="0"/>
        <w:snapToGrid w:val="0"/>
        <w:spacing w:line="360" w:lineRule="auto"/>
        <w:ind w:firstLineChars="0"/>
        <w:outlineLvl w:val="2"/>
        <w:rPr>
          <w:rFonts w:eastAsia="仿宋_GB2312"/>
          <w:b/>
          <w:sz w:val="32"/>
          <w:szCs w:val="32"/>
        </w:rPr>
      </w:pPr>
      <w:bookmarkStart w:id="25" w:name="_Toc6771"/>
      <w:r>
        <w:rPr>
          <w:rFonts w:hint="eastAsia" w:eastAsia="仿宋_GB2312"/>
          <w:b/>
          <w:sz w:val="32"/>
          <w:szCs w:val="32"/>
        </w:rPr>
        <w:t>文化资源</w:t>
      </w:r>
      <w:bookmarkEnd w:id="25"/>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lang w:eastAsia="zh-CN"/>
        </w:rPr>
      </w:pPr>
      <w:r>
        <w:rPr>
          <w:rFonts w:hint="eastAsia" w:ascii="Times New Roman" w:hAnsi="Times New Roman" w:eastAsia="仿宋_GB2312" w:cs="黑体"/>
          <w:color w:val="000000"/>
          <w:sz w:val="32"/>
          <w:szCs w:val="32"/>
          <w:highlight w:val="none"/>
        </w:rPr>
        <w:t>沂源特色地域文化得天独厚，拥有全国非物质文化遗产“牛郎织女”传说，拥有全国首位“时代楷模”朱彦夫，形成了以爱情文化、红色文化为龙头的 文化旅游资源体系，谋划实施了红色文化塑造、传统文化弘扬、精品非遗发展以及节会品牌打造4项工程。连续举办了13届“七夕情侣节”和三届“牛郎 织女传说”学术研讨会，结合青兰高速沂源服务区建设，打造了以牛郎织女爱情文化为主题的高速服 务区，改造提升了朱彦夫党性教育基地，擦亮了沂源乃至淄博的文化名片。</w:t>
      </w:r>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lang w:eastAsia="zh-CN"/>
        </w:rPr>
      </w:pPr>
      <w:r>
        <w:rPr>
          <w:rFonts w:hint="eastAsia" w:ascii="Times New Roman" w:hAnsi="Times New Roman" w:eastAsia="仿宋_GB2312" w:cs="黑体"/>
          <w:color w:val="000000"/>
          <w:sz w:val="32"/>
          <w:szCs w:val="32"/>
          <w:highlight w:val="none"/>
        </w:rPr>
        <w:t>围绕文旅产业融合发展，沂源县以项目建设为载体，不断发展壮大文旅产业，培育了沂河源田园综合体、虡盛文化旅游产业园、春沨渡休闲旅游度假区、朱彦夫党性教育基地等9个市县重大文旅项目，为文化传承搭建了平台，为旅游发展注入了灵魂，形成了文化旅游融合发展的良好局面。创新影视文化产业发展模式，借助影片展映、影城服务等资源，开展中小学生放映体验、红色主题影片展映等活动，助力文化产业多元化发展</w:t>
      </w:r>
      <w:r>
        <w:rPr>
          <w:rFonts w:hint="eastAsia" w:ascii="Times New Roman" w:hAnsi="Times New Roman" w:eastAsia="仿宋_GB2312" w:cs="黑体"/>
          <w:color w:val="000000"/>
          <w:sz w:val="32"/>
          <w:szCs w:val="32"/>
          <w:highlight w:val="none"/>
          <w:lang w:eastAsia="zh-CN"/>
        </w:rPr>
        <w:t>。</w:t>
      </w:r>
    </w:p>
    <w:p>
      <w:pPr>
        <w:adjustRightInd w:val="0"/>
        <w:snapToGrid w:val="0"/>
        <w:spacing w:line="360" w:lineRule="auto"/>
        <w:outlineLvl w:val="1"/>
        <w:rPr>
          <w:rFonts w:eastAsia="楷体_GB2312"/>
          <w:b/>
          <w:bCs/>
          <w:sz w:val="32"/>
          <w:szCs w:val="32"/>
        </w:rPr>
      </w:pPr>
      <w:bookmarkStart w:id="26" w:name="_Toc104480023"/>
      <w:bookmarkStart w:id="27" w:name="_Toc25733"/>
      <w:r>
        <w:rPr>
          <w:rFonts w:eastAsia="楷体_GB2312"/>
          <w:b/>
          <w:bCs/>
          <w:sz w:val="32"/>
          <w:szCs w:val="32"/>
        </w:rPr>
        <w:t>（四）社会经济状况</w:t>
      </w:r>
      <w:bookmarkEnd w:id="26"/>
      <w:bookmarkEnd w:id="27"/>
    </w:p>
    <w:p>
      <w:pPr>
        <w:adjustRightInd w:val="0"/>
        <w:snapToGrid w:val="0"/>
        <w:spacing w:line="360" w:lineRule="auto"/>
        <w:ind w:firstLine="643" w:firstLineChars="200"/>
        <w:outlineLvl w:val="2"/>
        <w:rPr>
          <w:rFonts w:eastAsia="仿宋_GB2312"/>
          <w:b/>
          <w:sz w:val="32"/>
          <w:szCs w:val="32"/>
        </w:rPr>
      </w:pPr>
      <w:bookmarkStart w:id="28" w:name="_Toc17167"/>
      <w:r>
        <w:rPr>
          <w:rFonts w:eastAsia="仿宋_GB2312"/>
          <w:b/>
          <w:sz w:val="32"/>
          <w:szCs w:val="32"/>
        </w:rPr>
        <w:t>1.</w:t>
      </w:r>
      <w:r>
        <w:rPr>
          <w:rFonts w:hint="eastAsia" w:eastAsia="仿宋_GB2312"/>
          <w:b/>
          <w:sz w:val="32"/>
          <w:szCs w:val="32"/>
        </w:rPr>
        <w:t xml:space="preserve"> 经济发展状况</w:t>
      </w:r>
      <w:bookmarkEnd w:id="28"/>
    </w:p>
    <w:p>
      <w:pPr>
        <w:adjustRightInd w:val="0"/>
        <w:snapToGrid w:val="0"/>
        <w:spacing w:line="360" w:lineRule="auto"/>
        <w:ind w:firstLine="643"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b/>
          <w:bCs/>
          <w:color w:val="000000"/>
          <w:sz w:val="32"/>
          <w:szCs w:val="32"/>
          <w:highlight w:val="none"/>
        </w:rPr>
        <w:t>经济实力快速提升。</w:t>
      </w:r>
      <w:r>
        <w:rPr>
          <w:rFonts w:hint="eastAsia" w:ascii="Times New Roman" w:hAnsi="Times New Roman" w:eastAsia="仿宋_GB2312" w:cs="黑体"/>
          <w:color w:val="000000"/>
          <w:sz w:val="32"/>
          <w:szCs w:val="32"/>
          <w:highlight w:val="none"/>
        </w:rPr>
        <w:t>根据县级生产总值统一核算结果，2021年全县实现生产总值315.5亿元，按可比价计算，比上年增长12.1％，增速高于全国全省全市平均水平。其中，第一产业增加值43.3亿元，增长6.8％；第二产业增加值130.8亿元，增长18.0％；第三产业增加值141.4亿元，增长8.9％。三次产业比重由去年的14.29：39.18：46.53调整为13.72：41.46：44.82，第三产业占GDP比重比去年下降1.71个百分点，第三产业占比高于第二产业占比3.36百分点。</w:t>
      </w:r>
    </w:p>
    <w:p>
      <w:pPr>
        <w:spacing w:line="360" w:lineRule="auto"/>
        <w:ind w:firstLine="640" w:firstLineChars="200"/>
        <w:rPr>
          <w:rFonts w:ascii="仿宋" w:hAnsi="仿宋" w:eastAsia="仿宋"/>
          <w:sz w:val="32"/>
          <w:szCs w:val="32"/>
        </w:rPr>
      </w:pPr>
      <w:r>
        <w:rPr>
          <w:rFonts w:ascii="仿宋" w:hAnsi="仿宋" w:eastAsia="仿宋"/>
          <w:sz w:val="32"/>
          <w:szCs w:val="32"/>
        </w:rPr>
        <w:drawing>
          <wp:inline distT="0" distB="0" distL="0" distR="0">
            <wp:extent cx="4578350" cy="2755900"/>
            <wp:effectExtent l="0" t="0" r="0" b="6350"/>
            <wp:docPr id="6079452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5291"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78350" cy="2755900"/>
                    </a:xfrm>
                    <a:prstGeom prst="rect">
                      <a:avLst/>
                    </a:prstGeom>
                    <a:noFill/>
                  </pic:spPr>
                </pic:pic>
              </a:graphicData>
            </a:graphic>
          </wp:inline>
        </w:drawing>
      </w:r>
    </w:p>
    <w:p>
      <w:pPr>
        <w:spacing w:line="360" w:lineRule="auto"/>
        <w:ind w:left="-6" w:leftChars="-3" w:firstLine="2" w:firstLineChars="1"/>
        <w:jc w:val="center"/>
        <w:rPr>
          <w:rFonts w:hint="eastAsia" w:ascii="黑体" w:hAnsi="黑体" w:eastAsia="黑体"/>
          <w:sz w:val="28"/>
          <w:szCs w:val="28"/>
        </w:rPr>
      </w:pPr>
      <w:r>
        <w:rPr>
          <w:rFonts w:ascii="黑体" w:hAnsi="黑体" w:eastAsia="黑体"/>
          <w:sz w:val="28"/>
          <w:szCs w:val="28"/>
        </w:rPr>
        <w:t>图</w:t>
      </w:r>
      <w:r>
        <w:rPr>
          <w:rFonts w:hint="eastAsia" w:ascii="黑体" w:hAnsi="黑体" w:eastAsia="黑体"/>
          <w:sz w:val="28"/>
          <w:szCs w:val="28"/>
          <w:lang w:val="en-US" w:eastAsia="zh-CN"/>
        </w:rPr>
        <w:t>2-</w:t>
      </w:r>
      <w:r>
        <w:rPr>
          <w:rFonts w:ascii="黑体" w:hAnsi="黑体" w:eastAsia="黑体"/>
          <w:sz w:val="28"/>
          <w:szCs w:val="28"/>
        </w:rPr>
        <w:t xml:space="preserve">2 </w:t>
      </w:r>
      <w:r>
        <w:rPr>
          <w:rFonts w:hint="eastAsia" w:ascii="黑体" w:hAnsi="黑体" w:eastAsia="黑体"/>
          <w:sz w:val="28"/>
          <w:szCs w:val="28"/>
        </w:rPr>
        <w:t>沂源县历年产业结构变化情况</w:t>
      </w:r>
    </w:p>
    <w:p>
      <w:pPr>
        <w:adjustRightInd w:val="0"/>
        <w:snapToGrid w:val="0"/>
        <w:spacing w:line="360" w:lineRule="auto"/>
        <w:ind w:firstLine="643"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b/>
          <w:bCs/>
          <w:color w:val="000000"/>
          <w:sz w:val="32"/>
          <w:szCs w:val="32"/>
          <w:highlight w:val="none"/>
        </w:rPr>
        <w:t>居民收入持续增长。</w:t>
      </w:r>
      <w:r>
        <w:rPr>
          <w:rFonts w:hint="eastAsia" w:ascii="Times New Roman" w:hAnsi="Times New Roman" w:eastAsia="仿宋_GB2312" w:cs="黑体"/>
          <w:color w:val="000000"/>
          <w:sz w:val="32"/>
          <w:szCs w:val="32"/>
          <w:highlight w:val="none"/>
        </w:rPr>
        <w:t>2021年沂源县全体居民人均可支配收入33390元，人民生活水平不断提高，同比增长9.0%，居民人均消费支出19650元，增长8.7％。城镇居民人均可支配收入45996元，同比增长8.4%，人均消费支出27355元，增长7.2％；农民人均可支配收入22287元，同比增长10.5%，人均消费支出12864元，增长12.2％。</w:t>
      </w:r>
    </w:p>
    <w:p>
      <w:pPr>
        <w:spacing w:line="360" w:lineRule="auto"/>
        <w:ind w:firstLine="640" w:firstLineChars="200"/>
        <w:rPr>
          <w:rFonts w:ascii="仿宋" w:hAnsi="仿宋" w:eastAsia="仿宋"/>
          <w:sz w:val="32"/>
          <w:szCs w:val="32"/>
        </w:rPr>
      </w:pPr>
      <w:r>
        <w:rPr>
          <w:rFonts w:ascii="仿宋" w:hAnsi="仿宋" w:eastAsia="仿宋"/>
          <w:sz w:val="32"/>
          <w:szCs w:val="32"/>
        </w:rPr>
        <w:drawing>
          <wp:inline distT="0" distB="0" distL="0" distR="0">
            <wp:extent cx="4578350" cy="2755900"/>
            <wp:effectExtent l="0" t="0" r="0" b="6350"/>
            <wp:docPr id="5399124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12462"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78350" cy="2755900"/>
                    </a:xfrm>
                    <a:prstGeom prst="rect">
                      <a:avLst/>
                    </a:prstGeom>
                    <a:noFill/>
                  </pic:spPr>
                </pic:pic>
              </a:graphicData>
            </a:graphic>
          </wp:inline>
        </w:drawing>
      </w:r>
    </w:p>
    <w:p>
      <w:pPr>
        <w:spacing w:line="360" w:lineRule="auto"/>
        <w:ind w:left="-6" w:leftChars="-3" w:firstLine="2" w:firstLineChars="1"/>
        <w:jc w:val="center"/>
        <w:rPr>
          <w:rFonts w:hint="eastAsia" w:ascii="黑体" w:hAnsi="黑体" w:eastAsia="黑体"/>
          <w:sz w:val="28"/>
          <w:szCs w:val="28"/>
        </w:rPr>
      </w:pPr>
      <w:r>
        <w:rPr>
          <w:rFonts w:ascii="黑体" w:hAnsi="黑体" w:eastAsia="黑体"/>
          <w:sz w:val="28"/>
          <w:szCs w:val="28"/>
        </w:rPr>
        <w:t>图</w:t>
      </w:r>
      <w:r>
        <w:rPr>
          <w:rFonts w:hint="eastAsia" w:ascii="黑体" w:hAnsi="黑体" w:eastAsia="黑体"/>
          <w:sz w:val="28"/>
          <w:szCs w:val="28"/>
          <w:lang w:val="en-US" w:eastAsia="zh-CN"/>
        </w:rPr>
        <w:t>2-</w:t>
      </w:r>
      <w:r>
        <w:rPr>
          <w:rFonts w:ascii="黑体" w:hAnsi="黑体" w:eastAsia="黑体"/>
          <w:sz w:val="28"/>
          <w:szCs w:val="28"/>
        </w:rPr>
        <w:t xml:space="preserve">3 </w:t>
      </w:r>
      <w:r>
        <w:rPr>
          <w:rFonts w:hint="eastAsia" w:ascii="黑体" w:hAnsi="黑体" w:eastAsia="黑体"/>
          <w:sz w:val="28"/>
          <w:szCs w:val="28"/>
        </w:rPr>
        <w:t>沂源县历年居民收入变化情况</w:t>
      </w:r>
    </w:p>
    <w:p>
      <w:pPr>
        <w:adjustRightInd w:val="0"/>
        <w:snapToGrid w:val="0"/>
        <w:spacing w:line="360" w:lineRule="auto"/>
        <w:ind w:firstLine="643"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b/>
          <w:bCs/>
          <w:color w:val="000000"/>
          <w:sz w:val="32"/>
          <w:szCs w:val="32"/>
          <w:highlight w:val="none"/>
        </w:rPr>
        <w:t>财政收支稳定增长。</w:t>
      </w:r>
      <w:r>
        <w:rPr>
          <w:rFonts w:hint="eastAsia" w:ascii="Times New Roman" w:hAnsi="Times New Roman" w:eastAsia="仿宋_GB2312" w:cs="黑体"/>
          <w:color w:val="000000"/>
          <w:sz w:val="32"/>
          <w:szCs w:val="32"/>
          <w:highlight w:val="none"/>
        </w:rPr>
        <w:t>全县境内财政总收入315223万元，增长9.07％，一般公共预算收入216067万元（其中：税收收入157926万元，税收占比73.1％），增长10.15％。一般公共预算支出448503万元，增长12.39％，其中：教育事业费用支出107070万元，卫生事业费用支出39479万元，一般公共服务支出49729万元。全县实现各项税收306711万元，增长4.08％。</w:t>
      </w:r>
    </w:p>
    <w:p>
      <w:pPr>
        <w:spacing w:line="360" w:lineRule="auto"/>
        <w:ind w:firstLine="640" w:firstLineChars="200"/>
        <w:rPr>
          <w:rFonts w:ascii="仿宋" w:hAnsi="仿宋" w:eastAsia="仿宋"/>
          <w:sz w:val="32"/>
          <w:szCs w:val="32"/>
        </w:rPr>
      </w:pPr>
      <w:r>
        <w:rPr>
          <w:rFonts w:ascii="仿宋" w:hAnsi="仿宋" w:eastAsia="仿宋"/>
          <w:sz w:val="32"/>
          <w:szCs w:val="32"/>
        </w:rPr>
        <w:drawing>
          <wp:inline distT="0" distB="0" distL="0" distR="0">
            <wp:extent cx="4578350" cy="2755900"/>
            <wp:effectExtent l="0" t="0" r="0" b="6350"/>
            <wp:docPr id="2282825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82583"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78350" cy="2755900"/>
                    </a:xfrm>
                    <a:prstGeom prst="rect">
                      <a:avLst/>
                    </a:prstGeom>
                    <a:noFill/>
                  </pic:spPr>
                </pic:pic>
              </a:graphicData>
            </a:graphic>
          </wp:inline>
        </w:drawing>
      </w:r>
    </w:p>
    <w:p>
      <w:pPr>
        <w:spacing w:line="360" w:lineRule="auto"/>
        <w:ind w:left="-6" w:leftChars="-3" w:firstLine="2" w:firstLineChars="1"/>
        <w:jc w:val="center"/>
        <w:rPr>
          <w:rFonts w:hint="eastAsia" w:ascii="黑体" w:hAnsi="黑体" w:eastAsia="黑体"/>
          <w:sz w:val="28"/>
          <w:szCs w:val="28"/>
        </w:rPr>
      </w:pPr>
      <w:bookmarkStart w:id="29" w:name="_Hlk139726419"/>
      <w:r>
        <w:rPr>
          <w:rFonts w:ascii="黑体" w:hAnsi="黑体" w:eastAsia="黑体"/>
          <w:sz w:val="28"/>
          <w:szCs w:val="28"/>
        </w:rPr>
        <w:t>图</w:t>
      </w:r>
      <w:r>
        <w:rPr>
          <w:rFonts w:hint="eastAsia" w:ascii="黑体" w:hAnsi="黑体" w:eastAsia="黑体"/>
          <w:sz w:val="28"/>
          <w:szCs w:val="28"/>
          <w:lang w:val="en-US" w:eastAsia="zh-CN"/>
        </w:rPr>
        <w:t>2-</w:t>
      </w:r>
      <w:r>
        <w:rPr>
          <w:rFonts w:ascii="黑体" w:hAnsi="黑体" w:eastAsia="黑体"/>
          <w:sz w:val="28"/>
          <w:szCs w:val="28"/>
        </w:rPr>
        <w:t xml:space="preserve">4 </w:t>
      </w:r>
      <w:r>
        <w:rPr>
          <w:rFonts w:hint="eastAsia" w:ascii="黑体" w:hAnsi="黑体" w:eastAsia="黑体"/>
          <w:sz w:val="28"/>
          <w:szCs w:val="28"/>
        </w:rPr>
        <w:t>沂源县历年财政收入变化情况</w:t>
      </w:r>
    </w:p>
    <w:bookmarkEnd w:id="29"/>
    <w:p>
      <w:pPr>
        <w:adjustRightInd w:val="0"/>
        <w:snapToGrid w:val="0"/>
        <w:spacing w:line="360" w:lineRule="auto"/>
        <w:ind w:firstLine="643" w:firstLineChars="200"/>
        <w:outlineLvl w:val="2"/>
        <w:rPr>
          <w:rFonts w:eastAsia="仿宋_GB2312"/>
          <w:b/>
          <w:sz w:val="32"/>
          <w:szCs w:val="32"/>
        </w:rPr>
      </w:pPr>
      <w:bookmarkStart w:id="30" w:name="_Toc26277"/>
      <w:r>
        <w:rPr>
          <w:rFonts w:hint="eastAsia" w:eastAsia="仿宋_GB2312"/>
          <w:b/>
          <w:sz w:val="32"/>
          <w:szCs w:val="32"/>
        </w:rPr>
        <w:t>2. 社会发展状况</w:t>
      </w:r>
      <w:bookmarkEnd w:id="30"/>
    </w:p>
    <w:p>
      <w:pPr>
        <w:adjustRightInd w:val="0"/>
        <w:snapToGrid w:val="0"/>
        <w:spacing w:line="360" w:lineRule="auto"/>
        <w:ind w:firstLine="640" w:firstLineChars="200"/>
        <w:rPr>
          <w:rFonts w:hint="eastAsia" w:ascii="Times New Roman" w:hAnsi="Times New Roman" w:eastAsia="仿宋_GB2312" w:cs="黑体"/>
          <w:color w:val="000000"/>
          <w:sz w:val="32"/>
          <w:szCs w:val="32"/>
          <w:highlight w:val="none"/>
        </w:rPr>
      </w:pPr>
      <w:r>
        <w:rPr>
          <w:rFonts w:hint="eastAsia" w:ascii="Times New Roman" w:hAnsi="Times New Roman" w:eastAsia="仿宋_GB2312" w:cs="黑体"/>
          <w:color w:val="000000"/>
          <w:sz w:val="32"/>
          <w:szCs w:val="32"/>
          <w:highlight w:val="none"/>
        </w:rPr>
        <w:t>2022年沂源县城建成区面积扩大到33.7平方公里，全县常住人口51.01万人，常住人口城镇化率达62.5%。近些年来沂源县实施棚户区、老旧小区改造项目；建成运营东部新热源、东部水厂、第二污水处理厂、生活垃圾焚烧发电等民生基础设施项目，城乡环卫一体化县域全覆盖；实现天然气 “镇镇通”，完成农村“户户通”；创新养老服务模式，实施民生综合体项目建设；全面启动沂源县教育三年提升行动，推动城乡教育优质均衡发展。扎实推进城乡环境大整治精细管理大提升行动，城乡群众卫生状况和文明习惯大幅提升，大力提升城市品质，使人民群众获得感、幸福感、安全感明显提升。</w:t>
      </w:r>
    </w:p>
    <w:p>
      <w:pPr>
        <w:adjustRightInd w:val="0"/>
        <w:snapToGrid w:val="0"/>
        <w:spacing w:line="360" w:lineRule="auto"/>
        <w:outlineLvl w:val="0"/>
        <w:rPr>
          <w:rFonts w:eastAsia="黑体"/>
          <w:b/>
          <w:bCs/>
          <w:sz w:val="32"/>
          <w:szCs w:val="32"/>
        </w:rPr>
      </w:pPr>
      <w:bookmarkStart w:id="31" w:name="_Toc7670"/>
      <w:r>
        <w:rPr>
          <w:rFonts w:eastAsia="黑体"/>
          <w:b/>
          <w:bCs/>
          <w:sz w:val="32"/>
          <w:szCs w:val="32"/>
        </w:rPr>
        <w:t>三、</w:t>
      </w:r>
      <w:r>
        <w:rPr>
          <w:rFonts w:hint="eastAsia" w:eastAsia="黑体"/>
          <w:b/>
          <w:bCs/>
          <w:sz w:val="32"/>
          <w:szCs w:val="32"/>
        </w:rPr>
        <w:t>“</w:t>
      </w:r>
      <w:r>
        <w:rPr>
          <w:rFonts w:eastAsia="黑体"/>
          <w:b/>
          <w:bCs/>
          <w:sz w:val="32"/>
          <w:szCs w:val="32"/>
        </w:rPr>
        <w:t>两山</w:t>
      </w:r>
      <w:r>
        <w:rPr>
          <w:rFonts w:hint="eastAsia" w:eastAsia="黑体"/>
          <w:b/>
          <w:bCs/>
          <w:sz w:val="32"/>
          <w:szCs w:val="32"/>
        </w:rPr>
        <w:t>”</w:t>
      </w:r>
      <w:r>
        <w:rPr>
          <w:rFonts w:eastAsia="黑体"/>
          <w:b/>
          <w:bCs/>
          <w:sz w:val="32"/>
          <w:szCs w:val="32"/>
        </w:rPr>
        <w:t>实践探索成效与问题分析</w:t>
      </w:r>
      <w:bookmarkEnd w:id="31"/>
    </w:p>
    <w:p>
      <w:pPr>
        <w:adjustRightInd w:val="0"/>
        <w:snapToGrid w:val="0"/>
        <w:spacing w:line="360" w:lineRule="auto"/>
        <w:outlineLvl w:val="1"/>
        <w:rPr>
          <w:rFonts w:eastAsia="楷体_GB2312"/>
          <w:b/>
          <w:bCs/>
          <w:sz w:val="32"/>
          <w:szCs w:val="32"/>
        </w:rPr>
      </w:pPr>
      <w:bookmarkStart w:id="32" w:name="_Toc12984"/>
      <w:bookmarkStart w:id="33" w:name="_Toc104480028"/>
      <w:r>
        <w:rPr>
          <w:rFonts w:eastAsia="楷体_GB2312"/>
          <w:b/>
          <w:bCs/>
          <w:sz w:val="32"/>
          <w:szCs w:val="32"/>
        </w:rPr>
        <w:t>（一）进展与成效</w:t>
      </w:r>
      <w:bookmarkEnd w:id="32"/>
      <w:bookmarkEnd w:id="33"/>
    </w:p>
    <w:p>
      <w:pPr>
        <w:pStyle w:val="25"/>
        <w:numPr>
          <w:ilvl w:val="0"/>
          <w:numId w:val="4"/>
        </w:numPr>
        <w:adjustRightInd w:val="0"/>
        <w:snapToGrid w:val="0"/>
        <w:spacing w:line="360" w:lineRule="auto"/>
        <w:ind w:firstLineChars="0"/>
        <w:outlineLvl w:val="2"/>
        <w:rPr>
          <w:rFonts w:hint="eastAsia" w:ascii="Times New Roman" w:hAnsi="Times New Roman" w:eastAsia="仿宋_GB2312" w:cs="Times New Roman"/>
          <w:b/>
          <w:sz w:val="32"/>
          <w:szCs w:val="32"/>
        </w:rPr>
      </w:pPr>
      <w:bookmarkStart w:id="34" w:name="_Toc8578"/>
      <w:r>
        <w:rPr>
          <w:rFonts w:hint="eastAsia" w:ascii="Times New Roman" w:hAnsi="Times New Roman" w:eastAsia="仿宋_GB2312" w:cs="Times New Roman"/>
          <w:b/>
          <w:sz w:val="32"/>
          <w:szCs w:val="32"/>
        </w:rPr>
        <w:t>生态环境质量稳中趋好</w:t>
      </w:r>
      <w:bookmarkEnd w:id="34"/>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仿宋_GB2312" w:cs="仿宋_GB2312"/>
          <w:sz w:val="32"/>
          <w:szCs w:val="32"/>
        </w:rPr>
      </w:pPr>
      <w:r>
        <w:rPr>
          <w:rFonts w:hint="eastAsia" w:eastAsia="仿宋_GB2312" w:cs="仿宋_GB2312"/>
          <w:sz w:val="32"/>
          <w:szCs w:val="32"/>
        </w:rPr>
        <w:t>沂源坚持精准治污、科学治污、依法治污，以改善生态环境为核心，以解决人民群众反映强烈的突出生态环境问题为重点，围绕大气、水、土壤污染防治三大领域，深入打好污染防治攻坚战，有效防范生态环境风险，建设天更蓝、山更绿、水更清、环境更优美的美丽沂源。</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一是</w:t>
      </w:r>
      <w:r>
        <w:rPr>
          <w:rFonts w:hint="eastAsia" w:eastAsia="仿宋_GB2312" w:cs="仿宋_GB2312"/>
          <w:b/>
          <w:bCs/>
          <w:sz w:val="32"/>
          <w:szCs w:val="32"/>
        </w:rPr>
        <w:t>全力打好蓝天保卫战</w:t>
      </w:r>
      <w:r>
        <w:rPr>
          <w:rFonts w:hint="eastAsia" w:eastAsia="仿宋_GB2312" w:cs="仿宋_GB2312"/>
          <w:sz w:val="32"/>
          <w:szCs w:val="32"/>
        </w:rPr>
        <w:t>，制定印发《沂源县打赢蓝天保卫战三年实施方案（2018-2020年）》（源政发〔2018〕21号），实施了50余家锅炉窑炉企业的“超低排放”改造，完成508家企业共3785项大气治理品质提升任务，对327家企业实施臭氧管控，整改涉VOCs企业问题137项。城区空气质量指数连续位居全市第一、全省内陆区县前列。环境空气质量持续改善，空气环境质量基本稳定。2022年全县空气质量优良天数比率为74%，综合指数位居全市第一。PM</w:t>
      </w:r>
      <w:r>
        <w:rPr>
          <w:rFonts w:hint="eastAsia" w:eastAsia="仿宋_GB2312" w:cs="仿宋_GB2312"/>
          <w:sz w:val="32"/>
          <w:szCs w:val="32"/>
          <w:vertAlign w:val="subscript"/>
        </w:rPr>
        <w:t>2.5</w:t>
      </w:r>
      <w:r>
        <w:rPr>
          <w:rFonts w:hint="eastAsia" w:eastAsia="仿宋_GB2312" w:cs="仿宋_GB2312"/>
          <w:sz w:val="32"/>
          <w:szCs w:val="32"/>
        </w:rPr>
        <w:t>、PM</w:t>
      </w:r>
      <w:r>
        <w:rPr>
          <w:rFonts w:hint="eastAsia" w:eastAsia="仿宋_GB2312" w:cs="仿宋_GB2312"/>
          <w:sz w:val="32"/>
          <w:szCs w:val="32"/>
          <w:vertAlign w:val="subscript"/>
        </w:rPr>
        <w:t>10</w:t>
      </w:r>
      <w:r>
        <w:rPr>
          <w:rFonts w:hint="eastAsia" w:eastAsia="仿宋_GB2312" w:cs="仿宋_GB2312"/>
          <w:sz w:val="32"/>
          <w:szCs w:val="32"/>
        </w:rPr>
        <w:t>、二氧化硫、二氧化氮平均浓度分别为38μg/m</w:t>
      </w:r>
      <w:r>
        <w:rPr>
          <w:rFonts w:hint="eastAsia" w:eastAsia="仿宋_GB2312" w:cs="仿宋_GB2312"/>
          <w:sz w:val="32"/>
          <w:szCs w:val="32"/>
          <w:vertAlign w:val="superscript"/>
        </w:rPr>
        <w:t>3</w:t>
      </w:r>
      <w:r>
        <w:rPr>
          <w:rFonts w:hint="eastAsia" w:eastAsia="仿宋_GB2312" w:cs="仿宋_GB2312"/>
          <w:sz w:val="32"/>
          <w:szCs w:val="32"/>
        </w:rPr>
        <w:t>、65μg/m</w:t>
      </w:r>
      <w:r>
        <w:rPr>
          <w:rFonts w:hint="eastAsia" w:eastAsia="仿宋_GB2312" w:cs="仿宋_GB2312"/>
          <w:sz w:val="32"/>
          <w:szCs w:val="32"/>
          <w:vertAlign w:val="superscript"/>
        </w:rPr>
        <w:t>3</w:t>
      </w:r>
      <w:r>
        <w:rPr>
          <w:rFonts w:hint="eastAsia" w:eastAsia="仿宋_GB2312" w:cs="仿宋_GB2312"/>
          <w:sz w:val="32"/>
          <w:szCs w:val="32"/>
        </w:rPr>
        <w:t>、7μg/m</w:t>
      </w:r>
      <w:r>
        <w:rPr>
          <w:rFonts w:hint="eastAsia" w:eastAsia="仿宋_GB2312" w:cs="仿宋_GB2312"/>
          <w:sz w:val="32"/>
          <w:szCs w:val="32"/>
          <w:vertAlign w:val="superscript"/>
        </w:rPr>
        <w:t>3</w:t>
      </w:r>
      <w:r>
        <w:rPr>
          <w:rFonts w:hint="eastAsia" w:eastAsia="仿宋_GB2312" w:cs="仿宋_GB2312"/>
          <w:sz w:val="32"/>
          <w:szCs w:val="32"/>
        </w:rPr>
        <w:t>、20μg/m</w:t>
      </w:r>
      <w:r>
        <w:rPr>
          <w:rFonts w:hint="eastAsia" w:eastAsia="仿宋_GB2312" w:cs="仿宋_GB2312"/>
          <w:sz w:val="32"/>
          <w:szCs w:val="32"/>
          <w:vertAlign w:val="superscript"/>
        </w:rPr>
        <w:t>3</w:t>
      </w:r>
      <w:r>
        <w:rPr>
          <w:rFonts w:hint="eastAsia" w:eastAsia="仿宋_GB2312" w:cs="仿宋_GB2312"/>
          <w:sz w:val="32"/>
          <w:szCs w:val="32"/>
        </w:rPr>
        <w:t>，O</w:t>
      </w:r>
      <w:r>
        <w:rPr>
          <w:rFonts w:hint="eastAsia" w:eastAsia="仿宋_GB2312" w:cs="仿宋_GB2312"/>
          <w:sz w:val="32"/>
          <w:szCs w:val="32"/>
          <w:vertAlign w:val="subscript"/>
        </w:rPr>
        <w:t>3</w:t>
      </w:r>
      <w:r>
        <w:rPr>
          <w:rFonts w:hint="eastAsia" w:eastAsia="仿宋_GB2312" w:cs="仿宋_GB2312"/>
          <w:sz w:val="32"/>
          <w:szCs w:val="32"/>
        </w:rPr>
        <w:t>浓度同比降低12.1%。</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二是</w:t>
      </w:r>
      <w:r>
        <w:rPr>
          <w:rFonts w:hint="eastAsia" w:eastAsia="仿宋_GB2312" w:cs="仿宋_GB2312"/>
          <w:b/>
          <w:bCs/>
          <w:sz w:val="32"/>
          <w:szCs w:val="32"/>
        </w:rPr>
        <w:t>突出打好碧水保卫战</w:t>
      </w:r>
      <w:r>
        <w:rPr>
          <w:rFonts w:hint="eastAsia" w:eastAsia="仿宋_GB2312" w:cs="仿宋_GB2312"/>
          <w:sz w:val="32"/>
          <w:szCs w:val="32"/>
        </w:rPr>
        <w:t>，实施全域水污染防治，大力推进“两个清零、一个提标”工程，封堵整治排污口50余处，建设污水管网140余公里。持续开展排污口排查整治，完成了省交办的398处排污（水）口溯源整治，境内国控断面的监测数据达到《地表水环境质量标准》（GB3838-2002）Ⅱ类水标准。全面消除辖区内的黑臭水体，确保河湖水质断面全部达标。沂河出境断面水质连续多年位居全市第一，2022年水环境质量指数居全省区县第三</w:t>
      </w:r>
      <w:r>
        <w:rPr>
          <w:rFonts w:hint="eastAsia" w:eastAsia="仿宋_GB2312" w:cs="仿宋_GB2312"/>
          <w:sz w:val="32"/>
          <w:szCs w:val="32"/>
          <w:lang w:eastAsia="zh-CN"/>
        </w:rPr>
        <w:t>。</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eastAsia="仿宋_GB2312" w:cs="仿宋_GB2312"/>
          <w:sz w:val="32"/>
          <w:szCs w:val="32"/>
        </w:rPr>
      </w:pPr>
      <w:r>
        <w:rPr>
          <w:rFonts w:hint="eastAsia" w:eastAsia="仿宋_GB2312" w:cs="仿宋_GB2312"/>
          <w:b/>
          <w:bCs/>
          <w:sz w:val="32"/>
          <w:szCs w:val="32"/>
          <w:lang w:val="en-US" w:eastAsia="zh-CN"/>
        </w:rPr>
        <w:t>三是</w:t>
      </w:r>
      <w:r>
        <w:rPr>
          <w:rFonts w:hint="eastAsia" w:eastAsia="仿宋_GB2312" w:cs="仿宋_GB2312"/>
          <w:b/>
          <w:bCs/>
          <w:sz w:val="32"/>
          <w:szCs w:val="32"/>
        </w:rPr>
        <w:t>扎实推进净土保卫战</w:t>
      </w:r>
      <w:r>
        <w:rPr>
          <w:rFonts w:hint="eastAsia" w:eastAsia="仿宋_GB2312" w:cs="仿宋_GB2312"/>
          <w:sz w:val="32"/>
          <w:szCs w:val="32"/>
        </w:rPr>
        <w:t>，印发《沂源县土壤污染防治工作方案》《农用地土壤污染防治技术措施》等文件，建立建设用地土壤污染风险管控和修复名录制度和突发生态环境事件应急管理机制，危险废物利用处置率为1</w:t>
      </w:r>
      <w:r>
        <w:rPr>
          <w:rFonts w:eastAsia="仿宋_GB2312" w:cs="仿宋_GB2312"/>
          <w:sz w:val="32"/>
          <w:szCs w:val="32"/>
        </w:rPr>
        <w:t>00%</w:t>
      </w:r>
      <w:r>
        <w:rPr>
          <w:rFonts w:hint="eastAsia" w:eastAsia="仿宋_GB2312" w:cs="仿宋_GB2312"/>
          <w:sz w:val="32"/>
          <w:szCs w:val="32"/>
        </w:rPr>
        <w:t>。大力推广测土配方施肥、有机肥替代化肥、水肥一体化、病虫害绿色防控等绿色农业技术。三大粮食作物化肥利用率达到43.1%，畜禽养殖粪便资源化利用率达到90.42%。</w:t>
      </w:r>
    </w:p>
    <w:p>
      <w:pPr>
        <w:pStyle w:val="25"/>
        <w:numPr>
          <w:ilvl w:val="0"/>
          <w:numId w:val="4"/>
        </w:numPr>
        <w:adjustRightInd w:val="0"/>
        <w:snapToGrid w:val="0"/>
        <w:spacing w:line="360" w:lineRule="auto"/>
        <w:ind w:firstLineChars="0"/>
        <w:outlineLvl w:val="2"/>
        <w:rPr>
          <w:rFonts w:hint="eastAsia" w:ascii="Times New Roman" w:hAnsi="Times New Roman" w:eastAsia="仿宋_GB2312" w:cs="Times New Roman"/>
          <w:b/>
          <w:sz w:val="32"/>
          <w:szCs w:val="32"/>
        </w:rPr>
      </w:pPr>
      <w:bookmarkStart w:id="35" w:name="_Toc30310"/>
      <w:r>
        <w:rPr>
          <w:rFonts w:hint="eastAsia" w:ascii="Times New Roman" w:hAnsi="Times New Roman" w:eastAsia="仿宋_GB2312" w:cs="Times New Roman"/>
          <w:b/>
          <w:sz w:val="32"/>
          <w:szCs w:val="32"/>
        </w:rPr>
        <w:t>自然资本实现保值增值</w:t>
      </w:r>
      <w:bookmarkEnd w:id="35"/>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一是</w:t>
      </w:r>
      <w:r>
        <w:rPr>
          <w:rFonts w:hint="eastAsia" w:eastAsia="仿宋_GB2312" w:cs="仿宋_GB2312"/>
          <w:b/>
          <w:bCs/>
          <w:sz w:val="32"/>
          <w:szCs w:val="32"/>
        </w:rPr>
        <w:t>大力实施绿化造林。</w:t>
      </w:r>
      <w:r>
        <w:rPr>
          <w:rFonts w:hint="eastAsia" w:eastAsia="仿宋_GB2312" w:cs="仿宋_GB2312"/>
          <w:sz w:val="32"/>
          <w:szCs w:val="32"/>
        </w:rPr>
        <w:t>不断强化大绿化理念，全民动员、全域推进，统筹抓好造林绿化、城市绿化提升、美丽乡村绿化等重点造林项目，因地制宜建设“森林镇村”“绿色庭院”，不断增加绿量，进一步提升绿化品位。牢固树立全域绿化理念，科学合理规划造林任务不断拓宽造林空间，采取造林、管护、封育相结合，强化推进造林绿化力度，全面完成9.6万亩“绿满齐鲁•美丽山东”国土绿化任务、完成564个村庄绿化工作。“十三五”期间，新增造林绿化20万亩。2021年全县森林面积为956.79平方公里，草地面积为91.76平方公里，行政区域土地总面积1635.79平方公里，林草覆盖率达64.1%。</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b w:val="0"/>
          <w:bCs w:val="0"/>
          <w:sz w:val="32"/>
          <w:szCs w:val="32"/>
        </w:rPr>
      </w:pPr>
      <w:r>
        <w:rPr>
          <w:rFonts w:hint="eastAsia" w:eastAsia="仿宋_GB2312" w:cs="仿宋_GB2312"/>
          <w:b/>
          <w:bCs/>
          <w:sz w:val="32"/>
          <w:szCs w:val="32"/>
          <w:lang w:val="en-US" w:eastAsia="zh-CN"/>
        </w:rPr>
        <w:t>二是推进矿山生态修复治理和生态复绿</w:t>
      </w:r>
      <w:r>
        <w:rPr>
          <w:rFonts w:hint="eastAsia" w:eastAsia="仿宋_GB2312" w:cs="仿宋_GB2312"/>
          <w:b/>
          <w:bCs/>
          <w:sz w:val="32"/>
          <w:szCs w:val="32"/>
        </w:rPr>
        <w:t>。</w:t>
      </w:r>
      <w:r>
        <w:rPr>
          <w:rFonts w:hint="eastAsia" w:eastAsia="仿宋_GB2312" w:cs="仿宋_GB2312"/>
          <w:b w:val="0"/>
          <w:bCs w:val="0"/>
          <w:sz w:val="32"/>
          <w:szCs w:val="32"/>
        </w:rPr>
        <w:t>重点抓好已关闭露天矿山生态修复治理和生态复绿工作，编制了《沂源县绿色矿山创建工作方案》和《沂源县已关闭矿山地质环境保护和治理规划（2018-2025）》，明确了全县绿色矿山建设及已关闭矿山生态修复的目标、任务、推进措施，确保绿色矿业工作有序推进。目前，共完成已关闭废弃矿山生态修复治理69处，总投资约1.5亿元，治理总面积3721亩，绿化面积约2895亩，恢复可利用土地面积约930余亩，种植各类林木21万余棵，取得了巨大的经济效益和生态效益。</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三是</w:t>
      </w:r>
      <w:r>
        <w:rPr>
          <w:rFonts w:hint="eastAsia" w:eastAsia="仿宋_GB2312" w:cs="仿宋_GB2312"/>
          <w:b/>
          <w:bCs/>
          <w:sz w:val="32"/>
          <w:szCs w:val="32"/>
        </w:rPr>
        <w:t>有效保护生物多样性。</w:t>
      </w:r>
      <w:r>
        <w:rPr>
          <w:rFonts w:hint="eastAsia" w:eastAsia="仿宋_GB2312" w:cs="仿宋_GB2312"/>
          <w:sz w:val="32"/>
          <w:szCs w:val="32"/>
        </w:rPr>
        <w:t>发布《沂源县陆生野生动物禁猎令》（YYDR-2020-0010002），为全力保护野生动物资源安全提出严格的工作要求。建成沂河天然表流湿地60多公里，成为白骨顶鸡白鹳、白鹭、黑水鸡等鸟类的栖息地，全县国家重点保护野生动植物保护率达96%以上。高度重视外来物种入侵问题，有效遏制了美国白蛾、日本松干蚧蔓延，达到了有虫不成灾的要求，外来物种入侵不明显。</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四是</w:t>
      </w:r>
      <w:r>
        <w:rPr>
          <w:rFonts w:hint="eastAsia" w:eastAsia="仿宋_GB2312" w:cs="仿宋_GB2312"/>
          <w:b/>
          <w:bCs/>
          <w:sz w:val="32"/>
          <w:szCs w:val="32"/>
        </w:rPr>
        <w:t>严守生态保护红线。</w:t>
      </w:r>
      <w:r>
        <w:rPr>
          <w:rFonts w:hint="eastAsia" w:eastAsia="仿宋_GB2312" w:cs="仿宋_GB2312"/>
          <w:sz w:val="32"/>
          <w:szCs w:val="32"/>
        </w:rPr>
        <w:t>坚持“山水林田湖草是一个生命共同体”的理念，落实生态保护红线制度，将生态保护红线作为空间规划等各类规划编制的基础，发挥其对于国土空间开发的底线作用。严格按照国家、省、市要求，有序开展了生态保护红线划定、优化和相关保护工作。确定沂源县生态保护红线面积为337.35平方公里，占国土总面积的20.6%。</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五是</w:t>
      </w:r>
      <w:r>
        <w:rPr>
          <w:rFonts w:hint="eastAsia" w:eastAsia="仿宋_GB2312" w:cs="仿宋_GB2312"/>
          <w:b/>
          <w:bCs/>
          <w:sz w:val="32"/>
          <w:szCs w:val="32"/>
        </w:rPr>
        <w:t>建设保护自然保护地</w:t>
      </w:r>
      <w:r>
        <w:rPr>
          <w:rFonts w:hint="eastAsia" w:eastAsia="仿宋_GB2312" w:cs="仿宋_GB2312"/>
          <w:sz w:val="32"/>
          <w:szCs w:val="32"/>
        </w:rPr>
        <w:t>。制定并印发《鲁山省级自然保护区总体规划》《沂源县沂河源省级湿地公园总体规划》《沂源县织女湖省级湿地公园总体规划》，有效保护了沂源县自然生态系统。沂源县现有自然保护地8处，矢量总面积16912.02公顷，占国土总面积的10.34%。</w:t>
      </w:r>
    </w:p>
    <w:p>
      <w:pPr>
        <w:pStyle w:val="25"/>
        <w:numPr>
          <w:ilvl w:val="0"/>
          <w:numId w:val="4"/>
        </w:numPr>
        <w:adjustRightInd w:val="0"/>
        <w:snapToGrid w:val="0"/>
        <w:spacing w:line="360" w:lineRule="auto"/>
        <w:ind w:firstLineChars="0"/>
        <w:outlineLvl w:val="2"/>
        <w:rPr>
          <w:rFonts w:hint="eastAsia" w:ascii="Times New Roman" w:hAnsi="Times New Roman" w:eastAsia="仿宋_GB2312" w:cs="Times New Roman"/>
          <w:b/>
          <w:sz w:val="32"/>
          <w:szCs w:val="32"/>
        </w:rPr>
      </w:pPr>
      <w:bookmarkStart w:id="36" w:name="_Toc23202"/>
      <w:r>
        <w:rPr>
          <w:rFonts w:hint="eastAsia" w:ascii="Times New Roman" w:hAnsi="Times New Roman" w:eastAsia="仿宋_GB2312" w:cs="Times New Roman"/>
          <w:b/>
          <w:sz w:val="32"/>
          <w:szCs w:val="32"/>
        </w:rPr>
        <w:t>“两山”转化通道不断拓展</w:t>
      </w:r>
      <w:bookmarkEnd w:id="36"/>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一是</w:t>
      </w:r>
      <w:r>
        <w:rPr>
          <w:rFonts w:hint="eastAsia" w:eastAsia="仿宋_GB2312" w:cs="仿宋_GB2312"/>
          <w:b/>
          <w:bCs/>
          <w:sz w:val="32"/>
          <w:szCs w:val="32"/>
        </w:rPr>
        <w:t>大力发展特色生态农业。</w:t>
      </w:r>
      <w:r>
        <w:rPr>
          <w:rFonts w:hint="eastAsia" w:eastAsia="仿宋_GB2312" w:cs="仿宋_GB2312"/>
          <w:sz w:val="32"/>
          <w:szCs w:val="32"/>
        </w:rPr>
        <w:t>立足70万亩果林资源优势，以实施退耕还果、退耕还林为重点，宜果则果、宜林则林，大力发展林业经济，努力打造农产品“绿色、健康、放心”生态品牌，不断巩固扩大造林成果，实现生态改善和经济效益的双赢。现有苹果、大樱桃、桃、葡萄等各类果品75万亩，年产各类果品12.5亿公斤。培育新型农业经营主体 2300 家，建成“一村一品”示范村镇33个，燕崖镇、中庄镇、东里镇、西里镇分别入选国家级、省级农业产业强镇。围绕“种得好、销路畅、收益高”，积极推行“国有企业+党支部+合作社（企业）+农户”模式，大力推广农业新品种、新技术，实施高标准农田项目39万亩，发展水肥一体化19万亩。“三品一标”认证农产品累计119个，创建市级以上农产品区域公用品牌3个、市级以上农产品企业知名品牌16个。重点打造香菇种植基地项目、现代苹果生态示范园项目、华盛果业高档苹果园项目、京东农场高档苹果项目及1.87万亩高标准农田项目等项目。</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eastAsia="仿宋_GB2312" w:cs="仿宋_GB2312"/>
          <w:sz w:val="32"/>
          <w:szCs w:val="32"/>
        </w:rPr>
      </w:pPr>
      <w:r>
        <w:rPr>
          <w:rFonts w:hint="eastAsia" w:eastAsia="仿宋_GB2312" w:cs="仿宋_GB2312"/>
          <w:b/>
          <w:bCs/>
          <w:sz w:val="32"/>
          <w:szCs w:val="32"/>
          <w:lang w:val="en-US" w:eastAsia="zh-CN"/>
        </w:rPr>
        <w:t>二是全力发展全域生态旅游</w:t>
      </w:r>
      <w:r>
        <w:rPr>
          <w:rFonts w:hint="eastAsia" w:eastAsia="仿宋_GB2312" w:cs="仿宋_GB2312"/>
          <w:sz w:val="32"/>
          <w:szCs w:val="32"/>
        </w:rPr>
        <w:t>。沂源作为“牛郎织女传说之乡”和传说的核心传承地，拥有目前国内唯一一处传说与实地实景相对应并存有古建筑遗址的珍稀景观织女洞和牛郎庙。神农药谷景区被评为首批“山东省中医药健康旅游示范基地”，并作为省重点文旅项目获得贷款贴息补助。沂源县是中国北方溶洞之乡、全国休闲农业和乡村旅游示范县、中国最佳休闲小城、中国冬季休闲百佳县市、山东省首批旅游强县，有国家A级旅游景区14处。拥有省级旅游强乡镇7个、省级乡村旅游重点村3个、省级景区化村庄 7 个、省级旅游特色村28个、省级农业旅游示范点24个、省级红色研学基地 1 处。燕崖镇朱家户村是“乡村里的中国”示范片区中心村，已发展成为集观光、旅游、餐饮、休闲、乡村体验和商品销售等为一体的文化旅游村落。</w:t>
      </w:r>
    </w:p>
    <w:p>
      <w:pPr>
        <w:pStyle w:val="25"/>
        <w:numPr>
          <w:ilvl w:val="0"/>
          <w:numId w:val="4"/>
        </w:numPr>
        <w:adjustRightInd w:val="0"/>
        <w:snapToGrid w:val="0"/>
        <w:spacing w:line="360" w:lineRule="auto"/>
        <w:ind w:firstLineChars="0"/>
        <w:outlineLvl w:val="2"/>
        <w:rPr>
          <w:rFonts w:hint="eastAsia" w:ascii="Times New Roman" w:hAnsi="Times New Roman" w:eastAsia="仿宋_GB2312" w:cs="Times New Roman"/>
          <w:b/>
          <w:sz w:val="32"/>
          <w:szCs w:val="32"/>
          <w:highlight w:val="none"/>
        </w:rPr>
      </w:pPr>
      <w:bookmarkStart w:id="37" w:name="_Toc28960"/>
      <w:r>
        <w:rPr>
          <w:rFonts w:hint="eastAsia" w:ascii="Times New Roman" w:hAnsi="Times New Roman" w:eastAsia="仿宋_GB2312" w:cs="Times New Roman"/>
          <w:b/>
          <w:sz w:val="32"/>
          <w:szCs w:val="32"/>
          <w:highlight w:val="none"/>
        </w:rPr>
        <w:t>城乡人居环境明显改善</w:t>
      </w:r>
      <w:bookmarkEnd w:id="37"/>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一是</w:t>
      </w:r>
      <w:r>
        <w:rPr>
          <w:rFonts w:hint="eastAsia" w:eastAsia="仿宋_GB2312" w:cs="仿宋_GB2312"/>
          <w:b/>
          <w:bCs/>
          <w:sz w:val="32"/>
          <w:szCs w:val="32"/>
        </w:rPr>
        <w:t>美丽城镇更具品质。</w:t>
      </w:r>
      <w:r>
        <w:rPr>
          <w:rFonts w:hint="eastAsia" w:eastAsia="仿宋_GB2312" w:cs="仿宋_GB2312"/>
          <w:sz w:val="32"/>
          <w:szCs w:val="32"/>
        </w:rPr>
        <w:t>印发《沂源县人民政府办公室关于进一步加强全县饮用水水源地保护工作的通知》《沂源县芝芳饮用水水源地生态保护与修复方案（2019-2020 年）》等文件，持续加强饮用水水源地规范化建设，不断加强饮用水水源地管理和保护。2021 年，集中式饮用水水源地水质优良比例达到 100%。不断提高城镇生活垃圾无害化处理水平，建立了较完善的生活垃圾收集、清运、处理制度，2021 年，城镇生活垃圾无害化处理率达到 100%。建立完善“公安（交警）+城管”联动联勤执法机制，加快智慧城市、数字沂源建设。新建、改造国省道和城乡道路985.4公里、桥梁61座，全县行政村全部通客车。新建提升城区绿地83.5万平方米，建成综合性公园 8 处，建成“拇指公园”45处，打造 16 公里“樱花大道”，沂河被评为中国十大“最美家乡河”之一，螳螂河等 4 条河流获评省级美丽幸福示范河。实施棚户区改造项目12个，完成老旧小区改造128.8万平方米，整治背街小巷27条。实施雨污分流改造工程，新建、改造雨污水管网97.7公里，县城区内已基本实现污水收集管网全覆盖。城镇污水处理率达到 98.31%，污泥得到安全处置。完成商业街整体改造，新建便民市场7处、公共停车场2处。东部新热源、东部水厂、第二污水处理厂、生活垃圾焚烧发电等民生基础设施项目建成运营，天然气实现“镇镇通”，城乡环卫一体化实现县域全覆盖。</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二是</w:t>
      </w:r>
      <w:r>
        <w:rPr>
          <w:rFonts w:hint="eastAsia" w:eastAsia="仿宋_GB2312" w:cs="仿宋_GB2312"/>
          <w:b/>
          <w:bCs/>
          <w:sz w:val="32"/>
          <w:szCs w:val="32"/>
        </w:rPr>
        <w:t>美丽乡村更加宜居。</w:t>
      </w:r>
      <w:r>
        <w:rPr>
          <w:rFonts w:hint="eastAsia" w:eastAsia="仿宋_GB2312" w:cs="仿宋_GB2312"/>
          <w:sz w:val="32"/>
          <w:szCs w:val="32"/>
        </w:rPr>
        <w:t>印发《关于加强农村饮水安全工程长效管理机制建设的实施意见》《关于进一步加强农村生活饮用水专项整治工作的通知》，开展“千吨万人”和“单村联村”饮用水水源地调查评估和保护区划定工作。实施饮用水水源地各项保护工程，解决全县农村居民饮水安全问题，村镇饮用水卫生合格率达到 100%。制定实施《淄博市沂源县农村生活污水治理实施方案（2019-2025 年）》，积极推进农村生活污水治理，确定“因地制宜、精准施策、靶向治理”的“沂源模式”。截至 2021年，沂源县已完成387个行政村的污水治理，农村生活污水治理率为63.44%。新建、改造农村旱厕9.4万户，农村无害化卫生厕所普及率达到 92%。国省道和城乡道路141条975.7公里、桥梁 332 座，行政村全部通客车。完成农村“户户通”道路硬化453万平方米。聚力打造农村养老与服务的“沂源样本”。建设“沂源红”幸福家园民生综合体；立足“医养结合两院一体”发展模式，打造东里镇“凤驿”特色康养福地，不断提高农村老年人生活质量和幸福指数。</w:t>
      </w:r>
    </w:p>
    <w:p>
      <w:pPr>
        <w:pStyle w:val="25"/>
        <w:numPr>
          <w:ilvl w:val="0"/>
          <w:numId w:val="4"/>
        </w:numPr>
        <w:adjustRightInd w:val="0"/>
        <w:snapToGrid w:val="0"/>
        <w:spacing w:line="360" w:lineRule="auto"/>
        <w:ind w:firstLineChars="0"/>
        <w:outlineLvl w:val="2"/>
        <w:rPr>
          <w:rFonts w:hint="eastAsia" w:ascii="Times New Roman" w:hAnsi="Times New Roman" w:eastAsia="仿宋_GB2312" w:cs="Times New Roman"/>
          <w:b/>
          <w:sz w:val="32"/>
          <w:szCs w:val="32"/>
          <w:highlight w:val="none"/>
        </w:rPr>
      </w:pPr>
      <w:bookmarkStart w:id="38" w:name="_Toc24641"/>
      <w:r>
        <w:rPr>
          <w:rFonts w:hint="eastAsia" w:ascii="Times New Roman" w:hAnsi="Times New Roman" w:eastAsia="仿宋_GB2312" w:cs="Times New Roman"/>
          <w:b/>
          <w:sz w:val="32"/>
          <w:szCs w:val="32"/>
          <w:highlight w:val="none"/>
        </w:rPr>
        <w:t>“两山”转化保障机制创新完善</w:t>
      </w:r>
      <w:bookmarkEnd w:id="38"/>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lang w:val="en-US" w:eastAsia="zh-CN"/>
        </w:rPr>
        <w:t>一是</w:t>
      </w:r>
      <w:r>
        <w:rPr>
          <w:rFonts w:hint="eastAsia" w:ascii="Times New Roman" w:hAnsi="Times New Roman" w:eastAsia="仿宋_GB2312" w:cs="仿宋_GB2312"/>
          <w:b/>
          <w:bCs/>
          <w:sz w:val="32"/>
          <w:szCs w:val="32"/>
        </w:rPr>
        <w:t>健全</w:t>
      </w:r>
      <w:r>
        <w:rPr>
          <w:rFonts w:hint="eastAsia" w:ascii="Times New Roman" w:hAnsi="Times New Roman" w:eastAsia="仿宋_GB2312" w:cs="仿宋_GB2312"/>
          <w:b/>
          <w:bCs/>
          <w:sz w:val="32"/>
          <w:szCs w:val="32"/>
          <w:lang w:eastAsia="zh-CN"/>
        </w:rPr>
        <w:t>“</w:t>
      </w:r>
      <w:r>
        <w:rPr>
          <w:rFonts w:hint="eastAsia" w:ascii="Times New Roman" w:hAnsi="Times New Roman" w:eastAsia="仿宋_GB2312" w:cs="仿宋_GB2312"/>
          <w:b/>
          <w:bCs/>
          <w:sz w:val="32"/>
          <w:szCs w:val="32"/>
          <w:lang w:val="en-US" w:eastAsia="zh-CN"/>
        </w:rPr>
        <w:t>两山</w:t>
      </w:r>
      <w:r>
        <w:rPr>
          <w:rFonts w:hint="eastAsia" w:ascii="Times New Roman" w:hAnsi="Times New Roman" w:eastAsia="仿宋_GB2312" w:cs="仿宋_GB2312"/>
          <w:b/>
          <w:bCs/>
          <w:sz w:val="32"/>
          <w:szCs w:val="32"/>
          <w:lang w:eastAsia="zh-CN"/>
        </w:rPr>
        <w:t>”自然资源</w:t>
      </w:r>
      <w:r>
        <w:rPr>
          <w:rFonts w:hint="eastAsia" w:ascii="Times New Roman" w:hAnsi="Times New Roman" w:eastAsia="仿宋_GB2312" w:cs="仿宋_GB2312"/>
          <w:b/>
          <w:bCs/>
          <w:sz w:val="32"/>
          <w:szCs w:val="32"/>
          <w:lang w:val="en-US" w:eastAsia="zh-CN"/>
        </w:rPr>
        <w:t>保护制度体系</w:t>
      </w:r>
      <w:r>
        <w:rPr>
          <w:rFonts w:hint="eastAsia" w:ascii="Times New Roman" w:hAnsi="Times New Roman" w:eastAsia="仿宋_GB2312" w:cs="仿宋_GB2312"/>
          <w:b/>
          <w:bCs/>
          <w:sz w:val="32"/>
          <w:szCs w:val="32"/>
          <w:lang w:eastAsia="zh-CN"/>
        </w:rPr>
        <w:t>。</w:t>
      </w:r>
      <w:r>
        <w:rPr>
          <w:rFonts w:hint="eastAsia" w:ascii="Times New Roman" w:hAnsi="Times New Roman" w:eastAsia="仿宋_GB2312" w:cs="仿宋_GB2312"/>
          <w:sz w:val="32"/>
          <w:szCs w:val="32"/>
        </w:rPr>
        <w:t>有效实施河长制与湖长制</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实现256条主要河道和114 座水库河湖清违清障常态化巡查。2021年累计整治“四乱”问题1127处；完成南鲁山镇胜家庄河、朱阿村内河等70条河道的省市美丽幸福示范河湖创建工作。按照“统一负责、分级管理”的原则，完善了“一河一策”方案和河流库渠名录。全面建立县、镇、村三级林长制体系，落实一林一员一技一警机制，构建“职责清、范围明、责任实”的三级林长责任体系，对森林资源实行网格化管理，推进管理工作重心下移。严格落实生态环境监管，将“三线一单”作为深化环评“放管服”改革的重要基础和抓手。积极推进落实自然资源田长制山长制。结合沂源县工作实际，在实行河长制、湖长制、林长制的基础上，借鉴其他地区探索实践，积极推出自然资源田长制山长制，实现“山水林田湖”全覆盖，切实保护全县自然资源，为践行“绿水青山就是金山银山”打下坚实基础。</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lang w:val="en-US" w:eastAsia="zh-CN"/>
        </w:rPr>
        <w:t>二是完善</w:t>
      </w:r>
      <w:r>
        <w:rPr>
          <w:rFonts w:hint="eastAsia" w:ascii="Times New Roman" w:hAnsi="Times New Roman" w:eastAsia="仿宋_GB2312" w:cs="仿宋_GB2312"/>
          <w:b/>
          <w:bCs/>
          <w:sz w:val="32"/>
          <w:szCs w:val="32"/>
          <w:lang w:eastAsia="zh-CN"/>
        </w:rPr>
        <w:t>“</w:t>
      </w:r>
      <w:r>
        <w:rPr>
          <w:rFonts w:hint="eastAsia" w:ascii="Times New Roman" w:hAnsi="Times New Roman" w:eastAsia="仿宋_GB2312" w:cs="仿宋_GB2312"/>
          <w:b/>
          <w:bCs/>
          <w:sz w:val="32"/>
          <w:szCs w:val="32"/>
          <w:lang w:val="en-US" w:eastAsia="zh-CN"/>
        </w:rPr>
        <w:t>两山</w:t>
      </w:r>
      <w:r>
        <w:rPr>
          <w:rFonts w:hint="eastAsia" w:ascii="Times New Roman" w:hAnsi="Times New Roman" w:eastAsia="仿宋_GB2312" w:cs="仿宋_GB2312"/>
          <w:b/>
          <w:bCs/>
          <w:sz w:val="32"/>
          <w:szCs w:val="32"/>
          <w:lang w:eastAsia="zh-CN"/>
        </w:rPr>
        <w:t>”</w:t>
      </w:r>
      <w:r>
        <w:rPr>
          <w:rFonts w:hint="eastAsia" w:ascii="Times New Roman" w:hAnsi="Times New Roman" w:eastAsia="仿宋_GB2312" w:cs="仿宋_GB2312"/>
          <w:b/>
          <w:bCs/>
          <w:sz w:val="32"/>
          <w:szCs w:val="32"/>
          <w:lang w:val="en-US" w:eastAsia="zh-CN"/>
        </w:rPr>
        <w:t>责任考核机制。</w:t>
      </w:r>
      <w:r>
        <w:rPr>
          <w:rFonts w:hint="eastAsia" w:ascii="Times New Roman" w:hAnsi="Times New Roman" w:eastAsia="仿宋_GB2312" w:cs="仿宋_GB2312"/>
          <w:sz w:val="32"/>
          <w:szCs w:val="32"/>
        </w:rPr>
        <w:t>有效开展领导干部自然资源资产离任审计，创立了沂源模式—镇级领导干部自然资源资产离任审计“八步法”，先后在淄博市进行全面推广。实施排污许可证“一证式”管理改革，探索开展环境污染第三方治理，鼓励社会资本及外资参与环境基础设施等公共建设。严格落实中共中央办公厅和国务院办公厅《党政领导干部生态环境损害责任追究办法(试行)》、《山东省党政领导干部生态环境损害责任追究实施细则》以及《中国共产党问责条例》和省委实施办法等有关规定，对推进生态文明建设领导不力问题坚决予以问责。严格落实《淄博市生态环境损害赔偿制度改革实施细则》，坚决制止和惩处生态环境损害行为。实行生态保护优先的绩效考核评价。严格落实《山东省生态文明建设目标评价考核办法》，将生态文明建设和环境保护纳入党政领导班子综合考核评价指标体系，强化“绿色考核”指挥棒作用。对森林资源实行网格化管理，推进管理工作重心下移。</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eastAsia="仿宋_GB2312" w:cs="仿宋_GB2312"/>
          <w:sz w:val="32"/>
          <w:szCs w:val="32"/>
        </w:rPr>
      </w:pPr>
      <w:r>
        <w:rPr>
          <w:rFonts w:hint="eastAsia" w:eastAsia="仿宋_GB2312" w:cs="仿宋_GB2312"/>
          <w:b/>
          <w:bCs/>
          <w:sz w:val="32"/>
          <w:szCs w:val="32"/>
          <w:lang w:val="en-US" w:eastAsia="zh-CN"/>
        </w:rPr>
        <w:t>三是</w:t>
      </w:r>
      <w:r>
        <w:rPr>
          <w:rFonts w:hint="eastAsia" w:eastAsia="仿宋_GB2312" w:cs="仿宋_GB2312"/>
          <w:b/>
          <w:bCs/>
          <w:sz w:val="32"/>
          <w:szCs w:val="32"/>
        </w:rPr>
        <w:t>推行全县全域网格化管理。</w:t>
      </w:r>
      <w:r>
        <w:rPr>
          <w:rFonts w:hint="eastAsia" w:eastAsia="仿宋_GB2312" w:cs="仿宋_GB2312"/>
          <w:sz w:val="32"/>
          <w:szCs w:val="32"/>
        </w:rPr>
        <w:t>全县以行政区划建立一张全域网格，结合实际划分为若干网格，按照“属地管理、分级负责、全面覆盖、职责到人”的原则，建立完整的“一网两长”制体系。成立“一网两长”制办公室，办公室设在县自然资源局，各级田长及网格员、“一网两长”制办公室及各相关部门履行好各自职责，共同监管全县自然资源保护工作。</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eastAsia="仿宋_GB2312" w:cs="仿宋_GB2312"/>
          <w:sz w:val="32"/>
          <w:szCs w:val="32"/>
        </w:rPr>
      </w:pPr>
      <w:r>
        <w:rPr>
          <w:rFonts w:hint="eastAsia" w:eastAsia="仿宋_GB2312" w:cs="仿宋_GB2312"/>
          <w:b/>
          <w:bCs/>
          <w:sz w:val="32"/>
          <w:szCs w:val="32"/>
          <w:lang w:val="en-US" w:eastAsia="zh-CN"/>
        </w:rPr>
        <w:t>四是</w:t>
      </w:r>
      <w:r>
        <w:rPr>
          <w:rFonts w:hint="eastAsia" w:eastAsia="仿宋_GB2312" w:cs="仿宋_GB2312"/>
          <w:b/>
          <w:bCs/>
          <w:sz w:val="32"/>
          <w:szCs w:val="32"/>
        </w:rPr>
        <w:t>依法依规公开生态环境信息。</w:t>
      </w:r>
      <w:r>
        <w:rPr>
          <w:rFonts w:hint="eastAsia" w:eastAsia="仿宋_GB2312" w:cs="仿宋_GB2312"/>
          <w:sz w:val="32"/>
          <w:szCs w:val="32"/>
        </w:rPr>
        <w:t>不断加强和完善领导机制，成立政务信息公开领导小组。推进重污染天气应急管理信息公开，做好重污染天气期间信息发布、舆情引导等工作，及时发布环境空气质量状况信息。近3年，生态环境信息公开率均为100%。</w:t>
      </w:r>
    </w:p>
    <w:p>
      <w:pPr>
        <w:pStyle w:val="25"/>
        <w:numPr>
          <w:ilvl w:val="0"/>
          <w:numId w:val="4"/>
        </w:numPr>
        <w:adjustRightInd w:val="0"/>
        <w:snapToGrid w:val="0"/>
        <w:spacing w:line="360" w:lineRule="auto"/>
        <w:ind w:firstLineChars="0"/>
        <w:outlineLvl w:val="2"/>
        <w:rPr>
          <w:rFonts w:hint="eastAsia" w:ascii="Times New Roman" w:hAnsi="Times New Roman" w:eastAsia="仿宋_GB2312" w:cs="Times New Roman"/>
          <w:b/>
          <w:sz w:val="32"/>
          <w:szCs w:val="32"/>
        </w:rPr>
      </w:pPr>
      <w:bookmarkStart w:id="39" w:name="_Toc18042"/>
      <w:r>
        <w:rPr>
          <w:rFonts w:hint="eastAsia" w:ascii="Times New Roman" w:hAnsi="Times New Roman" w:eastAsia="仿宋_GB2312" w:cs="Times New Roman"/>
          <w:b/>
          <w:sz w:val="32"/>
          <w:szCs w:val="32"/>
        </w:rPr>
        <w:t>绿色生活</w:t>
      </w:r>
      <w:r>
        <w:rPr>
          <w:rFonts w:hint="eastAsia" w:eastAsia="仿宋_GB2312" w:cs="Times New Roman"/>
          <w:b/>
          <w:sz w:val="32"/>
          <w:szCs w:val="32"/>
          <w:lang w:val="en-US" w:eastAsia="zh-CN"/>
        </w:rPr>
        <w:t>理念</w:t>
      </w:r>
      <w:r>
        <w:rPr>
          <w:rFonts w:hint="eastAsia" w:ascii="Times New Roman" w:hAnsi="Times New Roman" w:eastAsia="仿宋_GB2312" w:cs="Times New Roman"/>
          <w:b/>
          <w:sz w:val="32"/>
          <w:szCs w:val="32"/>
        </w:rPr>
        <w:t>深入人心</w:t>
      </w:r>
      <w:bookmarkEnd w:id="39"/>
    </w:p>
    <w:p>
      <w:pPr>
        <w:adjustRightInd w:val="0"/>
        <w:snapToGrid w:val="0"/>
        <w:spacing w:line="360" w:lineRule="auto"/>
        <w:ind w:firstLine="643" w:firstLineChars="200"/>
        <w:rPr>
          <w:rFonts w:hint="eastAsia" w:eastAsia="仿宋_GB2312" w:cs="仿宋_GB2312"/>
          <w:sz w:val="32"/>
          <w:szCs w:val="32"/>
        </w:rPr>
      </w:pPr>
      <w:r>
        <w:rPr>
          <w:rFonts w:hint="eastAsia" w:eastAsia="仿宋_GB2312" w:cs="仿宋_GB2312"/>
          <w:b/>
          <w:bCs/>
          <w:sz w:val="32"/>
          <w:szCs w:val="32"/>
          <w:lang w:val="en-US" w:eastAsia="zh-CN"/>
        </w:rPr>
        <w:t>一是</w:t>
      </w:r>
      <w:r>
        <w:rPr>
          <w:rFonts w:hint="eastAsia" w:eastAsia="仿宋_GB2312" w:cs="仿宋_GB2312"/>
          <w:b/>
          <w:bCs/>
          <w:sz w:val="32"/>
          <w:szCs w:val="32"/>
        </w:rPr>
        <w:t>深入推进建筑节能。</w:t>
      </w:r>
      <w:r>
        <w:rPr>
          <w:rFonts w:hint="eastAsia" w:eastAsia="仿宋_GB2312" w:cs="仿宋_GB2312"/>
          <w:sz w:val="32"/>
          <w:szCs w:val="32"/>
        </w:rPr>
        <w:t>贯彻落实国家、省、市的绿色建筑、建筑节能等要求，认真执行公共建筑节能、居住建筑节能的设计标准，严把建筑节能监督交底关、节能材料进场关、墙改基金返还关、节能工程竣工验收关，建筑节能新技术、新材料在建筑工程中得到普遍应用。</w:t>
      </w:r>
    </w:p>
    <w:p>
      <w:pPr>
        <w:adjustRightInd w:val="0"/>
        <w:snapToGrid w:val="0"/>
        <w:spacing w:line="360" w:lineRule="auto"/>
        <w:ind w:firstLine="643" w:firstLineChars="200"/>
        <w:rPr>
          <w:rFonts w:hint="eastAsia" w:eastAsia="仿宋_GB2312" w:cs="仿宋_GB2312"/>
          <w:sz w:val="32"/>
          <w:szCs w:val="32"/>
        </w:rPr>
      </w:pPr>
      <w:r>
        <w:rPr>
          <w:rFonts w:hint="eastAsia" w:eastAsia="仿宋_GB2312" w:cs="仿宋_GB2312"/>
          <w:b/>
          <w:bCs/>
          <w:sz w:val="32"/>
          <w:szCs w:val="32"/>
          <w:lang w:val="en-US" w:eastAsia="zh-CN"/>
        </w:rPr>
        <w:t>二是</w:t>
      </w:r>
      <w:r>
        <w:rPr>
          <w:rFonts w:hint="eastAsia" w:eastAsia="仿宋_GB2312" w:cs="仿宋_GB2312"/>
          <w:b/>
          <w:bCs/>
          <w:sz w:val="32"/>
          <w:szCs w:val="32"/>
        </w:rPr>
        <w:t>加快推进生活垃圾分类工作。</w:t>
      </w:r>
      <w:r>
        <w:rPr>
          <w:rFonts w:hint="eastAsia" w:eastAsia="仿宋_GB2312" w:cs="仿宋_GB2312"/>
          <w:sz w:val="32"/>
          <w:szCs w:val="32"/>
        </w:rPr>
        <w:t>印发《关于印发沂源县生活垃圾分类工作实施方案的通知》《沂源县生活垃圾分类工作手册》，建成分类收集亭1335处、配备分类桶1.65万个，设置宣传牌（栏等宣传设施4256处。</w:t>
      </w:r>
    </w:p>
    <w:p>
      <w:pPr>
        <w:adjustRightInd w:val="0"/>
        <w:snapToGrid w:val="0"/>
        <w:spacing w:line="360" w:lineRule="auto"/>
        <w:ind w:firstLine="643" w:firstLineChars="200"/>
        <w:rPr>
          <w:rFonts w:hint="eastAsia" w:eastAsia="仿宋_GB2312" w:cs="仿宋_GB2312"/>
          <w:sz w:val="32"/>
          <w:szCs w:val="32"/>
        </w:rPr>
      </w:pPr>
      <w:r>
        <w:rPr>
          <w:rFonts w:hint="eastAsia" w:eastAsia="仿宋_GB2312" w:cs="仿宋_GB2312"/>
          <w:b/>
          <w:bCs/>
          <w:sz w:val="32"/>
          <w:szCs w:val="32"/>
          <w:lang w:val="en-US" w:eastAsia="zh-CN"/>
        </w:rPr>
        <w:t>三是</w:t>
      </w:r>
      <w:r>
        <w:rPr>
          <w:rFonts w:hint="eastAsia" w:eastAsia="仿宋_GB2312" w:cs="仿宋_GB2312"/>
          <w:b/>
          <w:bCs/>
          <w:sz w:val="32"/>
          <w:szCs w:val="32"/>
        </w:rPr>
        <w:t>倡导勤俭节约的消费观。</w:t>
      </w:r>
      <w:r>
        <w:rPr>
          <w:rFonts w:hint="eastAsia" w:eastAsia="仿宋_GB2312" w:cs="仿宋_GB2312"/>
          <w:sz w:val="32"/>
          <w:szCs w:val="32"/>
        </w:rPr>
        <w:t>广泛开展绿色生活行动，倡导“节约用水”、“光盘行动”、“绿色出行”。大力推广高能效家电、节水型器具，提倡减少一次性办公用品、塑料袋、一次性客房用品、一次性餐具等一次性消费品使用。</w:t>
      </w:r>
    </w:p>
    <w:p>
      <w:pPr>
        <w:adjustRightInd w:val="0"/>
        <w:snapToGrid w:val="0"/>
        <w:spacing w:line="360" w:lineRule="auto"/>
        <w:ind w:firstLine="643" w:firstLineChars="200"/>
        <w:rPr>
          <w:rFonts w:ascii="仿宋_GB2312" w:hAnsi="仿宋_GB2312" w:eastAsia="仿宋_GB2312" w:cs="仿宋_GB2312"/>
          <w:sz w:val="32"/>
          <w:szCs w:val="32"/>
        </w:rPr>
      </w:pPr>
      <w:r>
        <w:rPr>
          <w:rFonts w:hint="eastAsia" w:eastAsia="仿宋_GB2312" w:cs="仿宋_GB2312"/>
          <w:b/>
          <w:bCs/>
          <w:sz w:val="32"/>
          <w:szCs w:val="32"/>
          <w:lang w:val="en-US" w:eastAsia="zh-CN"/>
        </w:rPr>
        <w:t>四是</w:t>
      </w:r>
      <w:r>
        <w:rPr>
          <w:rFonts w:hint="eastAsia" w:eastAsia="仿宋_GB2312" w:cs="仿宋_GB2312"/>
          <w:b/>
          <w:bCs/>
          <w:sz w:val="32"/>
          <w:szCs w:val="32"/>
        </w:rPr>
        <w:t>鼓励政府优先采购节能产品、环境标志产品。</w:t>
      </w:r>
      <w:r>
        <w:rPr>
          <w:rFonts w:hint="eastAsia" w:eastAsia="仿宋_GB2312" w:cs="仿宋_GB2312"/>
          <w:sz w:val="32"/>
          <w:szCs w:val="32"/>
        </w:rPr>
        <w:t>综合考虑节能、节水、环保、循环、低碳、再生、有机等因素，不断提高政府对节能产品、环境标志产品的采购比例，促进绿色产品推广应用。2021年，沂源县政府绿色采购比例达到 85.2%。</w:t>
      </w:r>
    </w:p>
    <w:p>
      <w:pPr>
        <w:numPr>
          <w:ilvl w:val="0"/>
          <w:numId w:val="5"/>
        </w:numPr>
        <w:adjustRightInd w:val="0"/>
        <w:snapToGrid w:val="0"/>
        <w:spacing w:line="360" w:lineRule="auto"/>
        <w:outlineLvl w:val="1"/>
        <w:rPr>
          <w:rFonts w:eastAsia="楷体_GB2312"/>
          <w:b/>
          <w:bCs/>
          <w:sz w:val="32"/>
          <w:szCs w:val="32"/>
        </w:rPr>
      </w:pPr>
      <w:bookmarkStart w:id="40" w:name="_Toc22189"/>
      <w:r>
        <w:rPr>
          <w:rFonts w:eastAsia="楷体_GB2312"/>
          <w:b/>
          <w:bCs/>
          <w:sz w:val="32"/>
          <w:szCs w:val="32"/>
        </w:rPr>
        <w:t>问题</w:t>
      </w:r>
      <w:r>
        <w:rPr>
          <w:rFonts w:hint="eastAsia" w:eastAsia="楷体_GB2312"/>
          <w:b/>
          <w:bCs/>
          <w:sz w:val="32"/>
          <w:szCs w:val="32"/>
        </w:rPr>
        <w:t>和</w:t>
      </w:r>
      <w:r>
        <w:rPr>
          <w:rFonts w:eastAsia="楷体_GB2312"/>
          <w:b/>
          <w:bCs/>
          <w:sz w:val="32"/>
          <w:szCs w:val="32"/>
        </w:rPr>
        <w:t>挑战</w:t>
      </w:r>
      <w:r>
        <w:rPr>
          <w:rFonts w:hint="eastAsia" w:eastAsia="楷体_GB2312"/>
          <w:b/>
          <w:bCs/>
          <w:sz w:val="32"/>
          <w:szCs w:val="32"/>
        </w:rPr>
        <w:t>分析</w:t>
      </w:r>
      <w:bookmarkEnd w:id="40"/>
    </w:p>
    <w:p>
      <w:pPr>
        <w:pStyle w:val="25"/>
        <w:numPr>
          <w:ilvl w:val="0"/>
          <w:numId w:val="6"/>
        </w:numPr>
        <w:adjustRightInd w:val="0"/>
        <w:snapToGrid w:val="0"/>
        <w:spacing w:line="360" w:lineRule="auto"/>
        <w:ind w:firstLineChars="0"/>
        <w:outlineLvl w:val="2"/>
        <w:rPr>
          <w:rFonts w:hint="eastAsia" w:ascii="Times New Roman" w:hAnsi="Times New Roman" w:eastAsia="仿宋_GB2312" w:cs="Times New Roman"/>
          <w:b/>
          <w:sz w:val="32"/>
          <w:szCs w:val="32"/>
          <w:highlight w:val="none"/>
        </w:rPr>
      </w:pPr>
      <w:bookmarkStart w:id="41" w:name="_Toc1134"/>
      <w:r>
        <w:rPr>
          <w:rFonts w:hint="eastAsia" w:ascii="Times New Roman" w:hAnsi="Times New Roman" w:eastAsia="仿宋_GB2312" w:cs="Times New Roman"/>
          <w:b/>
          <w:sz w:val="32"/>
          <w:szCs w:val="32"/>
          <w:highlight w:val="none"/>
        </w:rPr>
        <w:t>生态环境保护形势依然严峻</w:t>
      </w:r>
      <w:bookmarkEnd w:id="41"/>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仿宋_GB2312" w:cs="仿宋_GB2312"/>
          <w:sz w:val="32"/>
          <w:szCs w:val="32"/>
        </w:rPr>
      </w:pPr>
      <w:r>
        <w:rPr>
          <w:rFonts w:hint="eastAsia" w:eastAsia="仿宋_GB2312" w:cs="仿宋_GB2312"/>
          <w:sz w:val="32"/>
          <w:szCs w:val="32"/>
        </w:rPr>
        <w:t>受山区居住特征</w:t>
      </w:r>
      <w:r>
        <w:rPr>
          <w:rFonts w:hint="eastAsia" w:eastAsia="仿宋_GB2312" w:cs="仿宋_GB2312"/>
          <w:sz w:val="32"/>
          <w:szCs w:val="32"/>
          <w:lang w:eastAsia="zh-CN"/>
        </w:rPr>
        <w:t>、</w:t>
      </w:r>
      <w:r>
        <w:rPr>
          <w:rFonts w:hint="eastAsia" w:eastAsia="仿宋_GB2312" w:cs="仿宋_GB2312"/>
          <w:sz w:val="32"/>
          <w:szCs w:val="32"/>
        </w:rPr>
        <w:t>居住分散等因素制约，乡镇污水、垃圾处理存在一定的压力</w:t>
      </w:r>
      <w:r>
        <w:rPr>
          <w:rFonts w:hint="eastAsia" w:eastAsia="仿宋_GB2312" w:cs="仿宋_GB2312"/>
          <w:sz w:val="32"/>
          <w:szCs w:val="32"/>
          <w:lang w:eastAsia="zh-CN"/>
        </w:rPr>
        <w:t>，</w:t>
      </w:r>
      <w:r>
        <w:rPr>
          <w:rFonts w:hint="eastAsia" w:eastAsia="仿宋_GB2312" w:cs="仿宋_GB2312"/>
          <w:sz w:val="32"/>
          <w:szCs w:val="32"/>
        </w:rPr>
        <w:t>污水处理能力不足与城市不断扩张、污水量不断增加的矛盾逐渐凸显。农业废弃物资源化利用能力需要进一步提高。施工工地、渣土运输及运输扬尘防治管理需要进一步加强，冬季采暖民用散煤燃烧贡献值仍然很大。农业面源污染治理任务艰巨。沂源为农作物种植基地，近年来菜、果、花等经济作物种植面积快速增长，农业生产中使用化肥、农药对环境的污染和畜禽养殖产生的有机废弃物污染治理难度和挑战较大。环境保护齐抓共管工作格局尚未形成，监管部门之间统筹协调、工作衔接及执法信息共享有待进一步加强。</w:t>
      </w:r>
    </w:p>
    <w:p>
      <w:pPr>
        <w:pStyle w:val="25"/>
        <w:numPr>
          <w:ilvl w:val="0"/>
          <w:numId w:val="6"/>
        </w:numPr>
        <w:adjustRightInd w:val="0"/>
        <w:snapToGrid w:val="0"/>
        <w:spacing w:line="360" w:lineRule="auto"/>
        <w:ind w:firstLineChars="0"/>
        <w:outlineLvl w:val="2"/>
        <w:rPr>
          <w:rFonts w:hint="eastAsia" w:ascii="Times New Roman" w:hAnsi="Times New Roman" w:eastAsia="仿宋_GB2312" w:cs="Times New Roman"/>
          <w:b/>
          <w:sz w:val="32"/>
          <w:szCs w:val="32"/>
        </w:rPr>
      </w:pPr>
      <w:bookmarkStart w:id="42" w:name="_Toc11089"/>
      <w:r>
        <w:rPr>
          <w:rFonts w:hint="eastAsia" w:ascii="Times New Roman" w:hAnsi="Times New Roman" w:eastAsia="仿宋_GB2312" w:cs="Times New Roman"/>
          <w:b/>
          <w:sz w:val="32"/>
          <w:szCs w:val="32"/>
        </w:rPr>
        <w:t>“两山”转化路径尚未完全打通</w:t>
      </w:r>
      <w:bookmarkEnd w:id="42"/>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eastAsia="仿宋_GB2312" w:cs="仿宋_GB2312"/>
          <w:sz w:val="32"/>
          <w:szCs w:val="32"/>
        </w:rPr>
      </w:pPr>
      <w:r>
        <w:rPr>
          <w:rFonts w:hint="eastAsia" w:ascii="Times New Roman" w:hAnsi="Times New Roman" w:eastAsia="仿宋_GB2312" w:cs="仿宋_GB2312"/>
          <w:sz w:val="32"/>
          <w:szCs w:val="32"/>
          <w:lang w:val="en-US" w:eastAsia="zh-CN"/>
        </w:rPr>
        <w:t>沂源</w:t>
      </w:r>
      <w:r>
        <w:rPr>
          <w:rFonts w:hint="eastAsia" w:ascii="Times New Roman" w:hAnsi="Times New Roman" w:eastAsia="仿宋_GB2312" w:cs="仿宋_GB2312"/>
          <w:sz w:val="32"/>
          <w:szCs w:val="32"/>
        </w:rPr>
        <w:t>经济总量较小，尤其是工业体量相对较小，龙头企业强而不大，中小微企业缺乏投资活力，产业链条较短、集群效应和带动能力不够强，特别是价值链高端产品少，发展后劲不足。农业龙头企业数量少、规模小，企业市场组织化程度低</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企业和农户没有形成利益共享、风险共担的经济联合体，龙头企业没有发挥带动作用，尤其缺乏农产品加工龙头企业，导致带动农业产业化发展的能力弱，产销对接不畅</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生态工业产品竞争力、附加值较弱</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市场拓展能力弱</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发展没有充分整合一产、三产，生态环境资源优势未能很好的转化为生态工业发展可直接利用的资本。全域旅游整体形象宣传不足，地方特点尚未凸显，与周边区域存在区域文化资源同质性现象，</w:t>
      </w:r>
      <w:r>
        <w:rPr>
          <w:rFonts w:hint="eastAsia" w:eastAsia="仿宋_GB2312" w:cs="仿宋_GB2312"/>
          <w:sz w:val="32"/>
          <w:szCs w:val="32"/>
        </w:rPr>
        <w:t>旅游商品研发、生产和对外宣传力度不够，与生态农业品牌化、高端化发展的格局尚未形成，各类文化娱乐设施、旅游基础设施还不完善，旅游新业态仍需丰富。</w:t>
      </w:r>
    </w:p>
    <w:p>
      <w:pPr>
        <w:pStyle w:val="25"/>
        <w:numPr>
          <w:ilvl w:val="0"/>
          <w:numId w:val="6"/>
        </w:numPr>
        <w:adjustRightInd w:val="0"/>
        <w:snapToGrid w:val="0"/>
        <w:spacing w:line="360" w:lineRule="auto"/>
        <w:ind w:firstLineChars="0"/>
        <w:outlineLvl w:val="2"/>
        <w:rPr>
          <w:rFonts w:hint="eastAsia" w:ascii="Times New Roman" w:hAnsi="Times New Roman" w:eastAsia="仿宋_GB2312" w:cs="Times New Roman"/>
          <w:b/>
          <w:sz w:val="32"/>
          <w:szCs w:val="32"/>
          <w:highlight w:val="none"/>
        </w:rPr>
      </w:pPr>
      <w:bookmarkStart w:id="43" w:name="_Toc1193"/>
      <w:r>
        <w:rPr>
          <w:rFonts w:hint="eastAsia" w:ascii="Times New Roman" w:hAnsi="Times New Roman" w:eastAsia="仿宋_GB2312" w:cs="Times New Roman"/>
          <w:b/>
          <w:sz w:val="32"/>
          <w:szCs w:val="32"/>
          <w:highlight w:val="none"/>
        </w:rPr>
        <w:t>“两山”制度保障仍不健全</w:t>
      </w:r>
      <w:bookmarkEnd w:id="43"/>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仿宋_GB2312" w:cs="仿宋_GB2312"/>
          <w:b/>
          <w:bCs/>
          <w:sz w:val="32"/>
          <w:szCs w:val="32"/>
        </w:rPr>
      </w:pPr>
      <w:r>
        <w:rPr>
          <w:rFonts w:hint="eastAsia" w:eastAsia="仿宋_GB2312" w:cs="仿宋_GB2312"/>
          <w:sz w:val="32"/>
          <w:szCs w:val="32"/>
          <w:lang w:val="en-US" w:eastAsia="zh-CN"/>
        </w:rPr>
        <w:t>沂源</w:t>
      </w:r>
      <w:r>
        <w:rPr>
          <w:rFonts w:hint="eastAsia" w:eastAsia="仿宋_GB2312" w:cs="仿宋_GB2312"/>
          <w:sz w:val="32"/>
          <w:szCs w:val="32"/>
        </w:rPr>
        <w:t>在推动生态产品价值实现的体制机制上还存在较大缺口，在制度设计、经济补偿、绩效考核、品牌提升、营造社会氛围等方面的主导作用还需进一步加强</w:t>
      </w:r>
      <w:r>
        <w:rPr>
          <w:rFonts w:hint="eastAsia" w:eastAsia="仿宋_GB2312" w:cs="仿宋_GB2312"/>
          <w:sz w:val="32"/>
          <w:szCs w:val="32"/>
          <w:lang w:eastAsia="zh-CN"/>
        </w:rPr>
        <w:t>，</w:t>
      </w:r>
      <w:r>
        <w:rPr>
          <w:rFonts w:hint="eastAsia" w:eastAsia="仿宋_GB2312" w:cs="仿宋_GB2312"/>
          <w:sz w:val="32"/>
          <w:szCs w:val="32"/>
          <w:lang w:val="en-US" w:eastAsia="zh-CN"/>
        </w:rPr>
        <w:t>尚未开展</w:t>
      </w:r>
      <w:r>
        <w:rPr>
          <w:rFonts w:hint="eastAsia" w:eastAsia="仿宋_GB2312" w:cs="仿宋_GB2312"/>
          <w:sz w:val="32"/>
          <w:szCs w:val="32"/>
          <w:lang w:eastAsia="zh-CN"/>
        </w:rPr>
        <w:t>生态系统生产总值（GEP）核算</w:t>
      </w:r>
      <w:r>
        <w:rPr>
          <w:rFonts w:hint="eastAsia" w:eastAsia="仿宋_GB2312" w:cs="仿宋_GB2312"/>
          <w:sz w:val="32"/>
          <w:szCs w:val="32"/>
          <w:lang w:val="en-US" w:eastAsia="zh-CN"/>
        </w:rPr>
        <w:t>等资源清查核算机制。</w:t>
      </w:r>
      <w:r>
        <w:rPr>
          <w:rFonts w:hint="eastAsia" w:eastAsia="仿宋_GB2312" w:cs="仿宋_GB2312"/>
          <w:sz w:val="32"/>
          <w:szCs w:val="32"/>
        </w:rPr>
        <w:t>“两山”实践创新基地建设涉及生态环境、农业农村、文旅、工信等多个行业和部门，多部门之间协调难的问题依然存在。资源环境有偿使用、生态环境损害赔偿等相关制度尚需进一步健全，环境与发展综合决策机制、环境管理体制、环境科技创新机制、公众参与机制、多元化投入机制需要进一步完善。市场化生态保护机制尚</w:t>
      </w:r>
      <w:r>
        <w:rPr>
          <w:rFonts w:hint="eastAsia" w:eastAsia="仿宋_GB2312" w:cs="仿宋_GB2312"/>
          <w:sz w:val="32"/>
          <w:szCs w:val="32"/>
          <w:lang w:val="en-US" w:eastAsia="zh-CN"/>
        </w:rPr>
        <w:t>需健全</w:t>
      </w:r>
      <w:r>
        <w:rPr>
          <w:rFonts w:hint="eastAsia" w:eastAsia="仿宋_GB2312" w:cs="仿宋_GB2312"/>
          <w:sz w:val="32"/>
          <w:szCs w:val="32"/>
        </w:rPr>
        <w:t>，未能充分发挥环境经济制度在生态环境资源配置中的决定性作用。</w:t>
      </w:r>
    </w:p>
    <w:p>
      <w:pPr>
        <w:pStyle w:val="25"/>
        <w:numPr>
          <w:ilvl w:val="0"/>
          <w:numId w:val="6"/>
        </w:numPr>
        <w:adjustRightInd w:val="0"/>
        <w:snapToGrid w:val="0"/>
        <w:spacing w:line="360" w:lineRule="auto"/>
        <w:ind w:firstLineChars="0"/>
        <w:outlineLvl w:val="2"/>
        <w:rPr>
          <w:rFonts w:hint="eastAsia" w:ascii="Times New Roman" w:hAnsi="Times New Roman" w:eastAsia="仿宋_GB2312" w:cs="Times New Roman"/>
          <w:b/>
          <w:sz w:val="32"/>
          <w:szCs w:val="32"/>
          <w:highlight w:val="none"/>
        </w:rPr>
      </w:pPr>
      <w:bookmarkStart w:id="44" w:name="_Toc13130"/>
      <w:r>
        <w:rPr>
          <w:rFonts w:hint="eastAsia" w:ascii="Times New Roman" w:hAnsi="Times New Roman" w:eastAsia="仿宋_GB2312" w:cs="Times New Roman"/>
          <w:b/>
          <w:sz w:val="32"/>
          <w:szCs w:val="32"/>
          <w:highlight w:val="none"/>
        </w:rPr>
        <w:t>“两山”文化和绿色生活理念仍需加强</w:t>
      </w:r>
      <w:bookmarkEnd w:id="44"/>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_GB2312" w:hAnsi="仿宋_GB2312" w:eastAsia="仿宋_GB2312" w:cs="仿宋_GB2312"/>
          <w:sz w:val="32"/>
          <w:szCs w:val="32"/>
        </w:rPr>
      </w:pPr>
      <w:r>
        <w:rPr>
          <w:rFonts w:hint="eastAsia" w:eastAsia="仿宋_GB2312" w:cs="仿宋_GB2312"/>
          <w:sz w:val="32"/>
          <w:szCs w:val="32"/>
        </w:rPr>
        <w:t>沂源县在将自然风景与文化有效结合发展成优质文旅产业的过程中还存在一定的提升空间</w:t>
      </w:r>
      <w:r>
        <w:rPr>
          <w:rFonts w:hint="eastAsia" w:eastAsia="仿宋_GB2312" w:cs="仿宋_GB2312"/>
          <w:sz w:val="32"/>
          <w:szCs w:val="32"/>
          <w:lang w:eastAsia="zh-CN"/>
        </w:rPr>
        <w:t>，</w:t>
      </w:r>
      <w:r>
        <w:rPr>
          <w:rFonts w:hint="eastAsia" w:eastAsia="仿宋_GB2312" w:cs="仿宋_GB2312"/>
          <w:sz w:val="32"/>
          <w:szCs w:val="32"/>
        </w:rPr>
        <w:t>仍需在结合山水文化精神，盘清资源家底、精准把握特色、发掘独特优势，开展生态保护、山水文化等培训方面继续发力，将山水文化资源优势转化为产业、产品优势，探索沂源县独特的“两山”文化品牌。</w:t>
      </w:r>
      <w:r>
        <w:rPr>
          <w:rFonts w:hint="eastAsia" w:eastAsia="仿宋_GB2312" w:cs="仿宋_GB2312"/>
          <w:sz w:val="32"/>
          <w:szCs w:val="32"/>
          <w:lang w:val="en-US" w:eastAsia="zh-CN"/>
        </w:rPr>
        <w:t>生态旅游应</w:t>
      </w:r>
      <w:r>
        <w:rPr>
          <w:rFonts w:hint="eastAsia" w:eastAsia="仿宋_GB2312" w:cs="仿宋_GB2312"/>
          <w:sz w:val="32"/>
          <w:szCs w:val="32"/>
        </w:rPr>
        <w:t>不断打破地方特色文化演出常态化模式、继续优化旅游品牌营销力度，力争保持核心资源的独特地位和优势资源的核心竞争力。生态文明理念还未成为广大干部群众的自觉意识和行动，部分群众还缺乏绿色生活消费观</w:t>
      </w:r>
      <w:r>
        <w:rPr>
          <w:rFonts w:hint="eastAsia" w:eastAsia="仿宋_GB2312" w:cs="仿宋_GB2312"/>
          <w:sz w:val="32"/>
          <w:szCs w:val="32"/>
          <w:lang w:eastAsia="zh-CN"/>
        </w:rPr>
        <w:t>，</w:t>
      </w:r>
      <w:r>
        <w:rPr>
          <w:rFonts w:hint="eastAsia" w:eastAsia="仿宋_GB2312" w:cs="仿宋_GB2312"/>
          <w:sz w:val="32"/>
          <w:szCs w:val="32"/>
        </w:rPr>
        <w:t>全社会生态文明主流价值观尚未形成，亟需积极培育生态文明、生态道德，全面强化生态宣教体系，推进低碳生活方式，倡导绿色消费模式。</w:t>
      </w:r>
    </w:p>
    <w:p>
      <w:pPr>
        <w:pageBreakBefore w:val="0"/>
        <w:widowControl w:val="0"/>
        <w:numPr>
          <w:ilvl w:val="0"/>
          <w:numId w:val="5"/>
        </w:numPr>
        <w:kinsoku/>
        <w:wordWrap/>
        <w:overflowPunct/>
        <w:topLinePunct w:val="0"/>
        <w:autoSpaceDE/>
        <w:autoSpaceDN/>
        <w:bidi w:val="0"/>
        <w:adjustRightInd w:val="0"/>
        <w:snapToGrid w:val="0"/>
        <w:spacing w:line="360" w:lineRule="auto"/>
        <w:textAlignment w:val="auto"/>
        <w:outlineLvl w:val="1"/>
        <w:rPr>
          <w:rFonts w:eastAsia="楷体_GB2312"/>
          <w:b/>
          <w:bCs/>
          <w:sz w:val="32"/>
          <w:szCs w:val="32"/>
        </w:rPr>
      </w:pPr>
      <w:bookmarkStart w:id="45" w:name="_Toc18772"/>
      <w:r>
        <w:rPr>
          <w:rFonts w:hint="eastAsia" w:eastAsia="楷体_GB2312"/>
          <w:b/>
          <w:bCs/>
          <w:sz w:val="32"/>
          <w:szCs w:val="32"/>
        </w:rPr>
        <w:t>“</w:t>
      </w:r>
      <w:r>
        <w:rPr>
          <w:rFonts w:eastAsia="楷体_GB2312"/>
          <w:b/>
          <w:bCs/>
          <w:sz w:val="32"/>
          <w:szCs w:val="32"/>
        </w:rPr>
        <w:t>两山</w:t>
      </w:r>
      <w:r>
        <w:rPr>
          <w:rFonts w:hint="eastAsia" w:eastAsia="楷体_GB2312"/>
          <w:b/>
          <w:bCs/>
          <w:sz w:val="32"/>
          <w:szCs w:val="32"/>
        </w:rPr>
        <w:t>”</w:t>
      </w:r>
      <w:r>
        <w:rPr>
          <w:rFonts w:eastAsia="楷体_GB2312"/>
          <w:b/>
          <w:bCs/>
          <w:sz w:val="32"/>
          <w:szCs w:val="32"/>
        </w:rPr>
        <w:t>转化典型案例</w:t>
      </w:r>
      <w:bookmarkEnd w:id="45"/>
    </w:p>
    <w:p>
      <w:pPr>
        <w:pStyle w:val="25"/>
        <w:pageBreakBefore w:val="0"/>
        <w:widowControl w:val="0"/>
        <w:numPr>
          <w:ilvl w:val="0"/>
          <w:numId w:val="7"/>
        </w:numPr>
        <w:kinsoku/>
        <w:wordWrap/>
        <w:overflowPunct/>
        <w:topLinePunct w:val="0"/>
        <w:autoSpaceDE/>
        <w:autoSpaceDN/>
        <w:bidi w:val="0"/>
        <w:adjustRightInd w:val="0"/>
        <w:snapToGrid w:val="0"/>
        <w:spacing w:line="360" w:lineRule="auto"/>
        <w:ind w:firstLineChars="0"/>
        <w:textAlignment w:val="auto"/>
        <w:outlineLvl w:val="2"/>
        <w:rPr>
          <w:rFonts w:hint="eastAsia" w:ascii="Times New Roman" w:hAnsi="Times New Roman" w:eastAsia="仿宋_GB2312" w:cs="Times New Roman"/>
          <w:b/>
          <w:sz w:val="32"/>
          <w:szCs w:val="32"/>
          <w:highlight w:val="none"/>
        </w:rPr>
      </w:pPr>
      <w:bookmarkStart w:id="46" w:name="_Toc27553"/>
      <w:r>
        <w:rPr>
          <w:rFonts w:hint="eastAsia" w:eastAsia="仿宋_GB2312" w:cs="Times New Roman"/>
          <w:b/>
          <w:sz w:val="32"/>
          <w:szCs w:val="32"/>
          <w:highlight w:val="none"/>
          <w:lang w:val="en-US" w:eastAsia="zh-CN"/>
        </w:rPr>
        <w:t>生态农业模式：以</w:t>
      </w:r>
      <w:r>
        <w:rPr>
          <w:rFonts w:hint="eastAsia" w:ascii="Times New Roman" w:hAnsi="Times New Roman" w:eastAsia="仿宋_GB2312" w:cs="Times New Roman"/>
          <w:b/>
          <w:sz w:val="32"/>
          <w:szCs w:val="32"/>
          <w:highlight w:val="none"/>
        </w:rPr>
        <w:t>“锶”润最美“沂源红”</w:t>
      </w:r>
      <w:r>
        <w:rPr>
          <w:rFonts w:hint="eastAsia" w:eastAsia="仿宋_GB2312" w:cs="Times New Roman"/>
          <w:b/>
          <w:sz w:val="32"/>
          <w:szCs w:val="32"/>
          <w:highlight w:val="none"/>
          <w:lang w:val="en-US" w:eastAsia="zh-CN"/>
        </w:rPr>
        <w:t>为代表的品牌果业</w:t>
      </w:r>
      <w:r>
        <w:rPr>
          <w:rFonts w:hint="eastAsia" w:ascii="Times New Roman" w:hAnsi="Times New Roman" w:eastAsia="仿宋_GB2312" w:cs="Times New Roman"/>
          <w:b/>
          <w:sz w:val="32"/>
          <w:szCs w:val="32"/>
          <w:highlight w:val="none"/>
        </w:rPr>
        <w:t>让生态“吐”金</w:t>
      </w:r>
      <w:bookmarkEnd w:id="46"/>
    </w:p>
    <w:p>
      <w:pPr>
        <w:keepNext/>
        <w:keepLines/>
        <w:pageBreakBefore w:val="0"/>
        <w:widowControl w:val="0"/>
        <w:numPr>
          <w:ilvl w:val="0"/>
          <w:numId w:val="8"/>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eastAsia="仿宋_GB2312" w:cs="Times New Roman"/>
          <w:b/>
          <w:bCs/>
          <w:sz w:val="32"/>
          <w:szCs w:val="32"/>
          <w:lang w:val="en-US" w:eastAsia="zh-CN"/>
        </w:rPr>
        <w:t>案例背景</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仿宋_GB2312" w:cs="仿宋_GB2312"/>
          <w:sz w:val="32"/>
          <w:szCs w:val="32"/>
        </w:rPr>
      </w:pPr>
      <w:r>
        <w:rPr>
          <w:rFonts w:hint="eastAsia" w:eastAsia="仿宋_GB2312" w:cs="仿宋_GB2312"/>
          <w:sz w:val="32"/>
          <w:szCs w:val="32"/>
        </w:rPr>
        <w:t>沂源是典型的山区农业、林果大县。全县利用山好水好土好等优势资源，积极打造“高山林海、生态沂源”“深呼吸”“生态县”等品牌；以“沂源红”地域品牌为引领，推进“沂源红”苹果、奥运果、全运果、世博果等有机水果品牌，打造燕崖大樱桃、鲁村香菇等“三品一标”农产品达到100多个，生态农业产品远销国内外</w:t>
      </w:r>
      <w:r>
        <w:rPr>
          <w:rFonts w:hint="eastAsia" w:eastAsia="仿宋_GB2312" w:cs="仿宋_GB2312"/>
          <w:sz w:val="32"/>
          <w:szCs w:val="32"/>
          <w:lang w:eastAsia="zh-CN"/>
        </w:rPr>
        <w:t>。</w:t>
      </w:r>
      <w:r>
        <w:rPr>
          <w:rFonts w:hint="eastAsia" w:eastAsia="仿宋_GB2312" w:cs="仿宋_GB2312"/>
          <w:sz w:val="32"/>
          <w:szCs w:val="32"/>
        </w:rPr>
        <w:t>因地处世界公认的苹果生产最佳纬度带上，沂源被认定为我国北方地区适宜果品生产的最佳区域，先后荣获全国现代苹果产业十强县、中国特色农产品（苹果）优势区。自主培育的“沂源红”苹果是“中华名果”、奥运果、全运果、世博果，先后10次获中国国际农产品交易会、中国绿色食品博览会金奖，区域品牌价值149.3亿元。全县现有果品面积75万亩，年产各类果品125万吨，其中苹果面积32万亩，年产70万吨，果品收入占农民人均可支配收入的70%以上。</w:t>
      </w:r>
    </w:p>
    <w:p>
      <w:pPr>
        <w:keepNext/>
        <w:keepLines/>
        <w:pageBreakBefore w:val="0"/>
        <w:widowControl w:val="0"/>
        <w:numPr>
          <w:ilvl w:val="0"/>
          <w:numId w:val="8"/>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主要做法</w:t>
      </w:r>
    </w:p>
    <w:p>
      <w:pPr>
        <w:pStyle w:val="2"/>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率先在全省实施果业振兴计划，推动实现“品牌化”。</w:t>
      </w:r>
      <w:r>
        <w:rPr>
          <w:rFonts w:hint="eastAsia" w:ascii="Times New Roman" w:hAnsi="Times New Roman" w:eastAsia="仿宋_GB2312" w:cs="仿宋_GB2312"/>
          <w:kern w:val="2"/>
          <w:sz w:val="32"/>
          <w:szCs w:val="32"/>
          <w:lang w:val="en-US" w:eastAsia="zh-CN" w:bidi="ar-SA"/>
        </w:rPr>
        <w:t>近年来，沂源县创新提出“四梁八柱”“五双行动”，为乡村振兴夯基垒台、立柱架梁。率先在全省实施果业振兴计划，以“项目化、品牌化、标准化、园区化、集成化”等为主攻方向，聚焦全域、产业、持续、特色、平台五个着力点，组建国有农发集团，构建“1+1+3+12+N”果业振兴整体推进机制，深化“四位一体”运作模式，大力推行“农发公司+支部+合作社+园区+数字农业”等12种服务模式和“十统一”标准化管理模式，蹚出果业振兴新路径，着力打造沂源果品百亿级产业集群。“沂源红”苹果先后获得奥运果、全运果、世博果、中国农产品区域公用品牌百强、山东省知名农产品区域公用品牌等省部级荣誉40多项，9次获中国国际农产品交易会金奖，有“江北第一果”的美誉，中国工程院院士、果树学权威专家怀瑞教授评价“沂源红是个好品种”。如今，“沂源红”苹果远销俄罗斯、泰国、马来西亚等20多个国家。同时，在北京、上海、广东等地设有档口或直销点560余处，年实现订单销售56万吨。</w:t>
      </w:r>
    </w:p>
    <w:p>
      <w:pPr>
        <w:pStyle w:val="2"/>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86325" cy="3257550"/>
            <wp:effectExtent l="0" t="0" r="3175" b="635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2"/>
                    <a:stretch>
                      <a:fillRect/>
                    </a:stretch>
                  </pic:blipFill>
                  <pic:spPr>
                    <a:xfrm>
                      <a:off x="0" y="0"/>
                      <a:ext cx="4886325" cy="3257550"/>
                    </a:xfrm>
                    <a:prstGeom prst="rect">
                      <a:avLst/>
                    </a:prstGeom>
                    <a:noFill/>
                    <a:ln w="9525">
                      <a:noFill/>
                    </a:ln>
                  </pic:spPr>
                </pic:pic>
              </a:graphicData>
            </a:graphic>
          </wp:inline>
        </w:drawing>
      </w:r>
    </w:p>
    <w:p>
      <w:pPr>
        <w:pStyle w:val="2"/>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rPr>
          <w:rFonts w:hint="eastAsia" w:ascii="宋体" w:hAnsi="宋体" w:eastAsia="宋体" w:cs="宋体"/>
          <w:sz w:val="24"/>
          <w:szCs w:val="24"/>
          <w:lang w:val="en-US" w:eastAsia="zh-CN"/>
        </w:rPr>
      </w:pPr>
      <w:r>
        <w:rPr>
          <w:rFonts w:ascii="黑体" w:hAnsi="黑体" w:eastAsia="黑体"/>
          <w:sz w:val="28"/>
          <w:szCs w:val="28"/>
        </w:rPr>
        <w:t>图</w:t>
      </w:r>
      <w:r>
        <w:rPr>
          <w:rFonts w:hint="eastAsia" w:ascii="黑体" w:hAnsi="黑体" w:eastAsia="黑体"/>
          <w:sz w:val="28"/>
          <w:szCs w:val="28"/>
          <w:lang w:val="en-US" w:eastAsia="zh-CN"/>
        </w:rPr>
        <w:t>3-1</w:t>
      </w:r>
      <w:r>
        <w:rPr>
          <w:rFonts w:ascii="黑体" w:hAnsi="黑体" w:eastAsia="黑体"/>
          <w:sz w:val="28"/>
          <w:szCs w:val="28"/>
        </w:rPr>
        <w:t xml:space="preserve"> </w:t>
      </w:r>
      <w:r>
        <w:rPr>
          <w:rFonts w:hint="eastAsia" w:ascii="黑体" w:hAnsi="黑体" w:eastAsia="黑体"/>
          <w:sz w:val="28"/>
          <w:szCs w:val="28"/>
        </w:rPr>
        <w:t>束怀瑞院士考察“沂源红”选育情况</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积极推进果业“转型革命”，推动实现“产业</w:t>
      </w:r>
      <w:r>
        <w:rPr>
          <w:rFonts w:hint="eastAsia" w:eastAsia="仿宋_GB2312" w:cs="仿宋_GB2312"/>
          <w:b/>
          <w:bCs/>
          <w:kern w:val="2"/>
          <w:sz w:val="32"/>
          <w:szCs w:val="32"/>
          <w:lang w:val="en-US" w:eastAsia="zh-CN" w:bidi="ar-SA"/>
        </w:rPr>
        <w:t>生态化</w:t>
      </w:r>
      <w:r>
        <w:rPr>
          <w:rFonts w:hint="eastAsia" w:ascii="Times New Roman" w:hAnsi="Times New Roman" w:eastAsia="仿宋_GB2312" w:cs="仿宋_GB2312"/>
          <w:b/>
          <w:bCs/>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依托优良的生态优势，积极实施种植管理模式改革，推进全县林果业转型升级，构建起了“生态推动产业，产业反哺生态”的生态果业闭环循环圈，走出了一条山区农业县高质量发展的新路径，为打造乡村振兴的“齐鲁样板”作出生动诠释。政府引导全县推广物联网、智能水肥一体化和滴灌等管理模式，实现精准施肥、精准浇水、无人机飞防等先进技术，新的管理方式比传统种植模式节省肥料、农药、劳力分别达到60%、80%、90%以上，解决传统模式的面源污染问题</w:t>
      </w:r>
      <w:r>
        <w:rPr>
          <w:rFonts w:hint="eastAsia" w:eastAsia="仿宋_GB2312" w:cs="仿宋_GB2312"/>
          <w:kern w:val="2"/>
          <w:sz w:val="32"/>
          <w:szCs w:val="32"/>
          <w:lang w:val="en-US" w:eastAsia="zh-CN" w:bidi="ar-SA"/>
        </w:rPr>
        <w:t>。</w:t>
      </w:r>
      <w:r>
        <w:rPr>
          <w:rFonts w:hint="default" w:ascii="Times New Roman" w:hAnsi="Times New Roman" w:eastAsia="仿宋_GB2312" w:cs="Times New Roman"/>
          <w:b w:val="0"/>
          <w:bCs w:val="0"/>
          <w:sz w:val="32"/>
          <w:szCs w:val="32"/>
        </w:rPr>
        <w:t>聚力延链、补链、壮链、优链，培育出飞龙、尊海、果山园等一批深加工企业，创成省级以上产业强镇4个，促进一二三产业深度融合。积极探索“龙头企业+党支部领办合作社+农户+金融”发展模式，建立产销一条龙相结合的产业体系，以本地生态果品为原材料，利用最先进的冻干技术，做好水果的深加工，不断提高</w:t>
      </w:r>
      <w:r>
        <w:rPr>
          <w:rFonts w:hint="eastAsia" w:ascii="Times New Roman" w:hAnsi="Times New Roman" w:eastAsia="仿宋_GB2312" w:cs="Times New Roman"/>
          <w:b w:val="0"/>
          <w:bCs w:val="0"/>
          <w:sz w:val="32"/>
          <w:szCs w:val="32"/>
          <w:lang w:val="en-US" w:eastAsia="zh-CN"/>
        </w:rPr>
        <w:t>果</w:t>
      </w:r>
      <w:r>
        <w:rPr>
          <w:rFonts w:hint="default" w:ascii="Times New Roman" w:hAnsi="Times New Roman" w:eastAsia="仿宋_GB2312" w:cs="Times New Roman"/>
          <w:b w:val="0"/>
          <w:bCs w:val="0"/>
          <w:sz w:val="32"/>
          <w:szCs w:val="32"/>
        </w:rPr>
        <w:t>品附加值</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带动了电子商务、物流运输业等第三产业的蓬勃发展。</w:t>
      </w:r>
    </w:p>
    <w:p>
      <w:pPr>
        <w:pStyle w:val="2"/>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b/>
          <w:bCs/>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探索果业生产智能管理新路径，推动实现“数字化”。</w:t>
      </w:r>
      <w:r>
        <w:rPr>
          <w:rFonts w:hint="default" w:ascii="Times New Roman" w:hAnsi="Times New Roman" w:eastAsia="仿宋_GB2312" w:cs="Times New Roman"/>
          <w:sz w:val="32"/>
          <w:szCs w:val="32"/>
        </w:rPr>
        <w:t>率先在全市数字赋能“突围战”中抢占先机，推进数字赋能与农业全产业链深度融合，打造数字农业农村示范应用场景25处，省级现代农业产业园1处、省级农业产业化联合体2家，促进全环节提升、全链条增值、全产业融合。高标准编制数字农业农村发展专项规划，建设“智慧三农”平台，引进了阿里巴巴（沂源）“产地仓”项目，具有日加工330吨、年加工10万吨数字化分拣配送能力，36家合作社入驻阿里蜂耘农商平台，建成阿里巴巴授牌数字果园、直采基地，推动农产品全面链接盒马鲜生平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产地仓”采购价格比原来高出10%以上。利用互联网及时向果农发布销售价格走向、生产及产量预测等信息，利用中国国际农产品交易会、国际果蔬博览会等知名展览平台，大力开展推介活动，进一步提高了沂源果品品牌知名度。</w:t>
      </w:r>
    </w:p>
    <w:p>
      <w:pPr>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kern w:val="2"/>
          <w:sz w:val="32"/>
          <w:szCs w:val="32"/>
          <w:lang w:val="en-US" w:eastAsia="zh-CN" w:bidi="ar-SA"/>
        </w:rPr>
      </w:pPr>
      <w:r>
        <w:rPr>
          <w:rFonts w:hint="eastAsia" w:eastAsia="仿宋_GB2312" w:cs="Times New Roman"/>
          <w:b/>
          <w:bCs/>
          <w:sz w:val="32"/>
          <w:szCs w:val="32"/>
          <w:lang w:val="en-US" w:eastAsia="zh-CN"/>
        </w:rPr>
        <w:t>积极</w:t>
      </w:r>
      <w:r>
        <w:rPr>
          <w:rFonts w:hint="default" w:ascii="Times New Roman" w:hAnsi="Times New Roman" w:eastAsia="仿宋_GB2312" w:cs="Times New Roman"/>
          <w:b/>
          <w:bCs/>
          <w:sz w:val="32"/>
          <w:szCs w:val="32"/>
        </w:rPr>
        <w:t>用活富锶资源</w:t>
      </w:r>
      <w:r>
        <w:rPr>
          <w:rFonts w:hint="eastAsia" w:eastAsia="仿宋_GB2312" w:cs="Times New Roman"/>
          <w:b/>
          <w:bCs/>
          <w:sz w:val="32"/>
          <w:szCs w:val="32"/>
          <w:lang w:eastAsia="zh-CN"/>
        </w:rPr>
        <w:t>，</w:t>
      </w:r>
      <w:r>
        <w:rPr>
          <w:rFonts w:hint="default" w:ascii="Times New Roman" w:hAnsi="Times New Roman" w:eastAsia="仿宋_GB2312" w:cs="Times New Roman"/>
          <w:b/>
          <w:bCs/>
          <w:sz w:val="32"/>
          <w:szCs w:val="32"/>
        </w:rPr>
        <w:t>聚力打造“中国锶都”</w:t>
      </w:r>
      <w:r>
        <w:rPr>
          <w:rFonts w:hint="eastAsia" w:eastAsia="仿宋_GB2312" w:cs="Times New Roman"/>
          <w:b/>
          <w:bCs/>
          <w:sz w:val="32"/>
          <w:szCs w:val="32"/>
          <w:lang w:val="en-US" w:eastAsia="zh-CN"/>
        </w:rPr>
        <w:t>金招牌</w:t>
      </w:r>
      <w:r>
        <w:rPr>
          <w:rFonts w:hint="eastAsia" w:eastAsia="仿宋_GB2312" w:cs="Times New Roman"/>
          <w:b/>
          <w:bCs/>
          <w:sz w:val="32"/>
          <w:szCs w:val="32"/>
          <w:lang w:eastAsia="zh-CN"/>
        </w:rPr>
        <w:t>。</w:t>
      </w:r>
      <w:r>
        <w:rPr>
          <w:rFonts w:hint="default" w:ascii="Times New Roman" w:hAnsi="Times New Roman" w:eastAsia="仿宋_GB2312" w:cs="Times New Roman"/>
          <w:sz w:val="32"/>
          <w:szCs w:val="32"/>
        </w:rPr>
        <w:t>经监测，沂源县90%土壤锶含量超过目前国内现有土壤锶含量标准，且全域地区重金属含量均不超标，是难得的富锶安全区</w:t>
      </w:r>
      <w:r>
        <w:rPr>
          <w:rFonts w:hint="eastAsia" w:ascii="Times New Roman" w:hAnsi="Times New Roman" w:eastAsia="仿宋_GB2312" w:cs="Times New Roman"/>
          <w:sz w:val="32"/>
          <w:szCs w:val="32"/>
        </w:rPr>
        <w:t>，进化诞生了</w:t>
      </w:r>
      <w:r>
        <w:rPr>
          <w:rFonts w:hint="eastAsia" w:eastAsia="仿宋_GB2312" w:cs="Times New Roman"/>
          <w:sz w:val="32"/>
          <w:szCs w:val="32"/>
          <w:lang w:val="en-US" w:eastAsia="zh-CN"/>
        </w:rPr>
        <w:t>以</w:t>
      </w:r>
      <w:r>
        <w:rPr>
          <w:rFonts w:hint="eastAsia" w:eastAsia="仿宋_GB2312" w:cs="Times New Roman"/>
          <w:sz w:val="32"/>
          <w:szCs w:val="32"/>
          <w:lang w:eastAsia="zh-CN"/>
        </w:rPr>
        <w:t>“</w:t>
      </w:r>
      <w:r>
        <w:rPr>
          <w:rFonts w:hint="eastAsia" w:eastAsia="仿宋_GB2312" w:cs="Times New Roman"/>
          <w:sz w:val="32"/>
          <w:szCs w:val="32"/>
          <w:lang w:val="en-US" w:eastAsia="zh-CN"/>
        </w:rPr>
        <w:t>高</w:t>
      </w:r>
      <w:r>
        <w:rPr>
          <w:rFonts w:hint="eastAsia" w:ascii="Times New Roman" w:hAnsi="Times New Roman" w:eastAsia="仿宋_GB2312" w:cs="Times New Roman"/>
          <w:sz w:val="32"/>
          <w:szCs w:val="32"/>
        </w:rPr>
        <w:t>锶沂源红</w:t>
      </w:r>
      <w:r>
        <w:rPr>
          <w:rFonts w:hint="eastAsia" w:eastAsia="仿宋_GB2312" w:cs="Times New Roman"/>
          <w:sz w:val="32"/>
          <w:szCs w:val="32"/>
          <w:lang w:eastAsia="zh-CN"/>
        </w:rPr>
        <w:t>”</w:t>
      </w:r>
      <w:r>
        <w:rPr>
          <w:rFonts w:hint="eastAsia" w:ascii="Times New Roman" w:hAnsi="Times New Roman" w:eastAsia="仿宋_GB2312" w:cs="Times New Roman"/>
          <w:sz w:val="32"/>
          <w:szCs w:val="32"/>
        </w:rPr>
        <w:t>苹果</w:t>
      </w:r>
      <w:r>
        <w:rPr>
          <w:rFonts w:hint="eastAsia" w:eastAsia="仿宋_GB2312" w:cs="Times New Roman"/>
          <w:sz w:val="32"/>
          <w:szCs w:val="32"/>
          <w:lang w:val="en-US" w:eastAsia="zh-CN"/>
        </w:rPr>
        <w:t>为核心的品种</w:t>
      </w:r>
      <w:r>
        <w:rPr>
          <w:rFonts w:hint="eastAsia" w:ascii="Times New Roman" w:hAnsi="Times New Roman" w:eastAsia="仿宋_GB2312" w:cs="Times New Roman"/>
          <w:sz w:val="32"/>
          <w:szCs w:val="32"/>
        </w:rPr>
        <w:t>，填补了中国国内短枝条红型苹果的空白</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沂源加快认知迭代、行动突围，立足富锶资源优势，积极与中国农业科学院合作共建中农数院富锶产业研究院，构筑起国家级富锶产业科创平台和产品研发高地，聚力打造“中国锶都”、大食物观先行地，全力提升沂源农产品品牌价值和影响力。</w:t>
      </w:r>
      <w:r>
        <w:rPr>
          <w:rFonts w:hint="eastAsia" w:ascii="Times New Roman" w:hAnsi="Times New Roman" w:eastAsia="仿宋_GB2312" w:cs="仿宋_GB2312"/>
          <w:kern w:val="2"/>
          <w:sz w:val="32"/>
          <w:szCs w:val="32"/>
          <w:lang w:val="en-US" w:eastAsia="zh-CN" w:bidi="ar-SA"/>
        </w:rPr>
        <w:t>制定了《沂源富锶果业高质量发展实施方案（2023-2025）》，着力围绕果园布局优化、品种结构优化、土壤生态改良、富锶标准制定、数字果园建设、果品增值处理、富锶龙头企业培育和公共品牌打造等方面全面推进实施院地共建，围绕品种选育、膜下滴灌、定量施肥等技术，确保富锶产品品质和锶含量稳定，</w:t>
      </w:r>
      <w:r>
        <w:rPr>
          <w:rFonts w:hint="eastAsia" w:eastAsia="仿宋_GB2312" w:cs="仿宋_GB2312"/>
          <w:kern w:val="2"/>
          <w:sz w:val="32"/>
          <w:szCs w:val="32"/>
          <w:lang w:val="en-US" w:eastAsia="zh-CN" w:bidi="ar-SA"/>
        </w:rPr>
        <w:t>推动</w:t>
      </w:r>
      <w:r>
        <w:rPr>
          <w:rFonts w:hint="eastAsia" w:ascii="Times New Roman" w:hAnsi="Times New Roman" w:eastAsia="仿宋_GB2312" w:cs="仿宋_GB2312"/>
          <w:kern w:val="2"/>
          <w:sz w:val="32"/>
          <w:szCs w:val="32"/>
          <w:lang w:val="en-US" w:eastAsia="zh-CN" w:bidi="ar-SA"/>
        </w:rPr>
        <w:t>沂源“土特产”富锶品质在全国“一枝独秀”。</w:t>
      </w:r>
    </w:p>
    <w:p>
      <w:pPr>
        <w:keepNext/>
        <w:keepLines/>
        <w:pageBreakBefore w:val="0"/>
        <w:widowControl w:val="0"/>
        <w:numPr>
          <w:ilvl w:val="0"/>
          <w:numId w:val="8"/>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eastAsia="仿宋_GB2312" w:cs="Times New Roman"/>
          <w:b/>
          <w:bCs/>
          <w:sz w:val="32"/>
          <w:szCs w:val="32"/>
          <w:lang w:val="en-US" w:eastAsia="zh-CN"/>
        </w:rPr>
        <w:t>取得</w:t>
      </w:r>
      <w:r>
        <w:rPr>
          <w:rFonts w:hint="eastAsia" w:ascii="Times New Roman" w:hAnsi="Times New Roman" w:eastAsia="仿宋_GB2312" w:cs="Times New Roman"/>
          <w:b/>
          <w:bCs/>
          <w:sz w:val="32"/>
          <w:szCs w:val="32"/>
          <w:lang w:val="en-US" w:eastAsia="zh-CN"/>
        </w:rPr>
        <w:t>成效</w:t>
      </w:r>
    </w:p>
    <w:p>
      <w:pPr>
        <w:pStyle w:val="2"/>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val="0"/>
          <w:bCs w:val="0"/>
          <w:kern w:val="2"/>
          <w:sz w:val="32"/>
          <w:szCs w:val="32"/>
          <w:lang w:val="en-US" w:eastAsia="zh-CN" w:bidi="ar-SA"/>
        </w:rPr>
        <w:t>通过积极推进果业“转型革命”，</w:t>
      </w:r>
      <w:r>
        <w:rPr>
          <w:rFonts w:hint="eastAsia" w:ascii="Times New Roman" w:hAnsi="Times New Roman" w:eastAsia="仿宋_GB2312" w:cs="仿宋_GB2312"/>
          <w:kern w:val="2"/>
          <w:sz w:val="32"/>
          <w:szCs w:val="32"/>
          <w:lang w:val="en-US" w:eastAsia="zh-CN" w:bidi="ar-SA"/>
        </w:rPr>
        <w:t>构建“生态推动产业，产业反哺生态”的生态果业闭环循环圈，林果每年节水3000余万立方米、节约肥料3万余吨、减少杀菌剂等农药使用量8成以上，大大减少了水资源浪费和环境面源污染，极大地促进了生态环境的改善。生态环境的改善又把绿水青山蕴含的生态产品价值充分地转化为金山银山，在沂源形成了“生态产业化”和“产业生态化”的良性循环。张家坡镇阳三峪村利用自然生态和山坡果园，通过党支部领办合作社，建起了特色采摘园和生态文化旅游村，由此带来的电子商务、乡村旅游等新产业不断涌现，打通了绿水青山转化为金山银山的通道，2021年入股社员户平均增收9万余元，还带动其他村的500余户农民平均增收2万多元。南鲁山镇流水村</w:t>
      </w:r>
      <w:r>
        <w:rPr>
          <w:rFonts w:hint="default" w:ascii="Times New Roman" w:hAnsi="Times New Roman" w:eastAsia="仿宋_GB2312" w:cs="Times New Roman"/>
          <w:sz w:val="32"/>
          <w:szCs w:val="32"/>
        </w:rPr>
        <w:t>采取“党支部+合作社+基地+农户”的经营模式，创新实施“土地流转租赁费+社员年底分红+打工工资”的利益分配方式，村民变身股东和产业工人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建成1500亩“沂源红”富锶苹果种植基地、10000亩富锶大榛子种植基地和拥有21个草莓棚、33个育苗棚的富锶草莓种植园</w:t>
      </w:r>
      <w:r>
        <w:rPr>
          <w:rFonts w:hint="eastAsia" w:ascii="Times New Roman" w:hAnsi="Times New Roman" w:eastAsia="仿宋_GB2312" w:cs="Times New Roman"/>
          <w:sz w:val="32"/>
          <w:szCs w:val="32"/>
          <w:lang w:eastAsia="zh-CN"/>
        </w:rPr>
        <w:t>，合作社的苹果基地实现每年每亩平均收入超6000元，大榛子基地每年每亩收入超2000元，亩均收益是土地流转前的3倍以上，村集体年收入达80万元、村民人均可支配收入2.5万元。</w:t>
      </w:r>
    </w:p>
    <w:p>
      <w:pPr>
        <w:keepNext/>
        <w:keepLines/>
        <w:pageBreakBefore w:val="0"/>
        <w:widowControl w:val="0"/>
        <w:numPr>
          <w:ilvl w:val="0"/>
          <w:numId w:val="8"/>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经验启示</w:t>
      </w:r>
    </w:p>
    <w:p>
      <w:pPr>
        <w:adjustRightInd w:val="0"/>
        <w:snapToGrid w:val="0"/>
        <w:spacing w:line="360" w:lineRule="auto"/>
        <w:ind w:firstLine="640" w:firstLineChars="200"/>
        <w:rPr>
          <w:rFonts w:hint="eastAsia"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沂源率先在全省实施果业振兴计划，积极推进果业“转型革命”</w:t>
      </w:r>
      <w:r>
        <w:rPr>
          <w:rFonts w:hint="eastAsia" w:eastAsia="仿宋_GB2312" w:cs="Times New Roman"/>
          <w:kern w:val="2"/>
          <w:sz w:val="32"/>
          <w:szCs w:val="32"/>
          <w:lang w:val="en-US" w:eastAsia="zh-CN" w:bidi="ar-SA"/>
        </w:rPr>
        <w:t>和果业生产智能管理新路径，用活富锶资源，</w:t>
      </w:r>
      <w:r>
        <w:rPr>
          <w:rFonts w:hint="default" w:ascii="Times New Roman" w:hAnsi="Times New Roman" w:eastAsia="仿宋_GB2312" w:cs="Times New Roman"/>
          <w:kern w:val="2"/>
          <w:sz w:val="32"/>
          <w:szCs w:val="32"/>
          <w:lang w:val="en-US" w:eastAsia="zh-CN" w:bidi="ar-SA"/>
        </w:rPr>
        <w:t>树立和打造特色生态农产品品牌，提高品牌市场竞争力，推动农业振兴和造福百姓，实现生态与农业、农村、农民效益的统一</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不仅是践行“绿水青山就是金山银山”的生动案例，更是老区人民紧跟时代步伐谋求高质量发展的一种精神品质，是新时期沂蒙精神的写照</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适用于生态环境良好、以农业为主导功能的地区</w:t>
      </w:r>
      <w:r>
        <w:rPr>
          <w:rFonts w:hint="eastAsia" w:eastAsia="仿宋_GB2312" w:cs="Times New Roman"/>
          <w:kern w:val="2"/>
          <w:sz w:val="32"/>
          <w:szCs w:val="32"/>
          <w:lang w:val="en-US" w:eastAsia="zh-CN" w:bidi="ar-SA"/>
        </w:rPr>
        <w:t>经验借鉴</w:t>
      </w:r>
      <w:r>
        <w:rPr>
          <w:rFonts w:hint="default" w:ascii="Times New Roman" w:hAnsi="Times New Roman" w:eastAsia="仿宋_GB2312" w:cs="Times New Roman"/>
          <w:kern w:val="2"/>
          <w:sz w:val="32"/>
          <w:szCs w:val="32"/>
          <w:lang w:val="en-US" w:eastAsia="zh-CN" w:bidi="ar-SA"/>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noWrap w:val="0"/>
            <w:vAlign w:val="top"/>
          </w:tcPr>
          <w:p>
            <w:pPr>
              <w:keepNext w:val="0"/>
              <w:keepLines w:val="0"/>
              <w:suppressLineNumbers w:val="0"/>
              <w:spacing w:before="0" w:beforeAutospacing="0" w:after="0" w:afterAutospacing="0" w:line="360" w:lineRule="auto"/>
              <w:ind w:left="0" w:right="0" w:firstLine="480" w:firstLineChars="200"/>
              <w:jc w:val="center"/>
              <w:rPr>
                <w:rFonts w:hint="eastAsia" w:ascii="Times New Roman" w:hAnsi="Times New Roman" w:eastAsia="黑体" w:cs="Times New Roman"/>
                <w:b/>
                <w:color w:val="000000"/>
                <w:sz w:val="30"/>
                <w:szCs w:val="30"/>
                <w:lang w:val="en-US" w:eastAsia="zh-CN"/>
              </w:rPr>
            </w:pPr>
            <w:r>
              <w:rPr>
                <w:rFonts w:hint="eastAsia" w:ascii="Times New Roman" w:hAnsi="Times New Roman" w:eastAsia="黑体" w:cs="Times New Roman"/>
                <w:color w:val="000000"/>
                <w:sz w:val="24"/>
                <w:szCs w:val="30"/>
              </w:rPr>
              <w:t>专栏</w:t>
            </w:r>
            <w:r>
              <w:rPr>
                <w:rFonts w:hint="eastAsia" w:eastAsia="黑体" w:cs="Times New Roman"/>
                <w:color w:val="000000"/>
                <w:sz w:val="24"/>
                <w:szCs w:val="30"/>
                <w:lang w:val="en-US" w:eastAsia="zh-CN"/>
              </w:rPr>
              <w:t>1</w:t>
            </w:r>
            <w:r>
              <w:rPr>
                <w:rFonts w:hint="eastAsia" w:ascii="Times New Roman" w:hAnsi="Times New Roman" w:eastAsia="黑体" w:cs="Times New Roman"/>
                <w:color w:val="000000"/>
                <w:sz w:val="24"/>
                <w:szCs w:val="30"/>
                <w:lang w:val="en-US" w:eastAsia="zh-CN"/>
              </w:rPr>
              <w:t>：西里</w:t>
            </w:r>
            <w:r>
              <w:rPr>
                <w:rFonts w:hint="eastAsia" w:eastAsia="黑体" w:cs="Times New Roman"/>
                <w:color w:val="000000"/>
                <w:sz w:val="24"/>
                <w:szCs w:val="30"/>
                <w:lang w:val="en-US" w:eastAsia="zh-CN"/>
              </w:rPr>
              <w:t>镇</w:t>
            </w:r>
            <w:r>
              <w:rPr>
                <w:rFonts w:hint="eastAsia" w:ascii="Times New Roman" w:hAnsi="Times New Roman" w:eastAsia="黑体" w:cs="Times New Roman"/>
                <w:color w:val="000000"/>
                <w:sz w:val="24"/>
                <w:szCs w:val="30"/>
                <w:lang w:val="en-US" w:eastAsia="zh-CN"/>
              </w:rPr>
              <w:t>探索“山地果业”全链发展新模式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沂源县西里镇是“沂源红”苹果发源地，现有苹果种植面积2.6万亩，年产量11.5万吨。苹果作为该镇重要的支柱产业，历经30多年的发展，瓶颈制约逐步显现，矛盾问题日益突出，转型难度大，升级任务重，尤其在品种结构、管理模式、品牌打造等方面亟待突破提升。2022年以来，西里镇聚焦整建制“果业振兴”，主动作为，求思求变，以红源新村为中心，创新打造“沂源红”苹果产业会客厅，探索开展“供、产、销、游”链式闭环，为山地果业成功探索出全链发展新模式。</w:t>
            </w:r>
          </w:p>
          <w:p>
            <w:pPr>
              <w:keepNext w:val="0"/>
              <w:keepLines w:val="0"/>
              <w:suppressLineNumbers w:val="0"/>
              <w:spacing w:before="0" w:beforeAutospacing="0" w:after="0" w:afterAutospacing="0" w:line="360" w:lineRule="auto"/>
              <w:ind w:left="0" w:right="0" w:firstLine="420" w:firstLineChars="200"/>
              <w:rPr>
                <w:rFonts w:hint="eastAsia" w:cs="Times New Roman"/>
                <w:color w:val="000000"/>
                <w:szCs w:val="21"/>
                <w:lang w:val="en-US" w:eastAsia="zh-CN"/>
              </w:rPr>
            </w:pPr>
            <w:r>
              <w:rPr>
                <w:rFonts w:hint="eastAsia" w:cs="Times New Roman"/>
                <w:color w:val="000000"/>
                <w:szCs w:val="21"/>
                <w:lang w:val="en-US" w:eastAsia="zh-CN"/>
              </w:rPr>
              <w:t>一是搭建山地果业全链发展新平台，推动实现“品牌化”。围绕做大做强“沂源红”金字招牌，充分依托“沂源红”苹果发源地基础优势，按照“政府引导、企业主体、市场运作”的工作思路，由源泰农业公司与村集体采取“土地租赁+入股分红”方式，围绕“一地一园一站三体四中心”，投资6500万元建设3100平米“沂源红”苹果产业会客厅，打造全省最优苹果技术培训基地。其中“一地”是100亩“沂源红”苹果良种苗木繁育基地，“一园”是300亩山地现代栽培园，种植纯正“沂源红”“香妃”等高档果种，建设品种科技展示培育园。“一站”是专家工作站，按民俗最高标准建设配置，对接山农大陈学森教授团队入驻，策划国家苹果研究中心沂蒙分中心。“三体”是党建共同体、民生综合体、产业综合体。“四中”是数字农业指挥中心、新技术科普中心、果品营销中心、中化现代农业服务中心。</w:t>
            </w:r>
          </w:p>
          <w:p>
            <w:pPr>
              <w:keepNext w:val="0"/>
              <w:keepLines w:val="0"/>
              <w:suppressLineNumbers w:val="0"/>
              <w:spacing w:before="0" w:beforeAutospacing="0" w:after="0" w:afterAutospacing="0" w:line="360" w:lineRule="auto"/>
              <w:ind w:left="0" w:right="0" w:firstLine="420" w:firstLineChars="200"/>
              <w:rPr>
                <w:rFonts w:hint="eastAsia" w:cs="Times New Roman"/>
                <w:color w:val="000000"/>
                <w:szCs w:val="21"/>
                <w:lang w:val="en-US" w:eastAsia="zh-CN"/>
              </w:rPr>
            </w:pPr>
            <w:r>
              <w:rPr>
                <w:rFonts w:hint="eastAsia" w:cs="Times New Roman"/>
                <w:color w:val="000000"/>
                <w:szCs w:val="21"/>
                <w:lang w:val="en-US" w:eastAsia="zh-CN"/>
              </w:rPr>
              <w:t>二是构建园区发展提质增效新体系，推动实现“标准化”。从供给侧、生产端入手，结合沂源山区特点，瞄准先进生产标准，配套建设300亩山地现代苹果栽培园打造集“生产、生态、观光、休闲、服务”五位一体的样板示范基地。</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Microsoft YaHei UI" w:cs="Times New Roman"/>
                <w:b/>
                <w:color w:val="000000"/>
                <w:szCs w:val="21"/>
                <w:lang w:val="en-US" w:eastAsia="zh-CN"/>
              </w:rPr>
            </w:pPr>
            <w:r>
              <w:rPr>
                <w:rFonts w:hint="eastAsia" w:cs="Times New Roman"/>
                <w:color w:val="000000"/>
                <w:szCs w:val="21"/>
                <w:lang w:val="en-US" w:eastAsia="zh-CN"/>
              </w:rPr>
              <w:t>三是探索果业生产智能管理新路径，推动实现“数字化”。园区坚持向数字化发展要效益，综合运用物联网、区块链等先进信息技术，对园区生产各个环节实行智能化管理、精准化控制，致力打造数字果业示范应用场景。</w:t>
            </w:r>
          </w:p>
        </w:tc>
      </w:tr>
    </w:tbl>
    <w:p>
      <w:pPr>
        <w:pStyle w:val="2"/>
        <w:rPr>
          <w:rFonts w:hint="eastAsia"/>
        </w:rPr>
      </w:pPr>
    </w:p>
    <w:p>
      <w:pPr>
        <w:pStyle w:val="2"/>
        <w:rPr>
          <w:rFonts w:hint="eastAsia"/>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keepNext w:val="0"/>
              <w:keepLines w:val="0"/>
              <w:suppressLineNumbers w:val="0"/>
              <w:spacing w:before="0" w:beforeAutospacing="0" w:after="0" w:afterAutospacing="0" w:line="360" w:lineRule="auto"/>
              <w:ind w:left="0" w:right="0" w:firstLine="480" w:firstLineChars="200"/>
              <w:jc w:val="center"/>
              <w:rPr>
                <w:rFonts w:hint="eastAsia" w:ascii="Times New Roman" w:hAnsi="Times New Roman" w:eastAsia="黑体" w:cs="Times New Roman"/>
                <w:b/>
                <w:color w:val="000000"/>
                <w:sz w:val="30"/>
                <w:szCs w:val="30"/>
                <w:lang w:val="en-US" w:eastAsia="zh-CN"/>
              </w:rPr>
            </w:pPr>
            <w:r>
              <w:rPr>
                <w:rFonts w:hint="eastAsia" w:ascii="Times New Roman" w:hAnsi="Times New Roman" w:eastAsia="黑体" w:cs="Times New Roman"/>
                <w:color w:val="000000"/>
                <w:sz w:val="24"/>
                <w:szCs w:val="30"/>
              </w:rPr>
              <w:t>专栏</w:t>
            </w:r>
            <w:r>
              <w:rPr>
                <w:rFonts w:hint="eastAsia" w:eastAsia="黑体" w:cs="Times New Roman"/>
                <w:color w:val="000000"/>
                <w:sz w:val="24"/>
                <w:szCs w:val="30"/>
                <w:lang w:val="en-US" w:eastAsia="zh-CN"/>
              </w:rPr>
              <w:t>2</w:t>
            </w:r>
            <w:r>
              <w:rPr>
                <w:rFonts w:hint="eastAsia" w:ascii="Times New Roman" w:hAnsi="Times New Roman" w:eastAsia="黑体" w:cs="Times New Roman"/>
                <w:color w:val="000000"/>
                <w:sz w:val="24"/>
                <w:szCs w:val="30"/>
                <w:lang w:val="en-US" w:eastAsia="zh-CN"/>
              </w:rPr>
              <w:t>：南鲁山镇流水村用活富锶资源打造富锶品牌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南鲁山镇流水村共有950户、2501口人</w:t>
            </w:r>
            <w:r>
              <w:rPr>
                <w:rFonts w:hint="eastAsia" w:cs="Times New Roman"/>
                <w:color w:val="000000"/>
                <w:szCs w:val="21"/>
                <w:lang w:eastAsia="zh-CN"/>
              </w:rPr>
              <w:t>，</w:t>
            </w:r>
            <w:r>
              <w:rPr>
                <w:rFonts w:hint="eastAsia" w:ascii="Times New Roman" w:hAnsi="Times New Roman" w:eastAsia="宋体" w:cs="Times New Roman"/>
                <w:color w:val="000000"/>
                <w:szCs w:val="21"/>
              </w:rPr>
              <w:t>下设 1个党总支，3个党支部，8个网格党员99人。全村耕地面积2620亩，山地4650亩，村内主要产业有苹果、草莓、中药材等</w:t>
            </w:r>
            <w:r>
              <w:rPr>
                <w:rFonts w:hint="eastAsia" w:cs="Times New Roman"/>
                <w:color w:val="000000"/>
                <w:szCs w:val="21"/>
                <w:lang w:eastAsia="zh-CN"/>
              </w:rPr>
              <w:t>。</w:t>
            </w:r>
            <w:r>
              <w:rPr>
                <w:rFonts w:hint="eastAsia" w:ascii="Times New Roman" w:hAnsi="Times New Roman" w:eastAsia="宋体" w:cs="Times New Roman"/>
                <w:color w:val="000000"/>
                <w:szCs w:val="21"/>
              </w:rPr>
              <w:t>村民主要从事种植和务工，人均纯收入3万余元，村集体收入突破80万元。2018 年流水村被评为全省“干事创业好班子”，2019年被评为省乡村振兴示范村，2022年被评为“沂源红·金扁担”红旗村。积极推行“党支部+合作社+基地+农户”发展模式，通过土地流转、收益分红、务工工资相结合的收益分配模式，走出了一条可持续、可推广的乡村产业振兴之路。</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一是依托“富</w:t>
            </w:r>
            <w:r>
              <w:rPr>
                <w:rFonts w:hint="eastAsia" w:cs="Times New Roman"/>
                <w:color w:val="000000"/>
                <w:szCs w:val="21"/>
                <w:lang w:val="en-US" w:eastAsia="zh-CN"/>
              </w:rPr>
              <w:t>锶</w:t>
            </w:r>
            <w:r>
              <w:rPr>
                <w:rFonts w:hint="eastAsia" w:ascii="Times New Roman" w:hAnsi="Times New Roman" w:eastAsia="宋体" w:cs="Times New Roman"/>
                <w:color w:val="000000"/>
                <w:szCs w:val="21"/>
              </w:rPr>
              <w:t>”资源优势，做活“土地”文章。依托桔梗加工产业优势，探索“党支部+协会+企业+生产车间+共富站点”模式，打造“流水</w:t>
            </w:r>
            <w:r>
              <w:rPr>
                <w:rFonts w:hint="eastAsia" w:cs="Times New Roman"/>
                <w:color w:val="000000"/>
                <w:szCs w:val="21"/>
                <w:lang w:val="en-US" w:eastAsia="zh-CN"/>
              </w:rPr>
              <w:t>锶</w:t>
            </w:r>
            <w:r>
              <w:rPr>
                <w:rFonts w:hint="eastAsia" w:ascii="Times New Roman" w:hAnsi="Times New Roman" w:eastAsia="宋体" w:cs="Times New Roman"/>
                <w:color w:val="000000"/>
                <w:szCs w:val="21"/>
              </w:rPr>
              <w:t>乡”桔梗加工共富站点，2022 年桔梗年加工量2000余吨，形成产值2100余万元，带动120余人就业增收，务工村民人均年增收2万余元。强化支部引领，村党支部领办金飞洋果品专业合作社，发展1000 亩沂源红苹果、400亩大棒子、21个草莓大棚等现代化高标准果品产业园区，建立沂源县党支部领办合作社孵化中心1处，已为全县20家合作社提供指导服务，助力20个村集体增收300万元。</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Microsoft YaHei UI" w:cs="Times New Roman"/>
                <w:b/>
                <w:color w:val="000000"/>
                <w:szCs w:val="21"/>
                <w:lang w:val="en-US" w:eastAsia="zh-CN"/>
              </w:rPr>
            </w:pPr>
            <w:r>
              <w:rPr>
                <w:rFonts w:hint="eastAsia" w:ascii="Times New Roman" w:hAnsi="Times New Roman" w:eastAsia="宋体" w:cs="Times New Roman"/>
                <w:color w:val="000000"/>
                <w:szCs w:val="21"/>
              </w:rPr>
              <w:t>二是持续改善民生福祉，加速实现“老有颐养，养在流水”新图景。该村先后争取和投入资金200余万元，对村里特有的矿泉水自流井和村内水渠进行了重新规划建设，铺设村内石板道路2100米，形成“泉水润村”景象，修建生态水塘 1处，精选波尔多瓦葡萄品种，打造葡萄长廊400米，建设荷塘月色景观等小微景点，采取“以河治河”模式，对2.28公里流水河道进行清淤疏浚实行生态护坡，打造“会呼吸的水岸”。建设“沂源红”幸福家园民生综合体，创新探索以“以工养老、孝善养老、慈善养老、互助养老”为主体的养老新路径。</w:t>
            </w:r>
          </w:p>
        </w:tc>
      </w:tr>
    </w:tbl>
    <w:p>
      <w:pPr>
        <w:pStyle w:val="2"/>
        <w:rPr>
          <w:rFonts w:hint="eastAsia"/>
        </w:rPr>
      </w:pPr>
    </w:p>
    <w:p>
      <w:pPr>
        <w:pStyle w:val="25"/>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Chars="0"/>
        <w:textAlignment w:val="auto"/>
        <w:outlineLvl w:val="2"/>
        <w:rPr>
          <w:rFonts w:hint="eastAsia" w:ascii="Times New Roman" w:hAnsi="Times New Roman" w:eastAsia="仿宋_GB2312" w:cs="Times New Roman"/>
          <w:b/>
          <w:sz w:val="32"/>
          <w:szCs w:val="32"/>
        </w:rPr>
      </w:pPr>
      <w:bookmarkStart w:id="47" w:name="_Toc14573"/>
      <w:r>
        <w:rPr>
          <w:rFonts w:hint="eastAsia" w:eastAsia="仿宋_GB2312" w:cs="Times New Roman"/>
          <w:b/>
          <w:sz w:val="32"/>
          <w:szCs w:val="32"/>
          <w:lang w:val="en-US" w:eastAsia="zh-CN"/>
        </w:rPr>
        <w:t>“农业+文化+旅游”模式：</w:t>
      </w:r>
      <w:r>
        <w:rPr>
          <w:rFonts w:hint="eastAsia" w:ascii="Times New Roman" w:hAnsi="Times New Roman" w:eastAsia="仿宋_GB2312" w:cs="Times New Roman"/>
          <w:b/>
          <w:sz w:val="32"/>
          <w:szCs w:val="32"/>
        </w:rPr>
        <w:t>沂河源田园综合体</w:t>
      </w:r>
      <w:r>
        <w:rPr>
          <w:rFonts w:hint="eastAsia" w:ascii="Times New Roman" w:hAnsi="Times New Roman" w:eastAsia="仿宋_GB2312" w:cs="Times New Roman"/>
          <w:b/>
          <w:sz w:val="32"/>
          <w:szCs w:val="32"/>
          <w:lang w:eastAsia="zh-CN"/>
        </w:rPr>
        <w:t>打造</w:t>
      </w:r>
      <w:r>
        <w:rPr>
          <w:rFonts w:hint="eastAsia" w:ascii="Times New Roman" w:hAnsi="Times New Roman" w:eastAsia="仿宋_GB2312" w:cs="Times New Roman"/>
          <w:b/>
          <w:sz w:val="32"/>
          <w:szCs w:val="32"/>
          <w:lang w:val="en-US" w:eastAsia="zh-CN"/>
        </w:rPr>
        <w:t>全链条</w:t>
      </w:r>
      <w:r>
        <w:rPr>
          <w:rFonts w:hint="eastAsia" w:ascii="Times New Roman" w:hAnsi="Times New Roman" w:eastAsia="仿宋_GB2312" w:cs="Times New Roman"/>
          <w:b/>
          <w:sz w:val="32"/>
          <w:szCs w:val="32"/>
          <w:lang w:eastAsia="zh-CN"/>
        </w:rPr>
        <w:t>乡村振兴齐鲁样板中的“沂源特色板块”</w:t>
      </w:r>
      <w:bookmarkEnd w:id="47"/>
    </w:p>
    <w:p>
      <w:pPr>
        <w:keepNext/>
        <w:keepLines/>
        <w:pageBreakBefore w:val="0"/>
        <w:widowControl w:val="0"/>
        <w:numPr>
          <w:ilvl w:val="0"/>
          <w:numId w:val="9"/>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案例背景</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沂河源田园综合体位于山东省沂源县鲁村镇，</w:t>
      </w:r>
      <w:r>
        <w:rPr>
          <w:rFonts w:hint="eastAsia" w:eastAsia="仿宋_GB2312" w:cs="仿宋_GB2312"/>
          <w:kern w:val="2"/>
          <w:sz w:val="32"/>
          <w:szCs w:val="32"/>
          <w:lang w:val="en-US" w:eastAsia="zh-CN" w:bidi="ar-SA"/>
        </w:rPr>
        <w:t>成立于2018年，</w:t>
      </w:r>
      <w:r>
        <w:rPr>
          <w:rFonts w:hint="eastAsia" w:ascii="Times New Roman" w:hAnsi="Times New Roman" w:eastAsia="仿宋_GB2312" w:cs="仿宋_GB2312"/>
          <w:kern w:val="2"/>
          <w:sz w:val="32"/>
          <w:szCs w:val="32"/>
          <w:lang w:val="en-US" w:eastAsia="zh-CN" w:bidi="ar-SA"/>
        </w:rPr>
        <w:t>规划土地总面积3.2万亩</w:t>
      </w:r>
      <w:r>
        <w:rPr>
          <w:rFonts w:hint="eastAsia" w:eastAsia="仿宋_GB2312" w:cs="仿宋_GB2312"/>
          <w:kern w:val="2"/>
          <w:sz w:val="32"/>
          <w:szCs w:val="32"/>
          <w:lang w:val="en-US" w:eastAsia="zh-CN" w:bidi="ar-SA"/>
        </w:rPr>
        <w:t>，是山东省乡村振兴齐鲁样板示范区，</w:t>
      </w:r>
      <w:r>
        <w:rPr>
          <w:rFonts w:hint="eastAsia" w:ascii="Times New Roman" w:hAnsi="Times New Roman" w:eastAsia="仿宋_GB2312" w:cs="仿宋_GB2312"/>
          <w:kern w:val="2"/>
          <w:sz w:val="32"/>
          <w:szCs w:val="32"/>
          <w:lang w:val="en-US" w:eastAsia="zh-CN" w:bidi="ar-SA"/>
        </w:rPr>
        <w:t>涉及龙子峪村、刘家庄村、姬家峪村、刘家坡村、鹿角山村、北徐家庄村、西徐家庄村7个行政村，</w:t>
      </w:r>
      <w:r>
        <w:rPr>
          <w:rFonts w:hint="eastAsia" w:eastAsia="仿宋_GB2312" w:cs="仿宋_GB2312"/>
          <w:kern w:val="2"/>
          <w:sz w:val="32"/>
          <w:szCs w:val="32"/>
          <w:lang w:val="en-US" w:eastAsia="zh-CN" w:bidi="ar-SA"/>
        </w:rPr>
        <w:t>其中5个省级贫困村于2018年当年全部实现脱贫。</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项目是为落实“乡村振兴”战略，践行</w:t>
      </w:r>
      <w:r>
        <w:rPr>
          <w:rFonts w:hint="eastAsia" w:eastAsia="仿宋_GB2312" w:cs="仿宋_GB2312"/>
          <w:kern w:val="2"/>
          <w:sz w:val="32"/>
          <w:szCs w:val="32"/>
          <w:lang w:val="en-US" w:eastAsia="zh-CN" w:bidi="ar-SA"/>
        </w:rPr>
        <w:t>习近平</w:t>
      </w:r>
      <w:r>
        <w:rPr>
          <w:rFonts w:hint="eastAsia" w:ascii="Times New Roman" w:hAnsi="Times New Roman" w:eastAsia="仿宋_GB2312" w:cs="仿宋_GB2312"/>
          <w:kern w:val="2"/>
          <w:sz w:val="32"/>
          <w:szCs w:val="32"/>
          <w:lang w:val="en-US" w:eastAsia="zh-CN" w:bidi="ar-SA"/>
        </w:rPr>
        <w:t>总书记“五个振兴”指示，贯彻“绿水青山就是金山银山”的理念，实现生活、生产、生态“三生同步”，一二三产业深度融合，打造规模化、科技化、标准化、景观化、艺术化于一体的现代田园综合体，构建“艺术活化乡村，产业富民兴民，文化旅游拉动”的新格局</w:t>
      </w:r>
      <w:r>
        <w:rPr>
          <w:rFonts w:hint="eastAsia" w:eastAsia="仿宋_GB2312" w:cs="仿宋_GB2312"/>
          <w:kern w:val="2"/>
          <w:sz w:val="32"/>
          <w:szCs w:val="32"/>
          <w:lang w:val="en-US" w:eastAsia="zh-CN" w:bidi="ar-SA"/>
        </w:rPr>
        <w:t>。2021年3月，该项目被山东省省委书记作为“真正靠文化振兴的乡村”的典型案例在全国两会向习近平总书记作了汇报。</w:t>
      </w:r>
      <w:r>
        <w:rPr>
          <w:rFonts w:hint="eastAsia" w:ascii="Times New Roman" w:hAnsi="Times New Roman" w:eastAsia="仿宋_GB2312" w:cs="仿宋_GB2312"/>
          <w:kern w:val="2"/>
          <w:sz w:val="32"/>
          <w:szCs w:val="32"/>
          <w:lang w:val="en-US" w:eastAsia="zh-CN" w:bidi="ar-SA"/>
        </w:rPr>
        <w:t>项目建设突出党建引领，打破就村抓村，按照“组织融合”推动“抱团振兴”的思路，大力发展循环农业、智慧农业、休闲农业和创意农业，通过农业升级、艺术提升、旅游拉动，促进农文旅融合发展，推动生态资源增值增效，打造乡村振兴齐鲁样板</w:t>
      </w:r>
      <w:r>
        <w:rPr>
          <w:rFonts w:hint="eastAsia"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沂源特色板块</w:t>
      </w:r>
      <w:r>
        <w:rPr>
          <w:rFonts w:hint="eastAsia"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w:t>
      </w:r>
    </w:p>
    <w:p>
      <w:pPr>
        <w:pStyle w:val="2"/>
        <w:jc w:val="center"/>
        <w:rPr>
          <w:rFonts w:ascii="宋体" w:hAnsi="宋体" w:eastAsia="宋体" w:cs="宋体"/>
          <w:sz w:val="24"/>
          <w:szCs w:val="24"/>
        </w:rPr>
      </w:pPr>
      <w:r>
        <w:rPr>
          <w:rFonts w:hint="eastAsia" w:hAnsi="宋体" w:cs="宋体"/>
          <w:sz w:val="24"/>
          <w:szCs w:val="24"/>
          <w:lang w:val="en-US" w:eastAsia="zh-CN"/>
        </w:rPr>
        <w:t xml:space="preserve">  </w:t>
      </w:r>
      <w:r>
        <w:rPr>
          <w:rFonts w:ascii="宋体" w:hAnsi="宋体" w:eastAsia="宋体" w:cs="宋体"/>
          <w:sz w:val="24"/>
          <w:szCs w:val="24"/>
        </w:rPr>
        <w:drawing>
          <wp:inline distT="0" distB="0" distL="114300" distR="114300">
            <wp:extent cx="5066665" cy="2853055"/>
            <wp:effectExtent l="0" t="0" r="635"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a:stretch>
                      <a:fillRect/>
                    </a:stretch>
                  </pic:blipFill>
                  <pic:spPr>
                    <a:xfrm>
                      <a:off x="0" y="0"/>
                      <a:ext cx="5066665" cy="2853055"/>
                    </a:xfrm>
                    <a:prstGeom prst="rect">
                      <a:avLst/>
                    </a:prstGeom>
                    <a:noFill/>
                    <a:ln w="9525">
                      <a:noFill/>
                    </a:ln>
                  </pic:spPr>
                </pic:pic>
              </a:graphicData>
            </a:graphic>
          </wp:inline>
        </w:drawing>
      </w:r>
    </w:p>
    <w:p>
      <w:pPr>
        <w:pStyle w:val="2"/>
        <w:jc w:val="center"/>
        <w:rPr>
          <w:rFonts w:hint="eastAsia" w:ascii="宋体" w:hAnsi="宋体" w:eastAsia="黑体" w:cs="宋体"/>
          <w:sz w:val="24"/>
          <w:szCs w:val="24"/>
          <w:highlight w:val="yellow"/>
          <w:lang w:eastAsia="zh-CN"/>
        </w:rPr>
      </w:pPr>
      <w:r>
        <w:rPr>
          <w:rFonts w:ascii="黑体" w:hAnsi="黑体" w:eastAsia="黑体"/>
          <w:sz w:val="28"/>
          <w:szCs w:val="28"/>
        </w:rPr>
        <w:t>图</w:t>
      </w:r>
      <w:r>
        <w:rPr>
          <w:rFonts w:hint="eastAsia" w:ascii="黑体" w:hAnsi="黑体" w:eastAsia="黑体"/>
          <w:sz w:val="28"/>
          <w:szCs w:val="28"/>
          <w:lang w:val="en-US" w:eastAsia="zh-CN"/>
        </w:rPr>
        <w:t>3-2</w:t>
      </w:r>
      <w:r>
        <w:rPr>
          <w:rFonts w:ascii="黑体" w:hAnsi="黑体" w:eastAsia="黑体"/>
          <w:sz w:val="28"/>
          <w:szCs w:val="28"/>
        </w:rPr>
        <w:t xml:space="preserve"> </w:t>
      </w:r>
      <w:r>
        <w:rPr>
          <w:rFonts w:hint="eastAsia" w:ascii="黑体" w:hAnsi="黑体" w:eastAsia="黑体"/>
          <w:sz w:val="28"/>
          <w:szCs w:val="28"/>
          <w:lang w:val="en-US" w:eastAsia="zh-CN"/>
        </w:rPr>
        <w:t>沂源县</w:t>
      </w:r>
      <w:r>
        <w:rPr>
          <w:rFonts w:hint="eastAsia" w:ascii="黑体" w:hAnsi="黑体" w:eastAsia="黑体"/>
          <w:sz w:val="28"/>
          <w:szCs w:val="28"/>
        </w:rPr>
        <w:t>沂河源田园综合体</w:t>
      </w:r>
      <w:r>
        <w:rPr>
          <w:rFonts w:hint="eastAsia" w:ascii="黑体" w:hAnsi="黑体" w:eastAsia="黑体"/>
          <w:sz w:val="28"/>
          <w:szCs w:val="28"/>
          <w:highlight w:val="yellow"/>
          <w:lang w:eastAsia="zh-CN"/>
        </w:rPr>
        <w:t>（“</w:t>
      </w:r>
      <w:r>
        <w:rPr>
          <w:rFonts w:hint="eastAsia" w:ascii="黑体" w:hAnsi="黑体" w:eastAsia="黑体"/>
          <w:sz w:val="28"/>
          <w:szCs w:val="28"/>
          <w:highlight w:val="yellow"/>
          <w:lang w:val="en-US" w:eastAsia="zh-CN"/>
        </w:rPr>
        <w:t>两山</w:t>
      </w:r>
      <w:r>
        <w:rPr>
          <w:rFonts w:hint="eastAsia" w:ascii="黑体" w:hAnsi="黑体" w:eastAsia="黑体"/>
          <w:sz w:val="28"/>
          <w:szCs w:val="28"/>
          <w:highlight w:val="yellow"/>
          <w:lang w:eastAsia="zh-CN"/>
        </w:rPr>
        <w:t>”</w:t>
      </w:r>
      <w:r>
        <w:rPr>
          <w:rFonts w:hint="eastAsia" w:ascii="黑体" w:hAnsi="黑体" w:eastAsia="黑体"/>
          <w:sz w:val="28"/>
          <w:szCs w:val="28"/>
          <w:highlight w:val="yellow"/>
          <w:lang w:val="en-US" w:eastAsia="zh-CN"/>
        </w:rPr>
        <w:t>图片</w:t>
      </w:r>
      <w:r>
        <w:rPr>
          <w:rFonts w:hint="eastAsia" w:ascii="黑体" w:hAnsi="黑体" w:eastAsia="黑体"/>
          <w:sz w:val="28"/>
          <w:szCs w:val="28"/>
          <w:highlight w:val="yellow"/>
          <w:lang w:eastAsia="zh-CN"/>
        </w:rPr>
        <w:t>）</w:t>
      </w:r>
    </w:p>
    <w:p>
      <w:pPr>
        <w:keepNext/>
        <w:keepLines/>
        <w:pageBreakBefore w:val="0"/>
        <w:widowControl w:val="0"/>
        <w:numPr>
          <w:ilvl w:val="0"/>
          <w:numId w:val="9"/>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主要做法</w:t>
      </w:r>
    </w:p>
    <w:p>
      <w:pPr>
        <w:pStyle w:val="2"/>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党建统领，打通乡村治理堵点。</w:t>
      </w:r>
      <w:r>
        <w:rPr>
          <w:rFonts w:hint="eastAsia" w:ascii="Times New Roman" w:hAnsi="Times New Roman" w:eastAsia="仿宋_GB2312" w:cs="仿宋_GB2312"/>
          <w:kern w:val="2"/>
          <w:sz w:val="32"/>
          <w:szCs w:val="32"/>
          <w:lang w:val="en-US" w:eastAsia="zh-CN" w:bidi="ar-SA"/>
        </w:rPr>
        <w:t>牢牢抓住村党组织这一乡村振兴的“主心骨”，依托省委乡村振兴服务队帮扶指导，按照“组织先行融合，带动合村发展”的思路，突破村级行政区划和党组织管理界限，创新推行“联村党建”工作模式，梯次试点推行优秀村党组织书记“跨村任职”、就近成立联合党组织等组织融合模式，引领各村抱团融合发展。沂河源探索建立了乡村振兴共同体党委，整合了沂河源7个村以及当地6家农文旅企业、3个社会团体组织的党支部，并引入派出所、司法所、自然资源所等部门，以期打造“15分钟党群服务圈”，实现“组织联合+服务平台+产业振兴+乡村治理”的高效治理模式。成立中共鲁村镇徐家庄联村党委，党组织带领开展土地流转、制定乡村发展规划，建立农业示范园、建设智慧农业体系、推动乡村旅游发展，不断创新经营模式，形成“党支部+合作社+农户”的发展模式，打造集农业观光农事体验、农产品深加工等多元化的农业产业集群，推进“产、研、学、游”融合发展新局面。</w:t>
      </w:r>
    </w:p>
    <w:p>
      <w:pPr>
        <w:pStyle w:val="2"/>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文旅融合，打造乡村生活美学综合体。</w:t>
      </w:r>
      <w:r>
        <w:rPr>
          <w:rFonts w:hint="eastAsia" w:ascii="Times New Roman" w:hAnsi="Times New Roman" w:eastAsia="仿宋_GB2312" w:cs="仿宋_GB2312"/>
          <w:kern w:val="2"/>
          <w:sz w:val="32"/>
          <w:szCs w:val="32"/>
          <w:lang w:val="en-US" w:eastAsia="zh-CN" w:bidi="ar-SA"/>
        </w:rPr>
        <w:t>沂河源以艺术文化为催化剂，唤醒乡村沉睡资源，激发出乡村文化的内生动力，形成一个集生产美、生活美、生态美于一体的乡村生活美学综合体。以龙子峪村为核心，在国内率先提出了“艺术活化乡村”理念，将艺术、文化融入农村，发展以小众带动大众的乡村文旅融合产品，将文化与产业结合，引进北京寒舍文旅集团运营酒店民宿业务，形成以精品民宿、商务接待、餐饮会务、教育培训等多业态服务综合体，实现从传统单一的观光旅游向研学式、体验式、艺术化全域旅游新业态转变，向集住宿餐饮、旅游观光、农家体验、文化服务为一体的多元业态迈进。邀请了保罗·安德鲁等世界顶级艺术家及国内知名艺术家，打造乡村艺术博物馆，以艺术家与当地文化的融合，打造文化艺术乡村，建设了刘玉堂文学馆、李心田文学馆、李怀杰艺术馆、“时间之花”等场馆20余座，打造风格民宿30多套，年接待游客人数约50万余人。</w:t>
      </w:r>
    </w:p>
    <w:p>
      <w:pPr>
        <w:pStyle w:val="2"/>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以产兴村，打造融合发展新业态。</w:t>
      </w:r>
      <w:r>
        <w:rPr>
          <w:rFonts w:hint="eastAsia" w:ascii="Times New Roman" w:hAnsi="Times New Roman" w:eastAsia="仿宋_GB2312" w:cs="仿宋_GB2312"/>
          <w:kern w:val="2"/>
          <w:sz w:val="32"/>
          <w:szCs w:val="32"/>
          <w:lang w:val="en-US" w:eastAsia="zh-CN" w:bidi="ar-SA"/>
        </w:rPr>
        <w:t>在文旅产业融合的基础上，沂河源探索“农业+文化+旅游”三位一体模式，发展循环农业、智慧农业、休闲农业、创意农业，将当地以苹果、伏巴梨、桃等果品产业为主的第一产业与文旅业融合，打造集现代科技农业、观光农业、农事体验、技术推广等于一体的现代农业示范园区，引进农产品加工、农资生产等二产项目及电商、物流等三产项目，打造一二三产业融合发展新业态。产业融合发展的同时，注重产业链式集聚发展，充分利用当地丰富的林、果木资源，将果树修剪的枝条等废弃物资源化利用，形成“果树枝条粉碎-菌棒加工-香菇种植和果品深加工-菌棒有机肥还田-林果生产-乡村旅游”的生态循环闭合产业链，将经济效益、社会效益和生态效益相统一。完善周边产业结构村、企业以“订单保底、合同价收购”的“订单农业”方式与农户合作，并以“党支部+公司+协会+农户”利益联结方式组织基地生产。</w:t>
      </w:r>
    </w:p>
    <w:p>
      <w:pPr>
        <w:pStyle w:val="2"/>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pPr>
      <w:r>
        <w:drawing>
          <wp:inline distT="0" distB="0" distL="114300" distR="114300">
            <wp:extent cx="4549775" cy="4056380"/>
            <wp:effectExtent l="0" t="0" r="952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4549775" cy="4056380"/>
                    </a:xfrm>
                    <a:prstGeom prst="rect">
                      <a:avLst/>
                    </a:prstGeom>
                    <a:noFill/>
                    <a:ln>
                      <a:noFill/>
                    </a:ln>
                  </pic:spPr>
                </pic:pic>
              </a:graphicData>
            </a:graphic>
          </wp:inline>
        </w:drawing>
      </w:r>
    </w:p>
    <w:p>
      <w:pPr>
        <w:pStyle w:val="2"/>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rPr>
          <w:rFonts w:hint="eastAsia"/>
          <w:lang w:val="en-US" w:eastAsia="zh-CN"/>
        </w:rPr>
      </w:pPr>
      <w:r>
        <w:rPr>
          <w:rFonts w:hint="eastAsia" w:ascii="黑体" w:hAnsi="黑体" w:eastAsia="黑体"/>
          <w:sz w:val="28"/>
          <w:szCs w:val="28"/>
          <w:lang w:val="en-US" w:eastAsia="zh-CN"/>
        </w:rPr>
        <w:t>图3-3 沂河源田园综合体“三生石代”地标</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护绿水青山，绘就乡村生态景观。</w:t>
      </w:r>
      <w:r>
        <w:rPr>
          <w:rFonts w:hint="eastAsia" w:ascii="Times New Roman" w:hAnsi="Times New Roman" w:eastAsia="仿宋_GB2312" w:cs="仿宋_GB2312"/>
          <w:b w:val="0"/>
          <w:bCs w:val="0"/>
          <w:kern w:val="2"/>
          <w:sz w:val="32"/>
          <w:szCs w:val="32"/>
          <w:lang w:val="en-US" w:eastAsia="zh-CN" w:bidi="ar-SA"/>
        </w:rPr>
        <w:t>聚焦生态宜居美丽乡村建设，将农村“五化”工程建设与人居环境整治、农村厕所改造等重点工作相结合，整合各类资源，</w:t>
      </w:r>
      <w:r>
        <w:rPr>
          <w:rFonts w:hint="eastAsia" w:ascii="Times New Roman" w:hAnsi="Times New Roman" w:eastAsia="仿宋_GB2312" w:cs="仿宋_GB2312"/>
          <w:kern w:val="2"/>
          <w:sz w:val="32"/>
          <w:szCs w:val="32"/>
          <w:lang w:val="en-US" w:eastAsia="zh-CN" w:bidi="ar-SA"/>
        </w:rPr>
        <w:t>实施了清洁能源替代、农村饮水安全、村域美化亮化等工程建设，并在村内开展了管网下地、雨污分流、外墙保温、道路硬化、污水集中处理等基础设施提升工作，优化村民生活环境。在推进农村人居环境整治过程中，创新思维、开拓思路，在原来农村改厕工作的基础上，探索出了一条旱厕改造与旅游厕所相结合的新道路——农村共享卫生间。在农户原有的牲口栏或者卫生间位置，将原有的旱厕改造拆除后，按星级旅游厕所标准重新建设，给予每家一定的管理费，更改善了乡村人居环境，让文明和收益同步实现了多方共赢。龙子峪村铺设了污水黑、灰分离管道1万余米，通过构建村庄生态循环系统，厕所粪污与有机垃圾达到零排放、再循环，实现村庄经济、社会、环境的协调发展。</w:t>
      </w:r>
    </w:p>
    <w:p>
      <w:pPr>
        <w:pStyle w:val="2"/>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046345" cy="3051810"/>
            <wp:effectExtent l="0" t="0" r="8255" b="889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5"/>
                    <a:stretch>
                      <a:fillRect/>
                    </a:stretch>
                  </pic:blipFill>
                  <pic:spPr>
                    <a:xfrm>
                      <a:off x="0" y="0"/>
                      <a:ext cx="5046345" cy="3051810"/>
                    </a:xfrm>
                    <a:prstGeom prst="rect">
                      <a:avLst/>
                    </a:prstGeom>
                    <a:noFill/>
                    <a:ln w="9525">
                      <a:noFill/>
                    </a:ln>
                  </pic:spPr>
                </pic:pic>
              </a:graphicData>
            </a:graphic>
          </wp:inline>
        </w:drawing>
      </w:r>
    </w:p>
    <w:p>
      <w:pPr>
        <w:pStyle w:val="2"/>
        <w:jc w:val="center"/>
        <w:rPr>
          <w:rFonts w:hint="eastAsia"/>
          <w:lang w:val="en-US" w:eastAsia="zh-CN"/>
        </w:rPr>
      </w:pPr>
      <w:r>
        <w:rPr>
          <w:rFonts w:ascii="黑体" w:hAnsi="黑体" w:eastAsia="黑体"/>
          <w:sz w:val="28"/>
          <w:szCs w:val="28"/>
        </w:rPr>
        <w:t>图</w:t>
      </w:r>
      <w:r>
        <w:rPr>
          <w:rFonts w:hint="eastAsia" w:ascii="黑体" w:hAnsi="黑体" w:eastAsia="黑体"/>
          <w:sz w:val="28"/>
          <w:szCs w:val="28"/>
          <w:lang w:val="en-US" w:eastAsia="zh-CN"/>
        </w:rPr>
        <w:t>3-4</w:t>
      </w:r>
      <w:r>
        <w:rPr>
          <w:rFonts w:ascii="黑体" w:hAnsi="黑体" w:eastAsia="黑体"/>
          <w:sz w:val="28"/>
          <w:szCs w:val="28"/>
        </w:rPr>
        <w:t xml:space="preserve"> </w:t>
      </w:r>
      <w:r>
        <w:rPr>
          <w:rFonts w:hint="eastAsia" w:ascii="黑体" w:hAnsi="黑体" w:eastAsia="黑体"/>
          <w:sz w:val="28"/>
          <w:szCs w:val="28"/>
        </w:rPr>
        <w:t>绿水青山龙子峪</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以教育才，强化乡村振兴“生力军”。</w:t>
      </w:r>
      <w:r>
        <w:rPr>
          <w:rFonts w:hint="eastAsia" w:ascii="Times New Roman" w:hAnsi="Times New Roman" w:eastAsia="仿宋_GB2312" w:cs="仿宋_GB2312"/>
          <w:kern w:val="2"/>
          <w:sz w:val="32"/>
          <w:szCs w:val="32"/>
          <w:lang w:val="en-US" w:eastAsia="zh-CN" w:bidi="ar-SA"/>
        </w:rPr>
        <w:t>沂河源乡村人才振兴路径是以“领头雁效应”吸引人才回流，以高端平台打造人才高地，以人才培养基地蓄积更多人才，创新实施了“校园+田园”，“学院+书院”的学院发展模式，将大学办到了田间地头，实现人才“引进来、培养好、沉下去、留得住”。坚持内挖、外引、链接相结合，全方位引育集聚各类优秀人才，由汇泉金融、洪泰基金、山东财经大学共同发起，投资4900余万元在汇泉桃花岛创办乡村振兴学院，外抓山东财经大学多个专业学科本科生、研究生的联合培养，内抓“土专家”“田秀才”等本土人才培育，统筹组织举办各类乡村振兴主题培训和论坛，拉动科研教学、研讨交流与农文旅产业有机融合发展。</w:t>
      </w:r>
      <w:r>
        <w:rPr>
          <w:rFonts w:hint="default" w:ascii="Times New Roman" w:hAnsi="Times New Roman" w:eastAsia="仿宋_GB2312" w:cs="仿宋_GB2312"/>
          <w:kern w:val="2"/>
          <w:sz w:val="32"/>
          <w:szCs w:val="32"/>
          <w:lang w:val="en-US" w:eastAsia="zh-CN" w:bidi="ar-SA"/>
        </w:rPr>
        <w:t>目前，学院已累计培训“村村都有好青年”、专业合作社负责人等本土人才40余期1500余人次。</w:t>
      </w:r>
    </w:p>
    <w:p>
      <w:pPr>
        <w:pStyle w:val="2"/>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871720" cy="2971800"/>
            <wp:effectExtent l="0" t="0" r="5080" b="0"/>
            <wp:docPr id="6" name="图片 6" descr="c12661fa331f2e22484a5e24a204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12661fa331f2e22484a5e24a20408c"/>
                    <pic:cNvPicPr>
                      <a:picLocks noChangeAspect="1"/>
                    </pic:cNvPicPr>
                  </pic:nvPicPr>
                  <pic:blipFill>
                    <a:blip r:embed="rId16"/>
                    <a:stretch>
                      <a:fillRect/>
                    </a:stretch>
                  </pic:blipFill>
                  <pic:spPr>
                    <a:xfrm>
                      <a:off x="0" y="0"/>
                      <a:ext cx="4871720" cy="2971800"/>
                    </a:xfrm>
                    <a:prstGeom prst="rect">
                      <a:avLst/>
                    </a:prstGeom>
                  </pic:spPr>
                </pic:pic>
              </a:graphicData>
            </a:graphic>
          </wp:inline>
        </w:drawing>
      </w:r>
    </w:p>
    <w:p>
      <w:pPr>
        <w:pStyle w:val="2"/>
        <w:jc w:val="center"/>
        <w:rPr>
          <w:rFonts w:hint="default" w:eastAsia="黑体"/>
          <w:lang w:val="en-US" w:eastAsia="zh-CN"/>
        </w:rPr>
      </w:pPr>
      <w:r>
        <w:rPr>
          <w:rFonts w:ascii="黑体" w:hAnsi="黑体" w:eastAsia="黑体"/>
          <w:sz w:val="28"/>
          <w:szCs w:val="28"/>
        </w:rPr>
        <w:t>图</w:t>
      </w:r>
      <w:r>
        <w:rPr>
          <w:rFonts w:hint="eastAsia" w:ascii="黑体" w:hAnsi="黑体" w:eastAsia="黑体"/>
          <w:sz w:val="28"/>
          <w:szCs w:val="28"/>
          <w:lang w:val="en-US" w:eastAsia="zh-CN"/>
        </w:rPr>
        <w:t>3-5</w:t>
      </w:r>
      <w:r>
        <w:rPr>
          <w:rFonts w:ascii="黑体" w:hAnsi="黑体" w:eastAsia="黑体"/>
          <w:sz w:val="28"/>
          <w:szCs w:val="28"/>
        </w:rPr>
        <w:t xml:space="preserve"> </w:t>
      </w:r>
      <w:r>
        <w:rPr>
          <w:rFonts w:hint="eastAsia" w:ascii="黑体" w:hAnsi="黑体" w:eastAsia="黑体"/>
          <w:sz w:val="28"/>
          <w:szCs w:val="28"/>
          <w:lang w:val="en-US" w:eastAsia="zh-CN"/>
        </w:rPr>
        <w:t>教育助力沂河源田园综合体乡村振兴</w:t>
      </w:r>
    </w:p>
    <w:p>
      <w:pPr>
        <w:keepNext/>
        <w:keepLines/>
        <w:numPr>
          <w:ilvl w:val="0"/>
          <w:numId w:val="9"/>
        </w:numPr>
        <w:ind w:firstLine="594"/>
        <w:outlineLvl w:val="3"/>
        <w:rPr>
          <w:rFonts w:hint="eastAsia" w:ascii="Times New Roman" w:hAnsi="Times New Roman" w:eastAsia="仿宋_GB2312" w:cs="Times New Roman"/>
          <w:b/>
          <w:bCs/>
          <w:sz w:val="32"/>
          <w:szCs w:val="32"/>
          <w:lang w:val="en-US" w:eastAsia="zh-CN"/>
        </w:rPr>
      </w:pPr>
      <w:r>
        <w:rPr>
          <w:rFonts w:hint="eastAsia" w:eastAsia="仿宋_GB2312" w:cs="Times New Roman"/>
          <w:b/>
          <w:bCs/>
          <w:sz w:val="32"/>
          <w:szCs w:val="32"/>
          <w:lang w:val="en-US" w:eastAsia="zh-CN"/>
        </w:rPr>
        <w:t>取得</w:t>
      </w:r>
      <w:r>
        <w:rPr>
          <w:rFonts w:hint="eastAsia" w:ascii="Times New Roman" w:hAnsi="Times New Roman" w:eastAsia="仿宋_GB2312" w:cs="Times New Roman"/>
          <w:b/>
          <w:bCs/>
          <w:sz w:val="32"/>
          <w:szCs w:val="32"/>
          <w:lang w:val="en-US" w:eastAsia="zh-CN"/>
        </w:rPr>
        <w:t>成效</w:t>
      </w:r>
    </w:p>
    <w:p>
      <w:pPr>
        <w:pStyle w:val="2"/>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Times New Roman"/>
          <w:kern w:val="2"/>
          <w:sz w:val="32"/>
          <w:szCs w:val="32"/>
          <w:highlight w:val="none"/>
          <w:lang w:val="en-US" w:eastAsia="zh-CN" w:bidi="ar-SA"/>
        </w:rPr>
        <w:t>沂河源田园综合体坚持一二三产业融合发展，充分发挥产业带动作用，推动特色产业高质量发展，不断充实田园综合体项目建设的文化内涵，衍生出多种产业发展新业态，为实现农业多元化发展积蓄力量，让乡村经济更有活力。</w:t>
      </w:r>
      <w:r>
        <w:rPr>
          <w:rFonts w:hint="eastAsia" w:ascii="Times New Roman" w:hAnsi="Times New Roman" w:eastAsia="仿宋_GB2312" w:cs="仿宋_GB2312"/>
          <w:kern w:val="2"/>
          <w:sz w:val="32"/>
          <w:szCs w:val="32"/>
          <w:lang w:val="en-US" w:eastAsia="zh-CN" w:bidi="ar-SA"/>
        </w:rPr>
        <w:t>沂河源各类产业可实现年收益9000余万元，产业链式集聚发展推动农户就地转为产业工人，直接、间接带动1500余人就业，周边村民年人均增收1.2万余元，各村集体收入实现增长。</w:t>
      </w:r>
      <w:r>
        <w:rPr>
          <w:rFonts w:hint="default" w:ascii="Times New Roman" w:hAnsi="Times New Roman" w:eastAsia="仿宋_GB2312" w:cs="Times New Roman"/>
          <w:sz w:val="32"/>
          <w:szCs w:val="32"/>
          <w:highlight w:val="none"/>
          <w:lang w:val="en-US" w:eastAsia="zh-CN"/>
        </w:rPr>
        <w:t>先后成立沂源县山水果蔬、平成果蔬、丰泉果蔬等6个专业合作社，连片流转、整治土地680余亩，以桃花岛农业发展有限公司、华盛果品为引领，建成香菇大棚100个，建成汇泉河食用菌、源河菌棒加工、华盛科沃云数字果业等现代农业产业园5个，其中总投资3亿元、年产3000万棒的源河菌棒加工基地，帮助周边村200余名劳动力实现“家门口”就业。成功吸引了七河生物、鲁中高科等社会资本参与，实现现代农业新投资5亿元，每年村均增加集体收入10万余元、户均增收2万余元。</w:t>
      </w:r>
      <w:r>
        <w:rPr>
          <w:rFonts w:hint="eastAsia" w:ascii="Times New Roman" w:hAnsi="Times New Roman" w:eastAsia="仿宋_GB2312" w:cs="仿宋_GB2312"/>
          <w:kern w:val="2"/>
          <w:sz w:val="32"/>
          <w:szCs w:val="32"/>
          <w:lang w:val="en-US" w:eastAsia="zh-CN" w:bidi="ar-SA"/>
        </w:rPr>
        <w:t>既将不同的文化元素和基因转化为场景和故事，通过技术性和艺术性的创新，带给游客感官、行为、思维和情感体验，又让百姓在家门口就能得到艺术的享受，让文化更自信，更是通过这种文化振兴的形式，让百姓实现多种途径的创业就业，增加百姓收入，龙子峪村作为曾经的省级贫困村，如今坐拥十几座艺术馆，并入选第四批全国乡村旅游重点村。</w:t>
      </w:r>
    </w:p>
    <w:p>
      <w:pPr>
        <w:keepNext/>
        <w:keepLines/>
        <w:pageBreakBefore w:val="0"/>
        <w:widowControl w:val="0"/>
        <w:numPr>
          <w:ilvl w:val="0"/>
          <w:numId w:val="9"/>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经验启示</w:t>
      </w:r>
    </w:p>
    <w:p>
      <w:pPr>
        <w:pStyle w:val="2"/>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沂河源田园综合体突出党建引领，打破就村抓村，按照“组织融合”推动“抱团振兴”的思路，作为文化载体先后创建了省级乡村振兴示范区、淄博市乡村振兴精品片区——沂河源片区、山东省特色小镇——沂河源乡村艺术小镇、乡村旅游聚集区——桃花岛片区，真正走出了一条“艺术活化乡村、文化浸润田园、产业富民兴民、农文旅融合发展”的乡村振兴之路。山东、江苏、海南、陕西等地正积极探索建设田园综合体试点，以沂河源田园综合体为代表的全链条发展路径在山东泰安、济南等多地实践，为更多乡村探索田园综合体新模式提供可借鉴的“乡村振兴策”。</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keepNext w:val="0"/>
              <w:keepLines w:val="0"/>
              <w:suppressLineNumbers w:val="0"/>
              <w:spacing w:before="0" w:beforeAutospacing="0" w:after="0" w:afterAutospacing="0" w:line="360" w:lineRule="auto"/>
              <w:ind w:left="0" w:right="0" w:firstLine="480" w:firstLineChars="200"/>
              <w:jc w:val="center"/>
              <w:rPr>
                <w:rFonts w:hint="eastAsia" w:ascii="Times New Roman" w:hAnsi="Times New Roman" w:eastAsia="黑体" w:cs="Times New Roman"/>
                <w:b/>
                <w:color w:val="000000"/>
                <w:sz w:val="30"/>
                <w:szCs w:val="30"/>
                <w:lang w:val="en-US" w:eastAsia="zh-CN"/>
              </w:rPr>
            </w:pPr>
            <w:r>
              <w:rPr>
                <w:rFonts w:hint="eastAsia" w:ascii="Times New Roman" w:hAnsi="Times New Roman" w:eastAsia="黑体" w:cs="Times New Roman"/>
                <w:color w:val="000000"/>
                <w:sz w:val="24"/>
                <w:szCs w:val="30"/>
              </w:rPr>
              <w:t>专栏</w:t>
            </w:r>
            <w:r>
              <w:rPr>
                <w:rFonts w:hint="eastAsia" w:eastAsia="黑体" w:cs="Times New Roman"/>
                <w:color w:val="000000"/>
                <w:sz w:val="24"/>
                <w:szCs w:val="30"/>
                <w:lang w:val="en-US" w:eastAsia="zh-CN"/>
              </w:rPr>
              <w:t>3</w:t>
            </w:r>
            <w:r>
              <w:rPr>
                <w:rFonts w:hint="eastAsia" w:ascii="Times New Roman" w:hAnsi="Times New Roman" w:eastAsia="黑体" w:cs="Times New Roman"/>
                <w:color w:val="000000"/>
                <w:sz w:val="24"/>
                <w:szCs w:val="30"/>
                <w:lang w:val="en-US" w:eastAsia="zh-CN"/>
              </w:rPr>
              <w:t>：刘家坡村推动乡村振兴与农文旅融合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刘家坡村共有村民96户、246口人，“两委”成员3名，党员26名。该村原名“光坡村”，因缺水缺土地而得名，过去不仅集体“穷”而且班子“乱”。2018年下半年，牢牢把握“乡村振兴”重要机遇期，按照“党建引领、资源共享、管理高效、抱团发展”的思路，创新推行“联村党建”工作模式，与临近的姬家峪村、鹿角山村成立联合党总支，通过组织融合推动班子联建、党员联管、党建联抓，彻底扭转了班子弱、队伍散的局面，建强了支部、筑牢了堡垒，通过推行支部联建、制度联推、产业联抓，共同推进田园体农业、基建、产业项目等建设，实现以组织振兴促进乡村振兴。</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在省乡村振兴服务队帮助下，通过联合产业布局、联合土地利用和联合村居建设规划，有效用好用活了各联建村集体经济组织的土地资源、政策项目、扶持资金等资源，共同打造生态宜居环境，精品特色种植、项目推进阵地。实施了刘家坡260亩土地占补平衡项目，完成总长度8.6公里的环村旅游路建设，投资1500万元完成汇泉河菇种植基地一期工程建设。采用“支部+公司+农户”模式，着力推动民宿、民俗项目建设，带动片区打造以“三生石代”为主题的特色环村旅游文化名片。2019年，各联建村集体平均增收6万元，人均增收3000元。</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b/>
                <w:color w:val="000000"/>
                <w:szCs w:val="21"/>
                <w:lang w:val="en-US" w:eastAsia="zh-CN"/>
              </w:rPr>
            </w:pPr>
            <w:r>
              <w:rPr>
                <w:rFonts w:hint="eastAsia" w:ascii="Times New Roman" w:hAnsi="Times New Roman" w:eastAsia="宋体" w:cs="Times New Roman"/>
                <w:color w:val="000000"/>
                <w:szCs w:val="21"/>
              </w:rPr>
              <w:t>近年来，刘家坡村党支部配合田园综合体项目建设，依托沂河源田园综合体项目建设和省乡村振兴服务队帮扶有利契机，按照党建引领、农文旅融合发展思路，建设现代农业园，种植文冠果100余亩、10000棵；争取土地占补平衡项目，新增高标准农田260亩；引进百合、无刺花椒等新品种；改造利用村内闲置宅基地和老房子，建设民宿4套，打造“三生书院”1处，建成李怀杰艺术馆，年村集体经济收入达15万元，逐步成为“艺术化活化乡村”的亮点村，走出了一条由乱到治再到兴的特色发展之路。其他各联建村在党总支带领下先后铺开实施了总投资1.2亿元，年产2000万棒的源河菌棒加工厂项目，总投资6000万元，年产2000吨果蔬冻干和年产1000吨酱腌菜加工的山东楷园农业项目，高档苹果种植园项目等。</w:t>
            </w:r>
          </w:p>
        </w:tc>
      </w:tr>
    </w:tbl>
    <w:p>
      <w:pPr>
        <w:pStyle w:val="25"/>
        <w:numPr>
          <w:ilvl w:val="0"/>
          <w:numId w:val="7"/>
        </w:numPr>
        <w:adjustRightInd w:val="0"/>
        <w:snapToGrid w:val="0"/>
        <w:spacing w:line="360" w:lineRule="auto"/>
        <w:ind w:firstLineChars="0"/>
        <w:outlineLvl w:val="2"/>
        <w:rPr>
          <w:rFonts w:hint="eastAsia" w:ascii="Times New Roman" w:hAnsi="Times New Roman" w:eastAsia="仿宋_GB2312" w:cs="Times New Roman"/>
          <w:b/>
          <w:sz w:val="32"/>
          <w:szCs w:val="32"/>
        </w:rPr>
      </w:pPr>
      <w:bookmarkStart w:id="48" w:name="_Toc20513"/>
      <w:r>
        <w:rPr>
          <w:rFonts w:hint="eastAsia" w:eastAsia="仿宋_GB2312" w:cs="Times New Roman"/>
          <w:b/>
          <w:sz w:val="32"/>
          <w:szCs w:val="32"/>
          <w:lang w:val="en-US" w:eastAsia="zh-CN"/>
        </w:rPr>
        <w:t>生态工业模式：点燃“绿色引擎”推动做大做强“金山银山”</w:t>
      </w:r>
      <w:bookmarkEnd w:id="48"/>
    </w:p>
    <w:p>
      <w:pPr>
        <w:keepNext/>
        <w:keepLines/>
        <w:pageBreakBefore w:val="0"/>
        <w:widowControl w:val="0"/>
        <w:numPr>
          <w:ilvl w:val="0"/>
          <w:numId w:val="10"/>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案例背景</w:t>
      </w:r>
    </w:p>
    <w:p>
      <w:pPr>
        <w:pStyle w:val="7"/>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近几年，</w:t>
      </w:r>
      <w:r>
        <w:rPr>
          <w:rFonts w:hint="eastAsia" w:eastAsia="仿宋_GB2312" w:cs="Times New Roman"/>
          <w:kern w:val="2"/>
          <w:sz w:val="32"/>
          <w:szCs w:val="32"/>
          <w:lang w:val="en-US" w:eastAsia="zh-CN" w:bidi="ar-SA"/>
        </w:rPr>
        <w:t>沂源</w:t>
      </w:r>
      <w:r>
        <w:rPr>
          <w:rFonts w:hint="default" w:ascii="Times New Roman" w:hAnsi="Times New Roman" w:eastAsia="仿宋_GB2312" w:cs="Times New Roman"/>
          <w:kern w:val="2"/>
          <w:sz w:val="32"/>
          <w:szCs w:val="32"/>
          <w:lang w:val="en-US" w:eastAsia="zh-CN" w:bidi="ar-SA"/>
        </w:rPr>
        <w:t>县遵循绿色发展理念，坚决淘汰落后产能，积极发展绿色新兴产业，着力推动经济转型升级，绿水青山金山银山双向转化通道日益拓宽，使产业结构变“轻”、</w:t>
      </w:r>
      <w:r>
        <w:rPr>
          <w:rFonts w:hint="eastAsia" w:eastAsia="仿宋_GB2312" w:cs="Times New Roman"/>
          <w:kern w:val="2"/>
          <w:sz w:val="32"/>
          <w:szCs w:val="32"/>
          <w:lang w:val="en-US" w:eastAsia="zh-CN" w:bidi="ar-SA"/>
        </w:rPr>
        <w:t>能源结构变“新”、</w:t>
      </w:r>
      <w:r>
        <w:rPr>
          <w:rFonts w:hint="default" w:ascii="Times New Roman" w:hAnsi="Times New Roman" w:eastAsia="仿宋_GB2312" w:cs="Times New Roman"/>
          <w:kern w:val="2"/>
          <w:sz w:val="32"/>
          <w:szCs w:val="32"/>
          <w:lang w:val="en-US" w:eastAsia="zh-CN" w:bidi="ar-SA"/>
        </w:rPr>
        <w:t>经济质量变“优”。</w:t>
      </w:r>
      <w:r>
        <w:rPr>
          <w:rFonts w:hint="eastAsia" w:ascii="Times New Roman" w:hAnsi="Times New Roman" w:eastAsia="仿宋_GB2312" w:cs="Times New Roman"/>
          <w:kern w:val="2"/>
          <w:sz w:val="32"/>
          <w:szCs w:val="32"/>
          <w:lang w:val="en-US" w:eastAsia="zh-CN" w:bidi="ar-SA"/>
        </w:rPr>
        <w:t>沂源将生态优势作为经济社会发展的最大基础和后发优势，把生态环境嵌入发展的方方面面，在发展中保护、在保护中发展，推动生态保护和经济发展有机结合，加速推进绿色低碳高质量发展。沂源县</w:t>
      </w:r>
      <w:r>
        <w:rPr>
          <w:rFonts w:hint="default" w:ascii="Times New Roman" w:hAnsi="Times New Roman" w:eastAsia="仿宋_GB2312" w:cs="Times New Roman"/>
          <w:kern w:val="2"/>
          <w:sz w:val="32"/>
          <w:szCs w:val="32"/>
          <w:lang w:val="en-US" w:eastAsia="zh-CN" w:bidi="ar-SA"/>
        </w:rPr>
        <w:t>的发展逻辑，踏准了绿色发展的脉搏，着力构建绿色低碳循环的现代产业体系，发展科技含量高、经济效益好、资源消耗低、环境污染少、产业与生态相融、人力资源优势得到充分发挥的新型工业，让工业高质量发展与绿水青山相得益彰。</w:t>
      </w:r>
    </w:p>
    <w:p>
      <w:pPr>
        <w:keepNext/>
        <w:keepLines/>
        <w:pageBreakBefore w:val="0"/>
        <w:widowControl w:val="0"/>
        <w:numPr>
          <w:ilvl w:val="0"/>
          <w:numId w:val="10"/>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eastAsia="仿宋_GB2312" w:cs="Times New Roman"/>
          <w:b/>
          <w:bCs/>
          <w:sz w:val="32"/>
          <w:szCs w:val="32"/>
          <w:lang w:val="en-US" w:eastAsia="zh-CN"/>
        </w:rPr>
        <w:t>主要做法</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643" w:firstLineChars="200"/>
        <w:textAlignment w:val="auto"/>
        <w:rPr>
          <w:rFonts w:hint="eastAsia" w:eastAsia="仿宋_GB2312" w:cs="Times New Roman"/>
          <w:kern w:val="2"/>
          <w:sz w:val="32"/>
          <w:szCs w:val="32"/>
          <w:lang w:val="en-US" w:eastAsia="zh-CN" w:bidi="ar-SA"/>
        </w:rPr>
      </w:pPr>
      <w:r>
        <w:rPr>
          <w:rFonts w:hint="eastAsia" w:eastAsia="仿宋_GB2312" w:cs="Times New Roman"/>
          <w:b/>
          <w:bCs/>
          <w:kern w:val="2"/>
          <w:sz w:val="32"/>
          <w:szCs w:val="32"/>
          <w:lang w:val="en-US" w:eastAsia="zh-CN" w:bidi="ar-SA"/>
        </w:rPr>
        <w:t>推动</w:t>
      </w:r>
      <w:r>
        <w:rPr>
          <w:rFonts w:hint="default" w:ascii="Times New Roman" w:hAnsi="Times New Roman" w:eastAsia="仿宋_GB2312" w:cs="Times New Roman"/>
          <w:b/>
          <w:bCs/>
          <w:kern w:val="2"/>
          <w:sz w:val="32"/>
          <w:szCs w:val="32"/>
          <w:lang w:val="en-US" w:eastAsia="zh-CN" w:bidi="ar-SA"/>
        </w:rPr>
        <w:t>产业结构变“轻”</w:t>
      </w:r>
      <w:r>
        <w:rPr>
          <w:rFonts w:hint="eastAsia" w:eastAsia="仿宋_GB2312" w:cs="Times New Roman"/>
          <w:b/>
          <w:bCs/>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坚持推进高质量发展，是</w:t>
      </w:r>
      <w:r>
        <w:rPr>
          <w:rFonts w:hint="eastAsia" w:eastAsia="仿宋_GB2312" w:cs="Times New Roman"/>
          <w:kern w:val="2"/>
          <w:sz w:val="32"/>
          <w:szCs w:val="32"/>
          <w:lang w:val="en-US" w:eastAsia="zh-CN" w:bidi="ar-SA"/>
        </w:rPr>
        <w:t>沂源</w:t>
      </w:r>
      <w:r>
        <w:rPr>
          <w:rFonts w:hint="default" w:ascii="Times New Roman" w:hAnsi="Times New Roman" w:eastAsia="仿宋_GB2312" w:cs="Times New Roman"/>
          <w:kern w:val="2"/>
          <w:sz w:val="32"/>
          <w:szCs w:val="32"/>
          <w:lang w:val="en-US" w:eastAsia="zh-CN" w:bidi="ar-SA"/>
        </w:rPr>
        <w:t>县经济发展的主线</w:t>
      </w:r>
      <w:r>
        <w:rPr>
          <w:rFonts w:hint="eastAsia" w:eastAsia="仿宋_GB2312" w:cs="Times New Roman"/>
          <w:kern w:val="2"/>
          <w:sz w:val="32"/>
          <w:szCs w:val="32"/>
          <w:lang w:val="en-US" w:eastAsia="zh-CN" w:bidi="ar-SA"/>
        </w:rPr>
        <w:t>，近年来</w:t>
      </w:r>
      <w:r>
        <w:rPr>
          <w:rFonts w:hint="default" w:ascii="Times New Roman" w:hAnsi="Times New Roman" w:eastAsia="仿宋_GB2312" w:cs="Times New Roman"/>
          <w:kern w:val="2"/>
          <w:sz w:val="32"/>
          <w:szCs w:val="32"/>
          <w:lang w:val="en-US" w:eastAsia="zh-CN" w:bidi="ar-SA"/>
        </w:rPr>
        <w:t>大力推进产业结构调整，淘汰落后产能坚决做‘减法’，培育绿色新兴产业积极做‘加法’，逐步实现产业结构变‘轻’。坚决淘汰落后产能，2006年以壮士断腕的勇气和决心，关停了当时作为重点产业、拥有职工数千人的造纸、水泥等企业，全面打响污染防治攻坚战，</w:t>
      </w:r>
      <w:r>
        <w:rPr>
          <w:rFonts w:hint="eastAsia" w:eastAsia="仿宋_GB2312" w:cs="Times New Roman"/>
          <w:kern w:val="2"/>
          <w:sz w:val="32"/>
          <w:szCs w:val="32"/>
          <w:lang w:val="en-US" w:eastAsia="zh-CN" w:bidi="ar-SA"/>
        </w:rPr>
        <w:t>选择走“生态立县”绿色低碳发展的路子。全面开展“散乱污”企业专项整治、直燃煤小锅炉淘汰清零等专项行动，建立产业准入负面清单制度，实施“产能、煤耗、能耗、碳排放、污染物排放”五个减量替代，坚决将高耗能、高污染的项目拒之门外。围绕打造新医药之都、纤维新材料之城和新能源产业高地，重点培育发展新医药、新材料、电子信息、高端装备制造等低污染、高技术含量、高附加值的高新技术产业。</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643"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eastAsia" w:eastAsia="仿宋_GB2312" w:cs="Times New Roman"/>
          <w:b/>
          <w:bCs/>
          <w:kern w:val="2"/>
          <w:sz w:val="32"/>
          <w:szCs w:val="32"/>
          <w:lang w:val="en-US" w:eastAsia="zh-CN" w:bidi="ar-SA"/>
        </w:rPr>
        <w:t>推动</w:t>
      </w:r>
      <w:r>
        <w:rPr>
          <w:rFonts w:hint="eastAsia" w:ascii="Times New Roman" w:hAnsi="Times New Roman" w:eastAsia="仿宋_GB2312" w:cs="Times New Roman"/>
          <w:b/>
          <w:bCs/>
          <w:kern w:val="2"/>
          <w:sz w:val="32"/>
          <w:szCs w:val="32"/>
          <w:lang w:val="en-US" w:eastAsia="zh-CN" w:bidi="ar-SA"/>
        </w:rPr>
        <w:t>能源</w:t>
      </w:r>
      <w:r>
        <w:rPr>
          <w:rFonts w:hint="default" w:ascii="Times New Roman" w:hAnsi="Times New Roman" w:eastAsia="仿宋_GB2312" w:cs="Times New Roman"/>
          <w:b/>
          <w:bCs/>
          <w:kern w:val="2"/>
          <w:sz w:val="32"/>
          <w:szCs w:val="32"/>
          <w:lang w:val="en-US" w:eastAsia="zh-CN" w:bidi="ar-SA"/>
        </w:rPr>
        <w:t>结构变“</w:t>
      </w:r>
      <w:r>
        <w:rPr>
          <w:rFonts w:hint="eastAsia" w:ascii="Times New Roman" w:hAnsi="Times New Roman" w:eastAsia="仿宋_GB2312" w:cs="Times New Roman"/>
          <w:b/>
          <w:bCs/>
          <w:kern w:val="2"/>
          <w:sz w:val="32"/>
          <w:szCs w:val="32"/>
          <w:lang w:val="en-US" w:eastAsia="zh-CN" w:bidi="ar-SA"/>
        </w:rPr>
        <w:t>新</w:t>
      </w:r>
      <w:r>
        <w:rPr>
          <w:rFonts w:hint="default" w:ascii="Times New Roman" w:hAnsi="Times New Roman" w:eastAsia="仿宋_GB2312" w:cs="Times New Roman"/>
          <w:b/>
          <w:bCs/>
          <w:kern w:val="2"/>
          <w:sz w:val="32"/>
          <w:szCs w:val="32"/>
          <w:lang w:val="en-US" w:eastAsia="zh-CN" w:bidi="ar-SA"/>
        </w:rPr>
        <w:t>”</w:t>
      </w:r>
      <w:r>
        <w:rPr>
          <w:rFonts w:hint="eastAsia" w:eastAsia="仿宋_GB2312" w:cs="Times New Roman"/>
          <w:b/>
          <w:bCs/>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近年来，沂源立足风、光、水资源优势，积极践行“绿水青山就是金山银山”发展理念，加快落实“双碳”战略目标，优先发展新能源及可再生能源，新能源产业全面推进、积厚成势，2022年，全县新能源装机容量50.1万千瓦，占电力装机总容量90.5%，超出全省平均水平53个百分点；新能源发电量8.6亿千瓦时，占发电总量86%，新能源装机容量、发电量均居全市第一。非化石能源消费占能源消费总量比重达28%，超出全市平均水平24个百分点，提前两年完成全省非化石能源消费占比13%目标任务。积极引导企业调整优化能源结构，通过建设分布式光伏、储能设施、充电桩和开展电力直接交易等形式，降低企业用电成本。</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643" w:firstLineChars="200"/>
        <w:textAlignment w:val="auto"/>
        <w:rPr>
          <w:rFonts w:hint="eastAsia" w:ascii="Times New Roman" w:hAnsi="Times New Roman" w:eastAsia="仿宋_GB2312" w:cs="Times New Roman"/>
          <w:b w:val="0"/>
          <w:bCs w:val="0"/>
          <w:kern w:val="2"/>
          <w:sz w:val="32"/>
          <w:szCs w:val="32"/>
          <w:lang w:val="en-US" w:eastAsia="zh-CN" w:bidi="ar-SA"/>
        </w:rPr>
      </w:pPr>
      <w:r>
        <w:rPr>
          <w:rFonts w:hint="eastAsia" w:eastAsia="仿宋_GB2312" w:cs="Times New Roman"/>
          <w:b/>
          <w:bCs/>
          <w:kern w:val="2"/>
          <w:sz w:val="32"/>
          <w:szCs w:val="32"/>
          <w:lang w:val="en-US" w:eastAsia="zh-CN" w:bidi="ar-SA"/>
        </w:rPr>
        <w:t>推动</w:t>
      </w:r>
      <w:r>
        <w:rPr>
          <w:rFonts w:hint="default" w:ascii="Times New Roman" w:hAnsi="Times New Roman" w:eastAsia="仿宋_GB2312" w:cs="Times New Roman"/>
          <w:b/>
          <w:bCs/>
          <w:kern w:val="2"/>
          <w:sz w:val="32"/>
          <w:szCs w:val="32"/>
          <w:lang w:val="en-US" w:eastAsia="zh-CN" w:bidi="ar-SA"/>
        </w:rPr>
        <w:t>经济质量变“优”</w:t>
      </w:r>
      <w:r>
        <w:rPr>
          <w:rFonts w:hint="eastAsia" w:eastAsia="仿宋_GB2312" w:cs="Times New Roman"/>
          <w:b/>
          <w:bCs/>
          <w:kern w:val="2"/>
          <w:sz w:val="32"/>
          <w:szCs w:val="32"/>
          <w:lang w:val="en-US" w:eastAsia="zh-CN" w:bidi="ar-SA"/>
        </w:rPr>
        <w:t>。</w:t>
      </w:r>
      <w:r>
        <w:rPr>
          <w:rFonts w:hint="eastAsia" w:eastAsia="仿宋_GB2312" w:cs="Times New Roman"/>
          <w:b w:val="0"/>
          <w:bCs w:val="0"/>
          <w:kern w:val="2"/>
          <w:sz w:val="32"/>
          <w:szCs w:val="32"/>
          <w:lang w:val="en-US" w:eastAsia="zh-CN" w:bidi="ar-SA"/>
        </w:rPr>
        <w:t>在推进高质量发展进程中，沂源县积极探索经济转型升级路径，全力推动绿色经济快速崛起，</w:t>
      </w:r>
      <w:r>
        <w:rPr>
          <w:rFonts w:hint="eastAsia" w:ascii="Times New Roman" w:hAnsi="Times New Roman" w:eastAsia="仿宋_GB2312" w:cs="Times New Roman"/>
          <w:b w:val="0"/>
          <w:bCs w:val="0"/>
          <w:kern w:val="2"/>
          <w:sz w:val="32"/>
          <w:szCs w:val="32"/>
          <w:lang w:val="en-US" w:eastAsia="zh-CN" w:bidi="ar-SA"/>
        </w:rPr>
        <w:t>积极做好主动减量、优化存量和扩大增量三篇大文章。对能源消耗强度和能源消费总量实行“双控”管理，引导不适应发展形势、没有市场前景的企业和项目退出或转型，着力推动现有产业向高端化、智能化、绿色化方向发展，资源型企业向创新型、效益型企业转型。以高端集约促进工业生态化，坚持“突出产业集群发展，做大做强园中园”的发展路径，立足园区资源优势和新医药、新材料等主导产业优势，依托骨干龙头企业建设了瑞阳产业园、药玻产业园、鲁阳产业园等百亿级千亩产业园。启动实施了华源节能材料产业园、瑞丰可降解材料产业园、玻纤新材料产业园等特色专业“园中园”建设。基本形成高端引领、链条完整、生态完善、效益显著的产业发展格局，挑起了沂源工业的大梁。</w:t>
      </w:r>
    </w:p>
    <w:p>
      <w:pPr>
        <w:keepNext/>
        <w:keepLines/>
        <w:pageBreakBefore w:val="0"/>
        <w:widowControl w:val="0"/>
        <w:numPr>
          <w:ilvl w:val="0"/>
          <w:numId w:val="10"/>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eastAsia="仿宋_GB2312" w:cs="Times New Roman"/>
          <w:b/>
          <w:bCs/>
          <w:sz w:val="32"/>
          <w:szCs w:val="32"/>
          <w:lang w:val="en-US" w:eastAsia="zh-CN"/>
        </w:rPr>
        <w:t>取得成效</w:t>
      </w:r>
    </w:p>
    <w:p>
      <w:pPr>
        <w:pStyle w:val="7"/>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沂源县深入推进污染防治攻坚战，先后关停淘汰落后企业293家、燃煤锅炉142台，整治“散乱污”企业1000多家</w:t>
      </w:r>
      <w:r>
        <w:rPr>
          <w:rFonts w:hint="eastAsia"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2022年全县空气质量优良天数272天，综合指数4.04，是实施以改善率为主的考核办法以来，首次实现现状与考核“双第一”，水质量指数首次进入全省前三，实现了历史性突破。</w:t>
      </w:r>
      <w:r>
        <w:rPr>
          <w:rFonts w:hint="default" w:ascii="Times New Roman" w:hAnsi="Times New Roman" w:eastAsia="仿宋_GB2312" w:cs="Times New Roman"/>
          <w:b w:val="0"/>
          <w:bCs w:val="0"/>
          <w:kern w:val="2"/>
          <w:sz w:val="32"/>
          <w:szCs w:val="32"/>
          <w:lang w:val="en-US" w:eastAsia="zh-CN" w:bidi="ar-SA"/>
        </w:rPr>
        <w:t>2022年万元GDP能耗降低率3.93%，规上工业单位增加值能耗降低率12.88%。</w:t>
      </w:r>
      <w:r>
        <w:rPr>
          <w:rFonts w:hint="eastAsia" w:ascii="Times New Roman" w:hAnsi="Times New Roman" w:eastAsia="仿宋_GB2312" w:cs="Times New Roman"/>
          <w:kern w:val="2"/>
          <w:sz w:val="32"/>
          <w:szCs w:val="32"/>
          <w:lang w:val="en-US" w:eastAsia="zh-CN" w:bidi="ar-SA"/>
        </w:rPr>
        <w:t>在经济高质量发展上，沂源县先后培育了6家上市公司、3家国家级专精特新“小巨人”企业、2家国家级制造业单项冠军、1家国家级绿色工厂。1家公司获第八届山东省省长质量奖，为近8年全市唯一。高新技术企业60余家，高新技术产业产值占比达84.1%，较全市平均水平高出34.4个百分点。以新材料、智能装备、新医药、电子信息为核心的“四强”产业增加值占比达79.56%，为全市最高、省内前列。</w:t>
      </w:r>
    </w:p>
    <w:p>
      <w:pPr>
        <w:keepNext/>
        <w:keepLines/>
        <w:pageBreakBefore w:val="0"/>
        <w:widowControl w:val="0"/>
        <w:numPr>
          <w:ilvl w:val="0"/>
          <w:numId w:val="10"/>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eastAsia="仿宋_GB2312" w:cs="Times New Roman"/>
          <w:b/>
          <w:bCs/>
          <w:sz w:val="32"/>
          <w:szCs w:val="32"/>
          <w:lang w:val="en-US" w:eastAsia="zh-CN"/>
        </w:rPr>
        <w:t>经验启示</w:t>
      </w:r>
    </w:p>
    <w:p>
      <w:pPr>
        <w:adjustRightInd w:val="0"/>
        <w:snapToGrid w:val="0"/>
        <w:spacing w:line="360" w:lineRule="auto"/>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沂源县结合发展实际，确立“新医药、新材料、电子信息、高端装备制造”等的主导产业选择，走出一条符合沂源实际、具有沂源特色的绿色发展转型升级之路，这正是沂源县创新“生态工业+制造绿色+产业集群”模式，大力推进“产业生态化 生态产业化”的一个缩影。沂源县的发展经验证明，绿水青山并不排斥金山银山，但绿水青山要成为金山银山就必须加快转变经济发展方式，探索出适合区域实际的有效互动路径，只有</w:t>
      </w:r>
      <w:r>
        <w:rPr>
          <w:rFonts w:hint="default" w:ascii="Times New Roman" w:hAnsi="Times New Roman" w:eastAsia="仿宋_GB2312" w:cs="Times New Roman"/>
          <w:kern w:val="2"/>
          <w:sz w:val="32"/>
          <w:szCs w:val="32"/>
          <w:lang w:val="en-US" w:eastAsia="zh-CN" w:bidi="ar-SA"/>
        </w:rPr>
        <w:t>产业结构变“轻”、</w:t>
      </w:r>
      <w:r>
        <w:rPr>
          <w:rFonts w:hint="eastAsia" w:eastAsia="仿宋_GB2312" w:cs="Times New Roman"/>
          <w:kern w:val="2"/>
          <w:sz w:val="32"/>
          <w:szCs w:val="32"/>
          <w:lang w:val="en-US" w:eastAsia="zh-CN" w:bidi="ar-SA"/>
        </w:rPr>
        <w:t>能源结构变“新”、</w:t>
      </w:r>
      <w:r>
        <w:rPr>
          <w:rFonts w:hint="default" w:ascii="Times New Roman" w:hAnsi="Times New Roman" w:eastAsia="仿宋_GB2312" w:cs="Times New Roman"/>
          <w:kern w:val="2"/>
          <w:sz w:val="32"/>
          <w:szCs w:val="32"/>
          <w:lang w:val="en-US" w:eastAsia="zh-CN" w:bidi="ar-SA"/>
        </w:rPr>
        <w:t>经济质量变“优”</w:t>
      </w:r>
      <w:r>
        <w:rPr>
          <w:rFonts w:hint="eastAsia" w:ascii="Times New Roman" w:hAnsi="Times New Roman" w:eastAsia="仿宋_GB2312" w:cs="Times New Roman"/>
          <w:kern w:val="2"/>
          <w:sz w:val="32"/>
          <w:szCs w:val="32"/>
          <w:lang w:val="en-US" w:eastAsia="zh-CN" w:bidi="ar-SA"/>
        </w:rPr>
        <w:t>，才能真正实现绿水青山就是金山银山。</w:t>
      </w:r>
    </w:p>
    <w:p>
      <w:pPr>
        <w:pStyle w:val="25"/>
        <w:numPr>
          <w:ilvl w:val="0"/>
          <w:numId w:val="7"/>
        </w:numPr>
        <w:adjustRightInd w:val="0"/>
        <w:snapToGrid w:val="0"/>
        <w:spacing w:line="360" w:lineRule="auto"/>
        <w:ind w:firstLineChars="0"/>
        <w:outlineLvl w:val="2"/>
        <w:rPr>
          <w:rFonts w:hint="eastAsia" w:ascii="Times New Roman" w:hAnsi="Times New Roman" w:eastAsia="仿宋_GB2312" w:cs="Times New Roman"/>
          <w:b/>
          <w:sz w:val="32"/>
          <w:szCs w:val="32"/>
        </w:rPr>
      </w:pPr>
      <w:bookmarkStart w:id="49" w:name="_Toc31281"/>
      <w:r>
        <w:rPr>
          <w:rFonts w:hint="eastAsia" w:eastAsia="仿宋_GB2312" w:cs="Times New Roman"/>
          <w:b/>
          <w:sz w:val="32"/>
          <w:szCs w:val="32"/>
          <w:lang w:val="en-US" w:eastAsia="zh-CN"/>
        </w:rPr>
        <w:t>生态修复模式：管好用活“绿色碳库”释放</w:t>
      </w:r>
      <w:r>
        <w:rPr>
          <w:rFonts w:hint="eastAsia" w:ascii="Times New Roman" w:hAnsi="Times New Roman" w:eastAsia="仿宋_GB2312" w:cs="Times New Roman"/>
          <w:b/>
          <w:sz w:val="32"/>
          <w:szCs w:val="32"/>
        </w:rPr>
        <w:t>林业资源</w:t>
      </w:r>
      <w:r>
        <w:rPr>
          <w:rFonts w:hint="eastAsia" w:eastAsia="仿宋_GB2312" w:cs="Times New Roman"/>
          <w:b/>
          <w:sz w:val="32"/>
          <w:szCs w:val="32"/>
          <w:lang w:val="en-US" w:eastAsia="zh-CN"/>
        </w:rPr>
        <w:t>生态价值</w:t>
      </w:r>
      <w:bookmarkEnd w:id="49"/>
    </w:p>
    <w:p>
      <w:pPr>
        <w:keepNext/>
        <w:keepLines/>
        <w:pageBreakBefore w:val="0"/>
        <w:widowControl w:val="0"/>
        <w:numPr>
          <w:ilvl w:val="0"/>
          <w:numId w:val="11"/>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案例背景</w:t>
      </w:r>
    </w:p>
    <w:p>
      <w:pPr>
        <w:pStyle w:val="7"/>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eastAsia="仿宋_GB2312" w:cs="Times New Roman"/>
          <w:kern w:val="2"/>
          <w:sz w:val="32"/>
          <w:szCs w:val="32"/>
          <w:lang w:val="en-US" w:eastAsia="zh-CN" w:bidi="ar-SA"/>
        </w:rPr>
        <w:t>沂</w:t>
      </w:r>
      <w:r>
        <w:rPr>
          <w:rFonts w:hint="default" w:ascii="Times New Roman" w:hAnsi="Times New Roman" w:eastAsia="仿宋_GB2312" w:cs="Times New Roman"/>
          <w:kern w:val="2"/>
          <w:sz w:val="32"/>
          <w:szCs w:val="32"/>
          <w:lang w:val="en-US" w:eastAsia="zh-CN" w:bidi="ar-SA"/>
        </w:rPr>
        <w:t>源县委县政府将生态保护作为立县之本、强县之基，牢固树立“山水林田湖草沙生命共同体理念”，不遗余力地保护生态。全县牢固树立“生态优先、绿色发展”理念，将“绿水青山”源源不断转化为“金山银山”，不断拓宽自然资源保障路径，统筹推进山水林田湖草系统治理，聚力守护绿水青山，保护自然资源，让越来越多的群众享受到生态红利。生态优先、绿色发展导向愈加鲜明，自然生态质量、生态经济效益持续提升，为加快建设美丽沂源、打造生态高地注入了强劲动力。</w:t>
      </w:r>
    </w:p>
    <w:p>
      <w:pPr>
        <w:pStyle w:val="7"/>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自上世纪70年代起，沂源举全县之力开展造林绿化，森林覆盖率从21%提升到现在的6</w:t>
      </w:r>
      <w:r>
        <w:rPr>
          <w:rFonts w:hint="eastAsia" w:eastAsia="仿宋_GB2312" w:cs="Times New Roman"/>
          <w:kern w:val="2"/>
          <w:sz w:val="32"/>
          <w:szCs w:val="32"/>
          <w:lang w:val="en-US" w:eastAsia="zh-CN" w:bidi="ar-SA"/>
        </w:rPr>
        <w:t>4</w:t>
      </w:r>
      <w:r>
        <w:rPr>
          <w:rFonts w:hint="default" w:ascii="Times New Roman" w:hAnsi="Times New Roman" w:eastAsia="仿宋_GB2312" w:cs="Times New Roman"/>
          <w:kern w:val="2"/>
          <w:sz w:val="32"/>
          <w:szCs w:val="32"/>
          <w:lang w:val="en-US" w:eastAsia="zh-CN" w:bidi="ar-SA"/>
        </w:rPr>
        <w:t>.1%。全域全年禁猎，全县野生动植物达2153种，县域内人与自然和谐共生。沂河60多公里天然表流湿地更是成为白骨顶鸡、白鹳、白鹭、黑水鸡等重点保护鸟类的栖息地，位列中国十大“最美家乡河”之一。为守护好每一片绿水青山，沂源坚定不移的推进“林长制”“河长制”“湖长制”“田长制”“山长制”，划定生态保护红线337.35平方公里，占县域总面积的20.6%，治理河道141.2公里，保护林地168万亩、耕地28万亩，修复废弃矿山69处，提请修订《田庄水库管理条例》并保护水源7000余万立方。</w:t>
      </w:r>
    </w:p>
    <w:p>
      <w:pPr>
        <w:keepNext/>
        <w:keepLines/>
        <w:pageBreakBefore w:val="0"/>
        <w:widowControl w:val="0"/>
        <w:numPr>
          <w:ilvl w:val="0"/>
          <w:numId w:val="11"/>
        </w:numPr>
        <w:kinsoku/>
        <w:wordWrap/>
        <w:overflowPunct/>
        <w:topLinePunct w:val="0"/>
        <w:autoSpaceDE/>
        <w:autoSpaceDN/>
        <w:bidi w:val="0"/>
        <w:adjustRightInd w:val="0"/>
        <w:snapToGrid w:val="0"/>
        <w:spacing w:line="360" w:lineRule="auto"/>
        <w:ind w:firstLine="594"/>
        <w:textAlignment w:val="auto"/>
        <w:outlineLvl w:val="3"/>
        <w:rPr>
          <w:rFonts w:hint="eastAsia" w:ascii="Times New Roman" w:hAnsi="Times New Roman" w:eastAsia="仿宋_GB2312" w:cs="Times New Roman"/>
          <w:b/>
          <w:bCs/>
          <w:sz w:val="32"/>
          <w:szCs w:val="32"/>
          <w:lang w:val="en-US" w:eastAsia="zh-CN"/>
        </w:rPr>
      </w:pPr>
      <w:r>
        <w:rPr>
          <w:rFonts w:hint="eastAsia" w:eastAsia="仿宋_GB2312" w:cs="Times New Roman"/>
          <w:b/>
          <w:bCs/>
          <w:sz w:val="32"/>
          <w:szCs w:val="32"/>
          <w:lang w:val="en-US" w:eastAsia="zh-CN"/>
        </w:rPr>
        <w:t>主要做法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3"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i w:val="0"/>
          <w:iCs w:val="0"/>
          <w:caps w:val="0"/>
          <w:color w:val="333333"/>
          <w:spacing w:val="0"/>
          <w:kern w:val="2"/>
          <w:sz w:val="32"/>
          <w:szCs w:val="32"/>
          <w:shd w:val="clear" w:fill="FFFFFF"/>
          <w:lang w:val="en-US" w:eastAsia="zh-CN" w:bidi="ar-SA"/>
        </w:rPr>
        <w:t>机制护绿，提高生态治理水平</w:t>
      </w:r>
      <w:r>
        <w:rPr>
          <w:rFonts w:hint="eastAsia" w:ascii="Times New Roman" w:hAnsi="Times New Roman" w:eastAsia="仿宋_GB2312" w:cs="Times New Roman"/>
          <w:b/>
          <w:bCs/>
          <w:i w:val="0"/>
          <w:iCs w:val="0"/>
          <w:caps w:val="0"/>
          <w:color w:val="333333"/>
          <w:spacing w:val="0"/>
          <w:kern w:val="2"/>
          <w:sz w:val="32"/>
          <w:szCs w:val="32"/>
          <w:shd w:val="clear" w:fill="FFFFFF"/>
          <w:lang w:val="en-US" w:eastAsia="zh-CN" w:bidi="ar-SA"/>
        </w:rPr>
        <w:t>。</w:t>
      </w:r>
      <w:r>
        <w:rPr>
          <w:rFonts w:hint="default" w:ascii="Times New Roman" w:hAnsi="Times New Roman" w:eastAsia="仿宋_GB2312" w:cs="Times New Roman"/>
          <w:sz w:val="32"/>
          <w:szCs w:val="32"/>
          <w:lang w:val="en-US" w:eastAsia="zh-CN"/>
        </w:rPr>
        <w:t>在创建林长制体系中，沂源县以每500~1000亩森林为一个网格，把森林管护责任落实到村、落实到人，确保了山有人管、林有人护、责有人担，织严织密了森林生态资源保护网。在实行河长制、湖长制、林长制的基础上，借鉴其他地区探索实践，积极推出自然资源田长制</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山长制，实现“山水林田湖”全覆盖，切实保护全县自然资源，为践行“绿水青山就是金山银山”打下坚实基础。</w:t>
      </w:r>
      <w:r>
        <w:rPr>
          <w:rFonts w:hint="default" w:ascii="Times New Roman" w:hAnsi="Times New Roman" w:eastAsia="仿宋_GB2312" w:cs="Times New Roman"/>
          <w:kern w:val="2"/>
          <w:sz w:val="32"/>
          <w:szCs w:val="32"/>
          <w:lang w:val="en-US" w:eastAsia="zh-CN" w:bidi="ar-SA"/>
        </w:rPr>
        <w:t>2023年2月17日，山东省规模最大的林木碳汇价值保险成功落地沂源县，为全县41.6万亩公益林提供碳汇价值风险保障。沂源县是全市第二个开展林木碳汇价值保险的区县，也是全省第一个进行全县域林木碳汇价值保险的区县，承保金额为每亩60元，保险费每亩1.5元，全县2023年保险费预计62.4万元</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将林木和林木碳汇价值两者结合，强化森林资源培育保护和森林碳汇能力巩固提升。</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i w:val="0"/>
          <w:iCs w:val="0"/>
          <w:caps w:val="0"/>
          <w:color w:val="333333"/>
          <w:spacing w:val="0"/>
          <w:kern w:val="2"/>
          <w:sz w:val="32"/>
          <w:szCs w:val="32"/>
          <w:shd w:val="clear" w:fill="FFFFFF"/>
          <w:lang w:val="en-US" w:eastAsia="zh-CN" w:bidi="ar-SA"/>
        </w:rPr>
        <w:t>持续增绿，</w:t>
      </w:r>
      <w:r>
        <w:rPr>
          <w:rFonts w:hint="eastAsia" w:ascii="Times New Roman" w:hAnsi="Times New Roman" w:eastAsia="仿宋_GB2312" w:cs="Times New Roman"/>
          <w:b/>
          <w:bCs/>
          <w:i w:val="0"/>
          <w:iCs w:val="0"/>
          <w:caps w:val="0"/>
          <w:color w:val="333333"/>
          <w:spacing w:val="0"/>
          <w:kern w:val="2"/>
          <w:sz w:val="32"/>
          <w:szCs w:val="32"/>
          <w:shd w:val="clear" w:fill="FFFFFF"/>
          <w:lang w:val="en-US" w:eastAsia="zh-CN" w:bidi="ar-SA"/>
        </w:rPr>
        <w:t>提升森林资源质量。</w:t>
      </w:r>
      <w:r>
        <w:rPr>
          <w:rFonts w:hint="default" w:ascii="Times New Roman" w:hAnsi="Times New Roman" w:eastAsia="仿宋_GB2312" w:cs="Times New Roman"/>
          <w:kern w:val="2"/>
          <w:sz w:val="32"/>
          <w:szCs w:val="32"/>
          <w:lang w:val="en-US" w:eastAsia="zh-CN" w:bidi="ar-SA"/>
        </w:rPr>
        <w:t>抓住创建国家森林城市的契机，不断拓宽造林空间，采取造林、管护、封育相结合，强化推进造林绿化力度，做好“绿满齐鲁·美丽山东”国土绿化任务，成功入选“2022美丽中国·深呼吸小城”。成立沂源碳中和发展有限公司，全力推进全省首个国家储备林项目，项目总投资10.1亿元，银行贷款7.8亿元，贷款期限35年，通过8年时间打造7万余亩国家储备林，目前是全国首个贷款期限突破30年的储备林项目，也是践行</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两山</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国家战略和实施乡村振兴战略的重点扶持项目。创新探索“政府主导、多元化融资、市场化运作”模式，重点抓好已关闭露天矿山生态修复治理和生态复绿工作，按照“政府引导、企业主体、标准领跑、政策激励、环保优先、防治结合、科技创新、示范引领”的原则大力推进绿色矿山建设，截至目前，全县4家生产矿山全部达到绿色矿山标准，其中2家被授予国家绿色矿山称号，2家被授予省级绿色矿山称号。</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i w:val="0"/>
          <w:iCs w:val="0"/>
          <w:caps w:val="0"/>
          <w:color w:val="333333"/>
          <w:spacing w:val="0"/>
          <w:sz w:val="32"/>
          <w:szCs w:val="32"/>
          <w:shd w:val="clear" w:fill="FFFFFF"/>
          <w:lang w:val="en-US" w:eastAsia="zh-CN"/>
        </w:rPr>
        <w:t>科学用绿，挖掘林业经济效益</w:t>
      </w:r>
      <w:r>
        <w:rPr>
          <w:rFonts w:hint="eastAsia" w:ascii="Times New Roman" w:hAnsi="Times New Roman" w:eastAsia="仿宋_GB2312" w:cs="Times New Roman"/>
          <w:b/>
          <w:bCs/>
          <w:i w:val="0"/>
          <w:iCs w:val="0"/>
          <w:caps w:val="0"/>
          <w:color w:val="333333"/>
          <w:spacing w:val="0"/>
          <w:sz w:val="32"/>
          <w:szCs w:val="32"/>
          <w:shd w:val="clear" w:fill="FFFFFF"/>
          <w:lang w:val="en-US" w:eastAsia="zh-CN"/>
        </w:rPr>
        <w:t>。</w:t>
      </w:r>
      <w:r>
        <w:rPr>
          <w:rFonts w:hint="default" w:ascii="Times New Roman" w:hAnsi="Times New Roman" w:eastAsia="仿宋_GB2312" w:cs="Times New Roman"/>
          <w:kern w:val="2"/>
          <w:sz w:val="32"/>
          <w:szCs w:val="32"/>
          <w:lang w:val="en-US" w:eastAsia="zh-CN" w:bidi="ar-SA"/>
        </w:rPr>
        <w:t>推动林业生态与山水田湖草</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全域旅游</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乡村振兴</w:t>
      </w:r>
      <w:r>
        <w:rPr>
          <w:rFonts w:hint="eastAsia" w:ascii="Times New Roman" w:hAnsi="Times New Roman" w:eastAsia="仿宋_GB2312" w:cs="Times New Roman"/>
          <w:kern w:val="2"/>
          <w:sz w:val="32"/>
          <w:szCs w:val="32"/>
          <w:lang w:val="en-US" w:eastAsia="zh-CN" w:bidi="ar-SA"/>
        </w:rPr>
        <w:t>等</w:t>
      </w:r>
      <w:r>
        <w:rPr>
          <w:rFonts w:hint="default" w:ascii="Times New Roman" w:hAnsi="Times New Roman" w:eastAsia="仿宋_GB2312" w:cs="Times New Roman"/>
          <w:kern w:val="2"/>
          <w:sz w:val="32"/>
          <w:szCs w:val="32"/>
          <w:lang w:val="en-US" w:eastAsia="zh-CN" w:bidi="ar-SA"/>
        </w:rPr>
        <w:t>紧密结合，综合施策、大力发展木材加工、果品储藏加工、种苗花卉、森林生态旅游、林下种养等产业，全面打通了</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绿水青山和金山银山</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的转换通道，提升了林业的经济效益、生态效益和社会效益。张家坡镇阳三峪村有上万亩以刺槐、油松、赤松为主的林地，具有发展林下经济得天独厚的自然条件</w:t>
      </w:r>
      <w:r>
        <w:rPr>
          <w:rFonts w:hint="eastAsia" w:ascii="Times New Roman" w:hAnsi="Times New Roman" w:eastAsia="仿宋_GB2312" w:cs="Times New Roman"/>
          <w:kern w:val="2"/>
          <w:sz w:val="32"/>
          <w:szCs w:val="32"/>
          <w:lang w:val="en-US" w:eastAsia="zh-CN" w:bidi="ar-SA"/>
        </w:rPr>
        <w:t>，成立的</w:t>
      </w:r>
      <w:r>
        <w:rPr>
          <w:rFonts w:hint="default" w:ascii="Times New Roman" w:hAnsi="Times New Roman" w:eastAsia="仿宋_GB2312" w:cs="Times New Roman"/>
          <w:kern w:val="2"/>
          <w:sz w:val="32"/>
          <w:szCs w:val="32"/>
          <w:lang w:val="en-US" w:eastAsia="zh-CN" w:bidi="ar-SA"/>
        </w:rPr>
        <w:t>越水种植养殖合作社依托豪山林场的林业资源，引进黑乌骨山羊、黑猪、乌骨鸡等黑色养殖品种，采取集中饲养的方式发展林下特色养殖</w:t>
      </w:r>
      <w:r>
        <w:rPr>
          <w:rFonts w:hint="eastAsia" w:ascii="Times New Roman" w:hAnsi="Times New Roman" w:eastAsia="仿宋_GB2312" w:cs="Times New Roman"/>
          <w:kern w:val="2"/>
          <w:sz w:val="32"/>
          <w:szCs w:val="32"/>
          <w:lang w:val="en-US" w:eastAsia="zh-CN" w:bidi="ar-SA"/>
        </w:rPr>
        <w:t>，带动全村村民发家致富。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170170" cy="3447415"/>
            <wp:effectExtent l="0" t="0" r="11430" b="698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7"/>
                    <a:stretch>
                      <a:fillRect/>
                    </a:stretch>
                  </pic:blipFill>
                  <pic:spPr>
                    <a:xfrm>
                      <a:off x="0" y="0"/>
                      <a:ext cx="5170170" cy="3447415"/>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sz w:val="28"/>
          <w:szCs w:val="28"/>
        </w:rPr>
      </w:pPr>
      <w:r>
        <w:rPr>
          <w:rFonts w:ascii="黑体" w:hAnsi="黑体" w:eastAsia="黑体"/>
          <w:sz w:val="28"/>
          <w:szCs w:val="28"/>
        </w:rPr>
        <w:t>图</w:t>
      </w:r>
      <w:r>
        <w:rPr>
          <w:rFonts w:hint="eastAsia" w:ascii="黑体" w:hAnsi="黑体" w:eastAsia="黑体"/>
          <w:sz w:val="28"/>
          <w:szCs w:val="28"/>
          <w:lang w:val="en-US" w:eastAsia="zh-CN"/>
        </w:rPr>
        <w:t>3-6</w:t>
      </w:r>
      <w:r>
        <w:rPr>
          <w:rFonts w:ascii="黑体" w:hAnsi="黑体" w:eastAsia="黑体"/>
          <w:sz w:val="28"/>
          <w:szCs w:val="28"/>
        </w:rPr>
        <w:t xml:space="preserve"> </w:t>
      </w:r>
      <w:r>
        <w:rPr>
          <w:rFonts w:hint="eastAsia" w:ascii="黑体" w:hAnsi="黑体" w:eastAsia="黑体"/>
          <w:sz w:val="28"/>
          <w:szCs w:val="28"/>
        </w:rPr>
        <w:t>越水种植养殖合作社林下养殖黑乌骨山羊</w:t>
      </w:r>
    </w:p>
    <w:p>
      <w:pPr>
        <w:keepNext/>
        <w:keepLines/>
        <w:pageBreakBefore w:val="0"/>
        <w:widowControl w:val="0"/>
        <w:numPr>
          <w:ilvl w:val="0"/>
          <w:numId w:val="11"/>
        </w:numPr>
        <w:kinsoku/>
        <w:wordWrap/>
        <w:overflowPunct/>
        <w:topLinePunct w:val="0"/>
        <w:autoSpaceDE/>
        <w:autoSpaceDN/>
        <w:bidi w:val="0"/>
        <w:adjustRightInd w:val="0"/>
        <w:snapToGrid w:val="0"/>
        <w:spacing w:line="360" w:lineRule="auto"/>
        <w:ind w:firstLine="594"/>
        <w:textAlignment w:val="auto"/>
        <w:outlineLvl w:val="3"/>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取得成效</w:t>
      </w:r>
    </w:p>
    <w:p>
      <w:pPr>
        <w:pStyle w:val="2"/>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林业碳汇价值保险在灾后及时将理赔款支付到位，为灾后减损、固碳能力修复争取宝贵时间，极大地提高灾后救助、修复能力和效率，助力沂源县森林质量提升、生态安全保障工作的落实，打通“绿水青山”和“金山银山”的双向转化通道，全方位推动全县生态高质量发展。通过实施国家储备林项目，有效的将沉睡的林业资源变成资产、资产变成资本、资本变成资金，并有效的投入到新兴产业项目中，实现国有资产保值增值，每年可吸收二氧化碳13万余吨，实现生态价值6000多万，提供4050人就业，劳务收入总额为33645.97万元，将巩固脱贫攻坚成果，助推乡村振兴，切实为推进高质量发展“增绿赋能”。造林绿化与产业扶贫相结合，“龙头企业﹢专业合作组织﹢基地﹢农户”的发展模式应运而生，阳三峪村沂源越水种植养殖合作社特色畜禽养殖基地可实现经济效益500余万元，养殖户年均增加收入2万元。</w:t>
      </w:r>
    </w:p>
    <w:p>
      <w:pPr>
        <w:keepNext/>
        <w:keepLines/>
        <w:pageBreakBefore w:val="0"/>
        <w:widowControl w:val="0"/>
        <w:numPr>
          <w:ilvl w:val="0"/>
          <w:numId w:val="11"/>
        </w:numPr>
        <w:kinsoku/>
        <w:wordWrap/>
        <w:overflowPunct/>
        <w:topLinePunct w:val="0"/>
        <w:autoSpaceDE/>
        <w:autoSpaceDN/>
        <w:bidi w:val="0"/>
        <w:adjustRightInd w:val="0"/>
        <w:snapToGrid w:val="0"/>
        <w:spacing w:line="360" w:lineRule="auto"/>
        <w:ind w:firstLine="594"/>
        <w:textAlignment w:val="auto"/>
        <w:outlineLvl w:val="3"/>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经验启示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沂源县通过造林绿化、持续增绿、挖掘林业经济效益等方式，将保护绿水青山与发展金山银山两手抓，</w:t>
      </w:r>
      <w:r>
        <w:rPr>
          <w:rFonts w:hint="default" w:ascii="Times New Roman" w:hAnsi="Times New Roman" w:eastAsia="仿宋_GB2312" w:cs="Times New Roman"/>
          <w:kern w:val="2"/>
          <w:sz w:val="32"/>
          <w:szCs w:val="32"/>
          <w:lang w:val="en-US" w:eastAsia="zh-CN" w:bidi="ar-SA"/>
        </w:rPr>
        <w:t>以改善生态环境质量、提升生态资产、增值生态资本为主要任务和举措，坚持不懈地开展生态保护修复与生态建设工程等生态添绿、增绿、补绿，筑牢经济社会发展的“生态银行”，推动生态资产、绿色资本不断增值、累积和变现，将绿水青山的自然财富、生态财富转变为经济财富、社会财富，实现了生态文明建设、脱贫攻坚、乡村振兴和绿色发展的协同推进，</w:t>
      </w:r>
      <w:r>
        <w:rPr>
          <w:rFonts w:hint="default" w:ascii="Times New Roman" w:hAnsi="Times New Roman" w:eastAsia="仿宋_GB2312" w:cs="Times New Roman"/>
          <w:color w:val="000000"/>
          <w:kern w:val="0"/>
          <w:sz w:val="31"/>
          <w:szCs w:val="31"/>
          <w:lang w:val="en-US" w:eastAsia="zh-CN" w:bidi="ar"/>
        </w:rPr>
        <w:t>为山区高质量绿色发展开辟了新路径。</w:t>
      </w:r>
    </w:p>
    <w:p>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eastAsia="黑体"/>
          <w:sz w:val="32"/>
          <w:szCs w:val="32"/>
        </w:rPr>
      </w:pPr>
      <w:bookmarkStart w:id="50" w:name="_Toc9770"/>
      <w:r>
        <w:rPr>
          <w:rFonts w:eastAsia="黑体"/>
          <w:sz w:val="32"/>
          <w:szCs w:val="32"/>
        </w:rPr>
        <w:t>四、总体思路</w:t>
      </w:r>
      <w:bookmarkEnd w:id="50"/>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eastAsia="楷体_GB2312"/>
          <w:b/>
          <w:bCs/>
          <w:sz w:val="32"/>
          <w:szCs w:val="32"/>
        </w:rPr>
      </w:pPr>
      <w:bookmarkStart w:id="51" w:name="_Toc30768"/>
      <w:r>
        <w:rPr>
          <w:rFonts w:eastAsia="楷体_GB2312"/>
          <w:b/>
          <w:bCs/>
          <w:sz w:val="32"/>
          <w:szCs w:val="32"/>
        </w:rPr>
        <w:t>（一）指导思想</w:t>
      </w:r>
      <w:bookmarkEnd w:id="51"/>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习近平新时代中国特色社会主义思想为指导，深入学习贯彻党的二十大精神和习近平生态文明思想，秉持“绿水青山就是金山银山”发展理念，坚定不移走生态优先、绿色发展的现代化道路，全面推进生态优势转化为发展优势，建立健全“两山”转化的体制机制，创新拓展“两山”转化的模式路径，</w:t>
      </w:r>
      <w:r>
        <w:rPr>
          <w:rFonts w:hint="eastAsia" w:ascii="Times New Roman" w:hAnsi="Times New Roman" w:eastAsia="仿宋_GB2312" w:cs="Times New Roman"/>
          <w:sz w:val="32"/>
          <w:szCs w:val="32"/>
          <w:lang w:val="en-US" w:eastAsia="zh-CN"/>
        </w:rPr>
        <w:t>协同</w:t>
      </w:r>
      <w:r>
        <w:rPr>
          <w:rFonts w:hint="default" w:ascii="Times New Roman" w:hAnsi="Times New Roman" w:eastAsia="仿宋_GB2312" w:cs="Times New Roman"/>
          <w:sz w:val="32"/>
          <w:szCs w:val="32"/>
        </w:rPr>
        <w:t>推进经济高质量发展</w:t>
      </w:r>
      <w:r>
        <w:rPr>
          <w:rFonts w:hint="eastAsia"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生态环境高水平保护，打通</w:t>
      </w:r>
      <w:r>
        <w:rPr>
          <w:rFonts w:hint="eastAsia" w:ascii="Times New Roman" w:hAnsi="Times New Roman" w:eastAsia="仿宋_GB2312" w:cs="Times New Roman"/>
          <w:sz w:val="32"/>
          <w:szCs w:val="32"/>
          <w:lang w:val="en-US" w:eastAsia="zh-CN"/>
        </w:rPr>
        <w:t>沂源</w:t>
      </w:r>
      <w:r>
        <w:rPr>
          <w:rFonts w:hint="default" w:ascii="Times New Roman" w:hAnsi="Times New Roman" w:eastAsia="仿宋_GB2312" w:cs="Times New Roman"/>
          <w:sz w:val="32"/>
          <w:szCs w:val="32"/>
        </w:rPr>
        <w:t>县“绿水青山”与“金山银山”的转化路径，创新打造“绿水青山就是金山银山”的生态振兴</w:t>
      </w:r>
      <w:r>
        <w:rPr>
          <w:rFonts w:hint="eastAsia" w:ascii="Times New Roman" w:hAnsi="Times New Roman" w:eastAsia="仿宋_GB2312" w:cs="Times New Roman"/>
          <w:sz w:val="32"/>
          <w:szCs w:val="32"/>
          <w:lang w:val="en-US" w:eastAsia="zh-CN"/>
        </w:rPr>
        <w:t>沂源</w:t>
      </w:r>
      <w:r>
        <w:rPr>
          <w:rFonts w:hint="default" w:ascii="Times New Roman" w:hAnsi="Times New Roman" w:eastAsia="仿宋_GB2312" w:cs="Times New Roman"/>
          <w:sz w:val="32"/>
          <w:szCs w:val="32"/>
        </w:rPr>
        <w:t>样板，建设天蓝地绿、强县民富的美丽幸福</w:t>
      </w:r>
      <w:r>
        <w:rPr>
          <w:rFonts w:hint="eastAsia" w:ascii="Times New Roman" w:hAnsi="Times New Roman" w:eastAsia="仿宋_GB2312" w:cs="Times New Roman"/>
          <w:sz w:val="32"/>
          <w:szCs w:val="32"/>
          <w:lang w:val="en-US" w:eastAsia="zh-CN"/>
        </w:rPr>
        <w:t>沂源</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eastAsia="楷体_GB2312"/>
          <w:b/>
          <w:bCs/>
          <w:sz w:val="32"/>
          <w:szCs w:val="32"/>
        </w:rPr>
      </w:pPr>
      <w:bookmarkStart w:id="52" w:name="_Toc17148"/>
      <w:r>
        <w:rPr>
          <w:rFonts w:eastAsia="楷体_GB2312"/>
          <w:b/>
          <w:bCs/>
          <w:sz w:val="32"/>
          <w:szCs w:val="32"/>
        </w:rPr>
        <w:t>（二）基本原则</w:t>
      </w:r>
      <w:bookmarkEnd w:id="52"/>
    </w:p>
    <w:p>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b/>
          <w:bCs/>
          <w:sz w:val="32"/>
          <w:szCs w:val="32"/>
          <w:lang w:val="en-US" w:eastAsia="zh-CN"/>
        </w:rPr>
        <w:t>坚持点绿成金</w:t>
      </w:r>
      <w:r>
        <w:rPr>
          <w:rFonts w:hint="default" w:ascii="Times New Roman" w:hAnsi="Times New Roman" w:eastAsia="仿宋_GB2312" w:cs="Times New Roman"/>
          <w:b/>
          <w:bCs/>
          <w:sz w:val="32"/>
          <w:szCs w:val="32"/>
        </w:rPr>
        <w:t>，绿色发展。</w:t>
      </w:r>
      <w:r>
        <w:rPr>
          <w:rFonts w:hint="default" w:ascii="Times New Roman" w:hAnsi="Times New Roman" w:eastAsia="仿宋_GB2312" w:cs="Times New Roman"/>
          <w:sz w:val="32"/>
          <w:szCs w:val="32"/>
        </w:rPr>
        <w:t>深入践行“绿水青山就是金山银山”理念，正确处理人与自然、环境保护与经济社会发展的关系，将</w:t>
      </w:r>
      <w:r>
        <w:rPr>
          <w:rFonts w:hint="eastAsia" w:ascii="Times New Roman" w:hAnsi="Times New Roman" w:eastAsia="仿宋_GB2312" w:cs="Times New Roman"/>
          <w:sz w:val="32"/>
          <w:szCs w:val="32"/>
          <w:lang w:val="en-US" w:eastAsia="zh-CN"/>
        </w:rPr>
        <w:t>沂源</w:t>
      </w:r>
      <w:r>
        <w:rPr>
          <w:rFonts w:hint="default" w:ascii="Times New Roman" w:hAnsi="Times New Roman" w:eastAsia="仿宋_GB2312" w:cs="Times New Roman"/>
          <w:sz w:val="32"/>
          <w:szCs w:val="32"/>
        </w:rPr>
        <w:t>县优越的自然资源、良好的生态环境更为优质地转化为生产价值，</w:t>
      </w:r>
      <w:r>
        <w:rPr>
          <w:rFonts w:hint="default" w:ascii="Times New Roman" w:hAnsi="Times New Roman" w:eastAsia="仿宋_GB2312" w:cs="Times New Roman"/>
          <w:sz w:val="32"/>
          <w:szCs w:val="32"/>
          <w:lang w:val="en-US" w:eastAsia="zh-CN"/>
        </w:rPr>
        <w:t>推动生态优势转化为经济优势、发展优势，实现绿水青山和金山银山有机统一。</w:t>
      </w:r>
    </w:p>
    <w:p>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b/>
          <w:bCs/>
          <w:sz w:val="32"/>
          <w:szCs w:val="32"/>
          <w:lang w:val="en-US" w:eastAsia="zh-CN"/>
        </w:rPr>
        <w:t>坚持</w:t>
      </w:r>
      <w:r>
        <w:rPr>
          <w:rFonts w:hint="default" w:ascii="Times New Roman" w:hAnsi="Times New Roman" w:eastAsia="仿宋_GB2312" w:cs="Times New Roman"/>
          <w:b/>
          <w:bCs/>
          <w:sz w:val="32"/>
          <w:szCs w:val="32"/>
        </w:rPr>
        <w:t>因地制宜，突出特色。</w:t>
      </w:r>
      <w:r>
        <w:rPr>
          <w:rFonts w:hint="default" w:ascii="Times New Roman" w:hAnsi="Times New Roman" w:eastAsia="仿宋_GB2312" w:cs="Times New Roman"/>
          <w:sz w:val="32"/>
          <w:szCs w:val="32"/>
        </w:rPr>
        <w:t>充分发挥</w:t>
      </w:r>
      <w:r>
        <w:rPr>
          <w:rFonts w:hint="eastAsia" w:ascii="Times New Roman" w:hAnsi="Times New Roman" w:eastAsia="仿宋_GB2312" w:cs="Times New Roman"/>
          <w:sz w:val="32"/>
          <w:szCs w:val="32"/>
          <w:lang w:val="en-US" w:eastAsia="zh-CN"/>
        </w:rPr>
        <w:t>沂源县</w:t>
      </w:r>
      <w:r>
        <w:rPr>
          <w:rFonts w:hint="default" w:ascii="Times New Roman" w:hAnsi="Times New Roman" w:eastAsia="仿宋_GB2312" w:cs="Times New Roman"/>
          <w:sz w:val="32"/>
          <w:szCs w:val="32"/>
        </w:rPr>
        <w:t>良好的</w:t>
      </w:r>
      <w:r>
        <w:rPr>
          <w:rFonts w:hint="eastAsia" w:ascii="Times New Roman" w:hAnsi="Times New Roman" w:eastAsia="仿宋_GB2312" w:cs="Times New Roman"/>
          <w:sz w:val="32"/>
          <w:szCs w:val="32"/>
          <w:lang w:val="en-US" w:eastAsia="zh-CN"/>
        </w:rPr>
        <w:t>生态</w:t>
      </w:r>
      <w:r>
        <w:rPr>
          <w:rFonts w:hint="default" w:ascii="Times New Roman" w:hAnsi="Times New Roman" w:eastAsia="仿宋_GB2312" w:cs="Times New Roman"/>
          <w:sz w:val="32"/>
          <w:szCs w:val="32"/>
        </w:rPr>
        <w:t>条件和深厚的文化底蕴，科学利用优势资源，探索践行“绿水青山就是金山银山”理念的</w:t>
      </w:r>
      <w:r>
        <w:rPr>
          <w:rFonts w:hint="eastAsia" w:ascii="Times New Roman" w:hAnsi="Times New Roman" w:eastAsia="仿宋_GB2312" w:cs="Times New Roman"/>
          <w:sz w:val="32"/>
          <w:szCs w:val="32"/>
          <w:lang w:val="en-US" w:eastAsia="zh-CN"/>
        </w:rPr>
        <w:t>沂源</w:t>
      </w:r>
      <w:r>
        <w:rPr>
          <w:rFonts w:hint="default" w:ascii="Times New Roman" w:hAnsi="Times New Roman" w:eastAsia="仿宋_GB2312" w:cs="Times New Roman"/>
          <w:sz w:val="32"/>
          <w:szCs w:val="32"/>
        </w:rPr>
        <w:t>经验与模式，形成转化通道，提高转化成效，使</w:t>
      </w:r>
      <w:r>
        <w:rPr>
          <w:rFonts w:hint="eastAsia" w:ascii="Times New Roman" w:hAnsi="Times New Roman" w:eastAsia="仿宋_GB2312" w:cs="Times New Roman"/>
          <w:sz w:val="32"/>
          <w:szCs w:val="32"/>
          <w:lang w:val="en-US" w:eastAsia="zh-CN"/>
        </w:rPr>
        <w:t>沂源县</w:t>
      </w:r>
      <w:r>
        <w:rPr>
          <w:rFonts w:hint="default" w:ascii="Times New Roman" w:hAnsi="Times New Roman" w:eastAsia="仿宋_GB2312" w:cs="Times New Roman"/>
          <w:sz w:val="32"/>
          <w:szCs w:val="32"/>
        </w:rPr>
        <w:t>发展成为具有典型性、代表性的“</w:t>
      </w:r>
      <w:r>
        <w:rPr>
          <w:rFonts w:hint="eastAsia" w:ascii="Times New Roman" w:hAnsi="Times New Roman" w:eastAsia="仿宋_GB2312" w:cs="Times New Roman"/>
          <w:sz w:val="32"/>
          <w:szCs w:val="32"/>
          <w:lang w:val="en-US" w:eastAsia="zh-CN"/>
        </w:rPr>
        <w:t>两山</w:t>
      </w:r>
      <w:r>
        <w:rPr>
          <w:rFonts w:hint="default" w:ascii="Times New Roman" w:hAnsi="Times New Roman" w:eastAsia="仿宋_GB2312" w:cs="Times New Roman"/>
          <w:sz w:val="32"/>
          <w:szCs w:val="32"/>
        </w:rPr>
        <w:t>”实践创新基地。</w:t>
      </w:r>
    </w:p>
    <w:p>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b/>
          <w:bCs/>
          <w:sz w:val="32"/>
          <w:szCs w:val="32"/>
          <w:lang w:val="en-US" w:eastAsia="zh-CN"/>
        </w:rPr>
        <w:t>坚持</w:t>
      </w:r>
      <w:r>
        <w:rPr>
          <w:rFonts w:hint="default" w:ascii="Times New Roman" w:hAnsi="Times New Roman" w:eastAsia="仿宋_GB2312" w:cs="Times New Roman"/>
          <w:b/>
          <w:bCs/>
          <w:sz w:val="32"/>
          <w:szCs w:val="32"/>
        </w:rPr>
        <w:t>生态惠民，共建共享。</w:t>
      </w:r>
      <w:r>
        <w:rPr>
          <w:rFonts w:hint="default" w:ascii="Times New Roman" w:hAnsi="Times New Roman" w:eastAsia="仿宋_GB2312" w:cs="Times New Roman"/>
          <w:b w:val="0"/>
          <w:bCs w:val="0"/>
          <w:sz w:val="32"/>
          <w:szCs w:val="32"/>
        </w:rPr>
        <w:t>坚持以人民为中心，不断满足人民群众日益增长的美好生活需要，</w:t>
      </w:r>
      <w:r>
        <w:rPr>
          <w:rFonts w:hint="default" w:ascii="Times New Roman" w:hAnsi="Times New Roman" w:eastAsia="仿宋_GB2312" w:cs="Times New Roman"/>
          <w:sz w:val="32"/>
          <w:szCs w:val="32"/>
          <w:lang w:val="en-US" w:eastAsia="zh-CN"/>
        </w:rPr>
        <w:t>拓展城乡居民增收渠道，切实增强人民群众的获得感和幸福感，</w:t>
      </w:r>
      <w:r>
        <w:rPr>
          <w:rFonts w:hint="default" w:ascii="Times New Roman" w:hAnsi="Times New Roman" w:eastAsia="仿宋_GB2312" w:cs="Times New Roman"/>
          <w:sz w:val="32"/>
          <w:szCs w:val="32"/>
        </w:rPr>
        <w:t>推动生态产品价值实现，让老百姓共建、共享“两山”基地建设成果。</w:t>
      </w:r>
    </w:p>
    <w:p>
      <w:pPr>
        <w:keepNext w:val="0"/>
        <w:keepLines w:val="0"/>
        <w:pageBreakBefore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b/>
          <w:bCs/>
          <w:sz w:val="32"/>
          <w:szCs w:val="32"/>
          <w:lang w:val="en-US" w:eastAsia="zh-CN"/>
        </w:rPr>
        <w:t>坚持</w:t>
      </w:r>
      <w:r>
        <w:rPr>
          <w:rFonts w:hint="default" w:ascii="Times New Roman" w:hAnsi="Times New Roman" w:eastAsia="仿宋_GB2312" w:cs="Times New Roman"/>
          <w:b/>
          <w:bCs/>
          <w:sz w:val="32"/>
          <w:szCs w:val="32"/>
        </w:rPr>
        <w:t>创新引领，制度保障。</w:t>
      </w:r>
      <w:r>
        <w:rPr>
          <w:rFonts w:hint="default" w:ascii="Times New Roman" w:hAnsi="Times New Roman" w:eastAsia="仿宋_GB2312" w:cs="Times New Roman"/>
          <w:sz w:val="32"/>
          <w:szCs w:val="32"/>
        </w:rPr>
        <w:t>强化制度创新、科技创新、模式创新，探索建立“两山”基地建设的工作机制、管理机制、考核机制，形成持续推动“两山”转化的长效保障机制，激发“</w:t>
      </w:r>
      <w:r>
        <w:rPr>
          <w:rFonts w:hint="eastAsia" w:ascii="Times New Roman" w:hAnsi="Times New Roman" w:eastAsia="仿宋_GB2312" w:cs="Times New Roman"/>
          <w:sz w:val="32"/>
          <w:szCs w:val="32"/>
          <w:lang w:val="en-US" w:eastAsia="zh-CN"/>
        </w:rPr>
        <w:t>两山</w:t>
      </w:r>
      <w:r>
        <w:rPr>
          <w:rFonts w:hint="default" w:ascii="Times New Roman" w:hAnsi="Times New Roman" w:eastAsia="仿宋_GB2312" w:cs="Times New Roman"/>
          <w:sz w:val="32"/>
          <w:szCs w:val="32"/>
        </w:rPr>
        <w:t>”实践创新基地发展新动能。</w:t>
      </w:r>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eastAsia="楷体_GB2312"/>
          <w:b/>
          <w:bCs/>
          <w:sz w:val="32"/>
          <w:szCs w:val="32"/>
        </w:rPr>
      </w:pPr>
      <w:bookmarkStart w:id="53" w:name="_Toc6128"/>
      <w:r>
        <w:rPr>
          <w:rFonts w:eastAsia="楷体_GB2312"/>
          <w:b/>
          <w:bCs/>
          <w:sz w:val="32"/>
          <w:szCs w:val="32"/>
        </w:rPr>
        <w:t>（三）</w:t>
      </w:r>
      <w:r>
        <w:rPr>
          <w:rFonts w:hint="eastAsia" w:eastAsia="楷体_GB2312"/>
          <w:b/>
          <w:bCs/>
          <w:sz w:val="32"/>
          <w:szCs w:val="32"/>
        </w:rPr>
        <w:t>总体</w:t>
      </w:r>
      <w:r>
        <w:rPr>
          <w:rFonts w:eastAsia="楷体_GB2312"/>
          <w:b/>
          <w:bCs/>
          <w:sz w:val="32"/>
          <w:szCs w:val="32"/>
        </w:rPr>
        <w:t>目标</w:t>
      </w:r>
      <w:bookmarkEnd w:id="53"/>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全面贯彻落实习近平生态文明思想，围绕建成全国“</w:t>
      </w:r>
      <w:r>
        <w:rPr>
          <w:rFonts w:hint="eastAsia" w:ascii="Times New Roman" w:hAnsi="Times New Roman" w:eastAsia="仿宋_GB2312" w:cs="Times New Roman"/>
          <w:b w:val="0"/>
          <w:bCs w:val="0"/>
          <w:sz w:val="32"/>
          <w:szCs w:val="32"/>
          <w:lang w:val="en-US" w:eastAsia="zh-CN"/>
        </w:rPr>
        <w:t>两山</w:t>
      </w:r>
      <w:r>
        <w:rPr>
          <w:rFonts w:hint="default" w:ascii="Times New Roman" w:hAnsi="Times New Roman" w:eastAsia="仿宋_GB2312" w:cs="Times New Roman"/>
          <w:b w:val="0"/>
          <w:bCs w:val="0"/>
          <w:sz w:val="32"/>
          <w:szCs w:val="32"/>
        </w:rPr>
        <w:t>”实践创新基地的总体目标，因地制宜加强“两山”转化路径探索，创新制度实践，突出乡村振兴、全域旅游“两个重点”，推动生态优势源源不断地转化为发展</w:t>
      </w:r>
      <w:r>
        <w:rPr>
          <w:rFonts w:hint="eastAsia" w:ascii="Times New Roman" w:hAnsi="Times New Roman" w:eastAsia="仿宋_GB2312" w:cs="Times New Roman"/>
          <w:b w:val="0"/>
          <w:bCs w:val="0"/>
          <w:sz w:val="32"/>
          <w:szCs w:val="32"/>
          <w:lang w:val="en-US" w:eastAsia="zh-CN"/>
        </w:rPr>
        <w:t>胜</w:t>
      </w:r>
      <w:r>
        <w:rPr>
          <w:rFonts w:hint="default" w:ascii="Times New Roman" w:hAnsi="Times New Roman" w:eastAsia="仿宋_GB2312" w:cs="Times New Roman"/>
          <w:b w:val="0"/>
          <w:bCs w:val="0"/>
          <w:sz w:val="32"/>
          <w:szCs w:val="32"/>
        </w:rPr>
        <w:t>势，打造一批可复制、可推广的</w:t>
      </w:r>
      <w:r>
        <w:rPr>
          <w:rFonts w:hint="eastAsia" w:ascii="Times New Roman" w:hAnsi="Times New Roman" w:eastAsia="仿宋_GB2312" w:cs="Times New Roman"/>
          <w:b w:val="0"/>
          <w:bCs w:val="0"/>
          <w:sz w:val="32"/>
          <w:szCs w:val="32"/>
          <w:lang w:val="en-US" w:eastAsia="zh-CN"/>
        </w:rPr>
        <w:t>沂源</w:t>
      </w:r>
      <w:r>
        <w:rPr>
          <w:rFonts w:hint="default" w:ascii="Times New Roman" w:hAnsi="Times New Roman" w:eastAsia="仿宋_GB2312" w:cs="Times New Roman"/>
          <w:b w:val="0"/>
          <w:bCs w:val="0"/>
          <w:sz w:val="32"/>
          <w:szCs w:val="32"/>
        </w:rPr>
        <w:t>“两山”转化典型模式。</w:t>
      </w:r>
      <w:r>
        <w:rPr>
          <w:rFonts w:hint="eastAsia" w:ascii="Times New Roman" w:hAnsi="Times New Roman" w:eastAsia="仿宋_GB2312" w:cs="Times New Roman"/>
          <w:b w:val="0"/>
          <w:bCs w:val="0"/>
          <w:sz w:val="32"/>
          <w:szCs w:val="32"/>
          <w:lang w:val="en-US" w:eastAsia="zh-CN"/>
        </w:rPr>
        <w:t>到2025年，</w:t>
      </w:r>
      <w:r>
        <w:rPr>
          <w:rFonts w:hint="default" w:ascii="Times New Roman" w:hAnsi="Times New Roman" w:eastAsia="仿宋_GB2312" w:cs="Times New Roman"/>
          <w:b w:val="0"/>
          <w:bCs w:val="0"/>
          <w:sz w:val="32"/>
          <w:szCs w:val="32"/>
        </w:rPr>
        <w:t>生态环境质量持续改善，主要污染物排放总量持续减少，生态产品供给能力稳步提升，产业绿色发展格局趋于成熟，生产生活方式绿色转型成效显著，绿色发展理念深入人心，人民群众幸福感和获得感不断增强，“两山”实践创新探索取得丰硕成果</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到203</w:t>
      </w:r>
      <w:r>
        <w:rPr>
          <w:rFonts w:hint="eastAsia" w:ascii="Times New Roman" w:hAnsi="Times New Roman" w:eastAsia="仿宋_GB2312" w:cs="Times New Roman"/>
          <w:b w:val="0"/>
          <w:bCs w:val="0"/>
          <w:sz w:val="32"/>
          <w:szCs w:val="32"/>
          <w:lang w:val="en-US" w:eastAsia="zh-CN"/>
        </w:rPr>
        <w:t>0</w:t>
      </w:r>
      <w:r>
        <w:rPr>
          <w:rFonts w:hint="default" w:ascii="Times New Roman" w:hAnsi="Times New Roman" w:eastAsia="仿宋_GB2312" w:cs="Times New Roman"/>
          <w:b w:val="0"/>
          <w:bCs w:val="0"/>
          <w:sz w:val="32"/>
          <w:szCs w:val="32"/>
        </w:rPr>
        <w:t>年，</w:t>
      </w:r>
      <w:r>
        <w:rPr>
          <w:rFonts w:hint="eastAsia" w:ascii="Times New Roman" w:hAnsi="Times New Roman" w:eastAsia="仿宋_GB2312" w:cs="Times New Roman"/>
          <w:b w:val="0"/>
          <w:bCs w:val="0"/>
          <w:sz w:val="32"/>
          <w:szCs w:val="32"/>
          <w:lang w:val="en-US" w:eastAsia="zh-CN"/>
        </w:rPr>
        <w:t>沂源</w:t>
      </w:r>
      <w:r>
        <w:rPr>
          <w:rFonts w:hint="default" w:ascii="Times New Roman" w:hAnsi="Times New Roman" w:eastAsia="仿宋_GB2312" w:cs="Times New Roman"/>
          <w:b w:val="0"/>
          <w:bCs w:val="0"/>
          <w:sz w:val="32"/>
          <w:szCs w:val="32"/>
        </w:rPr>
        <w:t>县“两山”实践进一步取得突破性进展和标志性成果，实现良性循环、稳定共生的生态环境与社会经济体系，打造成区县级“两山”实践创新基地典范。</w:t>
      </w:r>
    </w:p>
    <w:p>
      <w:pPr>
        <w:keepNext w:val="0"/>
        <w:keepLines w:val="0"/>
        <w:pageBreakBefore w:val="0"/>
        <w:numPr>
          <w:ilvl w:val="0"/>
          <w:numId w:val="5"/>
        </w:numPr>
        <w:kinsoku/>
        <w:wordWrap/>
        <w:overflowPunct/>
        <w:topLinePunct w:val="0"/>
        <w:autoSpaceDE/>
        <w:autoSpaceDN/>
        <w:bidi w:val="0"/>
        <w:adjustRightInd w:val="0"/>
        <w:snapToGrid w:val="0"/>
        <w:spacing w:line="360" w:lineRule="auto"/>
        <w:textAlignment w:val="auto"/>
        <w:rPr>
          <w:rFonts w:eastAsia="楷体_GB2312"/>
          <w:b/>
          <w:bCs/>
          <w:sz w:val="32"/>
          <w:szCs w:val="32"/>
        </w:rPr>
      </w:pPr>
      <w:r>
        <w:rPr>
          <w:rFonts w:hint="eastAsia" w:eastAsia="楷体_GB2312"/>
          <w:b/>
          <w:bCs/>
          <w:sz w:val="32"/>
          <w:szCs w:val="32"/>
        </w:rPr>
        <w:t>建设指标</w:t>
      </w:r>
    </w:p>
    <w:p>
      <w:pPr>
        <w:keepNext w:val="0"/>
        <w:keepLines w:val="0"/>
        <w:pageBreakBefore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依据生态环境部《“绿水青山就是金山银山”实践创新基地建设管理规程（试行）》（环办生态函〔2021〕353号）》，围绕“构筑绿水青山”、“推动两山转化”、“建立长效机制”，构建</w:t>
      </w:r>
      <w:bookmarkStart w:id="54" w:name="_Hlk110526903"/>
      <w:r>
        <w:rPr>
          <w:rFonts w:hint="eastAsia" w:ascii="Times New Roman" w:hAnsi="Times New Roman" w:eastAsia="仿宋_GB2312" w:cs="Times New Roman"/>
          <w:b w:val="0"/>
          <w:bCs w:val="0"/>
          <w:sz w:val="32"/>
          <w:szCs w:val="32"/>
          <w:lang w:val="en-US" w:eastAsia="zh-CN"/>
        </w:rPr>
        <w:t>沂源县</w:t>
      </w:r>
      <w:r>
        <w:rPr>
          <w:rFonts w:hint="default" w:ascii="Times New Roman" w:hAnsi="Times New Roman" w:eastAsia="仿宋_GB2312" w:cs="Times New Roman"/>
          <w:b w:val="0"/>
          <w:bCs w:val="0"/>
          <w:sz w:val="32"/>
          <w:szCs w:val="32"/>
        </w:rPr>
        <w:t>“</w:t>
      </w:r>
      <w:r>
        <w:rPr>
          <w:rFonts w:hint="eastAsia" w:ascii="Times New Roman" w:hAnsi="Times New Roman" w:eastAsia="仿宋_GB2312" w:cs="Times New Roman"/>
          <w:b w:val="0"/>
          <w:bCs w:val="0"/>
          <w:sz w:val="32"/>
          <w:szCs w:val="32"/>
          <w:lang w:val="en-US" w:eastAsia="zh-CN"/>
        </w:rPr>
        <w:t>两山</w:t>
      </w:r>
      <w:r>
        <w:rPr>
          <w:rFonts w:hint="default" w:ascii="Times New Roman" w:hAnsi="Times New Roman" w:eastAsia="仿宋_GB2312" w:cs="Times New Roman"/>
          <w:b w:val="0"/>
          <w:bCs w:val="0"/>
          <w:sz w:val="32"/>
          <w:szCs w:val="32"/>
        </w:rPr>
        <w:t>”实践创新基地建设指标</w:t>
      </w:r>
      <w:bookmarkEnd w:id="54"/>
      <w:r>
        <w:rPr>
          <w:rFonts w:hint="default" w:ascii="Times New Roman" w:hAnsi="Times New Roman" w:eastAsia="仿宋_GB2312" w:cs="Times New Roman"/>
          <w:b w:val="0"/>
          <w:bCs w:val="0"/>
          <w:sz w:val="32"/>
          <w:szCs w:val="32"/>
        </w:rPr>
        <w:t>体系，如下表</w:t>
      </w:r>
      <w:r>
        <w:rPr>
          <w:rFonts w:hint="eastAsia" w:ascii="Times New Roman" w:hAnsi="Times New Roman" w:eastAsia="仿宋_GB2312" w:cs="Times New Roman"/>
          <w:b w:val="0"/>
          <w:bCs w:val="0"/>
          <w:sz w:val="32"/>
          <w:szCs w:val="32"/>
          <w:lang w:val="en-US" w:eastAsia="zh-CN"/>
        </w:rPr>
        <w:t>4-1</w:t>
      </w:r>
      <w:r>
        <w:rPr>
          <w:rFonts w:hint="default" w:ascii="Times New Roman" w:hAnsi="Times New Roman" w:eastAsia="仿宋_GB2312" w:cs="Times New Roman"/>
          <w:b w:val="0"/>
          <w:bCs w:val="0"/>
          <w:sz w:val="32"/>
          <w:szCs w:val="32"/>
        </w:rPr>
        <w:t>所示。</w:t>
      </w:r>
    </w:p>
    <w:p>
      <w:pPr>
        <w:adjustRightInd w:val="0"/>
        <w:snapToGrid w:val="0"/>
        <w:spacing w:line="360" w:lineRule="auto"/>
        <w:ind w:firstLine="480" w:firstLineChars="200"/>
        <w:jc w:val="center"/>
        <w:rPr>
          <w:rFonts w:hint="eastAsia" w:eastAsia="黑体"/>
          <w:bCs/>
          <w:sz w:val="24"/>
          <w:szCs w:val="28"/>
        </w:rPr>
      </w:pPr>
      <w:r>
        <w:rPr>
          <w:rFonts w:eastAsia="黑体"/>
          <w:bCs/>
          <w:sz w:val="24"/>
          <w:szCs w:val="28"/>
        </w:rPr>
        <w:t xml:space="preserve">表4-1  </w:t>
      </w:r>
      <w:r>
        <w:rPr>
          <w:rFonts w:hint="eastAsia" w:eastAsia="黑体"/>
          <w:bCs/>
          <w:sz w:val="24"/>
          <w:szCs w:val="28"/>
        </w:rPr>
        <w:t>沂源县“两山”实践创新基地建设指标体系</w:t>
      </w:r>
    </w:p>
    <w:tbl>
      <w:tblPr>
        <w:tblStyle w:val="17"/>
        <w:tblW w:w="10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972"/>
        <w:gridCol w:w="672"/>
        <w:gridCol w:w="738"/>
        <w:gridCol w:w="2350"/>
        <w:gridCol w:w="1337"/>
        <w:gridCol w:w="1363"/>
        <w:gridCol w:w="1350"/>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bookmarkStart w:id="55" w:name="_Hlk5615365"/>
            <w:r>
              <w:rPr>
                <w:rFonts w:hint="eastAsia"/>
                <w:b/>
                <w:sz w:val="21"/>
                <w:szCs w:val="21"/>
              </w:rPr>
              <w:t>目标层</w:t>
            </w:r>
          </w:p>
        </w:tc>
        <w:tc>
          <w:tcPr>
            <w:tcW w:w="672"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b/>
                <w:sz w:val="21"/>
                <w:szCs w:val="21"/>
              </w:rPr>
              <w:t>任务层</w:t>
            </w: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b/>
                <w:sz w:val="21"/>
                <w:szCs w:val="21"/>
              </w:rPr>
              <w:t>序号</w:t>
            </w:r>
          </w:p>
        </w:tc>
        <w:tc>
          <w:tcPr>
            <w:tcW w:w="2350"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b/>
                <w:sz w:val="21"/>
                <w:szCs w:val="21"/>
              </w:rPr>
              <w:t>指标层</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b/>
                <w:sz w:val="21"/>
                <w:szCs w:val="21"/>
              </w:rPr>
              <w:t>指标目标值</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b/>
                <w:sz w:val="21"/>
                <w:szCs w:val="21"/>
              </w:rPr>
            </w:pPr>
            <w:r>
              <w:rPr>
                <w:rFonts w:hint="eastAsia"/>
                <w:b/>
                <w:sz w:val="21"/>
                <w:szCs w:val="21"/>
              </w:rPr>
              <w:t>现状值</w:t>
            </w:r>
          </w:p>
          <w:p>
            <w:pPr>
              <w:keepNext w:val="0"/>
              <w:keepLines w:val="0"/>
              <w:suppressLineNumbers w:val="0"/>
              <w:snapToGrid w:val="0"/>
              <w:spacing w:before="0" w:beforeAutospacing="0" w:after="0" w:afterAutospacing="0"/>
              <w:ind w:left="0" w:right="0"/>
              <w:jc w:val="center"/>
              <w:rPr>
                <w:rFonts w:hint="eastAsia"/>
                <w:b/>
                <w:sz w:val="21"/>
                <w:szCs w:val="21"/>
              </w:rPr>
            </w:pPr>
            <w:r>
              <w:rPr>
                <w:rFonts w:hint="eastAsia"/>
                <w:b/>
                <w:sz w:val="21"/>
                <w:szCs w:val="21"/>
              </w:rPr>
              <w:t>（2022年）</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b/>
                <w:sz w:val="21"/>
                <w:szCs w:val="21"/>
              </w:rPr>
            </w:pPr>
            <w:r>
              <w:rPr>
                <w:rFonts w:hint="eastAsia"/>
                <w:b/>
                <w:sz w:val="21"/>
                <w:szCs w:val="21"/>
              </w:rPr>
              <w:t>2025年目标值</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sz w:val="21"/>
                <w:szCs w:val="21"/>
              </w:rPr>
            </w:pPr>
            <w:r>
              <w:rPr>
                <w:rFonts w:hint="eastAsia"/>
                <w:b/>
                <w:sz w:val="21"/>
                <w:szCs w:val="21"/>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restart"/>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构筑绿水青山</w:t>
            </w:r>
          </w:p>
        </w:tc>
        <w:tc>
          <w:tcPr>
            <w:tcW w:w="672" w:type="dxa"/>
            <w:vMerge w:val="restart"/>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环境质量</w:t>
            </w: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环境空气质量优良天数比例</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&gt;90%</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74.0%</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p>
        </w:tc>
        <w:tc>
          <w:tcPr>
            <w:tcW w:w="2088" w:type="dxa"/>
            <w:vAlign w:val="center"/>
          </w:tcPr>
          <w:p>
            <w:pPr>
              <w:keepNext w:val="0"/>
              <w:keepLines w:val="0"/>
              <w:suppressLineNumbers w:val="0"/>
              <w:snapToGrid w:val="0"/>
              <w:spacing w:before="0" w:beforeAutospacing="0" w:after="0" w:afterAutospacing="0"/>
              <w:ind w:left="0" w:right="0"/>
              <w:jc w:val="center"/>
              <w:rPr>
                <w:rFonts w:hint="eastAsia" w:eastAsia="宋体"/>
                <w:b w:val="0"/>
                <w:bCs/>
                <w:color w:val="auto"/>
                <w:sz w:val="21"/>
                <w:szCs w:val="21"/>
                <w:lang w:eastAsia="zh-CN"/>
              </w:rPr>
            </w:pPr>
            <w:r>
              <w:rPr>
                <w:rFonts w:hint="eastAsia"/>
                <w:b w:val="0"/>
                <w:bCs/>
                <w:color w:val="auto"/>
                <w:kern w:val="0"/>
                <w:sz w:val="21"/>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2</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集中式饮用水水源水质达标率</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100%</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sz w:val="21"/>
                <w:szCs w:val="21"/>
              </w:rPr>
              <w:t>100%</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100%</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eastAsia="宋体"/>
                <w:b w:val="0"/>
                <w:bCs/>
                <w:color w:val="auto"/>
                <w:sz w:val="21"/>
                <w:szCs w:val="21"/>
                <w:lang w:eastAsia="zh-CN"/>
              </w:rPr>
            </w:pPr>
            <w:r>
              <w:rPr>
                <w:rFonts w:hint="eastAsia"/>
                <w:b w:val="0"/>
                <w:bCs/>
                <w:color w:val="auto"/>
                <w:kern w:val="0"/>
                <w:sz w:val="21"/>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3</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地表水水质达到或优于III类水的比例</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&gt;90%</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80%</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&gt;90%</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eastAsia="宋体"/>
                <w:b w:val="0"/>
                <w:bCs/>
                <w:color w:val="auto"/>
                <w:sz w:val="21"/>
                <w:szCs w:val="21"/>
                <w:lang w:eastAsia="zh-CN"/>
              </w:rPr>
            </w:pPr>
            <w:r>
              <w:rPr>
                <w:rFonts w:hint="eastAsia"/>
                <w:b w:val="0"/>
                <w:bCs/>
                <w:color w:val="auto"/>
                <w:kern w:val="0"/>
                <w:sz w:val="21"/>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4</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地下水水质达到或优于III类水的比例</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sz w:val="21"/>
                <w:szCs w:val="21"/>
              </w:rPr>
              <w:t>100%</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lang w:eastAsia="zh-CN"/>
              </w:rPr>
              <w:t>生态环境局沂源分局</w:t>
            </w:r>
            <w:r>
              <w:rPr>
                <w:rFonts w:hint="eastAsia"/>
                <w:b w:val="0"/>
                <w:bCs/>
                <w:color w:val="auto"/>
                <w:kern w:val="0"/>
                <w:sz w:val="21"/>
                <w:szCs w:val="21"/>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5</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受污染耕地安全利用率</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&gt;95%</w:t>
            </w:r>
          </w:p>
        </w:tc>
        <w:tc>
          <w:tcPr>
            <w:tcW w:w="1363" w:type="dxa"/>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无污染地块</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&gt;95%</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eastAsia="宋体"/>
                <w:b w:val="0"/>
                <w:bCs/>
                <w:color w:val="auto"/>
                <w:sz w:val="21"/>
                <w:szCs w:val="21"/>
                <w:lang w:eastAsia="zh-CN"/>
              </w:rPr>
            </w:pPr>
            <w:r>
              <w:rPr>
                <w:rFonts w:hint="eastAsia"/>
                <w:b w:val="0"/>
                <w:bCs/>
                <w:color w:val="auto"/>
                <w:kern w:val="0"/>
                <w:sz w:val="21"/>
                <w:szCs w:val="21"/>
              </w:rPr>
              <w:t>农业农村局、</w:t>
            </w:r>
            <w:r>
              <w:rPr>
                <w:rFonts w:hint="eastAsia"/>
                <w:b w:val="0"/>
                <w:bCs/>
                <w:color w:val="auto"/>
                <w:kern w:val="0"/>
                <w:sz w:val="21"/>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6</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污染地块安全利用率</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&gt;95%</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lang w:val="en-US" w:eastAsia="zh-CN"/>
              </w:rPr>
              <w:t>无污染地块</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&gt;95%</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eastAsia="宋体"/>
                <w:b w:val="0"/>
                <w:bCs/>
                <w:color w:val="auto"/>
                <w:sz w:val="21"/>
                <w:szCs w:val="21"/>
                <w:lang w:eastAsia="zh-CN"/>
              </w:rPr>
            </w:pPr>
            <w:r>
              <w:rPr>
                <w:rFonts w:hint="eastAsia"/>
                <w:b w:val="0"/>
                <w:bCs/>
                <w:color w:val="auto"/>
                <w:kern w:val="0"/>
                <w:sz w:val="21"/>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restart"/>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生态状况</w:t>
            </w: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7</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林草覆盖率</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丘陵区&gt;40%</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lang w:val="en-US" w:eastAsia="zh-CN"/>
              </w:rPr>
              <w:t>64.1</w:t>
            </w:r>
            <w:r>
              <w:rPr>
                <w:rFonts w:hint="eastAsia"/>
                <w:sz w:val="21"/>
                <w:szCs w:val="21"/>
              </w:rPr>
              <w:t>%</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8</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物种丰富度</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ascii="Times New Roman" w:hAnsi="Times New Roman" w:eastAsia="宋体" w:cs="Times New Roman"/>
                <w:color w:val="000000"/>
                <w:sz w:val="21"/>
                <w:szCs w:val="21"/>
                <w:lang w:val="en-US" w:eastAsia="zh-CN"/>
              </w:rPr>
              <w:t>-</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9</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生态保护红线面积</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不减少</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不减少</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不减少</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10</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单位国土面积生态系统生产总值</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eastAsia="宋体"/>
                <w:sz w:val="21"/>
                <w:szCs w:val="21"/>
                <w:lang w:eastAsia="zh-CN"/>
              </w:rPr>
            </w:pPr>
            <w:r>
              <w:rPr>
                <w:rFonts w:hint="eastAsia" w:ascii="Times New Roman" w:hAnsi="Times New Roman" w:eastAsia="宋体" w:cs="Times New Roman"/>
                <w:color w:val="000000"/>
                <w:sz w:val="21"/>
                <w:szCs w:val="21"/>
                <w:lang w:val="en-US" w:eastAsia="zh-CN"/>
              </w:rPr>
              <w:t>-</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b/>
                <w:bCs/>
                <w:color w:val="C00000"/>
                <w:sz w:val="21"/>
                <w:szCs w:val="21"/>
              </w:rPr>
            </w:pPr>
            <w:r>
              <w:rPr>
                <w:rFonts w:hint="eastAsia"/>
                <w:sz w:val="21"/>
                <w:szCs w:val="21"/>
              </w:rPr>
              <w:t>稳定提高</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restart"/>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推动“两山”转化</w:t>
            </w:r>
          </w:p>
        </w:tc>
        <w:tc>
          <w:tcPr>
            <w:tcW w:w="672" w:type="dxa"/>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民生福祉</w:t>
            </w: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11</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居民人均生态产品产值占比</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highlight w:val="yellow"/>
              </w:rPr>
            </w:pPr>
            <w:r>
              <w:rPr>
                <w:rFonts w:hint="eastAsia"/>
                <w:color w:val="000000"/>
                <w:sz w:val="21"/>
                <w:szCs w:val="21"/>
              </w:rPr>
              <w:t>30.05%</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稳定提高</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rPr>
              <w:t>农业农村局、自然资源局、文旅局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restart"/>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生态经济</w:t>
            </w: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12</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绿色、有机农产品产值占农业总产值比重</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highlight w:val="yellow"/>
              </w:rPr>
            </w:pPr>
            <w:r>
              <w:rPr>
                <w:rFonts w:hint="eastAsia"/>
                <w:sz w:val="21"/>
                <w:szCs w:val="21"/>
              </w:rPr>
              <w:t>21.20%</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稳定提高</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13</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生态加工业产值占工业总产值比重</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highlight w:val="yellow"/>
              </w:rPr>
            </w:pPr>
            <w:r>
              <w:rPr>
                <w:rFonts w:hint="eastAsia"/>
                <w:color w:val="000000"/>
                <w:sz w:val="21"/>
                <w:szCs w:val="21"/>
              </w:rPr>
              <w:t>17.32%</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稳定提高</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rPr>
              <w:t>工信局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14</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生态旅游收入占服务业总产值比重</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highlight w:val="yellow"/>
              </w:rPr>
            </w:pPr>
            <w:r>
              <w:rPr>
                <w:rFonts w:hint="eastAsia"/>
                <w:color w:val="000000"/>
                <w:sz w:val="21"/>
                <w:szCs w:val="21"/>
              </w:rPr>
              <w:t>36.42%</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稳定提高</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rPr>
              <w:t>文旅局、工信局、发改局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生态补偿</w:t>
            </w: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15</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生态补偿类收入占财政总收入比重</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稳定提高</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highlight w:val="yellow"/>
              </w:rPr>
            </w:pPr>
            <w:r>
              <w:rPr>
                <w:rFonts w:hint="eastAsia"/>
                <w:color w:val="000000"/>
                <w:sz w:val="21"/>
                <w:szCs w:val="21"/>
              </w:rPr>
              <w:t>2.97%</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稳定提高</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kern w:val="0"/>
                <w:sz w:val="21"/>
                <w:szCs w:val="21"/>
              </w:rPr>
              <w:t>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restart"/>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生态效益</w:t>
            </w: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16</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国际国内生态文化品牌</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获得</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获得</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获得</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eastAsia="宋体"/>
                <w:b w:val="0"/>
                <w:bCs/>
                <w:color w:val="auto"/>
                <w:sz w:val="21"/>
                <w:szCs w:val="21"/>
                <w:lang w:eastAsia="zh-CN"/>
              </w:rPr>
            </w:pPr>
            <w:r>
              <w:rPr>
                <w:rFonts w:hint="eastAsia"/>
                <w:b w:val="0"/>
                <w:bCs/>
                <w:color w:val="auto"/>
                <w:kern w:val="0"/>
                <w:sz w:val="21"/>
                <w:szCs w:val="21"/>
              </w:rPr>
              <w:t>文旅局、农业农村局、自然资源局、</w:t>
            </w:r>
            <w:r>
              <w:rPr>
                <w:rFonts w:hint="eastAsia"/>
                <w:b w:val="0"/>
                <w:bCs/>
                <w:color w:val="auto"/>
                <w:kern w:val="0"/>
                <w:sz w:val="21"/>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17</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两山建设成效公众满意度</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&gt;95%</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eastAsia="宋体"/>
                <w:sz w:val="21"/>
                <w:szCs w:val="21"/>
                <w:lang w:val="en-US" w:eastAsia="zh-CN"/>
              </w:rPr>
            </w:pPr>
            <w:r>
              <w:rPr>
                <w:rFonts w:hint="eastAsia"/>
                <w:sz w:val="21"/>
                <w:szCs w:val="21"/>
                <w:lang w:val="en-US" w:eastAsia="zh-CN"/>
              </w:rPr>
              <w:t>-</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b/>
                <w:bCs/>
                <w:color w:val="C00000"/>
                <w:sz w:val="21"/>
                <w:szCs w:val="21"/>
              </w:rPr>
            </w:pPr>
            <w:r>
              <w:rPr>
                <w:rFonts w:hint="eastAsia"/>
                <w:sz w:val="21"/>
                <w:szCs w:val="21"/>
              </w:rPr>
              <w:t>&gt;95%</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eastAsia="宋体"/>
                <w:b w:val="0"/>
                <w:bCs/>
                <w:color w:val="auto"/>
                <w:sz w:val="21"/>
                <w:szCs w:val="21"/>
                <w:lang w:eastAsia="zh-CN"/>
              </w:rPr>
            </w:pPr>
            <w:r>
              <w:rPr>
                <w:rFonts w:hint="eastAsia"/>
                <w:b w:val="0"/>
                <w:bCs/>
                <w:color w:val="auto"/>
                <w:sz w:val="21"/>
                <w:szCs w:val="21"/>
              </w:rPr>
              <w:t>市统计局、</w:t>
            </w:r>
            <w:r>
              <w:rPr>
                <w:rFonts w:hint="eastAsia"/>
                <w:b w:val="0"/>
                <w:bCs/>
                <w:color w:val="auto"/>
                <w:sz w:val="21"/>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restart"/>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建立长效制度</w:t>
            </w:r>
          </w:p>
        </w:tc>
        <w:tc>
          <w:tcPr>
            <w:tcW w:w="672" w:type="dxa"/>
            <w:vMerge w:val="restart"/>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制度创新</w:t>
            </w: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18</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“两山”基地制度建设</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建立实施</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建立实施</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建立实施</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eastAsia="宋体"/>
                <w:b w:val="0"/>
                <w:bCs/>
                <w:color w:val="auto"/>
                <w:sz w:val="21"/>
                <w:szCs w:val="21"/>
                <w:lang w:eastAsia="zh-CN"/>
              </w:rPr>
            </w:pPr>
            <w:r>
              <w:rPr>
                <w:rStyle w:val="28"/>
                <w:rFonts w:hint="default"/>
                <w:b w:val="0"/>
                <w:bCs/>
                <w:color w:val="auto"/>
                <w:sz w:val="21"/>
                <w:szCs w:val="21"/>
              </w:rPr>
              <w:t>县府办、</w:t>
            </w:r>
            <w:r>
              <w:rPr>
                <w:rStyle w:val="28"/>
                <w:rFonts w:hint="eastAsia"/>
                <w:b w:val="0"/>
                <w:bCs/>
                <w:color w:val="auto"/>
                <w:sz w:val="21"/>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19</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生态产品市场化机制</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建立实施</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建立实施</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sz w:val="21"/>
                <w:szCs w:val="21"/>
              </w:rPr>
              <w:t>建立实施</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Style w:val="28"/>
                <w:rFonts w:hint="eastAsia"/>
                <w:b w:val="0"/>
                <w:bCs/>
                <w:color w:val="auto"/>
                <w:sz w:val="21"/>
                <w:szCs w:val="21"/>
                <w:lang w:eastAsia="zh-CN"/>
              </w:rPr>
              <w:t>生态环境局沂源分局</w:t>
            </w:r>
            <w:r>
              <w:rPr>
                <w:rStyle w:val="28"/>
                <w:rFonts w:hint="default"/>
                <w:b w:val="0"/>
                <w:bCs/>
                <w:color w:val="auto"/>
                <w:sz w:val="21"/>
                <w:szCs w:val="21"/>
              </w:rPr>
              <w:t>、发改局、水利局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cantSplit/>
          <w:jc w:val="center"/>
        </w:trPr>
        <w:tc>
          <w:tcPr>
            <w:tcW w:w="972"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p>
        </w:tc>
        <w:tc>
          <w:tcPr>
            <w:tcW w:w="672" w:type="dxa"/>
            <w:vAlign w:val="center"/>
          </w:tcPr>
          <w:p>
            <w:pPr>
              <w:keepNext w:val="0"/>
              <w:keepLines w:val="0"/>
              <w:suppressLineNumbers w:val="0"/>
              <w:snapToGrid w:val="0"/>
              <w:spacing w:before="0" w:beforeAutospacing="0" w:after="0" w:afterAutospacing="0"/>
              <w:ind w:left="0" w:right="0"/>
              <w:jc w:val="center"/>
              <w:rPr>
                <w:rFonts w:hint="eastAsia"/>
                <w:b/>
                <w:bCs/>
                <w:sz w:val="21"/>
                <w:szCs w:val="21"/>
              </w:rPr>
            </w:pPr>
            <w:r>
              <w:rPr>
                <w:rFonts w:hint="eastAsia"/>
                <w:b/>
                <w:bCs/>
                <w:sz w:val="21"/>
                <w:szCs w:val="21"/>
              </w:rPr>
              <w:t>资金保障</w:t>
            </w:r>
          </w:p>
        </w:tc>
        <w:tc>
          <w:tcPr>
            <w:tcW w:w="738"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20</w:t>
            </w:r>
          </w:p>
        </w:tc>
        <w:tc>
          <w:tcPr>
            <w:tcW w:w="2350" w:type="dxa"/>
            <w:vAlign w:val="center"/>
          </w:tcPr>
          <w:p>
            <w:pPr>
              <w:keepNext w:val="0"/>
              <w:keepLines w:val="0"/>
              <w:suppressLineNumbers w:val="0"/>
              <w:snapToGrid w:val="0"/>
              <w:spacing w:before="0" w:beforeAutospacing="0" w:after="0" w:afterAutospacing="0"/>
              <w:ind w:left="0" w:right="0"/>
              <w:rPr>
                <w:rFonts w:hint="eastAsia"/>
                <w:sz w:val="21"/>
                <w:szCs w:val="21"/>
              </w:rPr>
            </w:pPr>
            <w:r>
              <w:rPr>
                <w:rFonts w:hint="eastAsia"/>
                <w:sz w:val="21"/>
                <w:szCs w:val="21"/>
              </w:rPr>
              <w:t>生态环保投入占GDP比重</w:t>
            </w:r>
          </w:p>
        </w:tc>
        <w:tc>
          <w:tcPr>
            <w:tcW w:w="1337"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&gt;3%</w:t>
            </w:r>
          </w:p>
        </w:tc>
        <w:tc>
          <w:tcPr>
            <w:tcW w:w="1363"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1.00%</w:t>
            </w:r>
          </w:p>
        </w:tc>
        <w:tc>
          <w:tcPr>
            <w:tcW w:w="1350" w:type="dxa"/>
            <w:vAlign w:val="center"/>
          </w:tcPr>
          <w:p>
            <w:pPr>
              <w:keepNext w:val="0"/>
              <w:keepLines w:val="0"/>
              <w:suppressLineNumbers w:val="0"/>
              <w:snapToGrid w:val="0"/>
              <w:spacing w:before="0" w:beforeAutospacing="0" w:after="0" w:afterAutospacing="0"/>
              <w:ind w:left="0" w:right="0"/>
              <w:jc w:val="center"/>
              <w:rPr>
                <w:rFonts w:hint="eastAsia"/>
                <w:sz w:val="21"/>
                <w:szCs w:val="21"/>
              </w:rPr>
            </w:pPr>
            <w:r>
              <w:rPr>
                <w:rFonts w:hint="eastAsia"/>
                <w:sz w:val="21"/>
                <w:szCs w:val="21"/>
              </w:rPr>
              <w:t>&gt;3%</w:t>
            </w:r>
          </w:p>
        </w:tc>
        <w:tc>
          <w:tcPr>
            <w:tcW w:w="2088" w:type="dxa"/>
            <w:vAlign w:val="center"/>
          </w:tcPr>
          <w:p>
            <w:pPr>
              <w:keepNext w:val="0"/>
              <w:keepLines w:val="0"/>
              <w:suppressLineNumbers w:val="0"/>
              <w:snapToGrid w:val="0"/>
              <w:spacing w:before="0" w:beforeAutospacing="0" w:after="0" w:afterAutospacing="0"/>
              <w:ind w:left="0" w:right="0"/>
              <w:jc w:val="center"/>
              <w:rPr>
                <w:rFonts w:hint="eastAsia"/>
                <w:b w:val="0"/>
                <w:bCs/>
                <w:color w:val="auto"/>
                <w:sz w:val="21"/>
                <w:szCs w:val="21"/>
              </w:rPr>
            </w:pPr>
            <w:r>
              <w:rPr>
                <w:rFonts w:hint="eastAsia"/>
                <w:b w:val="0"/>
                <w:bCs/>
                <w:color w:val="auto"/>
                <w:sz w:val="21"/>
                <w:szCs w:val="21"/>
                <w:lang w:eastAsia="zh-CN"/>
              </w:rPr>
              <w:t>生态环境局沂源分局</w:t>
            </w:r>
            <w:r>
              <w:rPr>
                <w:rFonts w:hint="eastAsia"/>
                <w:b w:val="0"/>
                <w:bCs/>
                <w:color w:val="auto"/>
                <w:sz w:val="21"/>
                <w:szCs w:val="21"/>
              </w:rPr>
              <w:t>、自然资源局</w:t>
            </w:r>
          </w:p>
        </w:tc>
      </w:tr>
      <w:bookmarkEnd w:id="55"/>
    </w:tbl>
    <w:p>
      <w:pPr>
        <w:adjustRightInd w:val="0"/>
        <w:snapToGrid w:val="0"/>
        <w:spacing w:line="360" w:lineRule="auto"/>
        <w:rPr>
          <w:rFonts w:eastAsia="黑体"/>
          <w:bCs/>
          <w:sz w:val="24"/>
          <w:szCs w:val="28"/>
        </w:rPr>
      </w:pPr>
    </w:p>
    <w:p>
      <w:pPr>
        <w:adjustRightInd w:val="0"/>
        <w:snapToGrid w:val="0"/>
        <w:spacing w:line="360" w:lineRule="auto"/>
        <w:outlineLvl w:val="0"/>
        <w:rPr>
          <w:rFonts w:eastAsia="黑体"/>
          <w:sz w:val="32"/>
          <w:szCs w:val="32"/>
        </w:rPr>
      </w:pPr>
      <w:bookmarkStart w:id="56" w:name="_Toc20794"/>
      <w:bookmarkStart w:id="57" w:name="_Toc104480050"/>
      <w:r>
        <w:rPr>
          <w:rFonts w:eastAsia="黑体"/>
          <w:sz w:val="32"/>
          <w:szCs w:val="32"/>
        </w:rPr>
        <w:t>五、重点任务</w:t>
      </w:r>
      <w:bookmarkEnd w:id="56"/>
    </w:p>
    <w:bookmarkEnd w:id="57"/>
    <w:p>
      <w:pPr>
        <w:adjustRightInd w:val="0"/>
        <w:snapToGrid w:val="0"/>
        <w:spacing w:line="360" w:lineRule="auto"/>
        <w:outlineLvl w:val="1"/>
        <w:rPr>
          <w:rFonts w:eastAsia="黑体"/>
          <w:b/>
          <w:bCs/>
          <w:color w:val="C00000"/>
          <w:sz w:val="32"/>
          <w:szCs w:val="32"/>
        </w:rPr>
      </w:pPr>
      <w:bookmarkStart w:id="58" w:name="_Toc13398"/>
      <w:r>
        <w:rPr>
          <w:rFonts w:eastAsia="楷体_GB2312"/>
          <w:b/>
          <w:bCs/>
          <w:sz w:val="32"/>
          <w:szCs w:val="32"/>
        </w:rPr>
        <w:t>（一）</w:t>
      </w:r>
      <w:r>
        <w:rPr>
          <w:rFonts w:hint="eastAsia" w:eastAsia="楷体_GB2312"/>
          <w:b/>
          <w:bCs/>
          <w:sz w:val="32"/>
          <w:szCs w:val="32"/>
          <w:lang w:val="en-US" w:eastAsia="zh-CN"/>
        </w:rPr>
        <w:t>切实维护生态环境安全</w:t>
      </w:r>
      <w:r>
        <w:rPr>
          <w:rFonts w:eastAsia="楷体_GB2312"/>
          <w:b/>
          <w:bCs/>
          <w:sz w:val="32"/>
          <w:szCs w:val="32"/>
        </w:rPr>
        <w:t>，守好绿水青山</w:t>
      </w:r>
      <w:bookmarkEnd w:id="58"/>
    </w:p>
    <w:p>
      <w:pPr>
        <w:widowControl/>
        <w:adjustRightInd w:val="0"/>
        <w:snapToGrid w:val="0"/>
        <w:spacing w:line="360" w:lineRule="auto"/>
        <w:ind w:firstLine="640" w:firstLineChars="200"/>
        <w:outlineLvl w:val="9"/>
        <w:rPr>
          <w:rFonts w:hint="eastAsia" w:ascii="仿宋_GB2312" w:hAnsi="仿宋_GB2312" w:eastAsia="仿宋_GB2312" w:cs="仿宋_GB2312"/>
          <w:b w:val="0"/>
          <w:sz w:val="32"/>
          <w:szCs w:val="32"/>
          <w:lang w:val="en-US" w:eastAsia="zh-CN"/>
        </w:rPr>
      </w:pPr>
      <w:r>
        <w:rPr>
          <w:rFonts w:hint="eastAsia" w:ascii="仿宋_GB2312" w:hAnsi="仿宋_GB2312" w:eastAsia="仿宋_GB2312" w:cs="仿宋_GB2312"/>
          <w:b w:val="0"/>
          <w:sz w:val="32"/>
          <w:szCs w:val="32"/>
          <w:lang w:val="en-US" w:eastAsia="zh-CN"/>
        </w:rPr>
        <w:t>以</w:t>
      </w:r>
      <w:r>
        <w:rPr>
          <w:rFonts w:hint="eastAsia" w:ascii="仿宋_GB2312" w:hAnsi="仿宋_GB2312" w:eastAsia="仿宋_GB2312" w:cs="仿宋_GB2312"/>
          <w:b w:val="0"/>
          <w:bCs w:val="0"/>
          <w:sz w:val="32"/>
          <w:szCs w:val="32"/>
          <w:lang w:val="en-US" w:eastAsia="zh-CN"/>
        </w:rPr>
        <w:t>“优化国土空间格局-强化生态环境空间管控-提升生态系统服务功能”</w:t>
      </w:r>
      <w:r>
        <w:rPr>
          <w:rFonts w:hint="eastAsia" w:ascii="仿宋_GB2312" w:hAnsi="仿宋_GB2312" w:eastAsia="仿宋_GB2312" w:cs="仿宋_GB2312"/>
          <w:sz w:val="32"/>
          <w:szCs w:val="32"/>
        </w:rPr>
        <w:t>为重点，形成以生态系统良性循环和环境风险有效防控为重点的</w:t>
      </w:r>
      <w:r>
        <w:rPr>
          <w:rFonts w:hint="eastAsia" w:ascii="仿宋_GB2312" w:hAnsi="仿宋_GB2312" w:eastAsia="仿宋_GB2312" w:cs="仿宋_GB2312"/>
          <w:bCs w:val="0"/>
          <w:sz w:val="32"/>
          <w:szCs w:val="32"/>
          <w:lang w:val="en-US" w:eastAsia="zh-CN"/>
        </w:rPr>
        <w:t>生态环境安全</w:t>
      </w:r>
      <w:r>
        <w:rPr>
          <w:rFonts w:hint="eastAsia" w:ascii="仿宋_GB2312" w:hAnsi="仿宋_GB2312" w:eastAsia="仿宋_GB2312" w:cs="仿宋_GB2312"/>
          <w:sz w:val="32"/>
          <w:szCs w:val="32"/>
        </w:rPr>
        <w:t>体系，不断提升自然保护地体系建设和生物多样性保护水平，提升生态系统质量和稳定性。</w:t>
      </w:r>
    </w:p>
    <w:p>
      <w:pPr>
        <w:adjustRightInd w:val="0"/>
        <w:snapToGrid w:val="0"/>
        <w:spacing w:line="360" w:lineRule="auto"/>
        <w:ind w:firstLine="643" w:firstLineChars="200"/>
        <w:outlineLvl w:val="2"/>
        <w:rPr>
          <w:rFonts w:eastAsia="仿宋_GB2312"/>
          <w:b/>
          <w:sz w:val="32"/>
          <w:szCs w:val="32"/>
        </w:rPr>
      </w:pPr>
      <w:bookmarkStart w:id="59" w:name="_Toc30659"/>
      <w:r>
        <w:rPr>
          <w:rFonts w:hint="eastAsia" w:eastAsia="仿宋_GB2312"/>
          <w:b/>
          <w:sz w:val="32"/>
          <w:szCs w:val="32"/>
          <w:lang w:val="en-US" w:eastAsia="zh-CN"/>
        </w:rPr>
        <w:t>1</w:t>
      </w:r>
      <w:r>
        <w:rPr>
          <w:rFonts w:hint="eastAsia" w:eastAsia="仿宋_GB2312"/>
          <w:b/>
          <w:sz w:val="32"/>
          <w:szCs w:val="32"/>
        </w:rPr>
        <w:t>.统筹优化国土空间格局</w:t>
      </w:r>
      <w:bookmarkEnd w:id="59"/>
    </w:p>
    <w:p>
      <w:pPr>
        <w:keepNext w:val="0"/>
        <w:keepLines w:val="0"/>
        <w:widowControl/>
        <w:suppressLineNumbers w:val="0"/>
        <w:adjustRightInd w:val="0"/>
        <w:snapToGrid w:val="0"/>
        <w:spacing w:before="0" w:beforeAutospacing="0" w:after="0" w:afterAutospacing="0" w:line="360" w:lineRule="auto"/>
        <w:ind w:left="0" w:right="0"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巩固“一源两屏、一核一心、三轴五片多点”生态安全格局。</w:t>
      </w:r>
      <w:r>
        <w:rPr>
          <w:rFonts w:hint="eastAsia" w:ascii="仿宋_GB2312" w:hAnsi="仿宋_GB2312" w:eastAsia="仿宋_GB2312" w:cs="仿宋_GB2312"/>
          <w:sz w:val="32"/>
          <w:szCs w:val="32"/>
          <w:lang w:val="en-US" w:eastAsia="zh-CN"/>
        </w:rPr>
        <w:t>巩固以“沂河源头”为“一源”，以北部、南部生态屏障为“两屏”，以县城为核心发展区，以东里镇县域发展副中心，以县域产业发展主轴、地上银河景观副轴、农业发展副轴为“三轴”，以鲁山溶洞、牛郎织女初心家园景区、唐山景区、洋三峪等乡村、桃花源田园综合体为核心的特色片区，以多个特色城镇、美丽乡村和特色景区节点为“多点”的生态安全格局。筑牢生产空间集约高效、生活空间宜居适度、生态空间山清水秀的生态安全屏障。</w:t>
      </w:r>
    </w:p>
    <w:p>
      <w:pPr>
        <w:keepNext w:val="0"/>
        <w:keepLines w:val="0"/>
        <w:widowControl/>
        <w:suppressLineNumbers w:val="0"/>
        <w:adjustRightInd w:val="0"/>
        <w:snapToGrid w:val="0"/>
        <w:spacing w:before="0" w:beforeAutospacing="0" w:after="0" w:afterAutospacing="0" w:line="360" w:lineRule="auto"/>
        <w:ind w:left="0" w:right="0" w:firstLine="643" w:firstLineChars="200"/>
        <w:rPr>
          <w:rFonts w:hint="eastAsia" w:ascii="仿宋_GB2312" w:hAnsi="仿宋_GB2312" w:eastAsia="仿宋_GB2312" w:cs="仿宋_GB2312"/>
          <w:sz w:val="32"/>
          <w:szCs w:val="32"/>
          <w:highlight w:val="none"/>
          <w:lang w:val="en-US" w:eastAsia="zh-CN"/>
        </w:rPr>
      </w:pPr>
      <w:r>
        <w:rPr>
          <w:rFonts w:hint="eastAsia" w:ascii="仿宋_GB2312" w:eastAsia="仿宋_GB2312" w:cs="仿宋_GB2312"/>
          <w:b/>
          <w:bCs/>
          <w:sz w:val="32"/>
          <w:szCs w:val="32"/>
          <w:highlight w:val="none"/>
          <w:shd w:val="clear" w:fill="FFFFFF"/>
          <w:lang w:val="en-US" w:eastAsia="zh-CN"/>
        </w:rPr>
        <w:t>推进完善主体功能区建设。</w:t>
      </w:r>
      <w:r>
        <w:rPr>
          <w:rFonts w:hint="eastAsia" w:ascii="仿宋_GB2312" w:hAnsi="仿宋_GB2312" w:eastAsia="仿宋_GB2312" w:cs="仿宋_GB2312"/>
          <w:sz w:val="32"/>
          <w:szCs w:val="32"/>
          <w:highlight w:val="none"/>
          <w:lang w:val="en-US" w:eastAsia="zh-CN"/>
        </w:rPr>
        <w:t>统筹县域，以聚促变，做强做大中心城区，增强中心城区综合承载能力和资源优化配置能力，提高其辐射带动作用。结合城中村改造、市政基础设施建设及教育、医疗等资源布局，重点开发西部片区，依托天湖开发、游客接待中心等重点项目，全力打造全新的休闲旅游、养老养生聚集区。有序开发东部片区，打造联接经济开发区与主城区的高品质社区。深度开发北部片区，加快构建以沂邳线、康源路、人民路为基本框架的北部生态功能区。</w:t>
      </w:r>
    </w:p>
    <w:p>
      <w:pPr>
        <w:adjustRightInd w:val="0"/>
        <w:snapToGrid w:val="0"/>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全力勾画全域公园风景线。</w:t>
      </w:r>
      <w:r>
        <w:rPr>
          <w:rFonts w:hint="eastAsia" w:ascii="仿宋_GB2312" w:hAnsi="仿宋_GB2312" w:eastAsia="仿宋_GB2312" w:cs="仿宋_GB2312"/>
          <w:sz w:val="32"/>
          <w:szCs w:val="32"/>
          <w:highlight w:val="none"/>
          <w:lang w:val="en-US" w:eastAsia="zh-CN"/>
        </w:rPr>
        <w:t>打造依水而生的绿道系统，优化秀水花城体验。</w:t>
      </w:r>
      <w:r>
        <w:rPr>
          <w:rFonts w:hint="eastAsia" w:ascii="仿宋_GB2312" w:hAnsi="仿宋_GB2312" w:eastAsia="仿宋_GB2312" w:cs="仿宋_GB2312"/>
          <w:sz w:val="32"/>
          <w:szCs w:val="32"/>
          <w:lang w:val="en-US" w:eastAsia="zh-CN"/>
        </w:rPr>
        <w:t>托现有山水脉络、气象条件等，启动实施城北、城东区域大型城市公园建设，改造原有带状公园绿地，合理布局规划各类“拇指公园”，打造山水公园城市。</w:t>
      </w:r>
      <w:r>
        <w:rPr>
          <w:rFonts w:hint="eastAsia" w:ascii="仿宋_GB2312" w:hAnsi="仿宋_GB2312" w:eastAsia="仿宋_GB2312" w:cs="仿宋_GB2312"/>
          <w:sz w:val="32"/>
          <w:szCs w:val="32"/>
          <w:highlight w:val="none"/>
          <w:lang w:val="en-US" w:eastAsia="zh-CN"/>
        </w:rPr>
        <w:t>形成水岸景观绿道、城市林荫绿道、田园休闲绿道体系，城市开发建设需保证城市通风廊道及景观廊道的通畅性，水体及护坡周围严禁各类开发建设，严禁城市建设侵占各类蓝绿空间。</w:t>
      </w:r>
    </w:p>
    <w:p>
      <w:pPr>
        <w:adjustRightInd w:val="0"/>
        <w:snapToGrid w:val="0"/>
        <w:spacing w:line="360" w:lineRule="auto"/>
        <w:ind w:firstLine="643" w:firstLineChars="200"/>
        <w:outlineLvl w:val="2"/>
        <w:rPr>
          <w:rFonts w:hint="default" w:eastAsia="仿宋_GB2312"/>
          <w:b/>
          <w:sz w:val="32"/>
          <w:szCs w:val="32"/>
          <w:lang w:val="en-US" w:eastAsia="zh-CN"/>
        </w:rPr>
      </w:pPr>
      <w:bookmarkStart w:id="60" w:name="_Toc23085"/>
      <w:r>
        <w:rPr>
          <w:rFonts w:hint="eastAsia" w:eastAsia="仿宋_GB2312"/>
          <w:b/>
          <w:sz w:val="32"/>
          <w:szCs w:val="32"/>
          <w:lang w:val="en-US" w:eastAsia="zh-CN"/>
        </w:rPr>
        <w:t>2</w:t>
      </w:r>
      <w:r>
        <w:rPr>
          <w:rFonts w:hint="eastAsia" w:eastAsia="仿宋_GB2312"/>
          <w:b/>
          <w:sz w:val="32"/>
          <w:szCs w:val="32"/>
        </w:rPr>
        <w:t>.强化生态环境空间管控</w:t>
      </w:r>
      <w:bookmarkEnd w:id="60"/>
    </w:p>
    <w:p>
      <w:pPr>
        <w:adjustRightInd w:val="0"/>
        <w:snapToGrid w:val="0"/>
        <w:spacing w:line="360"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强化国土空间用途管制。</w:t>
      </w:r>
      <w:r>
        <w:rPr>
          <w:rFonts w:hint="eastAsia" w:ascii="仿宋_GB2312" w:hAnsi="仿宋_GB2312" w:eastAsia="仿宋_GB2312" w:cs="仿宋_GB2312"/>
          <w:sz w:val="32"/>
          <w:szCs w:val="32"/>
          <w:highlight w:val="none"/>
          <w:lang w:val="en-US" w:eastAsia="zh-CN"/>
        </w:rPr>
        <w:t>充分发挥国土空间规划体系在国土空间开发保护中的战略引领和刚性管控作用，统领各类空间利用。完善详细的规划体系，作为开展国土空间开发保护活动、实施国土空间用途管制、进行各项建设等的法定依据。明确城市保护与建设空间的布局与规模，防止城市无序蔓延。</w:t>
      </w:r>
    </w:p>
    <w:p>
      <w:pPr>
        <w:adjustRightInd w:val="0"/>
        <w:snapToGrid w:val="0"/>
        <w:spacing w:line="360" w:lineRule="auto"/>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严格落实永久基本农田保护任务。</w:t>
      </w:r>
      <w:r>
        <w:rPr>
          <w:rFonts w:hint="eastAsia" w:ascii="仿宋_GB2312" w:hAnsi="仿宋_GB2312" w:eastAsia="仿宋_GB2312" w:cs="仿宋_GB2312"/>
          <w:b w:val="0"/>
          <w:bCs w:val="0"/>
          <w:sz w:val="32"/>
          <w:szCs w:val="32"/>
          <w:lang w:val="en-US" w:eastAsia="zh-CN"/>
        </w:rPr>
        <w:t>严守耕地保护红线，落实耕地占补平衡和进出平衡制度，对已经划定的永久基本农田中，存在违法占用、严重污染等问题的进行全面梳理整改。</w:t>
      </w:r>
      <w:r>
        <w:rPr>
          <w:rFonts w:hint="eastAsia" w:ascii="仿宋_GB2312" w:hAnsi="仿宋_GB2312" w:eastAsia="仿宋_GB2312" w:cs="仿宋_GB2312"/>
          <w:sz w:val="32"/>
          <w:szCs w:val="32"/>
          <w:lang w:val="en-US" w:eastAsia="zh-CN"/>
        </w:rPr>
        <w:t>非农业建设不得“未批先建”。能源、交通、水利、军事设施等重大建设项目选址确实难以避让永久基本农田的,经依法批准，应在落实耕地占补平衡基础上,按照数量不减、质量不降原则，在可以长期稳定利用的耕地上落实永久基本农田补划任务。</w:t>
      </w:r>
    </w:p>
    <w:p>
      <w:pPr>
        <w:adjustRightInd w:val="0"/>
        <w:snapToGrid w:val="0"/>
        <w:spacing w:line="360" w:lineRule="auto"/>
        <w:ind w:firstLine="643" w:firstLineChars="200"/>
      </w:pPr>
      <w:r>
        <w:rPr>
          <w:rFonts w:hint="default" w:ascii="仿宋_GB2312" w:hAnsi="仿宋_GB2312" w:eastAsia="仿宋_GB2312" w:cs="仿宋_GB2312"/>
          <w:b/>
          <w:bCs/>
          <w:sz w:val="32"/>
          <w:szCs w:val="32"/>
          <w:lang w:val="en-US" w:eastAsia="zh-CN"/>
        </w:rPr>
        <w:t>科学优化调整生态保护红线</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val="0"/>
          <w:bCs w:val="0"/>
          <w:sz w:val="32"/>
          <w:szCs w:val="32"/>
          <w:lang w:val="en-US" w:eastAsia="zh-CN"/>
        </w:rPr>
        <w:t>坚持“山水林田湖草是一个生命共同体”的理念，落实生态保护红线制度，将生态保护红线作为空间规划等各类规划编制的基础，发挥其对于国土空间开发的底线作用。严格按照国家、省、市要求，有序开展了生态保护红线划定、优化和相关保护工作</w:t>
      </w:r>
      <w:r>
        <w:rPr>
          <w:rFonts w:hint="default" w:ascii="仿宋_GB2312" w:hAnsi="仿宋_GB2312" w:eastAsia="仿宋_GB2312" w:cs="仿宋_GB2312"/>
          <w:sz w:val="32"/>
          <w:szCs w:val="32"/>
          <w:lang w:val="en-US" w:eastAsia="zh-CN"/>
        </w:rPr>
        <w:t>。生态保护红线内自然保护地核心保护区外，禁止开发性、生产性建设活动，在符合法律法规的前提下，仅允许对生态功能不造成破坏的有限人为活动，自然保护地核心保护区内原则上禁止人为活动。</w:t>
      </w:r>
    </w:p>
    <w:p>
      <w:pPr>
        <w:pStyle w:val="2"/>
        <w:jc w:val="center"/>
      </w:pPr>
      <w:r>
        <w:drawing>
          <wp:inline distT="0" distB="0" distL="114300" distR="114300">
            <wp:extent cx="3263900" cy="34410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rcRect l="38027" t="967" b="1970"/>
                    <a:stretch>
                      <a:fillRect/>
                    </a:stretch>
                  </pic:blipFill>
                  <pic:spPr>
                    <a:xfrm>
                      <a:off x="0" y="0"/>
                      <a:ext cx="3263900" cy="3441065"/>
                    </a:xfrm>
                    <a:prstGeom prst="rect">
                      <a:avLst/>
                    </a:prstGeom>
                    <a:noFill/>
                    <a:ln>
                      <a:noFill/>
                    </a:ln>
                  </pic:spPr>
                </pic:pic>
              </a:graphicData>
            </a:graphic>
          </wp:inline>
        </w:drawing>
      </w:r>
    </w:p>
    <w:p>
      <w:pPr>
        <w:pStyle w:val="2"/>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rPr>
          <w:rFonts w:hint="default" w:ascii="黑体" w:hAnsi="黑体" w:eastAsia="黑体" w:cs="Times New Roman"/>
          <w:sz w:val="28"/>
          <w:szCs w:val="28"/>
          <w:lang w:val="en-US" w:eastAsia="zh-CN"/>
        </w:rPr>
      </w:pPr>
      <w:r>
        <w:rPr>
          <w:rFonts w:hint="default" w:ascii="黑体" w:hAnsi="黑体" w:eastAsia="黑体" w:cs="Times New Roman"/>
          <w:sz w:val="28"/>
          <w:szCs w:val="28"/>
          <w:lang w:val="en-US" w:eastAsia="zh-CN"/>
        </w:rPr>
        <w:t>图5-1 生态保护红线图</w:t>
      </w:r>
    </w:p>
    <w:p>
      <w:pPr>
        <w:adjustRightInd w:val="0"/>
        <w:snapToGrid w:val="0"/>
        <w:spacing w:line="360" w:lineRule="auto"/>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科学确定城镇开发强度。</w:t>
      </w:r>
      <w:r>
        <w:rPr>
          <w:rFonts w:hint="eastAsia" w:ascii="仿宋_GB2312" w:hAnsi="仿宋_GB2312" w:eastAsia="仿宋_GB2312" w:cs="仿宋_GB2312"/>
          <w:sz w:val="32"/>
          <w:szCs w:val="32"/>
          <w:highlight w:val="none"/>
          <w:lang w:val="en-US" w:eastAsia="zh-CN"/>
        </w:rPr>
        <w:t>严格</w:t>
      </w:r>
      <w:r>
        <w:rPr>
          <w:rFonts w:hint="default" w:ascii="仿宋_GB2312" w:hAnsi="仿宋_GB2312" w:eastAsia="仿宋_GB2312" w:cs="仿宋_GB2312"/>
          <w:sz w:val="32"/>
          <w:szCs w:val="32"/>
          <w:highlight w:val="none"/>
          <w:lang w:val="en-US" w:eastAsia="zh-CN"/>
        </w:rPr>
        <w:t>在城镇开发边界内建设，</w:t>
      </w:r>
      <w:r>
        <w:rPr>
          <w:rFonts w:hint="default" w:ascii="仿宋_GB2312" w:hAnsi="仿宋_GB2312" w:eastAsia="仿宋_GB2312" w:cs="仿宋_GB2312"/>
          <w:sz w:val="32"/>
          <w:szCs w:val="32"/>
          <w:lang w:val="en-US" w:eastAsia="zh-CN"/>
        </w:rPr>
        <w:t>实行“详细规划+规划许可”的管制方式，并加强与水体保护线、绿地系统线、基础设施建设控制线、历史文化保护线等控制线的协同管控。在城镇开发边界外进行建设的项目，应符合有关国土空间规划和用途管制要求，实行“指标约束+清单准入+程序审批”和“详细规划+规划许可”的管制方式。严格管理城镇开发边界，不得以任何形式变相扩大城镇开发边界。</w:t>
      </w:r>
      <w:r>
        <w:rPr>
          <w:rFonts w:hint="eastAsia" w:ascii="仿宋_GB2312" w:hAnsi="仿宋_GB2312" w:eastAsia="仿宋_GB2312" w:cs="仿宋_GB2312"/>
          <w:sz w:val="32"/>
          <w:szCs w:val="32"/>
          <w:lang w:val="en-US" w:eastAsia="zh-CN"/>
        </w:rPr>
        <w:t>提高城镇土地利用效率、建成区人口密度，划定城镇开发边界，从严供给城市建设用地，推动城镇化发展由外延扩张式向内涵提升式转变。</w:t>
      </w:r>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严格产业准入负面清单制度。</w:t>
      </w:r>
      <w:r>
        <w:rPr>
          <w:rFonts w:hint="default" w:ascii="仿宋_GB2312" w:hAnsi="仿宋_GB2312" w:eastAsia="仿宋_GB2312" w:cs="仿宋_GB2312"/>
          <w:sz w:val="32"/>
          <w:szCs w:val="32"/>
          <w:lang w:val="en-US" w:eastAsia="zh-CN"/>
        </w:rPr>
        <w:t>以产业准入负面清单为抓手，科学把握区域生态运转和发展规律，用严格、精细、规范的准入管理把握沂源发展大局，因地制宜引导产业发展，统筹经济发展和环境保护，不断提高生态产品供给能力和生态安全保障能力。严把新上项目环境“准入关”。坚持新上项目向经济开发区聚集，加快推进既有工业企业向经济开发区转移集中，重点发展新医药、新材料和电子信息等环保型主导产业。禁止新增高耗能、高污染行业产能。通过严格产业准入和污染源头控制，倒逼企业转方式、调结构，倒逼产业转型升级。</w:t>
      </w:r>
    </w:p>
    <w:p>
      <w:pPr>
        <w:adjustRightInd w:val="0"/>
        <w:snapToGrid w:val="0"/>
        <w:spacing w:line="360" w:lineRule="auto"/>
        <w:ind w:firstLine="643" w:firstLineChars="200"/>
        <w:outlineLvl w:val="2"/>
        <w:rPr>
          <w:rFonts w:hint="eastAsia" w:eastAsia="仿宋_GB2312"/>
          <w:b/>
          <w:sz w:val="32"/>
          <w:szCs w:val="32"/>
        </w:rPr>
      </w:pPr>
      <w:bookmarkStart w:id="61" w:name="_Toc5133"/>
      <w:r>
        <w:rPr>
          <w:rFonts w:hint="eastAsia" w:eastAsia="仿宋_GB2312"/>
          <w:b/>
          <w:sz w:val="32"/>
          <w:szCs w:val="32"/>
          <w:lang w:val="en-US" w:eastAsia="zh-CN"/>
        </w:rPr>
        <w:t>3</w:t>
      </w:r>
      <w:r>
        <w:rPr>
          <w:rFonts w:eastAsia="仿宋_GB2312"/>
          <w:b/>
          <w:sz w:val="32"/>
          <w:szCs w:val="32"/>
        </w:rPr>
        <w:t>.</w:t>
      </w:r>
      <w:r>
        <w:rPr>
          <w:rFonts w:hint="eastAsia" w:eastAsia="仿宋_GB2312"/>
          <w:b/>
          <w:sz w:val="32"/>
          <w:szCs w:val="32"/>
        </w:rPr>
        <w:t>全面提升生态系统服务功能</w:t>
      </w:r>
      <w:bookmarkEnd w:id="61"/>
    </w:p>
    <w:p>
      <w:pPr>
        <w:adjustRightInd w:val="0"/>
        <w:snapToGrid w:val="0"/>
        <w:spacing w:line="360" w:lineRule="auto"/>
        <w:ind w:firstLine="643"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保障森林资源安全。</w:t>
      </w:r>
      <w:r>
        <w:rPr>
          <w:rFonts w:hint="eastAsia" w:ascii="仿宋_GB2312" w:hAnsi="仿宋_GB2312" w:eastAsia="仿宋_GB2312" w:cs="仿宋_GB2312"/>
          <w:b w:val="0"/>
          <w:bCs w:val="0"/>
          <w:sz w:val="32"/>
          <w:szCs w:val="32"/>
          <w:lang w:val="en-US" w:eastAsia="zh-CN"/>
        </w:rPr>
        <w:t>积极推进沂源国家储备林建设项目，大力实施村庄绿化提升行动，积极申报国家森林乡村和省市级森林镇、森林村（居）。</w:t>
      </w:r>
      <w:r>
        <w:rPr>
          <w:rFonts w:hint="default" w:ascii="仿宋_GB2312" w:hAnsi="仿宋_GB2312" w:eastAsia="仿宋_GB2312" w:cs="仿宋_GB2312"/>
          <w:sz w:val="32"/>
          <w:szCs w:val="32"/>
          <w:lang w:val="en-US" w:eastAsia="zh-CN"/>
        </w:rPr>
        <w:t>开展森林抚育、绿化造林工程，重点建设南鲁山镇等镇</w:t>
      </w:r>
      <w:r>
        <w:rPr>
          <w:rFonts w:hint="eastAsia" w:ascii="仿宋_GB2312" w:hAnsi="仿宋_GB2312" w:eastAsia="仿宋_GB2312" w:cs="仿宋_GB2312"/>
          <w:sz w:val="32"/>
          <w:szCs w:val="32"/>
          <w:lang w:val="en-US" w:eastAsia="zh-CN"/>
        </w:rPr>
        <w:t>国土绿化工程，推进山体绿化提升，突出生态涵养功能和绿色发展方向，加强森林资源管护，全面提升山区森林质量，强化生态涵养功能。加强森林防火工作，完善森林防火基础设施建设，扎实开展林业有害生物防治工作，全力保护森林资源和生态建设成果。</w:t>
      </w:r>
    </w:p>
    <w:p>
      <w:pPr>
        <w:adjustRightInd w:val="0"/>
        <w:snapToGrid w:val="0"/>
        <w:spacing w:line="360" w:lineRule="auto"/>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实施</w:t>
      </w:r>
      <w:r>
        <w:rPr>
          <w:rFonts w:hint="default" w:ascii="仿宋_GB2312" w:hAnsi="仿宋_GB2312" w:eastAsia="仿宋_GB2312" w:cs="仿宋_GB2312"/>
          <w:b/>
          <w:bCs/>
          <w:sz w:val="32"/>
          <w:szCs w:val="32"/>
          <w:lang w:val="en-US" w:eastAsia="zh-CN"/>
        </w:rPr>
        <w:t>矿山生态修复工作</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sz w:val="32"/>
          <w:szCs w:val="32"/>
          <w:lang w:val="en-US" w:eastAsia="zh-CN"/>
        </w:rPr>
        <w:t>开展南鲁山镇、南麻街道、鲁村镇等历史遗留废弃矿山生态修复项目，实施全县已关闭露天矿山综合利用工程。严格矿山准入条件，</w:t>
      </w:r>
      <w:r>
        <w:rPr>
          <w:rFonts w:hint="eastAsia" w:eastAsia="仿宋_GB2312" w:cs="仿宋_GB2312"/>
          <w:sz w:val="32"/>
          <w:szCs w:val="32"/>
        </w:rPr>
        <w:t>坚持源头预防，</w:t>
      </w:r>
      <w:r>
        <w:rPr>
          <w:rFonts w:hint="eastAsia" w:ascii="仿宋_GB2312" w:hAnsi="仿宋_GB2312" w:eastAsia="仿宋_GB2312" w:cs="仿宋_GB2312"/>
          <w:sz w:val="32"/>
          <w:szCs w:val="32"/>
          <w:lang w:val="en-US" w:eastAsia="zh-CN"/>
        </w:rPr>
        <w:t>按照“谁开发谁保护、谁破坏谁治理、谁投资谁受益”原则，开展矿山生态修复，形成绿色矿山格局。协调发展资源开发与矿山环境保护，明显提高矿山“三废”处理率、综合利用率明显，达到国家和省确定的环境保护标准。</w:t>
      </w:r>
    </w:p>
    <w:p>
      <w:pPr>
        <w:pStyle w:val="2"/>
        <w:ind w:firstLine="643" w:firstLineChars="200"/>
        <w:rPr>
          <w:rFonts w:hint="eastAsia" w:eastAsia="仿宋_GB2312"/>
          <w:bCs/>
          <w:sz w:val="32"/>
          <w:szCs w:val="32"/>
        </w:rPr>
      </w:pPr>
      <w:r>
        <w:rPr>
          <w:rFonts w:eastAsia="仿宋_GB2312"/>
          <w:b/>
          <w:bCs w:val="0"/>
          <w:sz w:val="32"/>
          <w:szCs w:val="32"/>
        </w:rPr>
        <w:t>强化水土流失综合治理</w:t>
      </w:r>
      <w:r>
        <w:rPr>
          <w:rFonts w:hint="eastAsia" w:eastAsia="仿宋_GB2312"/>
          <w:b/>
          <w:bCs w:val="0"/>
          <w:sz w:val="32"/>
          <w:szCs w:val="32"/>
          <w:lang w:eastAsia="zh-CN"/>
        </w:rPr>
        <w:t>。</w:t>
      </w:r>
      <w:r>
        <w:rPr>
          <w:rFonts w:hint="eastAsia" w:eastAsia="仿宋_GB2312"/>
          <w:b w:val="0"/>
          <w:bCs/>
          <w:sz w:val="32"/>
          <w:szCs w:val="32"/>
          <w:lang w:eastAsia="zh-CN"/>
        </w:rPr>
        <w:t>推进荒山、荒沟整治修复，加强山体植被恢复，增加植物多样性，构建生态群落稳定、景观自然的生态环境。建成水土流失综合防治体系，</w:t>
      </w:r>
      <w:r>
        <w:rPr>
          <w:rFonts w:hint="eastAsia" w:eastAsia="仿宋_GB2312"/>
          <w:bCs/>
          <w:sz w:val="32"/>
          <w:szCs w:val="32"/>
        </w:rPr>
        <w:t>加强小流域水土流失预防与综合治理，开展沂源中部及东部区域曹家庄、雕崖、红旗水库、神清宫、韩庄河、长旺等小流域的水土流失综合治理工程，保土蓄水，改善水源质量，减少入河入库泥沙。</w:t>
      </w:r>
    </w:p>
    <w:p>
      <w:pPr>
        <w:pStyle w:val="2"/>
        <w:ind w:firstLine="643" w:firstLineChars="200"/>
        <w:rPr>
          <w:rFonts w:hint="default" w:eastAsia="仿宋_GB2312"/>
          <w:bCs/>
          <w:sz w:val="32"/>
          <w:szCs w:val="32"/>
          <w:lang w:val="en-US" w:eastAsia="zh-CN"/>
        </w:rPr>
      </w:pPr>
      <w:r>
        <w:rPr>
          <w:rFonts w:hint="eastAsia" w:eastAsia="仿宋_GB2312"/>
          <w:b/>
          <w:bCs w:val="0"/>
          <w:sz w:val="32"/>
          <w:szCs w:val="32"/>
          <w:lang w:val="en-US" w:eastAsia="zh-CN"/>
        </w:rPr>
        <w:t>维护生物多样性稳定提升。</w:t>
      </w:r>
      <w:r>
        <w:rPr>
          <w:rFonts w:hint="eastAsia" w:eastAsia="仿宋_GB2312"/>
          <w:bCs/>
          <w:sz w:val="32"/>
          <w:szCs w:val="32"/>
        </w:rPr>
        <w:t>做好野生动物宣传保护工作</w:t>
      </w:r>
      <w:r>
        <w:rPr>
          <w:rFonts w:hint="eastAsia" w:eastAsia="仿宋_GB2312"/>
          <w:bCs/>
          <w:sz w:val="32"/>
          <w:szCs w:val="32"/>
          <w:lang w:eastAsia="zh-CN"/>
        </w:rPr>
        <w:t>，</w:t>
      </w:r>
      <w:r>
        <w:rPr>
          <w:rFonts w:hint="default" w:ascii="仿宋_GB2312" w:hAnsi="仿宋_GB2312" w:eastAsia="仿宋_GB2312" w:cs="仿宋_GB2312"/>
          <w:sz w:val="32"/>
          <w:szCs w:val="32"/>
          <w:lang w:val="en-US" w:eastAsia="zh-CN"/>
        </w:rPr>
        <w:t>加大珍稀濒危野生动植物保护拯救力度，</w:t>
      </w:r>
      <w:r>
        <w:rPr>
          <w:rFonts w:hint="eastAsia" w:eastAsia="仿宋_GB2312"/>
          <w:bCs/>
          <w:sz w:val="32"/>
          <w:szCs w:val="32"/>
        </w:rPr>
        <w:t>开展打击破坏野生动物资源违法专项行动。</w:t>
      </w:r>
      <w:r>
        <w:rPr>
          <w:rFonts w:hint="default" w:ascii="仿宋_GB2312" w:hAnsi="仿宋_GB2312" w:eastAsia="仿宋_GB2312" w:cs="仿宋_GB2312"/>
          <w:sz w:val="32"/>
          <w:szCs w:val="32"/>
          <w:lang w:val="en-US" w:eastAsia="zh-CN"/>
        </w:rPr>
        <w:t>严格外来入侵物种防控，</w:t>
      </w:r>
      <w:r>
        <w:rPr>
          <w:rFonts w:hint="eastAsia" w:eastAsia="仿宋_GB2312"/>
          <w:bCs/>
          <w:sz w:val="32"/>
          <w:szCs w:val="32"/>
        </w:rPr>
        <w:t>坚持预防为主，防控结合的原则</w:t>
      </w:r>
      <w:r>
        <w:rPr>
          <w:rFonts w:hint="eastAsia" w:eastAsia="仿宋_GB2312"/>
          <w:bCs/>
          <w:sz w:val="32"/>
          <w:szCs w:val="32"/>
          <w:lang w:eastAsia="zh-CN"/>
        </w:rPr>
        <w:t>，保护生物多样性。</w:t>
      </w:r>
      <w:r>
        <w:rPr>
          <w:rFonts w:hint="eastAsia" w:eastAsia="仿宋_GB2312"/>
          <w:bCs/>
          <w:sz w:val="32"/>
          <w:szCs w:val="32"/>
        </w:rPr>
        <w:t>加强检疫，开展风险评估和监测预警，增强防范能力，从源头控制入手，防止林业重大有害生物和外来入侵生物的扩散和蔓延</w:t>
      </w:r>
      <w:r>
        <w:rPr>
          <w:rFonts w:hint="eastAsia" w:eastAsia="仿宋_GB2312"/>
          <w:bCs/>
          <w:sz w:val="32"/>
          <w:szCs w:val="32"/>
          <w:lang w:eastAsia="zh-CN"/>
        </w:rPr>
        <w:t>。</w:t>
      </w:r>
      <w:r>
        <w:rPr>
          <w:rFonts w:hint="eastAsia" w:eastAsia="仿宋_GB2312"/>
          <w:bCs/>
          <w:sz w:val="32"/>
          <w:szCs w:val="32"/>
        </w:rPr>
        <w:t>建立处置突发事件的快速反应机制，确保及时、有效处置林业重大有害生物和外来生物入侵突发事件。</w:t>
      </w:r>
    </w:p>
    <w:p>
      <w:pPr>
        <w:adjustRightInd w:val="0"/>
        <w:snapToGrid w:val="0"/>
        <w:spacing w:line="360" w:lineRule="auto"/>
        <w:ind w:firstLine="643" w:firstLineChars="200"/>
        <w:rPr>
          <w:rFonts w:hint="default" w:eastAsia="仿宋_GB2312"/>
          <w:bCs/>
          <w:sz w:val="32"/>
          <w:szCs w:val="32"/>
          <w:lang w:val="en-US" w:eastAsia="zh-CN"/>
        </w:rPr>
      </w:pPr>
      <w:r>
        <w:rPr>
          <w:rFonts w:hint="eastAsia" w:ascii="仿宋_GB2312" w:hAnsi="仿宋_GB2312" w:eastAsia="仿宋_GB2312" w:cs="仿宋_GB2312"/>
          <w:b/>
          <w:bCs/>
          <w:sz w:val="32"/>
          <w:szCs w:val="32"/>
          <w:lang w:val="en-US" w:eastAsia="zh-CN"/>
        </w:rPr>
        <w:t>严密</w:t>
      </w:r>
      <w:r>
        <w:rPr>
          <w:rFonts w:hint="default" w:ascii="仿宋_GB2312" w:hAnsi="仿宋_GB2312" w:eastAsia="仿宋_GB2312" w:cs="仿宋_GB2312"/>
          <w:b/>
          <w:bCs/>
          <w:sz w:val="32"/>
          <w:szCs w:val="32"/>
        </w:rPr>
        <w:t>生态环境风险</w:t>
      </w:r>
      <w:r>
        <w:rPr>
          <w:rFonts w:hint="eastAsia" w:ascii="仿宋_GB2312" w:hAnsi="仿宋_GB2312" w:eastAsia="仿宋_GB2312" w:cs="仿宋_GB2312"/>
          <w:b/>
          <w:bCs/>
          <w:sz w:val="32"/>
          <w:szCs w:val="32"/>
          <w:lang w:val="en-US" w:eastAsia="zh-CN"/>
        </w:rPr>
        <w:t>防控。</w:t>
      </w:r>
      <w:r>
        <w:rPr>
          <w:rFonts w:hint="default" w:ascii="仿宋_GB2312" w:hAnsi="仿宋_GB2312" w:eastAsia="仿宋_GB2312" w:cs="仿宋_GB2312"/>
          <w:sz w:val="32"/>
          <w:szCs w:val="32"/>
          <w:lang w:val="en-US" w:eastAsia="zh-CN"/>
        </w:rPr>
        <w:t>健全完善国土空间规划体系，持续推进“绿盾”自然保护地专项检查行动，加强自然保护地保护。完善生态环境监测监控预警、污染防治体系，落实污染物排放许可制度，实行企事业单位污染物排放总量控制制度。</w:t>
      </w:r>
      <w:r>
        <w:rPr>
          <w:rFonts w:hint="default" w:ascii="仿宋_GB2312" w:hAnsi="仿宋_GB2312" w:eastAsia="仿宋_GB2312" w:cs="仿宋_GB2312"/>
          <w:sz w:val="32"/>
          <w:szCs w:val="32"/>
        </w:rPr>
        <w:t>完善企业突发环境事件风险评估制度，推进突发环境事件风险分类分级管理，全面加强重大突发环境事件风险企业监管。</w:t>
      </w:r>
      <w:r>
        <w:rPr>
          <w:rFonts w:hint="default" w:ascii="仿宋_GB2312" w:hAnsi="仿宋_GB2312" w:eastAsia="仿宋_GB2312" w:cs="仿宋_GB2312"/>
          <w:sz w:val="32"/>
          <w:szCs w:val="32"/>
          <w:lang w:val="en-US" w:eastAsia="zh-CN"/>
        </w:rPr>
        <w:t>深入推进尾矿库安全管控、辐射安全防控和重大危险源安全监管，防止生态环境破坏，确保</w:t>
      </w:r>
      <w:r>
        <w:rPr>
          <w:rFonts w:hint="eastAsia" w:ascii="仿宋_GB2312" w:hAnsi="仿宋_GB2312" w:eastAsia="仿宋_GB2312" w:cs="仿宋_GB2312"/>
          <w:sz w:val="32"/>
          <w:szCs w:val="32"/>
          <w:lang w:val="en-US" w:eastAsia="zh-CN"/>
        </w:rPr>
        <w:t>生态</w:t>
      </w:r>
      <w:r>
        <w:rPr>
          <w:rFonts w:hint="default" w:ascii="仿宋_GB2312" w:hAnsi="仿宋_GB2312" w:eastAsia="仿宋_GB2312" w:cs="仿宋_GB2312"/>
          <w:sz w:val="32"/>
          <w:szCs w:val="32"/>
          <w:lang w:val="en-US" w:eastAsia="zh-CN"/>
        </w:rPr>
        <w:t>环境安全。</w:t>
      </w:r>
    </w:p>
    <w:p>
      <w:pPr>
        <w:adjustRightInd w:val="0"/>
        <w:snapToGrid w:val="0"/>
        <w:spacing w:line="360" w:lineRule="auto"/>
        <w:outlineLvl w:val="1"/>
        <w:rPr>
          <w:rFonts w:hint="default" w:eastAsia="楷体_GB2312"/>
          <w:b/>
          <w:bCs/>
          <w:color w:val="C00000"/>
          <w:sz w:val="32"/>
          <w:szCs w:val="32"/>
          <w:lang w:val="en-US" w:eastAsia="zh-CN"/>
        </w:rPr>
      </w:pPr>
      <w:bookmarkStart w:id="62" w:name="_Toc19838"/>
      <w:r>
        <w:rPr>
          <w:rFonts w:eastAsia="楷体_GB2312"/>
          <w:b/>
          <w:bCs/>
          <w:sz w:val="32"/>
          <w:szCs w:val="32"/>
        </w:rPr>
        <w:t>（</w:t>
      </w:r>
      <w:r>
        <w:rPr>
          <w:rFonts w:hint="eastAsia" w:eastAsia="楷体_GB2312"/>
          <w:b/>
          <w:bCs/>
          <w:sz w:val="32"/>
          <w:szCs w:val="32"/>
          <w:highlight w:val="none"/>
        </w:rPr>
        <w:t>二</w:t>
      </w:r>
      <w:r>
        <w:rPr>
          <w:rFonts w:eastAsia="楷体_GB2312"/>
          <w:b/>
          <w:bCs/>
          <w:sz w:val="32"/>
          <w:szCs w:val="32"/>
          <w:highlight w:val="none"/>
        </w:rPr>
        <w:t>）</w:t>
      </w:r>
      <w:r>
        <w:rPr>
          <w:rFonts w:hint="eastAsia" w:eastAsia="楷体_GB2312"/>
          <w:b/>
          <w:bCs/>
          <w:sz w:val="32"/>
          <w:szCs w:val="32"/>
          <w:highlight w:val="none"/>
          <w:lang w:val="en-US" w:eastAsia="zh-CN"/>
        </w:rPr>
        <w:t>全面改善环境质量</w:t>
      </w:r>
      <w:r>
        <w:rPr>
          <w:rFonts w:eastAsia="楷体_GB2312"/>
          <w:b/>
          <w:bCs/>
          <w:sz w:val="32"/>
          <w:szCs w:val="32"/>
          <w:highlight w:val="none"/>
        </w:rPr>
        <w:t>，保增</w:t>
      </w:r>
      <w:r>
        <w:rPr>
          <w:rFonts w:hint="eastAsia" w:eastAsia="楷体_GB2312"/>
          <w:b/>
          <w:bCs/>
          <w:sz w:val="32"/>
          <w:szCs w:val="32"/>
          <w:highlight w:val="none"/>
          <w:lang w:val="en-US" w:eastAsia="zh-CN"/>
        </w:rPr>
        <w:t>增值绿水青山</w:t>
      </w:r>
      <w:bookmarkEnd w:id="62"/>
    </w:p>
    <w:p>
      <w:pPr>
        <w:adjustRightInd w:val="0"/>
        <w:snapToGrid w:val="0"/>
        <w:spacing w:line="360" w:lineRule="auto"/>
        <w:ind w:firstLine="640" w:firstLineChars="200"/>
        <w:outlineLvl w:val="9"/>
        <w:rPr>
          <w:rFonts w:hint="default" w:ascii="仿宋_GB2312" w:hAnsi="仿宋_GB2312" w:eastAsia="仿宋_GB2312" w:cs="仿宋_GB2312"/>
          <w:b w:val="0"/>
          <w:sz w:val="32"/>
          <w:szCs w:val="32"/>
          <w:highlight w:val="none"/>
          <w:lang w:val="en-US" w:eastAsia="zh-CN"/>
        </w:rPr>
      </w:pPr>
      <w:r>
        <w:rPr>
          <w:rFonts w:hint="default" w:ascii="仿宋_GB2312" w:hAnsi="仿宋_GB2312" w:eastAsia="仿宋_GB2312" w:cs="仿宋_GB2312"/>
          <w:sz w:val="32"/>
          <w:szCs w:val="32"/>
          <w:highlight w:val="none"/>
        </w:rPr>
        <w:t>以环境质量持续改善为目标，紧紧围绕打好污染防治攻坚战，坚持“精准治污、科学治污、依法治污、源头治污”，聚焦“生态赋能”和“生态环境质量提升攻坚行动”，保值增值绿水青山，</w:t>
      </w:r>
      <w:r>
        <w:rPr>
          <w:rFonts w:hint="eastAsia" w:ascii="仿宋_GB2312" w:hAnsi="仿宋_GB2312" w:eastAsia="仿宋_GB2312" w:cs="仿宋_GB2312"/>
          <w:sz w:val="32"/>
          <w:szCs w:val="32"/>
          <w:highlight w:val="none"/>
          <w:lang w:val="en-US" w:eastAsia="zh-CN"/>
        </w:rPr>
        <w:t>大幅提升群众生态环境获得感与满足感</w:t>
      </w:r>
      <w:r>
        <w:rPr>
          <w:rFonts w:hint="default" w:ascii="仿宋_GB2312" w:hAnsi="仿宋_GB2312" w:eastAsia="仿宋_GB2312" w:cs="仿宋_GB2312"/>
          <w:sz w:val="32"/>
          <w:szCs w:val="32"/>
          <w:highlight w:val="none"/>
        </w:rPr>
        <w:t>。</w:t>
      </w:r>
    </w:p>
    <w:p>
      <w:pPr>
        <w:adjustRightInd w:val="0"/>
        <w:snapToGrid w:val="0"/>
        <w:spacing w:line="360" w:lineRule="auto"/>
        <w:ind w:firstLine="643" w:firstLineChars="200"/>
        <w:outlineLvl w:val="2"/>
        <w:rPr>
          <w:rFonts w:hint="eastAsia" w:eastAsia="仿宋_GB2312"/>
          <w:b/>
          <w:sz w:val="32"/>
          <w:szCs w:val="32"/>
        </w:rPr>
      </w:pPr>
      <w:bookmarkStart w:id="63" w:name="_Toc3242"/>
      <w:r>
        <w:rPr>
          <w:rFonts w:hint="eastAsia" w:eastAsia="仿宋_GB2312"/>
          <w:b/>
          <w:sz w:val="32"/>
          <w:szCs w:val="32"/>
          <w:lang w:val="en-US" w:eastAsia="zh-CN"/>
        </w:rPr>
        <w:t>1</w:t>
      </w:r>
      <w:r>
        <w:rPr>
          <w:rFonts w:hint="eastAsia" w:eastAsia="仿宋_GB2312"/>
          <w:b/>
          <w:sz w:val="32"/>
          <w:szCs w:val="32"/>
        </w:rPr>
        <w:t>.全面整治水环境污染</w:t>
      </w:r>
      <w:bookmarkEnd w:id="63"/>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推动</w:t>
      </w:r>
      <w:r>
        <w:rPr>
          <w:rFonts w:hint="default" w:ascii="仿宋_GB2312" w:hAnsi="仿宋_GB2312" w:eastAsia="仿宋_GB2312" w:cs="仿宋_GB2312"/>
          <w:b/>
          <w:bCs/>
          <w:sz w:val="32"/>
          <w:szCs w:val="32"/>
          <w:lang w:val="en-US" w:eastAsia="zh-CN"/>
        </w:rPr>
        <w:t>沂河</w:t>
      </w:r>
      <w:r>
        <w:rPr>
          <w:rFonts w:hint="eastAsia" w:ascii="仿宋_GB2312" w:hAnsi="仿宋_GB2312" w:eastAsia="仿宋_GB2312" w:cs="仿宋_GB2312"/>
          <w:b/>
          <w:bCs/>
          <w:sz w:val="32"/>
          <w:szCs w:val="32"/>
          <w:lang w:val="en-US" w:eastAsia="zh-CN"/>
        </w:rPr>
        <w:t>水质全面提升。</w:t>
      </w:r>
      <w:r>
        <w:rPr>
          <w:rFonts w:hint="default" w:ascii="仿宋_GB2312" w:hAnsi="仿宋_GB2312" w:eastAsia="仿宋_GB2312" w:cs="仿宋_GB2312"/>
          <w:sz w:val="32"/>
          <w:szCs w:val="32"/>
          <w:lang w:val="en-US" w:eastAsia="zh-CN"/>
        </w:rPr>
        <w:t>落实“八水统筹、水润淄博”要求，加快实施沂河治理等工程</w:t>
      </w:r>
      <w:r>
        <w:rPr>
          <w:rFonts w:hint="eastAsia" w:ascii="仿宋_GB2312" w:hAnsi="仿宋_GB2312" w:eastAsia="仿宋_GB2312" w:cs="仿宋_GB2312"/>
          <w:sz w:val="32"/>
          <w:szCs w:val="32"/>
          <w:lang w:val="en-US" w:eastAsia="zh-CN"/>
        </w:rPr>
        <w:t>。实施无组织排放专项整治行动，严禁河道私采乱挖，杜绝沿河乱倾乱倒、河面保洁不到位等问题。严格落实“河长制”、“湖长制”，</w:t>
      </w:r>
      <w:r>
        <w:rPr>
          <w:rFonts w:hint="default" w:ascii="仿宋_GB2312" w:hAnsi="仿宋_GB2312" w:eastAsia="仿宋_GB2312" w:cs="仿宋_GB2312"/>
          <w:sz w:val="32"/>
          <w:szCs w:val="32"/>
          <w:lang w:val="en-US" w:eastAsia="zh-CN"/>
        </w:rPr>
        <w:t>加强入河排污口管理、污染源排查整治，实施沂河全流域闭环管控。实施沂河总氮治理攻坚，降低沂河总氮浓度。</w:t>
      </w:r>
    </w:p>
    <w:p>
      <w:pPr>
        <w:adjustRightInd w:val="0"/>
        <w:snapToGrid w:val="0"/>
        <w:spacing w:line="360" w:lineRule="auto"/>
        <w:ind w:firstLine="643" w:firstLineChars="200"/>
        <w:rPr>
          <w:rFonts w:hint="default"/>
          <w:highlight w:val="yellow"/>
          <w:lang w:val="en-US" w:eastAsia="zh-CN"/>
        </w:rPr>
      </w:pPr>
      <w:r>
        <w:rPr>
          <w:rFonts w:hint="eastAsia" w:ascii="仿宋_GB2312" w:hAnsi="仿宋_GB2312" w:eastAsia="仿宋_GB2312" w:cs="仿宋_GB2312"/>
          <w:b/>
          <w:bCs/>
          <w:sz w:val="32"/>
          <w:szCs w:val="32"/>
          <w:lang w:val="en-US" w:eastAsia="zh-CN"/>
        </w:rPr>
        <w:t>推进企业水污染综合治理。</w:t>
      </w:r>
      <w:r>
        <w:rPr>
          <w:rFonts w:hint="eastAsia" w:ascii="仿宋_GB2312" w:hAnsi="仿宋_GB2312" w:eastAsia="仿宋_GB2312" w:cs="仿宋_GB2312"/>
          <w:b w:val="0"/>
          <w:bCs w:val="0"/>
          <w:sz w:val="32"/>
          <w:szCs w:val="32"/>
          <w:lang w:val="en-US" w:eastAsia="zh-CN"/>
        </w:rPr>
        <w:t>严把项目准入关，</w:t>
      </w:r>
      <w:r>
        <w:rPr>
          <w:rFonts w:hint="eastAsia" w:ascii="仿宋_GB2312" w:hAnsi="仿宋_GB2312" w:eastAsia="仿宋_GB2312" w:cs="仿宋_GB2312"/>
          <w:sz w:val="32"/>
          <w:szCs w:val="32"/>
          <w:lang w:val="en-US" w:eastAsia="zh-CN"/>
        </w:rPr>
        <w:t>严格落实入河湖排污总量控制，</w:t>
      </w:r>
      <w:r>
        <w:rPr>
          <w:rFonts w:hint="default" w:ascii="仿宋_GB2312" w:hAnsi="仿宋_GB2312" w:eastAsia="仿宋_GB2312" w:cs="仿宋_GB2312"/>
          <w:sz w:val="32"/>
          <w:szCs w:val="32"/>
          <w:lang w:val="en-US" w:eastAsia="zh-CN"/>
        </w:rPr>
        <w:t>加强涉水企业监管，综合采取在线监控、人工质控、“物料平衡”等数字收集模式，建立企业排水路线图，对涉水企业实施数字化监管。</w:t>
      </w:r>
      <w:r>
        <w:rPr>
          <w:rFonts w:hint="eastAsia" w:ascii="仿宋_GB2312" w:hAnsi="仿宋_GB2312" w:eastAsia="仿宋_GB2312" w:cs="仿宋_GB2312"/>
          <w:sz w:val="32"/>
          <w:szCs w:val="32"/>
          <w:highlight w:val="none"/>
          <w:lang w:val="en-US" w:eastAsia="zh-CN"/>
        </w:rPr>
        <w:t>规范整治企业排污口，加强排污许可业务指导，指导辖区排污单位按证排污，定期上报排污许可执行报告，按期开展自行监测，规范台账记录，切实做好信息公开。</w:t>
      </w:r>
    </w:p>
    <w:p>
      <w:pPr>
        <w:adjustRightInd w:val="0"/>
        <w:snapToGrid w:val="0"/>
        <w:spacing w:line="360" w:lineRule="auto"/>
        <w:ind w:firstLine="643"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bCs/>
          <w:sz w:val="32"/>
          <w:szCs w:val="32"/>
          <w:lang w:val="en-US" w:eastAsia="zh-CN"/>
        </w:rPr>
        <w:t>深化城乡污水处理效率。</w:t>
      </w:r>
      <w:r>
        <w:rPr>
          <w:rFonts w:hint="eastAsia" w:ascii="仿宋_GB2312" w:hAnsi="仿宋_GB2312" w:eastAsia="仿宋_GB2312" w:cs="仿宋_GB2312"/>
          <w:b w:val="0"/>
          <w:bCs w:val="0"/>
          <w:sz w:val="32"/>
          <w:szCs w:val="32"/>
          <w:highlight w:val="none"/>
          <w:lang w:val="en-US" w:eastAsia="zh-CN"/>
        </w:rPr>
        <w:t>积极</w:t>
      </w:r>
      <w:r>
        <w:rPr>
          <w:rFonts w:hint="default" w:ascii="Times New Roman" w:hAnsi="Times New Roman" w:eastAsia="仿宋_GB2312" w:cs="Times New Roman"/>
          <w:sz w:val="32"/>
          <w:szCs w:val="32"/>
          <w:highlight w:val="none"/>
        </w:rPr>
        <w:t>推进污水处理厂新建、提升改造，实现</w:t>
      </w:r>
      <w:r>
        <w:rPr>
          <w:rFonts w:hint="eastAsia" w:ascii="Times New Roman" w:hAnsi="Times New Roman" w:eastAsia="仿宋_GB2312" w:cs="Times New Roman"/>
          <w:sz w:val="32"/>
          <w:szCs w:val="32"/>
          <w:highlight w:val="none"/>
          <w:lang w:val="en-US" w:eastAsia="zh-CN"/>
        </w:rPr>
        <w:t>城乡</w:t>
      </w:r>
      <w:r>
        <w:rPr>
          <w:rFonts w:hint="default" w:ascii="Times New Roman" w:hAnsi="Times New Roman" w:eastAsia="仿宋_GB2312" w:cs="Times New Roman"/>
          <w:sz w:val="32"/>
          <w:szCs w:val="32"/>
          <w:highlight w:val="none"/>
        </w:rPr>
        <w:t>生活污水处理设施全覆盖</w:t>
      </w:r>
      <w:r>
        <w:rPr>
          <w:rFonts w:hint="eastAsia" w:ascii="Times New Roman" w:hAnsi="Times New Roman" w:eastAsia="仿宋_GB2312" w:cs="Times New Roman"/>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加快推进城区内雨水收集和雨污管网分流改造，逐步完善污水收集系统。</w:t>
      </w:r>
      <w:r>
        <w:rPr>
          <w:rFonts w:hint="eastAsia" w:ascii="仿宋_GB2312" w:hAnsi="仿宋_GB2312" w:eastAsia="仿宋_GB2312" w:cs="仿宋_GB2312"/>
          <w:b w:val="0"/>
          <w:bCs w:val="0"/>
          <w:sz w:val="32"/>
          <w:szCs w:val="32"/>
          <w:lang w:val="en-US" w:eastAsia="zh-CN"/>
        </w:rPr>
        <w:t>深化畜禽养殖污染防治，严格控制化肥、农药施用量，鼓励使用复合型肥料、有机肥料。运用“微湿地群”技术，净化农田排水。实施农村生活污水治理项目，建立完善的农村生活污水处理运行机制，研究制定乡镇、农村污水处理设施运营维护长效机制。</w:t>
      </w:r>
    </w:p>
    <w:p>
      <w:pPr>
        <w:adjustRightInd w:val="0"/>
        <w:snapToGrid w:val="0"/>
        <w:spacing w:line="360" w:lineRule="auto"/>
        <w:ind w:firstLine="643" w:firstLineChars="200"/>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b/>
          <w:bCs/>
          <w:sz w:val="32"/>
          <w:szCs w:val="32"/>
          <w:lang w:val="en-US" w:eastAsia="zh-CN"/>
        </w:rPr>
        <w:t>巩固城市黑臭水体治理。</w:t>
      </w:r>
      <w:r>
        <w:rPr>
          <w:rFonts w:hint="eastAsia" w:ascii="仿宋_GB2312" w:hAnsi="仿宋_GB2312" w:eastAsia="仿宋_GB2312" w:cs="仿宋_GB2312"/>
          <w:b w:val="0"/>
          <w:bCs w:val="0"/>
          <w:sz w:val="32"/>
          <w:szCs w:val="32"/>
          <w:lang w:val="en-US" w:eastAsia="zh-CN"/>
        </w:rPr>
        <w:t>开展溯源截污治理，推进排水设施改造。持续开展排水管线“规模化”普查核实，根据普查数据启动精细化、精准化治理，有效解决黑臭水体及积水点衍生问题，形成良性循环。</w:t>
      </w:r>
    </w:p>
    <w:p>
      <w:pPr>
        <w:adjustRightInd w:val="0"/>
        <w:snapToGrid w:val="0"/>
        <w:spacing w:line="360" w:lineRule="auto"/>
        <w:ind w:firstLine="643" w:firstLineChars="200"/>
        <w:outlineLvl w:val="2"/>
        <w:rPr>
          <w:rFonts w:hint="eastAsia" w:eastAsia="仿宋_GB2312"/>
          <w:b/>
          <w:sz w:val="32"/>
          <w:szCs w:val="32"/>
        </w:rPr>
      </w:pPr>
      <w:bookmarkStart w:id="64" w:name="_Toc27290"/>
      <w:r>
        <w:rPr>
          <w:rFonts w:hint="eastAsia" w:eastAsia="仿宋_GB2312"/>
          <w:b/>
          <w:sz w:val="32"/>
          <w:szCs w:val="32"/>
          <w:lang w:val="en-US" w:eastAsia="zh-CN"/>
        </w:rPr>
        <w:t>2</w:t>
      </w:r>
      <w:r>
        <w:rPr>
          <w:rFonts w:hint="eastAsia" w:eastAsia="仿宋_GB2312"/>
          <w:b/>
          <w:sz w:val="32"/>
          <w:szCs w:val="32"/>
        </w:rPr>
        <w:t>.系统改善水生态环境</w:t>
      </w:r>
      <w:bookmarkEnd w:id="64"/>
    </w:p>
    <w:p>
      <w:pPr>
        <w:adjustRightInd w:val="0"/>
        <w:snapToGrid w:val="0"/>
        <w:spacing w:line="360" w:lineRule="auto"/>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全力打造“齐鲁水塔·海绵沂源”。</w:t>
      </w:r>
      <w:r>
        <w:rPr>
          <w:rFonts w:hint="default" w:ascii="仿宋_GB2312" w:hAnsi="仿宋_GB2312" w:eastAsia="仿宋_GB2312" w:cs="仿宋_GB2312"/>
          <w:sz w:val="32"/>
          <w:szCs w:val="32"/>
          <w:lang w:val="en-US" w:eastAsia="zh-CN"/>
        </w:rPr>
        <w:t>积极开展省级美丽幸福（示范）河湖创建</w:t>
      </w:r>
      <w:r>
        <w:rPr>
          <w:rFonts w:hint="eastAsia" w:ascii="仿宋_GB2312" w:hAnsi="仿宋_GB2312" w:eastAsia="仿宋_GB2312" w:cs="仿宋_GB2312"/>
          <w:sz w:val="32"/>
          <w:szCs w:val="32"/>
          <w:lang w:val="en-US" w:eastAsia="zh-CN"/>
        </w:rPr>
        <w:t>。依托沂河、螳螂河、儒林河、南岩河、马庄河等主干河流河道生态治理工程，进行生态岸坡建设与沂河源湿地修复工程、织女湖湿地修复工程。</w:t>
      </w:r>
      <w:r>
        <w:rPr>
          <w:rFonts w:eastAsia="仿宋_GB2312"/>
          <w:bCs/>
          <w:kern w:val="0"/>
          <w:sz w:val="32"/>
          <w:szCs w:val="32"/>
        </w:rPr>
        <w:t>建立完善的水资源保护和河湖健康保障体系，</w:t>
      </w:r>
      <w:r>
        <w:rPr>
          <w:rFonts w:hint="eastAsia" w:ascii="仿宋_GB2312" w:hAnsi="仿宋_GB2312" w:eastAsia="仿宋_GB2312" w:cs="仿宋_GB2312"/>
          <w:sz w:val="32"/>
          <w:szCs w:val="32"/>
          <w:lang w:val="en-US" w:eastAsia="zh-CN"/>
        </w:rPr>
        <w:t>加强响泉-龙洞泉水源地、芝芳水源地、钓鱼台水源地等饮用水水源地保护，提升红旗水库、田庄水库的水库生态环境，加强水库蓄水能力，保障用水安全。全县建成以水利工程为基础的水系联调“地网”，以信息技术为支撑的自动化控制“天网”，以结构合理的人才梯队为特点的“人网”，以水文化为呈现特色的“水景观带”。</w:t>
      </w:r>
    </w:p>
    <w:p>
      <w:pPr>
        <w:adjustRightInd w:val="0"/>
        <w:snapToGrid w:val="0"/>
        <w:spacing w:line="360" w:lineRule="auto"/>
        <w:ind w:firstLine="643" w:firstLineChars="200"/>
        <w:rPr>
          <w:rFonts w:hint="eastAsia"/>
          <w:lang w:val="en-US" w:eastAsia="zh-CN"/>
        </w:rPr>
      </w:pPr>
      <w:r>
        <w:rPr>
          <w:rFonts w:hint="default" w:ascii="仿宋_GB2312" w:hAnsi="仿宋_GB2312" w:eastAsia="仿宋_GB2312" w:cs="仿宋_GB2312"/>
          <w:b/>
          <w:bCs/>
          <w:sz w:val="32"/>
          <w:szCs w:val="32"/>
          <w:lang w:val="en-US" w:eastAsia="zh-CN"/>
        </w:rPr>
        <w:t>构建水生态保护体系。</w:t>
      </w:r>
      <w:r>
        <w:rPr>
          <w:rFonts w:eastAsia="仿宋_GB2312"/>
          <w:bCs/>
          <w:sz w:val="32"/>
          <w:szCs w:val="32"/>
        </w:rPr>
        <w:t>提高水资源调配能力</w:t>
      </w:r>
      <w:r>
        <w:rPr>
          <w:rFonts w:hint="eastAsia" w:eastAsia="仿宋_GB2312"/>
          <w:bCs/>
          <w:sz w:val="32"/>
          <w:szCs w:val="32"/>
          <w:lang w:val="en-US" w:eastAsia="zh-CN"/>
        </w:rPr>
        <w:t>与</w:t>
      </w:r>
      <w:r>
        <w:rPr>
          <w:rFonts w:eastAsia="仿宋_GB2312"/>
          <w:bCs/>
          <w:sz w:val="32"/>
          <w:szCs w:val="32"/>
        </w:rPr>
        <w:t>水资源利用效率，为水资源利用、水生态环境保护等提供优质载体。</w:t>
      </w:r>
      <w:r>
        <w:rPr>
          <w:rFonts w:hint="eastAsia" w:eastAsia="仿宋_GB2312"/>
          <w:bCs/>
          <w:sz w:val="32"/>
          <w:szCs w:val="32"/>
        </w:rPr>
        <w:t>建成与现代化水平相适应的节水型社会，达到地表水、地下水、中水等各类水源的合理高效配置。</w:t>
      </w:r>
      <w:r>
        <w:rPr>
          <w:rFonts w:hint="default" w:ascii="仿宋_GB2312" w:hAnsi="仿宋_GB2312" w:eastAsia="仿宋_GB2312" w:cs="仿宋_GB2312"/>
          <w:sz w:val="32"/>
          <w:szCs w:val="32"/>
          <w:lang w:val="en-US" w:eastAsia="zh-CN"/>
        </w:rPr>
        <w:t>坚持在保护中开发、在开发中保护，统筹区域内各生态要素，构建“山、水、林、田、湖、草”生命共同体，时间上实现“丰水枯用”，空间上实现“丰枯互补”，实现平水年主要河道不断流，建成“美丽河湖”。</w:t>
      </w:r>
    </w:p>
    <w:p>
      <w:pPr>
        <w:adjustRightInd w:val="0"/>
        <w:snapToGrid w:val="0"/>
        <w:spacing w:line="360" w:lineRule="auto"/>
        <w:ind w:firstLine="643" w:firstLineChars="200"/>
        <w:outlineLvl w:val="2"/>
        <w:rPr>
          <w:rFonts w:hint="eastAsia" w:eastAsia="仿宋_GB2312"/>
          <w:b/>
          <w:sz w:val="32"/>
          <w:szCs w:val="32"/>
        </w:rPr>
      </w:pPr>
      <w:bookmarkStart w:id="65" w:name="_Toc9374"/>
      <w:r>
        <w:rPr>
          <w:rFonts w:hint="eastAsia" w:eastAsia="仿宋_GB2312"/>
          <w:b/>
          <w:sz w:val="32"/>
          <w:szCs w:val="32"/>
          <w:lang w:val="en-US" w:eastAsia="zh-CN"/>
        </w:rPr>
        <w:t>3</w:t>
      </w:r>
      <w:r>
        <w:rPr>
          <w:rFonts w:hint="eastAsia" w:eastAsia="仿宋_GB2312"/>
          <w:b/>
          <w:sz w:val="32"/>
          <w:szCs w:val="32"/>
        </w:rPr>
        <w:t>.提升大气环境质量</w:t>
      </w:r>
      <w:bookmarkEnd w:id="65"/>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深化大气污染物源头治理。</w:t>
      </w:r>
      <w:r>
        <w:rPr>
          <w:rFonts w:hint="eastAsia" w:ascii="仿宋_GB2312" w:hAnsi="仿宋_GB2312" w:eastAsia="仿宋_GB2312" w:cs="仿宋_GB2312"/>
          <w:sz w:val="32"/>
          <w:szCs w:val="32"/>
          <w:lang w:val="en-US" w:eastAsia="zh-CN"/>
        </w:rPr>
        <w:t>深化燃煤锅炉综合整治，加快推进燃气锅炉低氮改造，巩固“散乱污”企业治理工作成果，严防“散乱污”企业死灰复燃。全面推进排污许可管理，完成辖区内全部固定污染源的排污许可证核发工作。实施VOCs综合治理工程，强化VOCs无组织排放管控，实现企业VOCs自动监测设备安装联网。</w:t>
      </w:r>
      <w:r>
        <w:rPr>
          <w:rFonts w:hint="default" w:ascii="仿宋_GB2312" w:hAnsi="仿宋_GB2312" w:eastAsia="仿宋_GB2312" w:cs="仿宋_GB2312"/>
          <w:sz w:val="32"/>
          <w:szCs w:val="32"/>
          <w:lang w:val="en-US" w:eastAsia="zh-CN"/>
        </w:rPr>
        <w:t>全面开展重点行业、重点企业脱硫脱硝治理提质增效、挥发性有机物深度治理</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强化城乡交通污染治理，坚决整治道路扬尘和移动污染源。持续加强餐饮油烟治理以及裸露土地、建筑工地、工业企业、矿山开采等重点行业领域的扬尘整治，加大重污染天气应对力度。</w:t>
      </w:r>
      <w:r>
        <w:rPr>
          <w:rFonts w:eastAsia="仿宋_GB2312"/>
          <w:bCs/>
          <w:sz w:val="32"/>
          <w:szCs w:val="32"/>
        </w:rPr>
        <w:t>加强对</w:t>
      </w:r>
      <w:r>
        <w:rPr>
          <w:rFonts w:eastAsia="仿宋_GB2312"/>
          <w:bCs/>
          <w:snapToGrid w:val="0"/>
          <w:color w:val="000000"/>
          <w:kern w:val="0"/>
          <w:sz w:val="32"/>
          <w:szCs w:val="32"/>
        </w:rPr>
        <w:t>PM</w:t>
      </w:r>
      <w:r>
        <w:rPr>
          <w:rFonts w:eastAsia="仿宋_GB2312"/>
          <w:bCs/>
          <w:snapToGrid w:val="0"/>
          <w:color w:val="000000"/>
          <w:kern w:val="0"/>
          <w:sz w:val="32"/>
          <w:szCs w:val="32"/>
          <w:vertAlign w:val="subscript"/>
        </w:rPr>
        <w:t>2.5</w:t>
      </w:r>
      <w:r>
        <w:rPr>
          <w:rFonts w:eastAsia="仿宋_GB2312"/>
          <w:bCs/>
          <w:sz w:val="32"/>
          <w:szCs w:val="32"/>
        </w:rPr>
        <w:t>、臭氧等成因分析，实施源头整治、科学管控、精准施治，全面提升大气污染物管控能力。</w:t>
      </w:r>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eastAsia="仿宋_GB2312"/>
          <w:b/>
          <w:bCs w:val="0"/>
          <w:sz w:val="32"/>
          <w:szCs w:val="32"/>
        </w:rPr>
        <w:t>推动区域大气污染联防联控</w:t>
      </w:r>
      <w:r>
        <w:rPr>
          <w:rFonts w:hint="eastAsia" w:eastAsia="仿宋_GB2312"/>
          <w:b/>
          <w:bCs w:val="0"/>
          <w:sz w:val="32"/>
          <w:szCs w:val="32"/>
          <w:lang w:eastAsia="zh-CN"/>
        </w:rPr>
        <w:t>。</w:t>
      </w:r>
      <w:r>
        <w:rPr>
          <w:rFonts w:eastAsia="仿宋_GB2312"/>
          <w:bCs/>
          <w:sz w:val="32"/>
          <w:szCs w:val="32"/>
        </w:rPr>
        <w:t>建设区域联动一体的应急响应体系，协同开展区域大气污染综合整治。</w:t>
      </w:r>
      <w:r>
        <w:rPr>
          <w:rFonts w:hint="eastAsia" w:eastAsia="仿宋_GB2312"/>
          <w:bCs/>
          <w:sz w:val="32"/>
          <w:szCs w:val="32"/>
        </w:rPr>
        <w:t>按照“属地管理+联防联控”的原则，协作确定牵头对接的县、街道两级部门和联络员，通过建立微信工作群、不定期召开问题点位现场协调会、重污染预警天气联合响应，及时沟通、协调、移交、处置日常管控中发现的问题，并快速响应整治。</w:t>
      </w:r>
    </w:p>
    <w:p>
      <w:pPr>
        <w:adjustRightInd w:val="0"/>
        <w:snapToGrid w:val="0"/>
        <w:spacing w:line="360" w:lineRule="auto"/>
        <w:ind w:firstLine="643" w:firstLineChars="200"/>
        <w:outlineLvl w:val="2"/>
        <w:rPr>
          <w:rFonts w:hint="eastAsia" w:eastAsia="仿宋_GB2312"/>
          <w:b/>
          <w:sz w:val="32"/>
          <w:szCs w:val="32"/>
        </w:rPr>
      </w:pPr>
      <w:bookmarkStart w:id="66" w:name="_Toc18565"/>
      <w:r>
        <w:rPr>
          <w:rFonts w:hint="eastAsia" w:eastAsia="仿宋_GB2312"/>
          <w:b/>
          <w:sz w:val="32"/>
          <w:szCs w:val="32"/>
          <w:lang w:val="en-US" w:eastAsia="zh-CN"/>
        </w:rPr>
        <w:t>4</w:t>
      </w:r>
      <w:r>
        <w:rPr>
          <w:rFonts w:hint="eastAsia" w:eastAsia="仿宋_GB2312"/>
          <w:b/>
          <w:sz w:val="32"/>
          <w:szCs w:val="32"/>
        </w:rPr>
        <w:t>.提升土壤环境质量</w:t>
      </w:r>
      <w:bookmarkEnd w:id="66"/>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全面开展土壤污染调查。</w:t>
      </w:r>
      <w:r>
        <w:rPr>
          <w:rFonts w:hint="default" w:ascii="仿宋_GB2312" w:hAnsi="仿宋_GB2312" w:eastAsia="仿宋_GB2312" w:cs="仿宋_GB2312"/>
          <w:sz w:val="32"/>
          <w:szCs w:val="32"/>
          <w:lang w:val="en-US" w:eastAsia="zh-CN"/>
        </w:rPr>
        <w:t>以重点企业用地为重点，开展土壤污染状况详查。建设土壤环境质量监测网络，提升土壤环境检测能力建设，统一规划、整合优化土壤环境质量监测点位，根据上级要求或土壤环境保护需要适时调整、补充监测点位。构建土壤环境信息管理平台，加快实现生态环境、自然资源、发改、工信、住建、园林、卫健等各部门间土壤污染防治数据共享。</w:t>
      </w:r>
    </w:p>
    <w:p>
      <w:pPr>
        <w:adjustRightInd w:val="0"/>
        <w:snapToGrid w:val="0"/>
        <w:spacing w:line="360" w:lineRule="auto"/>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加强土壤源头治理与监管。</w:t>
      </w:r>
      <w:r>
        <w:rPr>
          <w:rFonts w:hint="eastAsia" w:ascii="仿宋_GB2312" w:hAnsi="仿宋_GB2312" w:eastAsia="仿宋_GB2312" w:cs="仿宋_GB2312"/>
          <w:sz w:val="32"/>
          <w:szCs w:val="32"/>
          <w:lang w:val="en-US" w:eastAsia="zh-CN"/>
        </w:rPr>
        <w:t>编制实施土壤污染防治规划，建立农用地土壤环境质量类别清单、建设用地土壤污染修复目录和开发利用负面清单，实施重点区域土壤整治和城市污染场地治理工程。加强工矿企业等土壤污染监管和修复。加强农业面源污染防治，持续推进化肥、农药减量增效，大力治理白色污染，加强秸秆资源化利用，推进畜禽粪污资源化利用，切实减轻耕地土壤污染。严格控制新增土壤污染，强化未污染土壤保护。</w:t>
      </w:r>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开展污染治理与修复</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val="0"/>
          <w:bCs w:val="0"/>
          <w:sz w:val="32"/>
          <w:szCs w:val="32"/>
          <w:lang w:val="en-US" w:eastAsia="zh-CN"/>
        </w:rPr>
        <w:t>按照“谁污染，谁治理”原则，明确治理与修复主体，</w:t>
      </w:r>
      <w:r>
        <w:rPr>
          <w:rFonts w:hint="default" w:ascii="仿宋_GB2312" w:hAnsi="仿宋_GB2312" w:eastAsia="仿宋_GB2312" w:cs="仿宋_GB2312"/>
          <w:sz w:val="32"/>
          <w:szCs w:val="32"/>
          <w:lang w:val="en-US" w:eastAsia="zh-CN"/>
        </w:rPr>
        <w:t>制定</w:t>
      </w:r>
      <w:r>
        <w:rPr>
          <w:rFonts w:hint="eastAsia" w:ascii="仿宋_GB2312" w:hAnsi="仿宋_GB2312" w:eastAsia="仿宋_GB2312" w:cs="仿宋_GB2312"/>
          <w:sz w:val="32"/>
          <w:szCs w:val="32"/>
          <w:lang w:val="en-US" w:eastAsia="zh-CN"/>
        </w:rPr>
        <w:t>土壤污染</w:t>
      </w:r>
      <w:r>
        <w:rPr>
          <w:rFonts w:hint="default" w:ascii="仿宋_GB2312" w:hAnsi="仿宋_GB2312" w:eastAsia="仿宋_GB2312" w:cs="仿宋_GB2312"/>
          <w:sz w:val="32"/>
          <w:szCs w:val="32"/>
          <w:lang w:val="en-US" w:eastAsia="zh-CN"/>
        </w:rPr>
        <w:t>治理与修复计划，</w:t>
      </w:r>
      <w:r>
        <w:rPr>
          <w:rFonts w:hint="default" w:ascii="Times New Roman" w:hAnsi="Times New Roman" w:eastAsia="仿宋_GB2312" w:cs="Times New Roman"/>
          <w:sz w:val="32"/>
          <w:szCs w:val="32"/>
        </w:rPr>
        <w:t>建立建设用地土壤污染修复目录和开发利用负面清单</w:t>
      </w:r>
      <w:r>
        <w:rPr>
          <w:rFonts w:hint="default" w:ascii="仿宋_GB2312" w:hAnsi="仿宋_GB2312" w:eastAsia="仿宋_GB2312" w:cs="仿宋_GB2312"/>
          <w:sz w:val="32"/>
          <w:szCs w:val="32"/>
          <w:lang w:val="en-US" w:eastAsia="zh-CN"/>
        </w:rPr>
        <w:t>。实施土壤污染修复工程，对沂源县东里镇兴</w:t>
      </w:r>
      <w:r>
        <w:rPr>
          <w:rFonts w:hint="eastAsia" w:ascii="仿宋_GB2312" w:hAnsi="仿宋_GB2312" w:eastAsia="仿宋_GB2312" w:cs="仿宋_GB2312"/>
          <w:sz w:val="32"/>
          <w:szCs w:val="32"/>
          <w:lang w:val="en-US" w:eastAsia="zh-CN"/>
        </w:rPr>
        <w:t>民村铬污染土壤区域采取污染修复技术。</w:t>
      </w:r>
      <w:r>
        <w:rPr>
          <w:rFonts w:hint="default" w:ascii="仿宋_GB2312" w:hAnsi="仿宋_GB2312" w:eastAsia="仿宋_GB2312" w:cs="仿宋_GB2312"/>
          <w:sz w:val="32"/>
          <w:szCs w:val="32"/>
          <w:lang w:val="en-US" w:eastAsia="zh-CN"/>
        </w:rPr>
        <w:t>强化治理与修复工程监管，实行土壤污染治理与修复终身责任制，对造成土壤严重污染的依法进行追责。</w:t>
      </w:r>
    </w:p>
    <w:p>
      <w:pPr>
        <w:adjustRightInd w:val="0"/>
        <w:snapToGrid w:val="0"/>
        <w:spacing w:line="360" w:lineRule="auto"/>
        <w:ind w:firstLine="643" w:firstLineChars="200"/>
        <w:outlineLvl w:val="2"/>
        <w:rPr>
          <w:rFonts w:hint="default" w:ascii="Times New Roman" w:hAnsi="Times New Roman" w:eastAsia="仿宋_GB2312" w:cs="Times New Roman"/>
          <w:b/>
          <w:sz w:val="32"/>
          <w:szCs w:val="32"/>
          <w:lang w:val="en-US" w:eastAsia="zh-CN"/>
        </w:rPr>
      </w:pPr>
      <w:bookmarkStart w:id="67" w:name="_Toc16041"/>
      <w:r>
        <w:rPr>
          <w:rFonts w:hint="eastAsia" w:ascii="Times New Roman" w:hAnsi="Times New Roman" w:eastAsia="仿宋_GB2312" w:cs="Times New Roman"/>
          <w:b/>
          <w:sz w:val="32"/>
          <w:szCs w:val="32"/>
          <w:lang w:val="en-US" w:eastAsia="zh-CN"/>
        </w:rPr>
        <w:t>5.</w:t>
      </w:r>
      <w:r>
        <w:rPr>
          <w:rFonts w:hint="eastAsia" w:eastAsia="仿宋_GB2312" w:cs="Times New Roman"/>
          <w:b/>
          <w:sz w:val="32"/>
          <w:szCs w:val="32"/>
          <w:lang w:val="en-US" w:eastAsia="zh-CN"/>
        </w:rPr>
        <w:t>推进</w:t>
      </w:r>
      <w:r>
        <w:rPr>
          <w:rFonts w:hint="eastAsia" w:ascii="Times New Roman" w:hAnsi="Times New Roman" w:eastAsia="仿宋_GB2312" w:cs="Times New Roman"/>
          <w:b/>
          <w:sz w:val="32"/>
          <w:szCs w:val="32"/>
          <w:lang w:val="en-US" w:eastAsia="zh-CN"/>
        </w:rPr>
        <w:t>固体废物</w:t>
      </w:r>
      <w:r>
        <w:rPr>
          <w:rFonts w:hint="eastAsia" w:eastAsia="仿宋_GB2312" w:cs="Times New Roman"/>
          <w:b/>
          <w:sz w:val="32"/>
          <w:szCs w:val="32"/>
          <w:lang w:val="en-US" w:eastAsia="zh-CN"/>
        </w:rPr>
        <w:t>治理</w:t>
      </w:r>
      <w:bookmarkEnd w:id="67"/>
    </w:p>
    <w:p>
      <w:pPr>
        <w:adjustRightInd w:val="0"/>
        <w:snapToGrid w:val="0"/>
        <w:spacing w:line="360"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加快“无废城市”建设。</w:t>
      </w:r>
      <w:r>
        <w:rPr>
          <w:rFonts w:hint="eastAsia" w:ascii="仿宋_GB2312" w:hAnsi="仿宋_GB2312" w:eastAsia="仿宋_GB2312" w:cs="仿宋_GB2312"/>
          <w:b w:val="0"/>
          <w:bCs w:val="0"/>
          <w:sz w:val="32"/>
          <w:szCs w:val="32"/>
          <w:highlight w:val="none"/>
        </w:rPr>
        <w:t>按照“源头管理精细化、贮存转运规范化、过程监控信息化、设施布局科学化、利用处置无害化”的要求，大力推进一般工业固体废物的减量化、无害化和资源化工作。</w:t>
      </w:r>
      <w:r>
        <w:rPr>
          <w:rFonts w:hint="eastAsia" w:ascii="仿宋_GB2312" w:hAnsi="仿宋_GB2312" w:eastAsia="仿宋_GB2312" w:cs="仿宋_GB2312"/>
          <w:sz w:val="32"/>
          <w:szCs w:val="32"/>
        </w:rPr>
        <w:t>建设</w:t>
      </w:r>
      <w:r>
        <w:rPr>
          <w:rFonts w:hint="eastAsia" w:ascii="仿宋_GB2312" w:hAnsi="仿宋_GB2312" w:eastAsia="仿宋_GB2312" w:cs="仿宋_GB2312"/>
          <w:sz w:val="32"/>
          <w:szCs w:val="32"/>
          <w:lang w:val="en-US" w:eastAsia="zh-CN"/>
        </w:rPr>
        <w:t>固体废物</w:t>
      </w:r>
      <w:r>
        <w:rPr>
          <w:rFonts w:hint="eastAsia" w:ascii="仿宋_GB2312" w:hAnsi="仿宋_GB2312" w:eastAsia="仿宋_GB2312" w:cs="仿宋_GB2312"/>
          <w:sz w:val="32"/>
          <w:szCs w:val="32"/>
        </w:rPr>
        <w:t>综合利用处置设施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建设一般工业固废终端处置中心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推进历史固废堆存和废弃坑塘问题点位清理整治。加强生活垃圾源头减量，大力推进生活垃圾等分类处理，重点推动全市公共机构全面实施生活垃圾分类制度。持续开展塑料污染治理部门联合专项行动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积极推广替代产品，增加可循环、易回收、可降解绿色产品供给。</w:t>
      </w:r>
    </w:p>
    <w:p>
      <w:pPr>
        <w:adjustRightInd w:val="0"/>
        <w:snapToGrid w:val="0"/>
        <w:spacing w:line="360" w:lineRule="auto"/>
        <w:ind w:firstLine="643"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bCs/>
          <w:sz w:val="32"/>
          <w:szCs w:val="32"/>
        </w:rPr>
        <w:t>提高危险废物</w:t>
      </w:r>
      <w:r>
        <w:rPr>
          <w:rFonts w:hint="eastAsia" w:ascii="仿宋_GB2312" w:hAnsi="仿宋_GB2312" w:eastAsia="仿宋_GB2312" w:cs="仿宋_GB2312"/>
          <w:b/>
          <w:bCs/>
          <w:sz w:val="32"/>
          <w:szCs w:val="32"/>
          <w:lang w:val="en-US" w:eastAsia="zh-CN"/>
        </w:rPr>
        <w:t>处理</w:t>
      </w:r>
      <w:r>
        <w:rPr>
          <w:rFonts w:hint="eastAsia" w:ascii="仿宋_GB2312" w:hAnsi="仿宋_GB2312" w:eastAsia="仿宋_GB2312" w:cs="仿宋_GB2312"/>
          <w:b/>
          <w:bCs/>
          <w:sz w:val="32"/>
          <w:szCs w:val="32"/>
        </w:rPr>
        <w:t>水平</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sz w:val="32"/>
          <w:szCs w:val="32"/>
        </w:rPr>
        <w:t>建立</w:t>
      </w:r>
      <w:r>
        <w:rPr>
          <w:rFonts w:hint="eastAsia" w:ascii="仿宋_GB2312" w:hAnsi="仿宋_GB2312" w:eastAsia="仿宋_GB2312" w:cs="仿宋_GB2312"/>
          <w:sz w:val="32"/>
          <w:szCs w:val="32"/>
          <w:lang w:val="en-US" w:eastAsia="zh-CN"/>
        </w:rPr>
        <w:t>危险废物</w:t>
      </w:r>
      <w:r>
        <w:rPr>
          <w:rFonts w:hint="eastAsia" w:ascii="仿宋_GB2312" w:hAnsi="仿宋_GB2312" w:eastAsia="仿宋_GB2312" w:cs="仿宋_GB2312"/>
          <w:sz w:val="32"/>
          <w:szCs w:val="32"/>
        </w:rPr>
        <w:t>全过程管理体系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每年更新完善全市危险废物环境重点监管单位清单，建设全市危险废物信息大数据监管平台，形成全过程的信息化、智能化、可视化管理。推动固废高效利用，扎实开展“清废行动”，实施一般工业固体废物和危险废物五年行动</w:t>
      </w:r>
      <w:r>
        <w:rPr>
          <w:rFonts w:hint="eastAsia" w:ascii="仿宋_GB2312" w:hAnsi="仿宋_GB2312" w:eastAsia="仿宋_GB2312" w:cs="仿宋_GB2312"/>
          <w:b w:val="0"/>
          <w:bCs w:val="0"/>
          <w:sz w:val="32"/>
          <w:szCs w:val="32"/>
          <w:lang w:eastAsia="zh-CN"/>
        </w:rPr>
        <w:t>。提升医疗废物处置与应急能力，实现医疗废物应收尽收、全面覆盖，处置及时有效、科学规范，统筹城乡医疗废物处置，保障重大疫情医疗废物应急处置能力。</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eastAsia="黑体"/>
          <w:b/>
          <w:bCs/>
          <w:color w:val="C00000"/>
          <w:sz w:val="32"/>
          <w:szCs w:val="32"/>
        </w:rPr>
      </w:pPr>
      <w:bookmarkStart w:id="68" w:name="_Toc28578"/>
      <w:r>
        <w:rPr>
          <w:rFonts w:eastAsia="楷体_GB2312"/>
          <w:b/>
          <w:bCs/>
          <w:sz w:val="32"/>
          <w:szCs w:val="32"/>
        </w:rPr>
        <w:t>（</w:t>
      </w:r>
      <w:r>
        <w:rPr>
          <w:rFonts w:hint="eastAsia" w:eastAsia="楷体_GB2312"/>
          <w:b/>
          <w:bCs/>
          <w:sz w:val="32"/>
          <w:szCs w:val="32"/>
        </w:rPr>
        <w:t>三</w:t>
      </w:r>
      <w:r>
        <w:rPr>
          <w:rFonts w:eastAsia="楷体_GB2312"/>
          <w:b/>
          <w:bCs/>
          <w:sz w:val="32"/>
          <w:szCs w:val="32"/>
        </w:rPr>
        <w:t>）推进绿色高质量发展，践行“两山”转化</w:t>
      </w:r>
      <w:bookmarkEnd w:id="68"/>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仿宋_GB2312"/>
          <w:lang w:eastAsia="zh-CN"/>
        </w:rPr>
      </w:pPr>
      <w:r>
        <w:rPr>
          <w:rFonts w:hint="eastAsia" w:eastAsia="仿宋_GB2312"/>
          <w:sz w:val="32"/>
          <w:szCs w:val="32"/>
        </w:rPr>
        <w:t>深入实施“产业富民</w:t>
      </w:r>
      <w:r>
        <w:rPr>
          <w:rFonts w:hint="eastAsia" w:eastAsia="仿宋_GB2312"/>
          <w:sz w:val="32"/>
          <w:szCs w:val="32"/>
          <w:lang w:eastAsia="zh-CN"/>
        </w:rPr>
        <w:t>、</w:t>
      </w:r>
      <w:r>
        <w:rPr>
          <w:rFonts w:hint="eastAsia" w:eastAsia="仿宋_GB2312"/>
          <w:sz w:val="32"/>
          <w:szCs w:val="32"/>
        </w:rPr>
        <w:t>产业强县”、“创新兴县”战略，做好“生态+”、“绿色+”文章，以产业“含绿量”提升发展“含金量”</w:t>
      </w:r>
      <w:r>
        <w:rPr>
          <w:rFonts w:hint="eastAsia" w:eastAsia="仿宋_GB2312"/>
          <w:sz w:val="32"/>
          <w:szCs w:val="32"/>
          <w:lang w:eastAsia="zh-CN"/>
        </w:rPr>
        <w:t>，</w:t>
      </w:r>
      <w:r>
        <w:rPr>
          <w:rFonts w:hint="eastAsia" w:eastAsia="仿宋_GB2312"/>
          <w:sz w:val="32"/>
          <w:szCs w:val="32"/>
        </w:rPr>
        <w:t>走好产业生态化、生态产业化的县域经济</w:t>
      </w:r>
      <w:r>
        <w:rPr>
          <w:rFonts w:hint="eastAsia" w:eastAsia="仿宋_GB2312"/>
          <w:sz w:val="32"/>
          <w:szCs w:val="32"/>
          <w:lang w:val="en-US" w:eastAsia="zh-CN"/>
        </w:rPr>
        <w:t>绿色</w:t>
      </w:r>
      <w:r>
        <w:rPr>
          <w:rFonts w:hint="eastAsia" w:eastAsia="仿宋_GB2312"/>
          <w:sz w:val="32"/>
          <w:szCs w:val="32"/>
        </w:rPr>
        <w:t>高质量发展</w:t>
      </w:r>
      <w:r>
        <w:rPr>
          <w:rFonts w:hint="eastAsia" w:eastAsia="仿宋_GB2312"/>
          <w:sz w:val="32"/>
          <w:szCs w:val="32"/>
          <w:lang w:val="en-US" w:eastAsia="zh-CN"/>
        </w:rPr>
        <w:t>沂源</w:t>
      </w:r>
      <w:r>
        <w:rPr>
          <w:rFonts w:hint="eastAsia" w:eastAsia="仿宋_GB2312"/>
          <w:sz w:val="32"/>
          <w:szCs w:val="32"/>
        </w:rPr>
        <w:t>之路。</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firstLine="643" w:firstLineChars="200"/>
        <w:textAlignment w:val="auto"/>
        <w:outlineLvl w:val="2"/>
        <w:rPr>
          <w:rFonts w:eastAsia="仿宋_GB2312"/>
          <w:b/>
          <w:sz w:val="32"/>
          <w:szCs w:val="32"/>
        </w:rPr>
      </w:pPr>
      <w:bookmarkStart w:id="69" w:name="_Toc14268"/>
      <w:r>
        <w:rPr>
          <w:rFonts w:hint="eastAsia" w:eastAsia="仿宋_GB2312"/>
          <w:b/>
          <w:sz w:val="32"/>
          <w:szCs w:val="32"/>
          <w:lang w:val="en-US" w:eastAsia="zh-CN"/>
        </w:rPr>
        <w:t>夯实特色</w:t>
      </w:r>
      <w:r>
        <w:rPr>
          <w:rFonts w:eastAsia="仿宋_GB2312"/>
          <w:b/>
          <w:sz w:val="32"/>
          <w:szCs w:val="32"/>
        </w:rPr>
        <w:t>生态农业</w:t>
      </w:r>
      <w:r>
        <w:rPr>
          <w:rFonts w:hint="eastAsia" w:eastAsia="仿宋_GB2312"/>
          <w:b/>
          <w:sz w:val="32"/>
          <w:szCs w:val="32"/>
          <w:lang w:val="en-US" w:eastAsia="zh-CN"/>
        </w:rPr>
        <w:t>优势</w:t>
      </w:r>
      <w:bookmarkEnd w:id="69"/>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做大做强优势特色农业。</w:t>
      </w:r>
      <w:r>
        <w:rPr>
          <w:rFonts w:hint="default" w:ascii="Times New Roman" w:hAnsi="Times New Roman" w:eastAsia="仿宋_GB2312" w:cs="Times New Roman"/>
          <w:kern w:val="2"/>
          <w:sz w:val="32"/>
          <w:szCs w:val="32"/>
          <w:lang w:val="en-US" w:eastAsia="zh-CN" w:bidi="ar-SA"/>
        </w:rPr>
        <w:t>围绕果业等特色农业产业，加快现代农业园区建设，打造新农业产业集聚区、优势区。</w:t>
      </w:r>
      <w:r>
        <w:rPr>
          <w:rFonts w:hint="eastAsia" w:ascii="Times New Roman" w:hAnsi="Times New Roman" w:eastAsia="仿宋_GB2312" w:cs="Times New Roman"/>
          <w:b w:val="0"/>
          <w:bCs w:val="0"/>
          <w:kern w:val="2"/>
          <w:sz w:val="32"/>
          <w:szCs w:val="32"/>
          <w:lang w:val="en-US" w:eastAsia="zh-CN" w:bidi="ar-SA"/>
        </w:rPr>
        <w:t>做大做强以苹果为主的林果业，实施苹果产业“二次革命”，深入推进沂源果业振兴计划，做强中国特色农产品优势区建设，打造“沂源苹果”百亿级产业集群。围绕“一果三桃”等特色农业产业，加快现代农业园区建设，发挥齐鲁大宗农产品交易中心平台作用，拓宽线上线下销售渠道，构建绿色商贸体系。扶持农业企业发展壮大，加强农产品深加工和研发，推进一二三产业高效衔接，增加农产品附加值，实现价值最大化。</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b/>
          <w:bCs/>
          <w:kern w:val="2"/>
          <w:sz w:val="32"/>
          <w:szCs w:val="32"/>
          <w:lang w:val="en-US" w:eastAsia="zh-CN" w:bidi="ar-SA"/>
        </w:rPr>
        <w:t>着力打造特色生态农业品牌。</w:t>
      </w:r>
      <w:r>
        <w:rPr>
          <w:rFonts w:eastAsia="仿宋_GB2312"/>
          <w:bCs/>
          <w:sz w:val="32"/>
          <w:szCs w:val="32"/>
        </w:rPr>
        <w:t>以沂源苹果、沂源大樱桃、沂源金黄金桃等区域公用品牌为引领，培育一批市场知名度、信誉度高的企业品牌、产品品牌，构建完善的山区现代农业品牌体系</w:t>
      </w:r>
      <w:r>
        <w:rPr>
          <w:rFonts w:hint="eastAsia" w:eastAsia="仿宋_GB2312"/>
          <w:bCs/>
          <w:sz w:val="32"/>
          <w:szCs w:val="32"/>
          <w:lang w:eastAsia="zh-CN"/>
        </w:rPr>
        <w:t>。</w:t>
      </w:r>
      <w:r>
        <w:rPr>
          <w:rFonts w:hint="default" w:ascii="Times New Roman" w:hAnsi="Times New Roman" w:eastAsia="仿宋_GB2312" w:cs="Times New Roman"/>
          <w:sz w:val="32"/>
          <w:szCs w:val="32"/>
        </w:rPr>
        <w:t>发挥全域“富锶”优势，推行标准化生产，依托中农数院富锶产业研究院，加快制定富锶苹果团体标准，提升“沂源红”地域品牌价值和影响力，培育更多特色农产品品牌，实现“品牌兴农、品牌富农”</w:t>
      </w:r>
      <w:r>
        <w:rPr>
          <w:rFonts w:hint="eastAsia" w:ascii="Times New Roman" w:hAnsi="Times New Roman" w:eastAsia="仿宋_GB2312" w:cs="Times New Roman"/>
          <w:sz w:val="32"/>
          <w:szCs w:val="32"/>
          <w:lang w:eastAsia="zh-CN"/>
        </w:rPr>
        <w:t>。稳步推进“三品一标”认证工作，完善品牌发展退出机制，强化品牌认定和保护，</w:t>
      </w:r>
      <w:r>
        <w:rPr>
          <w:rFonts w:hint="default" w:ascii="Times New Roman" w:hAnsi="Times New Roman" w:eastAsia="仿宋_GB2312" w:cs="Times New Roman"/>
          <w:sz w:val="32"/>
          <w:szCs w:val="32"/>
          <w:lang w:val="en-US" w:eastAsia="zh-CN"/>
        </w:rPr>
        <w:t>到2025 年，“三品一标”农产品认证达150个以上。创新品牌营销方式，赋予品牌人文、文化标识，实施品牌品质数字提升工程，强化品牌宣传和推介。</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强化科技创新驱动。</w:t>
      </w:r>
      <w:r>
        <w:rPr>
          <w:rFonts w:hint="default" w:ascii="Times New Roman" w:hAnsi="Times New Roman" w:eastAsia="仿宋_GB2312" w:cs="Times New Roman"/>
          <w:sz w:val="32"/>
          <w:szCs w:val="32"/>
        </w:rPr>
        <w:t>依托山东（沂源）苹果产业技术研究院、束怀瑞院士工作站等高层次创新平台，健全以企业为主体、市场为导向、政产学研用相结合的产业技术创新体系，突破重点领域关键技术。开展果品良种繁育项目，加快沂源苹果等特色林果、高锶特色农产品种质资源开发，强化“沂源红”苹果等特色良种培育推广</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示范引领、集约发展，大力提升现代农业示范区、产业园、科技园、创业园等园区科技研发和应用能力。加强乡村人才引进和培育，鼓励人才创新创业，推动乡村人才振兴。到2025年，持有专业证书的农业劳动力占比达到75%以上，农业科技进步贡献率达到69%。</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sz w:val="32"/>
          <w:szCs w:val="32"/>
        </w:rPr>
        <w:t>加快推进三产深度融合。</w:t>
      </w:r>
      <w:r>
        <w:rPr>
          <w:rFonts w:hint="default" w:ascii="Times New Roman" w:hAnsi="Times New Roman" w:eastAsia="仿宋_GB2312" w:cs="Times New Roman"/>
          <w:sz w:val="32"/>
          <w:szCs w:val="32"/>
        </w:rPr>
        <w:t>深化农业产业化经营，着力发展山区特色农业、设施农业、都市农业，加快布局经济开发区农产品深加工板块和农村村头工厂，链接农村闲置资源，形成农产品初、深加工产业链，推动农业接二连三，促进立体化、复合化全产业链发展。推动农业与旅游、文化、创意、教育、健康养老等产业融合发展，丰富乡村经济新业态。全面推进产业交叉融合，大力发展农业“新六产”，建设一批农村产业融合发展现代农业园区、田园综合体、产业强镇，推动终端型、体验型、智慧型、循环型新产业新业态“四型发展”，提升农业农村三产融合发展水平。到2025年，建成省级现代农业产业园区1处、市级以上现代农业产业园10个以上、市级以上农业产业强镇6个以上、市级以上田园综合体3个以上，打造农文旅融合示范点50个以上。</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firstLine="643" w:firstLineChars="200"/>
        <w:textAlignment w:val="auto"/>
        <w:outlineLvl w:val="2"/>
        <w:rPr>
          <w:rFonts w:ascii="Times New Roman" w:hAnsi="Times New Roman" w:eastAsia="仿宋_GB2312" w:cs="Times New Roman"/>
          <w:b/>
          <w:sz w:val="32"/>
          <w:szCs w:val="32"/>
        </w:rPr>
      </w:pPr>
      <w:bookmarkStart w:id="70" w:name="_Toc20172"/>
      <w:r>
        <w:rPr>
          <w:rFonts w:hint="eastAsia" w:ascii="Times New Roman" w:hAnsi="Times New Roman" w:eastAsia="仿宋_GB2312" w:cs="Times New Roman"/>
          <w:b/>
          <w:sz w:val="32"/>
          <w:szCs w:val="32"/>
        </w:rPr>
        <w:t>振兴延链补链型生态工业</w:t>
      </w:r>
      <w:bookmarkEnd w:id="70"/>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优化提升传统产业。</w:t>
      </w:r>
      <w:r>
        <w:rPr>
          <w:rFonts w:hint="default" w:ascii="Times New Roman" w:hAnsi="Times New Roman" w:eastAsia="仿宋_GB2312" w:cs="Times New Roman"/>
          <w:sz w:val="32"/>
          <w:szCs w:val="32"/>
        </w:rPr>
        <w:t>发挥企业绿色发展联盟作用，引导医药、纤维材料等传统产业绿色升级，通过优化提升技术工艺、优化提高产品质量，推进制造业加速向智能化、精品化、绿色化方向延伸拓展。</w:t>
      </w:r>
      <w:r>
        <w:rPr>
          <w:rFonts w:hint="eastAsia" w:ascii="Times New Roman" w:hAnsi="Times New Roman" w:eastAsia="仿宋_GB2312" w:cs="Times New Roman"/>
          <w:sz w:val="32"/>
          <w:szCs w:val="32"/>
          <w:lang w:val="en-US" w:eastAsia="zh-CN"/>
        </w:rPr>
        <w:t>推动</w:t>
      </w:r>
      <w:r>
        <w:rPr>
          <w:rFonts w:hint="default" w:ascii="Times New Roman" w:hAnsi="Times New Roman" w:eastAsia="仿宋_GB2312" w:cs="Times New Roman"/>
          <w:sz w:val="32"/>
          <w:szCs w:val="32"/>
        </w:rPr>
        <w:t>华联矿业、沃源公司、源通机械等企业，以技术改造为核心，不断优化采矿、纺织业、机械制造等传统产业的行业结构、技术结构和产品结构，提高传统产业质量效益，推动传统产业向先进制造业转型升级。</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b/>
          <w:bCs/>
          <w:kern w:val="2"/>
          <w:sz w:val="32"/>
          <w:szCs w:val="32"/>
          <w:lang w:val="en-US" w:eastAsia="zh-CN" w:bidi="ar-SA"/>
        </w:rPr>
        <w:t>培植壮大新兴产业。</w:t>
      </w:r>
      <w:r>
        <w:rPr>
          <w:rFonts w:hint="eastAsia" w:ascii="Times New Roman" w:hAnsi="Times New Roman" w:eastAsia="仿宋_GB2312" w:cs="Times New Roman"/>
          <w:b w:val="0"/>
          <w:bCs w:val="0"/>
          <w:kern w:val="2"/>
          <w:sz w:val="32"/>
          <w:szCs w:val="32"/>
          <w:lang w:val="en-US" w:eastAsia="zh-CN" w:bidi="ar-SA"/>
        </w:rPr>
        <w:t>大力实施战略性新兴产业倍增工程，推动企业延伸产业链，促进块状经济产业链纵向衍射和横向拓展，形成新医药、新材料和新一代电子信息三大主导产业龙头企业引领带动上下游企业发展的新格局，推动主导产业、重点企业和拳头产品向产业链、价值链高端迈进，壮大新医药、新材料和新一代电子信息三大百亿级产业集群规模。</w:t>
      </w:r>
      <w:r>
        <w:rPr>
          <w:rFonts w:hint="default" w:ascii="Times New Roman" w:hAnsi="Times New Roman" w:eastAsia="仿宋_GB2312" w:cs="Times New Roman"/>
          <w:sz w:val="32"/>
          <w:szCs w:val="32"/>
        </w:rPr>
        <w:t>围绕经济开发区、东里装备制造产业园、西部新城、南部物流产业园“四驾马车”，聚焦新材料、新医药、新能源、智能装备制造等优势项目，加快“建链、延链、补链、强链”，按照“科学性、可行性、效益性”原则策划项目，着力打造新医药之都、纤维新材料之城、新能源产业高地。</w:t>
      </w:r>
      <w:r>
        <w:rPr>
          <w:rFonts w:hint="eastAsia" w:ascii="Times New Roman" w:hAnsi="Times New Roman" w:eastAsia="仿宋_GB2312" w:cs="Times New Roman"/>
          <w:sz w:val="32"/>
          <w:szCs w:val="32"/>
          <w:lang w:val="en-US" w:eastAsia="zh-CN"/>
        </w:rPr>
        <w:t>大力推进</w:t>
      </w:r>
      <w:r>
        <w:rPr>
          <w:rFonts w:hint="default" w:ascii="Times New Roman" w:hAnsi="Times New Roman" w:eastAsia="仿宋_GB2312" w:cs="Times New Roman"/>
          <w:sz w:val="32"/>
          <w:szCs w:val="32"/>
        </w:rPr>
        <w:t>新技术、新产业、新业态、新模式“四新经济”，加快构建产业新赛道，到2025年，力争新经济规模超过200亿元。</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提升农产品加工业。</w:t>
      </w:r>
      <w:r>
        <w:rPr>
          <w:rFonts w:hint="default" w:ascii="Times New Roman" w:hAnsi="Times New Roman" w:eastAsia="仿宋_GB2312" w:cs="Times New Roman"/>
          <w:b w:val="0"/>
          <w:bCs w:val="0"/>
          <w:kern w:val="2"/>
          <w:sz w:val="32"/>
          <w:szCs w:val="32"/>
          <w:lang w:val="en-US" w:eastAsia="zh-CN" w:bidi="ar-SA"/>
        </w:rPr>
        <w:t>发挥全县特色农产品生产基地优势，依托</w:t>
      </w:r>
      <w:r>
        <w:rPr>
          <w:rFonts w:hint="eastAsia" w:ascii="Times New Roman" w:hAnsi="Times New Roman" w:eastAsia="仿宋_GB2312" w:cs="Times New Roman"/>
          <w:b w:val="0"/>
          <w:bCs w:val="0"/>
          <w:kern w:val="2"/>
          <w:sz w:val="32"/>
          <w:szCs w:val="32"/>
          <w:lang w:val="en-US" w:eastAsia="zh-CN" w:bidi="ar-SA"/>
        </w:rPr>
        <w:t>龙头</w:t>
      </w:r>
      <w:r>
        <w:rPr>
          <w:rFonts w:hint="default" w:ascii="Times New Roman" w:hAnsi="Times New Roman" w:eastAsia="仿宋_GB2312" w:cs="Times New Roman"/>
          <w:b w:val="0"/>
          <w:bCs w:val="0"/>
          <w:kern w:val="2"/>
          <w:sz w:val="32"/>
          <w:szCs w:val="32"/>
          <w:lang w:val="en-US" w:eastAsia="zh-CN" w:bidi="ar-SA"/>
        </w:rPr>
        <w:t>企业，着力发展果品、蔬菜和禽畜等农副产品精深加工，</w:t>
      </w:r>
      <w:r>
        <w:rPr>
          <w:rFonts w:hint="eastAsia" w:ascii="Times New Roman" w:hAnsi="Times New Roman" w:eastAsia="仿宋_GB2312" w:cs="Times New Roman"/>
          <w:b w:val="0"/>
          <w:bCs w:val="0"/>
          <w:kern w:val="2"/>
          <w:sz w:val="32"/>
          <w:szCs w:val="32"/>
          <w:lang w:val="en-US" w:eastAsia="zh-CN" w:bidi="ar-SA"/>
        </w:rPr>
        <w:t>延伸</w:t>
      </w:r>
      <w:r>
        <w:rPr>
          <w:rFonts w:hint="default" w:ascii="Times New Roman" w:hAnsi="Times New Roman" w:eastAsia="仿宋_GB2312" w:cs="Times New Roman"/>
          <w:b w:val="0"/>
          <w:bCs w:val="0"/>
          <w:kern w:val="2"/>
          <w:sz w:val="32"/>
          <w:szCs w:val="32"/>
          <w:lang w:val="en-US" w:eastAsia="zh-CN" w:bidi="ar-SA"/>
        </w:rPr>
        <w:t>产业链条，拓展增值空间。依托矿泉水之乡优势，高水平建设青岛啤酒小镇，做精啤酒酿造和矿泉水产业。依托鲁源酒业、飞龙食品、众健生物等企业，增强内涵发展能力，做强白酒和果饮产业。在经济开发区规划建设食品产业园，引进战略投资者和农副产品加工龙头企业，培育发展一批现代化大型食品加工企业。</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firstLine="643" w:firstLineChars="200"/>
        <w:textAlignment w:val="auto"/>
        <w:outlineLvl w:val="2"/>
        <w:rPr>
          <w:rFonts w:hint="eastAsia" w:ascii="Times New Roman" w:hAnsi="Times New Roman" w:eastAsia="仿宋_GB2312" w:cs="Times New Roman"/>
          <w:b/>
          <w:sz w:val="32"/>
          <w:szCs w:val="32"/>
        </w:rPr>
      </w:pPr>
      <w:bookmarkStart w:id="71" w:name="_Toc31277"/>
      <w:r>
        <w:rPr>
          <w:rFonts w:hint="eastAsia" w:ascii="Times New Roman" w:hAnsi="Times New Roman" w:eastAsia="仿宋_GB2312" w:cs="Times New Roman"/>
          <w:b/>
          <w:sz w:val="32"/>
          <w:szCs w:val="32"/>
          <w:lang w:val="en-US" w:eastAsia="zh-CN"/>
        </w:rPr>
        <w:t>全面提升全域旅游</w:t>
      </w:r>
      <w:bookmarkEnd w:id="71"/>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优化全域旅游</w:t>
      </w:r>
      <w:r>
        <w:rPr>
          <w:rFonts w:hint="default" w:ascii="Times New Roman" w:hAnsi="Times New Roman" w:eastAsia="仿宋_GB2312" w:cs="Times New Roman"/>
          <w:b/>
          <w:bCs/>
          <w:kern w:val="2"/>
          <w:sz w:val="32"/>
          <w:szCs w:val="32"/>
          <w:lang w:val="en-US" w:eastAsia="zh-CN" w:bidi="ar-SA"/>
        </w:rPr>
        <w:t>发展格局。</w:t>
      </w:r>
      <w:r>
        <w:rPr>
          <w:rFonts w:hint="default" w:ascii="Times New Roman" w:hAnsi="Times New Roman" w:eastAsia="仿宋_GB2312" w:cs="Times New Roman"/>
          <w:sz w:val="32"/>
          <w:szCs w:val="32"/>
        </w:rPr>
        <w:t>以《沂源县全域旅游总体规划》为基础，发挥沂源生态资源优势，统筹推进生态、文化、旅游，构建“一心一带四区”全域旅游发展格局</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即</w:t>
      </w:r>
      <w:r>
        <w:rPr>
          <w:rFonts w:hint="default" w:ascii="Times New Roman" w:hAnsi="Times New Roman" w:eastAsia="仿宋_GB2312" w:cs="Times New Roman"/>
          <w:sz w:val="32"/>
          <w:szCs w:val="32"/>
        </w:rPr>
        <w:t>沂源全域旅游核心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地上银河</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生态景观带</w:t>
      </w:r>
      <w:r>
        <w:rPr>
          <w:rFonts w:hint="eastAsia" w:ascii="Times New Roman" w:hAnsi="Times New Roman" w:eastAsia="仿宋_GB2312" w:cs="Times New Roman"/>
          <w:sz w:val="32"/>
          <w:szCs w:val="32"/>
          <w:lang w:eastAsia="zh-CN"/>
        </w:rPr>
        <w:t>、历史文化体验区、</w:t>
      </w:r>
      <w:r>
        <w:rPr>
          <w:rFonts w:hint="default" w:ascii="Times New Roman" w:hAnsi="Times New Roman" w:eastAsia="仿宋_GB2312" w:cs="Times New Roman"/>
          <w:sz w:val="32"/>
          <w:szCs w:val="32"/>
        </w:rPr>
        <w:t>爱情主题旅游区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自在山水休闲区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红色文化传承区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2"/>
          <w:sz w:val="32"/>
          <w:szCs w:val="32"/>
          <w:lang w:val="en-US" w:eastAsia="zh-CN" w:bidi="ar-SA"/>
        </w:rPr>
        <w:t>依托沂源主城区政治经济文化中心优势，提升建设全域旅游现代服务综合接待能力，彰显山水特色小城生活品位，积极打造沂源国家全域旅游示范区对外形象主窗口。以沂河为主线，以河道治理、绿道建设为抓手，打造一条水域生态景观带、生活文化带和产业集聚带。充分挖掘东安古城遗址、扁扁洞古人类生存遗址、铜陵关齐长城遗址、九顶莲花山摩崖石刻古迹等历史文化内涵，策划一批有历史情怀、有文化底蕴、有故事内涵、有互动体验的文旅项目。依托鲁山国家森林公园、中国北方第一溶洞群、沂源猿人遗址、神农药谷、中国矿泉水之乡等旅游资源，充分保护挖掘天湖、凤凰山、青龙湖等山水生态资源，打造层次明显、特色鲜明的“山水休闲生态圈”。将朱彦夫事迹党性教育基地打造成沂源县红色文化核心传承地，有序带动618战备电台、小三线军工厂旧址等红色旅游景点的开发建设，结合周边美丽乡村、山水生态资源，打造休闲度假、红色研学、文化体验集聚区。</w:t>
      </w:r>
    </w:p>
    <w:p>
      <w:pPr>
        <w:keepNext w:val="0"/>
        <w:keepLines w:val="0"/>
        <w:pageBreakBefore w:val="0"/>
        <w:widowControl w:val="0"/>
        <w:kinsoku/>
        <w:wordWrap/>
        <w:overflowPunct w:val="0"/>
        <w:topLinePunct w:val="0"/>
        <w:autoSpaceDE w:val="0"/>
        <w:autoSpaceDN w:val="0"/>
        <w:bidi w:val="0"/>
        <w:adjustRightInd w:val="0"/>
        <w:snapToGrid w:val="0"/>
        <w:spacing w:line="360" w:lineRule="auto"/>
        <w:ind w:firstLine="643" w:firstLineChars="200"/>
        <w:textAlignment w:val="auto"/>
        <w:rPr>
          <w:rFonts w:hint="default"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推动“+旅游”业态多元融合发展。</w:t>
      </w:r>
      <w:r>
        <w:rPr>
          <w:rFonts w:ascii="Times New Roman" w:hAnsi="Times New Roman" w:eastAsia="仿宋_GB2312" w:cs="Times New Roman"/>
          <w:bCs/>
          <w:spacing w:val="6"/>
          <w:kern w:val="0"/>
          <w:sz w:val="32"/>
          <w:szCs w:val="32"/>
        </w:rPr>
        <w:t>树立“旅游+” “+旅游”发展理念，大力推进康旅融合</w:t>
      </w:r>
      <w:r>
        <w:rPr>
          <w:rFonts w:hint="eastAsia" w:ascii="Times New Roman" w:hAnsi="Times New Roman" w:eastAsia="仿宋_GB2312" w:cs="Times New Roman"/>
          <w:bCs/>
          <w:spacing w:val="6"/>
          <w:kern w:val="0"/>
          <w:sz w:val="32"/>
          <w:szCs w:val="32"/>
          <w:lang w:eastAsia="zh-CN"/>
        </w:rPr>
        <w:t>、</w:t>
      </w:r>
      <w:r>
        <w:rPr>
          <w:rFonts w:ascii="Times New Roman" w:hAnsi="Times New Roman" w:eastAsia="仿宋_GB2312" w:cs="Times New Roman"/>
          <w:bCs/>
          <w:spacing w:val="6"/>
          <w:kern w:val="0"/>
          <w:sz w:val="32"/>
          <w:szCs w:val="32"/>
        </w:rPr>
        <w:t>文旅融合</w:t>
      </w:r>
      <w:r>
        <w:rPr>
          <w:rFonts w:hint="eastAsia" w:ascii="Times New Roman" w:hAnsi="Times New Roman" w:eastAsia="仿宋_GB2312" w:cs="Times New Roman"/>
          <w:bCs/>
          <w:spacing w:val="6"/>
          <w:kern w:val="0"/>
          <w:sz w:val="32"/>
          <w:szCs w:val="32"/>
          <w:lang w:eastAsia="zh-CN"/>
        </w:rPr>
        <w:t>、</w:t>
      </w:r>
      <w:r>
        <w:rPr>
          <w:rFonts w:ascii="Times New Roman" w:hAnsi="Times New Roman" w:eastAsia="仿宋_GB2312" w:cs="Times New Roman"/>
          <w:bCs/>
          <w:spacing w:val="6"/>
          <w:kern w:val="0"/>
          <w:sz w:val="32"/>
          <w:szCs w:val="32"/>
        </w:rPr>
        <w:t>农旅融合</w:t>
      </w:r>
      <w:r>
        <w:rPr>
          <w:rFonts w:hint="eastAsia" w:ascii="Times New Roman" w:hAnsi="Times New Roman" w:eastAsia="仿宋_GB2312" w:cs="Times New Roman"/>
          <w:bCs/>
          <w:spacing w:val="6"/>
          <w:kern w:val="0"/>
          <w:sz w:val="32"/>
          <w:szCs w:val="32"/>
          <w:lang w:eastAsia="zh-CN"/>
        </w:rPr>
        <w:t>、</w:t>
      </w:r>
      <w:r>
        <w:rPr>
          <w:rFonts w:hint="eastAsia" w:ascii="Times New Roman" w:hAnsi="Times New Roman" w:eastAsia="仿宋_GB2312" w:cs="Times New Roman"/>
          <w:bCs/>
          <w:spacing w:val="6"/>
          <w:kern w:val="0"/>
          <w:sz w:val="32"/>
          <w:szCs w:val="32"/>
          <w:lang w:val="en-US" w:eastAsia="zh-CN"/>
        </w:rPr>
        <w:t>工</w:t>
      </w:r>
      <w:r>
        <w:rPr>
          <w:rFonts w:ascii="Times New Roman" w:hAnsi="Times New Roman" w:eastAsia="仿宋_GB2312" w:cs="Times New Roman"/>
          <w:bCs/>
          <w:spacing w:val="6"/>
          <w:kern w:val="0"/>
          <w:sz w:val="32"/>
          <w:szCs w:val="32"/>
        </w:rPr>
        <w:t>旅融合</w:t>
      </w:r>
      <w:r>
        <w:rPr>
          <w:rFonts w:hint="eastAsia" w:ascii="Times New Roman" w:hAnsi="Times New Roman" w:eastAsia="仿宋_GB2312" w:cs="Times New Roman"/>
          <w:bCs/>
          <w:spacing w:val="6"/>
          <w:kern w:val="0"/>
          <w:sz w:val="32"/>
          <w:szCs w:val="32"/>
          <w:lang w:eastAsia="zh-CN"/>
        </w:rPr>
        <w:t>、</w:t>
      </w:r>
      <w:r>
        <w:rPr>
          <w:rFonts w:hint="eastAsia" w:ascii="Times New Roman" w:hAnsi="Times New Roman" w:eastAsia="仿宋_GB2312" w:cs="Times New Roman"/>
          <w:bCs/>
          <w:spacing w:val="6"/>
          <w:kern w:val="0"/>
          <w:sz w:val="32"/>
          <w:szCs w:val="32"/>
          <w:lang w:val="en-US" w:eastAsia="zh-CN"/>
        </w:rPr>
        <w:t>商</w:t>
      </w:r>
      <w:r>
        <w:rPr>
          <w:rFonts w:ascii="Times New Roman" w:hAnsi="Times New Roman" w:eastAsia="仿宋_GB2312" w:cs="Times New Roman"/>
          <w:bCs/>
          <w:spacing w:val="6"/>
          <w:kern w:val="0"/>
          <w:sz w:val="32"/>
          <w:szCs w:val="32"/>
        </w:rPr>
        <w:t>旅融合</w:t>
      </w:r>
      <w:r>
        <w:rPr>
          <w:rFonts w:hint="eastAsia" w:ascii="Times New Roman" w:hAnsi="Times New Roman" w:eastAsia="仿宋_GB2312" w:cs="Times New Roman"/>
          <w:bCs/>
          <w:spacing w:val="6"/>
          <w:kern w:val="0"/>
          <w:sz w:val="32"/>
          <w:szCs w:val="32"/>
          <w:lang w:val="en-US" w:eastAsia="zh-CN"/>
        </w:rPr>
        <w:t>等，</w:t>
      </w:r>
      <w:r>
        <w:rPr>
          <w:rFonts w:ascii="Times New Roman" w:hAnsi="Times New Roman" w:eastAsia="仿宋_GB2312" w:cs="Times New Roman"/>
          <w:bCs/>
          <w:spacing w:val="6"/>
          <w:kern w:val="0"/>
          <w:sz w:val="32"/>
          <w:szCs w:val="32"/>
        </w:rPr>
        <w:t>不断拓展旅游发展新领域。</w:t>
      </w:r>
      <w:r>
        <w:rPr>
          <w:rFonts w:eastAsia="仿宋_GB2312"/>
          <w:bCs/>
          <w:spacing w:val="6"/>
          <w:kern w:val="0"/>
          <w:sz w:val="32"/>
          <w:szCs w:val="32"/>
        </w:rPr>
        <w:t>依托沂源山水生态、中医药等资源优势，加快养老养生健康产业发展，打造省内外知名</w:t>
      </w:r>
      <w:r>
        <w:rPr>
          <w:rFonts w:eastAsia="仿宋_GB2312"/>
          <w:spacing w:val="6"/>
          <w:kern w:val="0"/>
          <w:sz w:val="32"/>
          <w:szCs w:val="32"/>
        </w:rPr>
        <w:t>避暑胜地和</w:t>
      </w:r>
      <w:r>
        <w:rPr>
          <w:rFonts w:eastAsia="仿宋_GB2312"/>
          <w:bCs/>
          <w:spacing w:val="6"/>
          <w:kern w:val="0"/>
          <w:sz w:val="32"/>
          <w:szCs w:val="32"/>
        </w:rPr>
        <w:t>休闲康养旅游目的地。以爱情、生命、红色、生态、民俗五大文化为突破口，推进载体建设，打造文化旅游特色品牌</w:t>
      </w:r>
      <w:r>
        <w:rPr>
          <w:rFonts w:hint="eastAsia" w:eastAsia="仿宋_GB2312"/>
          <w:bCs/>
          <w:spacing w:val="6"/>
          <w:kern w:val="0"/>
          <w:sz w:val="32"/>
          <w:szCs w:val="32"/>
          <w:lang w:eastAsia="zh-CN"/>
        </w:rPr>
        <w:t>，</w:t>
      </w:r>
      <w:r>
        <w:rPr>
          <w:rFonts w:eastAsia="仿宋_GB2312"/>
          <w:bCs/>
          <w:spacing w:val="6"/>
          <w:kern w:val="0"/>
          <w:sz w:val="32"/>
          <w:szCs w:val="32"/>
        </w:rPr>
        <w:t>引进文化创意产业和餐饮娱乐等现代服务业，搭建文化产业平台，打造集聚效应明显、孵化功能突出的文化产业基地、文化创意园区</w:t>
      </w:r>
      <w:r>
        <w:rPr>
          <w:rFonts w:hint="eastAsia" w:eastAsia="仿宋_GB2312"/>
          <w:bCs/>
          <w:spacing w:val="6"/>
          <w:kern w:val="0"/>
          <w:sz w:val="32"/>
          <w:szCs w:val="32"/>
          <w:lang w:eastAsia="zh-CN"/>
        </w:rPr>
        <w:t>。</w:t>
      </w:r>
      <w:r>
        <w:rPr>
          <w:rFonts w:eastAsia="仿宋_GB2312"/>
          <w:bCs/>
          <w:spacing w:val="6"/>
          <w:sz w:val="32"/>
          <w:szCs w:val="32"/>
        </w:rPr>
        <w:t>推进</w:t>
      </w:r>
      <w:r>
        <w:rPr>
          <w:rFonts w:eastAsia="仿宋_GB2312"/>
          <w:bCs/>
          <w:spacing w:val="6"/>
          <w:kern w:val="0"/>
          <w:sz w:val="32"/>
          <w:szCs w:val="32"/>
        </w:rPr>
        <w:t>农业与乡村旅游融合，</w:t>
      </w:r>
      <w:r>
        <w:rPr>
          <w:rFonts w:eastAsia="仿宋_GB2312"/>
          <w:spacing w:val="6"/>
          <w:kern w:val="0"/>
          <w:sz w:val="32"/>
          <w:szCs w:val="32"/>
        </w:rPr>
        <w:t>通过乡村旅游精品化创建、村庄景区化培育、</w:t>
      </w:r>
      <w:r>
        <w:rPr>
          <w:rFonts w:eastAsia="仿宋_GB2312"/>
          <w:bCs/>
          <w:spacing w:val="6"/>
          <w:kern w:val="0"/>
          <w:sz w:val="32"/>
          <w:szCs w:val="32"/>
        </w:rPr>
        <w:t>创意农业、休闲农业、农产品开发、乡村旅游特色村镇建设，构建“春花海、夏采摘、秋丰收、冬年货”的农旅融合发展格局。以鲁山山泉、绿兰莎啤酒、鲁源酒业等名优工业品牌和国营山东第一、第二机械厂（土门一厂、二厂）等工业遗存为载体，通过生产线参观、产品展销、生产体验等方式，促进生态工业旅游发展。以双马山、沂河源田园综合体等旅游景区建设为契机，大力招商引进高品质酒店连锁集团和度假型酒店品牌。</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健全旅游公共服务体系</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利用大数据、人工智能等新一代信息技术，建设集旅游信息集成、旅游景区实时感知、旅游数据分析预测等功能于一身的智慧旅游服务平台，开发建设咨询、导览、导游、导购、导航和分享评价等智能化旅游服务系统，引导主要旅游区实现智能导游、电子讲解、实时信息推送等服务。构建立体旅游营销体系</w:t>
      </w:r>
      <w:r>
        <w:rPr>
          <w:rFonts w:hint="eastAsia"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依托短视频平台等新媒体，推广“新媒体+网红+直播+VR”等新传播模式，通过虚拟旅游论坛、微博微信推广等方式立体化宣传沂源旅游产品，提升沂源旅游形象。</w:t>
      </w:r>
    </w:p>
    <w:p>
      <w:pPr>
        <w:adjustRightInd w:val="0"/>
        <w:snapToGrid w:val="0"/>
        <w:spacing w:line="360" w:lineRule="auto"/>
        <w:outlineLvl w:val="1"/>
        <w:rPr>
          <w:rFonts w:eastAsia="黑体"/>
          <w:b/>
          <w:bCs/>
          <w:color w:val="C00000"/>
          <w:sz w:val="32"/>
          <w:szCs w:val="32"/>
        </w:rPr>
      </w:pPr>
      <w:bookmarkStart w:id="72" w:name="_Toc10828"/>
      <w:r>
        <w:rPr>
          <w:rFonts w:eastAsia="楷体_GB2312"/>
          <w:b/>
          <w:bCs/>
          <w:sz w:val="32"/>
          <w:szCs w:val="32"/>
        </w:rPr>
        <w:t>（</w:t>
      </w:r>
      <w:r>
        <w:rPr>
          <w:rFonts w:hint="eastAsia" w:eastAsia="楷体_GB2312"/>
          <w:b/>
          <w:bCs/>
          <w:sz w:val="32"/>
          <w:szCs w:val="32"/>
        </w:rPr>
        <w:t>四</w:t>
      </w:r>
      <w:r>
        <w:rPr>
          <w:rFonts w:eastAsia="楷体_GB2312"/>
          <w:b/>
          <w:bCs/>
          <w:sz w:val="32"/>
          <w:szCs w:val="32"/>
        </w:rPr>
        <w:t>）打造“两山”文化品牌，促进绿色惠民富民</w:t>
      </w:r>
      <w:bookmarkEnd w:id="72"/>
    </w:p>
    <w:p>
      <w:pPr>
        <w:adjustRightInd w:val="0"/>
        <w:snapToGrid w:val="0"/>
        <w:spacing w:line="360" w:lineRule="auto"/>
        <w:ind w:firstLine="640" w:firstLineChars="200"/>
        <w:outlineLvl w:val="9"/>
        <w:rPr>
          <w:rFonts w:hint="eastAsia" w:ascii="仿宋_GB2312" w:hAnsi="仿宋_GB2312" w:eastAsia="仿宋_GB2312" w:cs="仿宋_GB2312"/>
          <w:b w:val="0"/>
          <w:sz w:val="32"/>
          <w:szCs w:val="32"/>
          <w:highlight w:val="none"/>
        </w:rPr>
      </w:pPr>
      <w:r>
        <w:rPr>
          <w:rFonts w:hint="eastAsia" w:ascii="仿宋_GB2312" w:hAnsi="仿宋_GB2312" w:eastAsia="仿宋_GB2312" w:cs="仿宋_GB2312"/>
          <w:sz w:val="32"/>
          <w:szCs w:val="32"/>
        </w:rPr>
        <w:t>大力整合生态资源</w:t>
      </w:r>
      <w:r>
        <w:rPr>
          <w:rFonts w:hint="eastAsia" w:ascii="仿宋_GB2312" w:hAnsi="仿宋_GB2312" w:eastAsia="仿宋_GB2312" w:cs="仿宋_GB2312"/>
          <w:sz w:val="32"/>
          <w:szCs w:val="32"/>
          <w:lang w:eastAsia="zh-CN"/>
        </w:rPr>
        <w:t>与</w:t>
      </w:r>
      <w:r>
        <w:rPr>
          <w:rFonts w:hint="eastAsia" w:ascii="仿宋_GB2312" w:hAnsi="仿宋_GB2312" w:eastAsia="仿宋_GB2312" w:cs="仿宋_GB2312"/>
          <w:sz w:val="32"/>
          <w:szCs w:val="32"/>
        </w:rPr>
        <w:t>文化资源，</w:t>
      </w:r>
      <w:r>
        <w:rPr>
          <w:rFonts w:hint="eastAsia" w:ascii="仿宋_GB2312" w:hAnsi="仿宋_GB2312" w:eastAsia="仿宋_GB2312" w:cs="仿宋_GB2312"/>
          <w:b w:val="0"/>
          <w:sz w:val="32"/>
          <w:szCs w:val="32"/>
        </w:rPr>
        <w:t>打造具有生态文化内涵</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历史文化体验区、爱情主题旅游区、自在山水休闲区、红色文化传承区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形成具有</w:t>
      </w:r>
      <w:r>
        <w:rPr>
          <w:rFonts w:hint="eastAsia" w:ascii="仿宋_GB2312" w:hAnsi="仿宋_GB2312" w:eastAsia="仿宋_GB2312" w:cs="仿宋_GB2312"/>
          <w:b w:val="0"/>
          <w:sz w:val="32"/>
          <w:szCs w:val="32"/>
        </w:rPr>
        <w:t>生态文化影响力及附加吸引力的国际品牌，提高全民生态文化</w:t>
      </w:r>
      <w:r>
        <w:rPr>
          <w:rFonts w:hint="eastAsia" w:ascii="仿宋_GB2312" w:hAnsi="仿宋_GB2312" w:eastAsia="仿宋_GB2312" w:cs="仿宋_GB2312"/>
          <w:b w:val="0"/>
          <w:sz w:val="32"/>
          <w:szCs w:val="32"/>
          <w:lang w:val="en-US" w:eastAsia="zh-CN"/>
        </w:rPr>
        <w:t>素养</w:t>
      </w:r>
      <w:r>
        <w:rPr>
          <w:rFonts w:hint="eastAsia" w:ascii="仿宋_GB2312" w:hAnsi="仿宋_GB2312" w:eastAsia="仿宋_GB2312" w:cs="仿宋_GB2312"/>
          <w:b w:val="0"/>
          <w:sz w:val="32"/>
          <w:szCs w:val="32"/>
        </w:rPr>
        <w:t>。</w:t>
      </w:r>
    </w:p>
    <w:p>
      <w:pPr>
        <w:adjustRightInd w:val="0"/>
        <w:snapToGrid w:val="0"/>
        <w:spacing w:line="360" w:lineRule="auto"/>
        <w:ind w:firstLine="643" w:firstLineChars="200"/>
        <w:outlineLvl w:val="2"/>
        <w:rPr>
          <w:rFonts w:hint="eastAsia" w:eastAsia="仿宋_GB2312"/>
          <w:b/>
          <w:sz w:val="32"/>
          <w:szCs w:val="32"/>
          <w:highlight w:val="none"/>
        </w:rPr>
      </w:pPr>
      <w:bookmarkStart w:id="73" w:name="_Toc14176"/>
      <w:r>
        <w:rPr>
          <w:rFonts w:eastAsia="仿宋_GB2312"/>
          <w:b/>
          <w:sz w:val="32"/>
          <w:szCs w:val="32"/>
          <w:highlight w:val="none"/>
        </w:rPr>
        <w:t>1.</w:t>
      </w:r>
      <w:r>
        <w:rPr>
          <w:rFonts w:hint="eastAsia" w:eastAsia="仿宋_GB2312"/>
          <w:b/>
          <w:sz w:val="32"/>
          <w:szCs w:val="32"/>
          <w:highlight w:val="none"/>
          <w:lang w:val="en-US" w:eastAsia="zh-CN"/>
        </w:rPr>
        <w:t>发挥非遗文化优势，打造</w:t>
      </w:r>
      <w:r>
        <w:rPr>
          <w:rFonts w:hint="eastAsia" w:eastAsia="仿宋_GB2312"/>
          <w:b/>
          <w:sz w:val="32"/>
          <w:szCs w:val="32"/>
          <w:highlight w:val="none"/>
        </w:rPr>
        <w:t>特色</w:t>
      </w:r>
      <w:r>
        <w:rPr>
          <w:rFonts w:hint="eastAsia" w:eastAsia="仿宋_GB2312"/>
          <w:b/>
          <w:sz w:val="32"/>
          <w:szCs w:val="32"/>
          <w:highlight w:val="none"/>
          <w:lang w:val="en-US" w:eastAsia="zh-CN"/>
        </w:rPr>
        <w:t>生态</w:t>
      </w:r>
      <w:r>
        <w:rPr>
          <w:rFonts w:hint="eastAsia" w:eastAsia="仿宋_GB2312"/>
          <w:b/>
          <w:sz w:val="32"/>
          <w:szCs w:val="32"/>
          <w:highlight w:val="none"/>
        </w:rPr>
        <w:t>文化品牌</w:t>
      </w:r>
      <w:bookmarkEnd w:id="73"/>
    </w:p>
    <w:p>
      <w:pPr>
        <w:adjustRightInd w:val="0"/>
        <w:snapToGrid w:val="0"/>
        <w:spacing w:line="360" w:lineRule="auto"/>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构建自在山水文化。</w:t>
      </w:r>
      <w:r>
        <w:rPr>
          <w:rFonts w:hint="eastAsia" w:ascii="仿宋_GB2312" w:hAnsi="仿宋_GB2312" w:eastAsia="仿宋_GB2312" w:cs="仿宋_GB2312"/>
          <w:b w:val="0"/>
          <w:bCs w:val="0"/>
          <w:sz w:val="32"/>
          <w:szCs w:val="32"/>
          <w:lang w:val="en-US" w:eastAsia="zh-CN"/>
        </w:rPr>
        <w:t>以齐鲁文之源、古人类之源为要素，依托鲁山国家森林公园、中国北方第一溶洞群、沂源猿人遗址、神农药谷、中国矿泉水之乡等旅游资源，</w:t>
      </w:r>
      <w:r>
        <w:rPr>
          <w:rFonts w:hint="eastAsia" w:ascii="仿宋_GB2312" w:hAnsi="仿宋_GB2312" w:eastAsia="仿宋_GB2312" w:cs="仿宋_GB2312"/>
          <w:sz w:val="32"/>
          <w:szCs w:val="32"/>
        </w:rPr>
        <w:t>将原生态自然、文化资源转化为乡</w:t>
      </w:r>
      <w:r>
        <w:rPr>
          <w:rFonts w:hint="eastAsia" w:ascii="仿宋_GB2312" w:hAnsi="仿宋_GB2312" w:eastAsia="仿宋_GB2312" w:cs="仿宋_GB2312"/>
          <w:sz w:val="32"/>
          <w:szCs w:val="32"/>
          <w:lang w:val="en-US" w:eastAsia="zh-CN"/>
        </w:rPr>
        <w:t>文旅</w:t>
      </w:r>
      <w:r>
        <w:rPr>
          <w:rFonts w:hint="eastAsia" w:ascii="仿宋_GB2312" w:hAnsi="仿宋_GB2312" w:eastAsia="仿宋_GB2312" w:cs="仿宋_GB2312"/>
          <w:sz w:val="32"/>
          <w:szCs w:val="32"/>
        </w:rPr>
        <w:t>产品，</w:t>
      </w:r>
      <w:r>
        <w:rPr>
          <w:rFonts w:hint="eastAsia" w:ascii="仿宋_GB2312" w:hAnsi="仿宋_GB2312" w:eastAsia="仿宋_GB2312" w:cs="仿宋_GB2312"/>
          <w:b w:val="0"/>
          <w:bCs w:val="0"/>
          <w:sz w:val="32"/>
          <w:szCs w:val="32"/>
          <w:lang w:val="en-US" w:eastAsia="zh-CN"/>
        </w:rPr>
        <w:t>开展“文旅融合非遗进景区”旅游活动，与民风民俗、非遗节庆等乡村文化深度融合。充分保护挖掘天湖、凤凰山、青龙湖等山水生态资源，打造层次明显、特色鲜明的“山水休闲生态圈”。</w:t>
      </w:r>
    </w:p>
    <w:p>
      <w:pPr>
        <w:adjustRightInd w:val="0"/>
        <w:snapToGrid w:val="0"/>
        <w:spacing w:line="360" w:lineRule="auto"/>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保护弘扬历史文化。</w:t>
      </w:r>
      <w:r>
        <w:rPr>
          <w:rFonts w:hint="eastAsia" w:ascii="仿宋_GB2312" w:hAnsi="仿宋_GB2312" w:eastAsia="仿宋_GB2312" w:cs="仿宋_GB2312"/>
          <w:b w:val="0"/>
          <w:bCs w:val="0"/>
          <w:sz w:val="32"/>
          <w:szCs w:val="32"/>
          <w:lang w:val="en-US" w:eastAsia="zh-CN"/>
        </w:rPr>
        <w:t>充分挖掘东安古城遗址、扁扁洞古人类生存遗址、铜陵关齐长城遗址、九顶莲花山摩崖石刻古迹等历史文化内涵，结合柳沟人家、铜陵湖水利风景区、毫山万亩生态园等乡村旅游资源，策划一批有历史情怀、有文化底蕴、有故事内涵、有互动体验的文旅项目，将文化资源转化为最具沂源特色的文化旅游产品。</w:t>
      </w:r>
    </w:p>
    <w:p>
      <w:pPr>
        <w:adjustRightInd w:val="0"/>
        <w:snapToGrid w:val="0"/>
        <w:spacing w:line="360" w:lineRule="auto"/>
        <w:ind w:firstLine="643"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寻觅不朽爱情文化。</w:t>
      </w:r>
      <w:r>
        <w:rPr>
          <w:rFonts w:hint="eastAsia" w:ascii="仿宋_GB2312" w:hAnsi="仿宋_GB2312" w:eastAsia="仿宋_GB2312" w:cs="仿宋_GB2312"/>
          <w:b w:val="0"/>
          <w:bCs w:val="0"/>
          <w:sz w:val="32"/>
          <w:szCs w:val="32"/>
          <w:lang w:val="en-US" w:eastAsia="zh-CN"/>
        </w:rPr>
        <w:t>以牛郎织女传说为核心载体，结合张生与崔莺莺爱情传说、蓝桥会遗址传说、螳螂河传说等民间爱情故事，策划爱情文化朝圣主题项目，将传说故事情景重现，将樱桃、苹果、蜜桃等包装为爱情果，做好相亲、新人、蜜月、夕阳红文章，打造中国家喻户晓的爱情体验地和沂源全域旅游第一品牌。保护和发扬非物质文化遗产，将非物质文化遗产教育列入沂源中小学生课外社会实践活动中，支持民俗文化节庆的举办，支持发展民俗表演旅游业，促进民俗文化的传承。</w:t>
      </w:r>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传承红色革命文化。</w:t>
      </w:r>
      <w:r>
        <w:rPr>
          <w:rFonts w:hint="default" w:ascii="仿宋_GB2312" w:hAnsi="仿宋_GB2312" w:eastAsia="仿宋_GB2312" w:cs="仿宋_GB2312"/>
          <w:sz w:val="32"/>
          <w:szCs w:val="32"/>
          <w:lang w:val="en-US" w:eastAsia="zh-CN"/>
        </w:rPr>
        <w:t>充分挖掘红色文化中所蕴含的生态思想，寓红色精神于绿色发展之中，形成具有沂源特色的“红绿交融”文化自信。</w:t>
      </w:r>
      <w:r>
        <w:rPr>
          <w:rFonts w:hint="eastAsia" w:ascii="仿宋_GB2312" w:hAnsi="仿宋_GB2312" w:eastAsia="仿宋_GB2312" w:cs="仿宋_GB2312"/>
          <w:b w:val="0"/>
          <w:bCs w:val="0"/>
          <w:sz w:val="32"/>
          <w:szCs w:val="32"/>
          <w:lang w:val="en-US" w:eastAsia="zh-CN"/>
        </w:rPr>
        <w:t>以传承弘扬沂蒙精神为主线，充分发掘沂蒙老区革命精神和厚重的红色文化内涵，将朱彦夫事迹党性教育基地打造成沂源县红色文化核心传承地，有序带动618战备电台、小三线军工厂旧址等红色旅游景点的开发建设，结合周边美丽乡村、山水生态资源，打造休闲度假、红色研学、文化体验集聚区。</w:t>
      </w:r>
    </w:p>
    <w:p>
      <w:pPr>
        <w:adjustRightInd w:val="0"/>
        <w:snapToGrid w:val="0"/>
        <w:spacing w:line="360" w:lineRule="auto"/>
        <w:ind w:firstLine="643" w:firstLineChars="200"/>
        <w:outlineLvl w:val="2"/>
        <w:rPr>
          <w:rFonts w:hint="eastAsia" w:eastAsia="仿宋_GB2312"/>
          <w:b/>
          <w:sz w:val="32"/>
          <w:szCs w:val="32"/>
        </w:rPr>
      </w:pPr>
      <w:bookmarkStart w:id="74" w:name="_Toc23356"/>
      <w:r>
        <w:rPr>
          <w:rFonts w:hint="eastAsia" w:eastAsia="仿宋_GB2312"/>
          <w:b/>
          <w:sz w:val="32"/>
          <w:szCs w:val="32"/>
        </w:rPr>
        <w:t>2.开展“两山”文化思想教育</w:t>
      </w:r>
      <w:bookmarkEnd w:id="74"/>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健全生态文化培育体系。</w:t>
      </w:r>
      <w:r>
        <w:rPr>
          <w:rFonts w:hint="default" w:ascii="仿宋_GB2312" w:hAnsi="仿宋_GB2312" w:eastAsia="仿宋_GB2312" w:cs="仿宋_GB2312"/>
          <w:sz w:val="32"/>
          <w:szCs w:val="32"/>
          <w:lang w:val="en-US" w:eastAsia="zh-CN"/>
        </w:rPr>
        <w:t>把生态文明纳入国民素质教育和党政干部教育体系，科学制定生态文明教育培训计划，突破垂直部门管理界限，将生态环境部门干部纳入全县教育培训体系，加强对全县各级各部门各单位、省市派驻单位及国有企业领导人员的教育培训。在各级各类教育机构开展低碳教育，普及生活方式低碳化的知识和方法，实现中小学、职业院校生态文明教育全覆盖。</w:t>
      </w:r>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b/>
          <w:bCs/>
          <w:sz w:val="32"/>
          <w:szCs w:val="32"/>
          <w:lang w:val="en-US" w:eastAsia="zh-CN"/>
        </w:rPr>
        <w:t>开展“两山”</w:t>
      </w:r>
      <w:r>
        <w:rPr>
          <w:rFonts w:hint="eastAsia" w:ascii="仿宋_GB2312" w:hAnsi="仿宋_GB2312" w:eastAsia="仿宋_GB2312" w:cs="仿宋_GB2312"/>
          <w:b/>
          <w:bCs/>
          <w:sz w:val="32"/>
          <w:szCs w:val="32"/>
          <w:lang w:val="en-US" w:eastAsia="zh-CN"/>
        </w:rPr>
        <w:t>宣传教育</w:t>
      </w:r>
      <w:r>
        <w:rPr>
          <w:rFonts w:hint="default" w:ascii="仿宋_GB2312" w:hAnsi="仿宋_GB2312" w:eastAsia="仿宋_GB2312" w:cs="仿宋_GB2312"/>
          <w:b/>
          <w:bCs/>
          <w:sz w:val="32"/>
          <w:szCs w:val="32"/>
          <w:lang w:val="en-US" w:eastAsia="zh-CN"/>
        </w:rPr>
        <w:t>活动。</w:t>
      </w:r>
      <w:r>
        <w:rPr>
          <w:rFonts w:hint="default" w:ascii="仿宋_GB2312" w:hAnsi="仿宋_GB2312" w:eastAsia="仿宋_GB2312" w:cs="仿宋_GB2312"/>
          <w:sz w:val="32"/>
          <w:szCs w:val="32"/>
          <w:lang w:val="en-US" w:eastAsia="zh-CN"/>
        </w:rPr>
        <w:t>利用报纸、广播电视、网络、新媒体等媒介，强化“两山”重要思想的宣传教育，发挥“沂源红”宣讲团作用，开展各类宣讲活动。推进绿色高质量发展理念进机关、进学校、进企业、进社区、进农村，增强全民节约意识、环保意识、生态意识，着力提高全社会对生态文化的认同度、接受度和践行度。把生态文化作为国民素质教育和现代公共文化服务体系建设的重要内容，将“两山”重要思想列入党校干部培训的主体班次、干部网络教育的必修课程以及全市中小学教育的重要内容。</w:t>
      </w:r>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拓展</w:t>
      </w:r>
      <w:r>
        <w:rPr>
          <w:rFonts w:hint="default" w:ascii="仿宋_GB2312" w:hAnsi="仿宋_GB2312" w:eastAsia="仿宋_GB2312" w:cs="仿宋_GB2312"/>
          <w:b/>
          <w:bCs/>
          <w:sz w:val="32"/>
          <w:szCs w:val="32"/>
          <w:lang w:val="en-US" w:eastAsia="zh-CN"/>
        </w:rPr>
        <w:t>“两山”</w:t>
      </w:r>
      <w:r>
        <w:rPr>
          <w:rFonts w:hint="eastAsia" w:ascii="仿宋_GB2312" w:hAnsi="仿宋_GB2312" w:eastAsia="仿宋_GB2312" w:cs="仿宋_GB2312"/>
          <w:b/>
          <w:bCs/>
          <w:sz w:val="32"/>
          <w:szCs w:val="32"/>
          <w:lang w:val="en-US" w:eastAsia="zh-CN"/>
        </w:rPr>
        <w:t>建设</w:t>
      </w:r>
      <w:r>
        <w:rPr>
          <w:rFonts w:hint="default" w:ascii="仿宋_GB2312" w:hAnsi="仿宋_GB2312" w:eastAsia="仿宋_GB2312" w:cs="仿宋_GB2312"/>
          <w:b/>
          <w:bCs/>
          <w:sz w:val="32"/>
          <w:szCs w:val="32"/>
          <w:lang w:val="en-US" w:eastAsia="zh-CN"/>
        </w:rPr>
        <w:t>宣教</w:t>
      </w:r>
      <w:r>
        <w:rPr>
          <w:rFonts w:hint="eastAsia" w:ascii="仿宋_GB2312" w:hAnsi="仿宋_GB2312" w:eastAsia="仿宋_GB2312" w:cs="仿宋_GB2312"/>
          <w:b/>
          <w:bCs/>
          <w:sz w:val="32"/>
          <w:szCs w:val="32"/>
          <w:lang w:val="en-US" w:eastAsia="zh-CN"/>
        </w:rPr>
        <w:t>渠道</w:t>
      </w:r>
      <w:r>
        <w:rPr>
          <w:rFonts w:hint="default" w:ascii="仿宋_GB2312" w:hAnsi="仿宋_GB2312" w:eastAsia="仿宋_GB2312" w:cs="仿宋_GB2312"/>
          <w:b/>
          <w:bCs/>
          <w:sz w:val="32"/>
          <w:szCs w:val="32"/>
          <w:lang w:val="en-US" w:eastAsia="zh-CN"/>
        </w:rPr>
        <w:t>。</w:t>
      </w:r>
      <w:r>
        <w:rPr>
          <w:rFonts w:hint="default" w:ascii="仿宋_GB2312" w:hAnsi="仿宋_GB2312" w:eastAsia="仿宋_GB2312" w:cs="仿宋_GB2312"/>
          <w:sz w:val="32"/>
          <w:szCs w:val="32"/>
          <w:lang w:val="en-US" w:eastAsia="zh-CN"/>
        </w:rPr>
        <w:t>依托</w:t>
      </w:r>
      <w:r>
        <w:rPr>
          <w:rFonts w:hint="eastAsia" w:ascii="仿宋_GB2312" w:hAnsi="仿宋_GB2312" w:eastAsia="仿宋_GB2312" w:cs="仿宋_GB2312"/>
          <w:sz w:val="32"/>
          <w:szCs w:val="32"/>
          <w:lang w:val="en-US" w:eastAsia="zh-CN"/>
        </w:rPr>
        <w:t>沂源</w:t>
      </w:r>
      <w:r>
        <w:rPr>
          <w:rFonts w:hint="default" w:ascii="仿宋_GB2312" w:hAnsi="仿宋_GB2312" w:eastAsia="仿宋_GB2312" w:cs="仿宋_GB2312"/>
          <w:sz w:val="32"/>
          <w:szCs w:val="32"/>
          <w:lang w:val="en-US" w:eastAsia="zh-CN"/>
        </w:rPr>
        <w:t>县中小学校和生态公园等场所，建设一批“两山”转化宣传教育示范基地或平台，充分利用生态资源、网络平台、通讯和图文书籍等社会教育资源，积极制作“两山”思想公益片，组织“两山”思想宣传活动，大力传播生态知识、生态技术、生态伦理和生态文明建设信息。加强与已获得“两山”重要思想实践创新基地县区的交流合作，深入学习“两山”重要思想并借鉴其实践成果。健全全县生态文明实践志愿服务工作体制机制，持续增加生态文明实践志愿服务投入，推动生态文明实践志愿服务社会化、专业化、可持续发展</w:t>
      </w:r>
      <w:r>
        <w:rPr>
          <w:rFonts w:hint="eastAsia" w:ascii="仿宋_GB2312" w:hAnsi="仿宋_GB2312" w:eastAsia="仿宋_GB2312" w:cs="仿宋_GB2312"/>
          <w:sz w:val="32"/>
          <w:szCs w:val="32"/>
          <w:lang w:val="en-US" w:eastAsia="zh-CN"/>
        </w:rPr>
        <w:t>。</w:t>
      </w:r>
    </w:p>
    <w:p>
      <w:pPr>
        <w:adjustRightInd w:val="0"/>
        <w:snapToGrid w:val="0"/>
        <w:spacing w:line="360" w:lineRule="auto"/>
        <w:ind w:firstLine="643" w:firstLineChars="200"/>
        <w:outlineLvl w:val="2"/>
        <w:rPr>
          <w:rFonts w:hint="eastAsia" w:eastAsia="仿宋_GB2312"/>
          <w:b/>
          <w:sz w:val="32"/>
          <w:szCs w:val="32"/>
          <w:lang w:val="en-US" w:eastAsia="zh-CN"/>
        </w:rPr>
      </w:pPr>
      <w:bookmarkStart w:id="75" w:name="_Toc25613"/>
      <w:r>
        <w:rPr>
          <w:rFonts w:hint="eastAsia" w:eastAsia="仿宋_GB2312"/>
          <w:b/>
          <w:sz w:val="32"/>
          <w:szCs w:val="32"/>
        </w:rPr>
        <w:t>3.</w:t>
      </w:r>
      <w:r>
        <w:rPr>
          <w:rFonts w:hint="eastAsia" w:eastAsia="仿宋_GB2312"/>
          <w:b/>
          <w:sz w:val="32"/>
          <w:szCs w:val="32"/>
          <w:lang w:val="en-US" w:eastAsia="zh-CN"/>
        </w:rPr>
        <w:t>提升沂源民生幸福品质</w:t>
      </w:r>
      <w:bookmarkEnd w:id="75"/>
    </w:p>
    <w:p>
      <w:pPr>
        <w:adjustRightInd w:val="0"/>
        <w:snapToGrid w:val="0"/>
        <w:spacing w:line="360" w:lineRule="auto"/>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美化城乡人居环境。</w:t>
      </w:r>
      <w:r>
        <w:rPr>
          <w:rFonts w:hint="eastAsia" w:ascii="仿宋_GB2312" w:hAnsi="仿宋_GB2312" w:eastAsia="仿宋_GB2312" w:cs="仿宋_GB2312"/>
          <w:sz w:val="32"/>
          <w:szCs w:val="32"/>
          <w:lang w:val="en-US" w:eastAsia="zh-CN"/>
        </w:rPr>
        <w:t>将城乡环境整治与全域公园城市建设、乡村振兴等有机融合，实施“四域同治”，持续抓好治尘治脏治乱，展现大美生态本底。推动城乡建设绿色低碳发展，建设绿色城镇、绿色社区。创新农村生活污水治理模式，统筹规划推进生活垃圾分类处理，巩固城乡环卫一体化成果，</w:t>
      </w:r>
      <w:r>
        <w:rPr>
          <w:rFonts w:hint="default" w:ascii="Times New Roman" w:hAnsi="Times New Roman" w:eastAsia="仿宋_GB2312" w:cs="Times New Roman"/>
          <w:sz w:val="32"/>
          <w:szCs w:val="32"/>
        </w:rPr>
        <w:t>实现清洁村庄全覆盖</w:t>
      </w:r>
      <w:r>
        <w:rPr>
          <w:rFonts w:hint="eastAsia" w:ascii="仿宋_GB2312" w:hAnsi="仿宋_GB2312" w:eastAsia="仿宋_GB2312" w:cs="仿宋_GB2312"/>
          <w:sz w:val="32"/>
          <w:szCs w:val="32"/>
          <w:lang w:val="en-US" w:eastAsia="zh-CN"/>
        </w:rPr>
        <w:t>。</w:t>
      </w:r>
    </w:p>
    <w:p>
      <w:pPr>
        <w:adjustRightInd w:val="0"/>
        <w:snapToGrid w:val="0"/>
        <w:spacing w:line="360" w:lineRule="auto"/>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建设宜居美丽乡村。</w:t>
      </w:r>
      <w:r>
        <w:rPr>
          <w:rFonts w:hint="eastAsia" w:ascii="仿宋_GB2312" w:hAnsi="仿宋_GB2312" w:eastAsia="仿宋_GB2312" w:cs="仿宋_GB2312"/>
          <w:b w:val="0"/>
          <w:bCs w:val="0"/>
          <w:sz w:val="32"/>
          <w:szCs w:val="32"/>
          <w:lang w:val="en-US" w:eastAsia="zh-CN"/>
        </w:rPr>
        <w:t>深入实施乡村振兴战略，</w:t>
      </w:r>
      <w:r>
        <w:rPr>
          <w:rFonts w:hint="eastAsia" w:ascii="仿宋_GB2312" w:hAnsi="仿宋_GB2312" w:eastAsia="仿宋_GB2312" w:cs="仿宋_GB2312"/>
          <w:sz w:val="32"/>
          <w:szCs w:val="32"/>
          <w:lang w:val="en-US" w:eastAsia="zh-CN"/>
        </w:rPr>
        <w:t>全面开展“留住最美乡愁·建设醉美果乡”全域美丽乡村创建，注重因地制宜、就地取材，融入地域文化特色，形成“无处不景观、无处不乡愁”的沂源特色生态景观。深入推进以沿河、沿主干线治理提升为主的“双沿行动”，以点带面、整片推进和点线面片结合抓推进，加力建设连片美、持久美、内在美、生产美、风尚美“五美融合”的乡村振兴示范片区。</w:t>
      </w:r>
    </w:p>
    <w:p>
      <w:pPr>
        <w:adjustRightInd w:val="0"/>
        <w:snapToGrid w:val="0"/>
        <w:spacing w:line="360" w:lineRule="auto"/>
        <w:ind w:firstLine="643"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引领绿色低碳生活。</w:t>
      </w:r>
      <w:r>
        <w:rPr>
          <w:rFonts w:hint="eastAsia" w:ascii="仿宋_GB2312" w:hAnsi="仿宋_GB2312" w:eastAsia="仿宋_GB2312" w:cs="仿宋_GB2312"/>
          <w:sz w:val="32"/>
          <w:szCs w:val="32"/>
          <w:lang w:val="en-US" w:eastAsia="zh-CN"/>
        </w:rPr>
        <w:t>倡导全民绿色低碳消费理念，形成节约资源和保护环境相结合的氛围，努力实现经济社会绿色低碳发展。实施绿色办公示范，倡导绿色低碳出行方式，发挥党政机关“绿色低碳、机关先行”示范作用，倡导全社会降低能源资源消耗。探索碳普惠制度，量化低碳行为，培养全民节能型消费和绿色低碳消费理念。</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eastAsia="黑体"/>
          <w:b/>
          <w:bCs/>
          <w:color w:val="C00000"/>
          <w:sz w:val="32"/>
          <w:szCs w:val="32"/>
        </w:rPr>
      </w:pPr>
      <w:bookmarkStart w:id="76" w:name="_Toc11105"/>
      <w:r>
        <w:rPr>
          <w:rFonts w:eastAsia="楷体_GB2312"/>
          <w:b/>
          <w:bCs/>
          <w:sz w:val="32"/>
          <w:szCs w:val="32"/>
        </w:rPr>
        <w:t>（</w:t>
      </w:r>
      <w:r>
        <w:rPr>
          <w:rFonts w:hint="eastAsia" w:eastAsia="楷体_GB2312"/>
          <w:b/>
          <w:bCs/>
          <w:sz w:val="32"/>
          <w:szCs w:val="32"/>
        </w:rPr>
        <w:t>五</w:t>
      </w:r>
      <w:r>
        <w:rPr>
          <w:rFonts w:eastAsia="楷体_GB2312"/>
          <w:b/>
          <w:bCs/>
          <w:sz w:val="32"/>
          <w:szCs w:val="32"/>
        </w:rPr>
        <w:t>）建立健全保障机制，助力“两山”长效转化</w:t>
      </w:r>
      <w:bookmarkEnd w:id="76"/>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仿宋_GB2312"/>
          <w:sz w:val="32"/>
          <w:szCs w:val="32"/>
          <w:lang w:val="en-US" w:eastAsia="zh-CN"/>
        </w:rPr>
      </w:pPr>
      <w:r>
        <w:rPr>
          <w:rFonts w:hint="eastAsia" w:eastAsia="仿宋_GB2312"/>
          <w:sz w:val="32"/>
          <w:szCs w:val="32"/>
          <w:lang w:val="en-US" w:eastAsia="zh-CN"/>
        </w:rPr>
        <w:t>围绕绿色惠民、全民共享，积极探索符合沂源实际、有利“两山”长效转化的决策支撑、资源清查核算、价值实现转化、绩效考核机制，培育拓展生态金融、市场交易等实现生态价值的路径机制。</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firstLine="643" w:firstLineChars="200"/>
        <w:textAlignment w:val="auto"/>
        <w:outlineLvl w:val="2"/>
        <w:rPr>
          <w:rFonts w:eastAsia="仿宋_GB2312"/>
          <w:b/>
          <w:sz w:val="32"/>
          <w:szCs w:val="32"/>
        </w:rPr>
      </w:pPr>
      <w:bookmarkStart w:id="77" w:name="_Toc13118"/>
      <w:r>
        <w:rPr>
          <w:rFonts w:hint="eastAsia" w:eastAsia="仿宋_GB2312"/>
          <w:b/>
          <w:sz w:val="32"/>
          <w:szCs w:val="32"/>
        </w:rPr>
        <w:t>建立“两山”建设决策支撑机制</w:t>
      </w:r>
      <w:bookmarkEnd w:id="77"/>
    </w:p>
    <w:p>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ascii="Times New Roman" w:hAnsi="Times New Roman" w:eastAsia="仿宋_GB2312" w:cs="Times New Roman"/>
          <w:sz w:val="32"/>
          <w:szCs w:val="32"/>
        </w:rPr>
      </w:pPr>
      <w:bookmarkStart w:id="78" w:name="_Toc36449570"/>
      <w:bookmarkStart w:id="79" w:name="_Toc24659689"/>
      <w:r>
        <w:rPr>
          <w:rFonts w:ascii="Times New Roman" w:hAnsi="Times New Roman" w:eastAsia="仿宋_GB2312" w:cs="Times New Roman"/>
          <w:b/>
          <w:sz w:val="32"/>
          <w:szCs w:val="32"/>
        </w:rPr>
        <w:t>完善顶层设计</w:t>
      </w:r>
      <w:bookmarkEnd w:id="78"/>
      <w:bookmarkEnd w:id="79"/>
      <w:r>
        <w:rPr>
          <w:rFonts w:ascii="Times New Roman" w:hAnsi="Times New Roman" w:eastAsia="仿宋_GB2312" w:cs="Times New Roman"/>
          <w:b/>
          <w:sz w:val="32"/>
          <w:szCs w:val="32"/>
        </w:rPr>
        <w:t>。</w:t>
      </w:r>
      <w:r>
        <w:rPr>
          <w:rFonts w:ascii="Times New Roman" w:hAnsi="Times New Roman" w:eastAsia="仿宋_GB2312" w:cs="Times New Roman"/>
          <w:sz w:val="32"/>
          <w:szCs w:val="32"/>
        </w:rPr>
        <w:t>编制并实施《</w:t>
      </w:r>
      <w:r>
        <w:rPr>
          <w:rFonts w:hint="eastAsia" w:ascii="Times New Roman" w:hAnsi="Times New Roman" w:eastAsia="仿宋_GB2312" w:cs="Times New Roman"/>
          <w:sz w:val="32"/>
          <w:szCs w:val="32"/>
          <w:lang w:eastAsia="zh-CN"/>
        </w:rPr>
        <w:t>沂源</w:t>
      </w:r>
      <w:r>
        <w:rPr>
          <w:rFonts w:ascii="Times New Roman" w:hAnsi="Times New Roman" w:eastAsia="仿宋_GB2312" w:cs="Times New Roman"/>
          <w:sz w:val="32"/>
          <w:szCs w:val="32"/>
        </w:rPr>
        <w:t>县“绿水青山就是金山银山”实践创新基地建设实施方案》，以顶层设计为指导，引领全县“</w:t>
      </w:r>
      <w:r>
        <w:rPr>
          <w:rFonts w:hint="eastAsia" w:ascii="Times New Roman" w:hAnsi="Times New Roman" w:eastAsia="仿宋_GB2312" w:cs="Times New Roman"/>
          <w:sz w:val="32"/>
          <w:szCs w:val="32"/>
          <w:lang w:val="en-US" w:eastAsia="zh-CN"/>
        </w:rPr>
        <w:t>两山</w:t>
      </w:r>
      <w:r>
        <w:rPr>
          <w:rFonts w:ascii="Times New Roman" w:hAnsi="Times New Roman" w:eastAsia="仿宋_GB2312" w:cs="Times New Roman"/>
          <w:sz w:val="32"/>
          <w:szCs w:val="32"/>
        </w:rPr>
        <w:t>”实践创新基地建设工作。把“</w:t>
      </w:r>
      <w:r>
        <w:rPr>
          <w:rFonts w:hint="eastAsia" w:ascii="Times New Roman" w:hAnsi="Times New Roman" w:eastAsia="仿宋_GB2312" w:cs="Times New Roman"/>
          <w:sz w:val="32"/>
          <w:szCs w:val="32"/>
          <w:lang w:val="en-US" w:eastAsia="zh-CN"/>
        </w:rPr>
        <w:t>两山</w:t>
      </w:r>
      <w:r>
        <w:rPr>
          <w:rFonts w:ascii="Times New Roman" w:hAnsi="Times New Roman" w:eastAsia="仿宋_GB2312" w:cs="Times New Roman"/>
          <w:sz w:val="32"/>
          <w:szCs w:val="32"/>
        </w:rPr>
        <w:t>”理念融入战略决策，严格落实实施方案提出的各项指标、任务要求。建立“</w:t>
      </w:r>
      <w:r>
        <w:rPr>
          <w:rFonts w:hint="eastAsia" w:ascii="Times New Roman" w:hAnsi="Times New Roman" w:eastAsia="仿宋_GB2312" w:cs="Times New Roman"/>
          <w:sz w:val="32"/>
          <w:szCs w:val="32"/>
          <w:lang w:val="en-US" w:eastAsia="zh-CN"/>
        </w:rPr>
        <w:t>两山</w:t>
      </w:r>
      <w:r>
        <w:rPr>
          <w:rFonts w:ascii="Times New Roman" w:hAnsi="Times New Roman" w:eastAsia="仿宋_GB2312" w:cs="Times New Roman"/>
          <w:sz w:val="32"/>
          <w:szCs w:val="32"/>
        </w:rPr>
        <w:t>”实践创新基地建设组织领导机制，明确目标、重点任务、进度安排、保证措施、预期成果等。全县相关部门及乡镇将“</w:t>
      </w:r>
      <w:r>
        <w:rPr>
          <w:rFonts w:hint="eastAsia" w:ascii="Times New Roman" w:hAnsi="Times New Roman" w:eastAsia="仿宋_GB2312" w:cs="Times New Roman"/>
          <w:sz w:val="32"/>
          <w:szCs w:val="32"/>
          <w:lang w:val="en-US" w:eastAsia="zh-CN"/>
        </w:rPr>
        <w:t>两山</w:t>
      </w:r>
      <w:r>
        <w:rPr>
          <w:rFonts w:ascii="Times New Roman" w:hAnsi="Times New Roman" w:eastAsia="仿宋_GB2312" w:cs="Times New Roman"/>
          <w:sz w:val="32"/>
          <w:szCs w:val="32"/>
        </w:rPr>
        <w:t>”实践创新基地建设纳入重要议事日程，制定本部门参与“</w:t>
      </w:r>
      <w:r>
        <w:rPr>
          <w:rFonts w:hint="eastAsia" w:ascii="Times New Roman" w:hAnsi="Times New Roman" w:eastAsia="仿宋_GB2312" w:cs="Times New Roman"/>
          <w:sz w:val="32"/>
          <w:szCs w:val="32"/>
          <w:lang w:val="en-US" w:eastAsia="zh-CN"/>
        </w:rPr>
        <w:t>两山</w:t>
      </w:r>
      <w:r>
        <w:rPr>
          <w:rFonts w:ascii="Times New Roman" w:hAnsi="Times New Roman" w:eastAsia="仿宋_GB2312" w:cs="Times New Roman"/>
          <w:sz w:val="32"/>
          <w:szCs w:val="32"/>
        </w:rPr>
        <w:t>”实践创新基地建设的具体政策措施，高位推动“</w:t>
      </w:r>
      <w:r>
        <w:rPr>
          <w:rFonts w:hint="eastAsia" w:ascii="Times New Roman" w:hAnsi="Times New Roman" w:eastAsia="仿宋_GB2312" w:cs="Times New Roman"/>
          <w:sz w:val="32"/>
          <w:szCs w:val="32"/>
          <w:lang w:val="en-US" w:eastAsia="zh-CN"/>
        </w:rPr>
        <w:t>两山</w:t>
      </w:r>
      <w:r>
        <w:rPr>
          <w:rFonts w:ascii="Times New Roman" w:hAnsi="Times New Roman" w:eastAsia="仿宋_GB2312" w:cs="Times New Roman"/>
          <w:sz w:val="32"/>
          <w:szCs w:val="32"/>
        </w:rPr>
        <w:t>”实践创新工作。加强对政府工作人员的“</w:t>
      </w:r>
      <w:r>
        <w:rPr>
          <w:rFonts w:hint="eastAsia" w:ascii="Times New Roman" w:hAnsi="Times New Roman" w:eastAsia="仿宋_GB2312" w:cs="Times New Roman"/>
          <w:sz w:val="32"/>
          <w:szCs w:val="32"/>
          <w:lang w:val="en-US" w:eastAsia="zh-CN"/>
        </w:rPr>
        <w:t>两山</w:t>
      </w:r>
      <w:r>
        <w:rPr>
          <w:rFonts w:ascii="Times New Roman" w:hAnsi="Times New Roman" w:eastAsia="仿宋_GB2312" w:cs="Times New Roman"/>
          <w:sz w:val="32"/>
          <w:szCs w:val="32"/>
        </w:rPr>
        <w:t>”重要思想教育培训，在党政干部和公务人员之间大力开展“</w:t>
      </w:r>
      <w:r>
        <w:rPr>
          <w:rFonts w:hint="eastAsia" w:ascii="Times New Roman" w:hAnsi="Times New Roman" w:eastAsia="仿宋_GB2312" w:cs="Times New Roman"/>
          <w:sz w:val="32"/>
          <w:szCs w:val="32"/>
          <w:lang w:val="en-US" w:eastAsia="zh-CN"/>
        </w:rPr>
        <w:t>两山</w:t>
      </w:r>
      <w:r>
        <w:rPr>
          <w:rFonts w:ascii="Times New Roman" w:hAnsi="Times New Roman" w:eastAsia="仿宋_GB2312" w:cs="Times New Roman"/>
          <w:sz w:val="32"/>
          <w:szCs w:val="32"/>
        </w:rPr>
        <w:t>”重要思想教育，强化生态环境相关方面的专业知识。</w:t>
      </w:r>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夯实“两山”建设制度基础。</w:t>
      </w:r>
      <w:r>
        <w:rPr>
          <w:rFonts w:hint="eastAsia" w:ascii="Times New Roman" w:hAnsi="Times New Roman" w:eastAsia="仿宋_GB2312" w:cs="Times New Roman"/>
          <w:b w:val="0"/>
          <w:bCs w:val="0"/>
          <w:kern w:val="2"/>
          <w:sz w:val="32"/>
          <w:szCs w:val="32"/>
          <w:lang w:val="en-US" w:eastAsia="zh-CN" w:bidi="ar-SA"/>
        </w:rPr>
        <w:t>全面推行“河长制”“湖长制”，完善县、镇 (街道)、村 (居) 三级河长制组织体系以及责任明确、协调有序、监管严格、保护有力的河库管理保护体制和良性运行机制。深入贯彻林长会议制度、林长制办公室工作制度、林长制工作督查制度、林长制工作巡查制度等一系列工作制度，继续完善县、镇(街道)、村 (居) 三级林长制工作体系的建设。严格落实《沂源县自然资源网格化田长制</w:t>
      </w:r>
      <w:r>
        <w:rPr>
          <w:rFonts w:hint="eastAsia" w:eastAsia="仿宋_GB2312" w:cs="Times New Roman"/>
          <w:b w:val="0"/>
          <w:bCs w:val="0"/>
          <w:kern w:val="2"/>
          <w:sz w:val="32"/>
          <w:szCs w:val="32"/>
          <w:lang w:val="en-US" w:eastAsia="zh-CN" w:bidi="ar-SA"/>
        </w:rPr>
        <w:t>、</w:t>
      </w:r>
      <w:r>
        <w:rPr>
          <w:rFonts w:hint="eastAsia" w:ascii="Times New Roman" w:hAnsi="Times New Roman" w:eastAsia="仿宋_GB2312" w:cs="Times New Roman"/>
          <w:b w:val="0"/>
          <w:bCs w:val="0"/>
          <w:kern w:val="2"/>
          <w:sz w:val="32"/>
          <w:szCs w:val="32"/>
          <w:lang w:val="en-US" w:eastAsia="zh-CN" w:bidi="ar-SA"/>
        </w:rPr>
        <w:t>山长制管理工作实施方案》，实现“山水林田湖”全覆盖，切实保护全县自然资源，为践行</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两山</w:t>
      </w:r>
      <w:r>
        <w:rPr>
          <w:rFonts w:ascii="Times New Roman" w:hAnsi="Times New Roman" w:eastAsia="仿宋_GB2312" w:cs="Times New Roman"/>
          <w:sz w:val="32"/>
          <w:szCs w:val="32"/>
        </w:rPr>
        <w:t>”</w:t>
      </w:r>
      <w:r>
        <w:rPr>
          <w:rFonts w:hint="eastAsia" w:ascii="Times New Roman" w:hAnsi="Times New Roman" w:eastAsia="仿宋_GB2312" w:cs="Times New Roman"/>
          <w:b w:val="0"/>
          <w:bCs w:val="0"/>
          <w:kern w:val="2"/>
          <w:sz w:val="32"/>
          <w:szCs w:val="32"/>
          <w:lang w:val="en-US" w:eastAsia="zh-CN" w:bidi="ar-SA"/>
        </w:rPr>
        <w:t>打下坚实基础。</w:t>
      </w:r>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落实“两山”建设领导干部责任。</w:t>
      </w:r>
      <w:r>
        <w:rPr>
          <w:rFonts w:hint="eastAsia" w:ascii="Times New Roman" w:hAnsi="Times New Roman" w:eastAsia="仿宋_GB2312" w:cs="Times New Roman"/>
          <w:b w:val="0"/>
          <w:bCs w:val="0"/>
          <w:kern w:val="2"/>
          <w:sz w:val="32"/>
          <w:szCs w:val="32"/>
          <w:lang w:val="en-US" w:eastAsia="zh-CN" w:bidi="ar-SA"/>
        </w:rPr>
        <w:t>依托生态环境保护“党政同责，一岗双责”制度和“市、镇、村（居）委会”三级生态环境保护委员会，制定实施党委和政府有关部门生态环境保护和“两山”转化的责任清单。建立健全各职能部门纵横贯通、上下联动的生态环境协同治理工作机制，</w:t>
      </w:r>
      <w:r>
        <w:rPr>
          <w:rFonts w:hint="eastAsia" w:eastAsia="仿宋_GB2312" w:cs="Times New Roman"/>
          <w:b w:val="0"/>
          <w:bCs w:val="0"/>
          <w:kern w:val="2"/>
          <w:sz w:val="32"/>
          <w:szCs w:val="32"/>
          <w:lang w:val="en-US" w:eastAsia="zh-CN" w:bidi="ar-SA"/>
        </w:rPr>
        <w:t>形成</w:t>
      </w:r>
      <w:r>
        <w:rPr>
          <w:rFonts w:hint="eastAsia" w:ascii="Times New Roman" w:hAnsi="Times New Roman" w:eastAsia="仿宋_GB2312" w:cs="Times New Roman"/>
          <w:b w:val="0"/>
          <w:bCs w:val="0"/>
          <w:kern w:val="2"/>
          <w:sz w:val="32"/>
          <w:szCs w:val="32"/>
          <w:lang w:val="en-US" w:eastAsia="zh-CN" w:bidi="ar-SA"/>
        </w:rPr>
        <w:t>边界清晰、成分工合理、各负其责、齐抓共管的生态环境治理合力，协同高效推进</w:t>
      </w:r>
      <w:r>
        <w:rPr>
          <w:rFonts w:hint="eastAsia" w:eastAsia="仿宋_GB2312" w:cs="Times New Roman"/>
          <w:b w:val="0"/>
          <w:bCs w:val="0"/>
          <w:kern w:val="2"/>
          <w:sz w:val="32"/>
          <w:szCs w:val="32"/>
          <w:lang w:val="en-US" w:eastAsia="zh-CN" w:bidi="ar-SA"/>
        </w:rPr>
        <w:t>“两山”实践创新基地建设的</w:t>
      </w:r>
      <w:r>
        <w:rPr>
          <w:rFonts w:hint="eastAsia" w:ascii="Times New Roman" w:hAnsi="Times New Roman" w:eastAsia="仿宋_GB2312" w:cs="Times New Roman"/>
          <w:b w:val="0"/>
          <w:bCs w:val="0"/>
          <w:kern w:val="2"/>
          <w:sz w:val="32"/>
          <w:szCs w:val="32"/>
          <w:lang w:val="en-US" w:eastAsia="zh-CN" w:bidi="ar-SA"/>
        </w:rPr>
        <w:t>各项目标任务落实。</w:t>
      </w:r>
    </w:p>
    <w:p>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rPr>
          <w:rFonts w:hint="default"/>
          <w:lang w:val="en-US" w:eastAsia="zh-CN"/>
        </w:rPr>
      </w:pPr>
      <w:bookmarkStart w:id="80" w:name="_Toc36449573"/>
      <w:bookmarkStart w:id="81" w:name="_Toc24659692"/>
      <w:r>
        <w:rPr>
          <w:rFonts w:ascii="Times New Roman" w:hAnsi="Times New Roman" w:eastAsia="仿宋_GB2312" w:cs="Times New Roman"/>
          <w:b/>
          <w:sz w:val="32"/>
          <w:szCs w:val="32"/>
        </w:rPr>
        <w:t>建立“</w:t>
      </w:r>
      <w:r>
        <w:rPr>
          <w:rFonts w:hint="eastAsia" w:ascii="Times New Roman" w:hAnsi="Times New Roman" w:eastAsia="仿宋_GB2312" w:cs="Times New Roman"/>
          <w:b/>
          <w:sz w:val="32"/>
          <w:szCs w:val="32"/>
          <w:lang w:val="en-US" w:eastAsia="zh-CN"/>
        </w:rPr>
        <w:t>两山</w:t>
      </w:r>
      <w:r>
        <w:rPr>
          <w:rFonts w:ascii="Times New Roman" w:hAnsi="Times New Roman" w:eastAsia="仿宋_GB2312" w:cs="Times New Roman"/>
          <w:b/>
          <w:sz w:val="32"/>
          <w:szCs w:val="32"/>
        </w:rPr>
        <w:t>”实践创新型智库</w:t>
      </w:r>
      <w:bookmarkEnd w:id="80"/>
      <w:bookmarkEnd w:id="81"/>
      <w:r>
        <w:rPr>
          <w:rFonts w:ascii="Times New Roman" w:hAnsi="Times New Roman" w:eastAsia="仿宋_GB2312" w:cs="Times New Roman"/>
          <w:b/>
          <w:sz w:val="32"/>
          <w:szCs w:val="32"/>
        </w:rPr>
        <w:t>。</w:t>
      </w:r>
      <w:r>
        <w:rPr>
          <w:rFonts w:ascii="Times New Roman" w:hAnsi="Times New Roman" w:eastAsia="仿宋_GB2312" w:cs="Times New Roman"/>
          <w:sz w:val="32"/>
          <w:szCs w:val="32"/>
        </w:rPr>
        <w:t>集聚有代表性的专家、学者、领导及社会各界资源，建立</w:t>
      </w:r>
      <w:r>
        <w:rPr>
          <w:rFonts w:hint="eastAsia" w:eastAsia="仿宋_GB2312" w:cs="Times New Roman"/>
          <w:b w:val="0"/>
          <w:bCs w:val="0"/>
          <w:kern w:val="2"/>
          <w:sz w:val="32"/>
          <w:szCs w:val="32"/>
          <w:lang w:val="en-US" w:eastAsia="zh-CN" w:bidi="ar-SA"/>
        </w:rPr>
        <w:t>“两山”</w:t>
      </w:r>
      <w:r>
        <w:rPr>
          <w:rFonts w:ascii="Times New Roman" w:hAnsi="Times New Roman" w:eastAsia="仿宋_GB2312" w:cs="Times New Roman"/>
          <w:sz w:val="32"/>
          <w:szCs w:val="32"/>
        </w:rPr>
        <w:t>实践创新基地专家智库，深入开展</w:t>
      </w:r>
      <w:r>
        <w:rPr>
          <w:rFonts w:hint="eastAsia" w:eastAsia="仿宋_GB2312" w:cs="Times New Roman"/>
          <w:b w:val="0"/>
          <w:bCs w:val="0"/>
          <w:kern w:val="2"/>
          <w:sz w:val="32"/>
          <w:szCs w:val="32"/>
          <w:lang w:val="en-US" w:eastAsia="zh-CN" w:bidi="ar-SA"/>
        </w:rPr>
        <w:t>“两山”</w:t>
      </w:r>
      <w:r>
        <w:rPr>
          <w:rFonts w:ascii="Times New Roman" w:hAnsi="Times New Roman" w:eastAsia="仿宋_GB2312" w:cs="Times New Roman"/>
          <w:sz w:val="32"/>
          <w:szCs w:val="32"/>
        </w:rPr>
        <w:t>重要思想的理论研究和实践探索。定期组织召开</w:t>
      </w:r>
      <w:r>
        <w:rPr>
          <w:rFonts w:hint="eastAsia" w:ascii="Times New Roman" w:hAnsi="Times New Roman" w:eastAsia="仿宋_GB2312" w:cs="Times New Roman"/>
          <w:sz w:val="32"/>
          <w:szCs w:val="32"/>
          <w:lang w:eastAsia="zh-CN"/>
        </w:rPr>
        <w:t>沂源</w:t>
      </w:r>
      <w:r>
        <w:rPr>
          <w:rFonts w:hint="eastAsia" w:eastAsia="仿宋_GB2312" w:cs="Times New Roman"/>
          <w:b w:val="0"/>
          <w:bCs w:val="0"/>
          <w:kern w:val="2"/>
          <w:sz w:val="32"/>
          <w:szCs w:val="32"/>
          <w:lang w:val="en-US" w:eastAsia="zh-CN" w:bidi="ar-SA"/>
        </w:rPr>
        <w:t>“两山”</w:t>
      </w:r>
      <w:r>
        <w:rPr>
          <w:rFonts w:ascii="Times New Roman" w:hAnsi="Times New Roman" w:eastAsia="仿宋_GB2312" w:cs="Times New Roman"/>
          <w:sz w:val="32"/>
          <w:szCs w:val="32"/>
        </w:rPr>
        <w:t>实践创新专题研讨会，为</w:t>
      </w:r>
      <w:r>
        <w:rPr>
          <w:rFonts w:hint="eastAsia" w:ascii="Times New Roman" w:hAnsi="Times New Roman" w:eastAsia="仿宋_GB2312" w:cs="Times New Roman"/>
          <w:sz w:val="32"/>
          <w:szCs w:val="32"/>
          <w:lang w:eastAsia="zh-CN"/>
        </w:rPr>
        <w:t>沂源</w:t>
      </w:r>
      <w:r>
        <w:rPr>
          <w:rFonts w:hint="eastAsia" w:eastAsia="仿宋_GB2312" w:cs="Times New Roman"/>
          <w:b w:val="0"/>
          <w:bCs w:val="0"/>
          <w:kern w:val="2"/>
          <w:sz w:val="32"/>
          <w:szCs w:val="32"/>
          <w:lang w:val="en-US" w:eastAsia="zh-CN" w:bidi="ar-SA"/>
        </w:rPr>
        <w:t>“两山”</w:t>
      </w:r>
      <w:r>
        <w:rPr>
          <w:rFonts w:ascii="Times New Roman" w:hAnsi="Times New Roman" w:eastAsia="仿宋_GB2312" w:cs="Times New Roman"/>
          <w:sz w:val="32"/>
          <w:szCs w:val="32"/>
        </w:rPr>
        <w:t>实践创新把脉诊断</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跟踪评估，提供决策咨询。系统总结梳理“绿水青山就是金山银山”实践创新模式，打造</w:t>
      </w:r>
      <w:r>
        <w:rPr>
          <w:rFonts w:hint="eastAsia" w:ascii="Times New Roman" w:hAnsi="Times New Roman" w:eastAsia="仿宋_GB2312" w:cs="Times New Roman"/>
          <w:sz w:val="32"/>
          <w:szCs w:val="32"/>
          <w:lang w:eastAsia="zh-CN"/>
        </w:rPr>
        <w:t>沂源</w:t>
      </w:r>
      <w:r>
        <w:rPr>
          <w:rFonts w:ascii="Times New Roman" w:hAnsi="Times New Roman" w:eastAsia="仿宋_GB2312" w:cs="Times New Roman"/>
          <w:sz w:val="32"/>
          <w:szCs w:val="32"/>
        </w:rPr>
        <w:t>品牌，推广</w:t>
      </w:r>
      <w:r>
        <w:rPr>
          <w:rFonts w:hint="eastAsia" w:ascii="Times New Roman" w:hAnsi="Times New Roman" w:eastAsia="仿宋_GB2312" w:cs="Times New Roman"/>
          <w:sz w:val="32"/>
          <w:szCs w:val="32"/>
          <w:lang w:eastAsia="zh-CN"/>
        </w:rPr>
        <w:t>沂源</w:t>
      </w:r>
      <w:r>
        <w:rPr>
          <w:rFonts w:ascii="Times New Roman" w:hAnsi="Times New Roman" w:eastAsia="仿宋_GB2312" w:cs="Times New Roman"/>
          <w:sz w:val="32"/>
          <w:szCs w:val="32"/>
        </w:rPr>
        <w:t>在“绿水青山就是金山银山”实践创新过程中可复制、可借鉴的成功经验和典型做法。</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firstLine="643" w:firstLineChars="200"/>
        <w:textAlignment w:val="auto"/>
        <w:outlineLvl w:val="2"/>
        <w:rPr>
          <w:rFonts w:eastAsia="仿宋_GB2312"/>
          <w:b/>
          <w:sz w:val="32"/>
          <w:szCs w:val="32"/>
        </w:rPr>
      </w:pPr>
      <w:bookmarkStart w:id="82" w:name="_Toc14471"/>
      <w:r>
        <w:rPr>
          <w:rFonts w:hint="eastAsia" w:eastAsia="仿宋_GB2312"/>
          <w:b/>
          <w:sz w:val="32"/>
          <w:szCs w:val="32"/>
        </w:rPr>
        <w:t>健全“两山”资源清查核算机制</w:t>
      </w:r>
      <w:bookmarkEnd w:id="82"/>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hint="eastAsia"/>
          <w:lang w:val="en-US" w:eastAsia="zh-CN"/>
        </w:rPr>
      </w:pPr>
      <w:r>
        <w:rPr>
          <w:rFonts w:hint="eastAsia" w:ascii="Times New Roman" w:hAnsi="Times New Roman" w:eastAsia="仿宋_GB2312" w:cs="Times New Roman"/>
          <w:b/>
          <w:bCs/>
          <w:kern w:val="2"/>
          <w:sz w:val="32"/>
          <w:szCs w:val="32"/>
          <w:lang w:val="en-US" w:eastAsia="zh-CN" w:bidi="ar-SA"/>
        </w:rPr>
        <w:t>建立生态产品调查监测机制</w:t>
      </w:r>
      <w:r>
        <w:rPr>
          <w:rFonts w:hint="eastAsia" w:eastAsia="仿宋_GB2312" w:cs="Times New Roman"/>
          <w:b/>
          <w:bCs/>
          <w:kern w:val="2"/>
          <w:sz w:val="32"/>
          <w:szCs w:val="32"/>
          <w:lang w:val="en-US" w:eastAsia="zh-CN" w:bidi="ar-SA"/>
        </w:rPr>
        <w:t>。</w:t>
      </w:r>
      <w:r>
        <w:rPr>
          <w:rFonts w:hint="eastAsia" w:ascii="Times New Roman" w:hAnsi="Times New Roman" w:eastAsia="仿宋_GB2312" w:cs="Times New Roman"/>
          <w:b w:val="0"/>
          <w:bCs w:val="0"/>
          <w:kern w:val="2"/>
          <w:sz w:val="32"/>
          <w:szCs w:val="32"/>
          <w:lang w:val="en-US" w:eastAsia="zh-CN" w:bidi="ar-SA"/>
        </w:rPr>
        <w:t>开展自然资源确权登记和生态产品基础信息普查，摸清生态产品底数，形成沂源县生态产品目录，并建立生态产品动态监测制度。对全县森林、水资源、土地、矿产等重要自然资源的数量质量、分布、用途进行统一调查、监测评价，建立沂源县生态产品目录清单。对沂源县的碳汇资源、高山富</w:t>
      </w:r>
      <w:r>
        <w:rPr>
          <w:rFonts w:hint="eastAsia" w:eastAsia="仿宋_GB2312" w:cs="Times New Roman"/>
          <w:b w:val="0"/>
          <w:bCs w:val="0"/>
          <w:kern w:val="2"/>
          <w:sz w:val="32"/>
          <w:szCs w:val="32"/>
          <w:lang w:val="en-US" w:eastAsia="zh-CN" w:bidi="ar-SA"/>
        </w:rPr>
        <w:t>锶</w:t>
      </w:r>
      <w:r>
        <w:rPr>
          <w:rFonts w:hint="eastAsia" w:ascii="Times New Roman" w:hAnsi="Times New Roman" w:eastAsia="仿宋_GB2312" w:cs="Times New Roman"/>
          <w:b w:val="0"/>
          <w:bCs w:val="0"/>
          <w:kern w:val="2"/>
          <w:sz w:val="32"/>
          <w:szCs w:val="32"/>
          <w:lang w:val="en-US" w:eastAsia="zh-CN" w:bidi="ar-SA"/>
        </w:rPr>
        <w:t>水等生态工业品</w:t>
      </w:r>
      <w:r>
        <w:rPr>
          <w:rFonts w:hint="eastAsia" w:eastAsia="仿宋_GB2312" w:cs="Times New Roman"/>
          <w:b w:val="0"/>
          <w:bCs w:val="0"/>
          <w:kern w:val="2"/>
          <w:sz w:val="32"/>
          <w:szCs w:val="32"/>
          <w:lang w:val="en-US" w:eastAsia="zh-CN" w:bidi="ar-SA"/>
        </w:rPr>
        <w:t>、</w:t>
      </w:r>
      <w:r>
        <w:rPr>
          <w:rFonts w:hint="eastAsia" w:ascii="Times New Roman" w:hAnsi="Times New Roman" w:eastAsia="仿宋_GB2312" w:cs="Times New Roman"/>
          <w:b w:val="0"/>
          <w:bCs w:val="0"/>
          <w:kern w:val="2"/>
          <w:sz w:val="32"/>
          <w:szCs w:val="32"/>
          <w:lang w:val="en-US" w:eastAsia="zh-CN" w:bidi="ar-SA"/>
        </w:rPr>
        <w:t>苹果等生态农产品、生态旅游产品等生态产品定期开展生态状况评估。建立开放共享的生态产品信息云平台</w:t>
      </w:r>
      <w:r>
        <w:rPr>
          <w:rFonts w:hint="eastAsia" w:eastAsia="仿宋_GB2312" w:cs="Times New Roman"/>
          <w:b w:val="0"/>
          <w:bCs w:val="0"/>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kern w:val="2"/>
          <w:sz w:val="32"/>
          <w:szCs w:val="32"/>
          <w:lang w:val="en-US" w:eastAsia="zh-CN" w:bidi="ar-SA"/>
        </w:rPr>
        <w:t>建立</w:t>
      </w:r>
      <w:r>
        <w:rPr>
          <w:rFonts w:hint="eastAsia" w:eastAsia="仿宋_GB2312" w:cs="Times New Roman"/>
          <w:b/>
          <w:bCs/>
          <w:kern w:val="2"/>
          <w:sz w:val="32"/>
          <w:szCs w:val="32"/>
          <w:lang w:val="en-US" w:eastAsia="zh-CN" w:bidi="ar-SA"/>
        </w:rPr>
        <w:t>健全生态系统生产总值（GEP）核算</w:t>
      </w:r>
      <w:r>
        <w:rPr>
          <w:rFonts w:hint="eastAsia" w:ascii="Times New Roman" w:hAnsi="Times New Roman" w:eastAsia="仿宋_GB2312" w:cs="Times New Roman"/>
          <w:b/>
          <w:bCs/>
          <w:kern w:val="2"/>
          <w:sz w:val="32"/>
          <w:szCs w:val="32"/>
          <w:lang w:val="en-US" w:eastAsia="zh-CN" w:bidi="ar-SA"/>
        </w:rPr>
        <w:t>制度。</w:t>
      </w:r>
      <w:r>
        <w:rPr>
          <w:rFonts w:ascii="Times New Roman" w:hAnsi="Times New Roman" w:eastAsia="仿宋_GB2312" w:cs="Times New Roman"/>
          <w:sz w:val="32"/>
          <w:szCs w:val="32"/>
        </w:rPr>
        <w:t>开展</w:t>
      </w:r>
      <w:r>
        <w:rPr>
          <w:rFonts w:hint="eastAsia" w:ascii="Times New Roman" w:hAnsi="Times New Roman" w:eastAsia="仿宋_GB2312" w:cs="Times New Roman"/>
          <w:sz w:val="32"/>
          <w:szCs w:val="32"/>
          <w:lang w:val="en-US" w:eastAsia="zh-CN"/>
        </w:rPr>
        <w:t>沂源</w:t>
      </w:r>
      <w:r>
        <w:rPr>
          <w:rFonts w:ascii="Times New Roman" w:hAnsi="Times New Roman" w:eastAsia="仿宋_GB2312" w:cs="Times New Roman"/>
          <w:sz w:val="32"/>
          <w:szCs w:val="32"/>
        </w:rPr>
        <w:t>GEP核算</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评估县域内生态系统提供的最终产品和服务及其价值，量化绿水青山价值。在GEP定量核算的基础上，通过评估一个不同时期的生态系统资产存量变化、生态系统生产总值变化，实现对生态系统服务和容量变化给经济系统带来的效益变化情况的常态化跟踪评估。</w:t>
      </w:r>
      <w:r>
        <w:rPr>
          <w:rFonts w:hint="eastAsia" w:ascii="Times New Roman" w:hAnsi="Times New Roman" w:eastAsia="仿宋_GB2312" w:cs="Times New Roman"/>
          <w:b w:val="0"/>
          <w:bCs w:val="0"/>
          <w:kern w:val="2"/>
          <w:sz w:val="32"/>
          <w:szCs w:val="32"/>
          <w:lang w:val="en-US" w:eastAsia="zh-CN" w:bidi="ar-SA"/>
        </w:rPr>
        <w:t>积极探索</w:t>
      </w:r>
      <w:r>
        <w:rPr>
          <w:rFonts w:ascii="Times New Roman" w:hAnsi="Times New Roman" w:eastAsia="仿宋_GB2312" w:cs="Times New Roman"/>
          <w:sz w:val="32"/>
          <w:szCs w:val="32"/>
        </w:rPr>
        <w:t>GEP核算</w:t>
      </w:r>
      <w:r>
        <w:rPr>
          <w:rFonts w:hint="eastAsia" w:ascii="Times New Roman" w:hAnsi="Times New Roman" w:eastAsia="仿宋_GB2312" w:cs="Times New Roman"/>
          <w:b w:val="0"/>
          <w:bCs w:val="0"/>
          <w:kern w:val="2"/>
          <w:sz w:val="32"/>
          <w:szCs w:val="32"/>
          <w:lang w:val="en-US" w:eastAsia="zh-CN" w:bidi="ar-SA"/>
        </w:rPr>
        <w:t>结果在生态保护补偿、生态环境损害赔偿、经营开发融资、生态资源权益交易等方面的应用</w:t>
      </w:r>
      <w:r>
        <w:rPr>
          <w:rFonts w:hint="eastAsia" w:eastAsia="仿宋_GB2312" w:cs="Times New Roman"/>
          <w:b w:val="0"/>
          <w:bCs w:val="0"/>
          <w:kern w:val="2"/>
          <w:sz w:val="32"/>
          <w:szCs w:val="32"/>
          <w:lang w:val="en-US" w:eastAsia="zh-CN" w:bidi="ar-SA"/>
        </w:rPr>
        <w:t>，</w:t>
      </w:r>
      <w:r>
        <w:rPr>
          <w:rFonts w:hint="eastAsia" w:ascii="Times New Roman" w:hAnsi="Times New Roman" w:eastAsia="仿宋_GB2312" w:cs="Times New Roman"/>
          <w:b w:val="0"/>
          <w:bCs w:val="0"/>
          <w:kern w:val="2"/>
          <w:sz w:val="32"/>
          <w:szCs w:val="32"/>
          <w:lang w:val="en-US" w:eastAsia="zh-CN" w:bidi="ar-SA"/>
        </w:rPr>
        <w:t>确保生态产品保值增值</w:t>
      </w:r>
      <w:r>
        <w:rPr>
          <w:rFonts w:hint="eastAsia" w:eastAsia="仿宋_GB2312" w:cs="Times New Roman"/>
          <w:b w:val="0"/>
          <w:bCs w:val="0"/>
          <w:kern w:val="2"/>
          <w:sz w:val="32"/>
          <w:szCs w:val="32"/>
          <w:lang w:val="en-US" w:eastAsia="zh-CN" w:bidi="ar-SA"/>
        </w:rPr>
        <w:t>。</w:t>
      </w:r>
      <w:r>
        <w:rPr>
          <w:rFonts w:ascii="Times New Roman" w:hAnsi="Times New Roman" w:eastAsia="仿宋_GB2312" w:cs="Times New Roman"/>
          <w:sz w:val="32"/>
          <w:szCs w:val="32"/>
        </w:rPr>
        <w:t>基于GEP核算，探索推行GDP与GEP双核算、双运行、双提升机制，逐步建立体现</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两山</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实践创新要求的目标体系、考核办法、奖惩机制，并将考核结果作为评价领导干部政绩、评优和选拔任用干部的重要依据。</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firstLine="643" w:firstLineChars="200"/>
        <w:textAlignment w:val="auto"/>
        <w:outlineLvl w:val="2"/>
        <w:rPr>
          <w:rFonts w:eastAsia="仿宋_GB2312"/>
          <w:b/>
          <w:sz w:val="32"/>
          <w:szCs w:val="32"/>
        </w:rPr>
      </w:pPr>
      <w:bookmarkStart w:id="83" w:name="_Toc28351"/>
      <w:r>
        <w:rPr>
          <w:rFonts w:hint="eastAsia" w:eastAsia="仿宋_GB2312"/>
          <w:b/>
          <w:sz w:val="32"/>
          <w:szCs w:val="32"/>
        </w:rPr>
        <w:t>完善“两山”价值实现转化机制</w:t>
      </w:r>
      <w:bookmarkEnd w:id="83"/>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健全生态补偿</w:t>
      </w:r>
      <w:r>
        <w:rPr>
          <w:rFonts w:hint="eastAsia" w:eastAsia="仿宋_GB2312" w:cs="Times New Roman"/>
          <w:b/>
          <w:bCs/>
          <w:kern w:val="2"/>
          <w:sz w:val="32"/>
          <w:szCs w:val="32"/>
          <w:lang w:val="en-US" w:eastAsia="zh-CN" w:bidi="ar-SA"/>
        </w:rPr>
        <w:t>制度</w:t>
      </w:r>
      <w:r>
        <w:rPr>
          <w:rFonts w:hint="eastAsia" w:ascii="Times New Roman" w:hAnsi="Times New Roman" w:eastAsia="仿宋_GB2312" w:cs="Times New Roman"/>
          <w:b/>
          <w:bCs/>
          <w:kern w:val="2"/>
          <w:sz w:val="32"/>
          <w:szCs w:val="32"/>
          <w:lang w:val="en-US" w:eastAsia="zh-CN" w:bidi="ar-SA"/>
        </w:rPr>
        <w:t>。</w:t>
      </w:r>
      <w:r>
        <w:rPr>
          <w:rFonts w:hint="eastAsia" w:eastAsia="仿宋_GB2312"/>
          <w:sz w:val="32"/>
          <w:szCs w:val="32"/>
        </w:rPr>
        <w:t>用足用好国家重点生态功能区财政转移支付资金，充分发挥财政转移支付资金效能。充分利用绿色发展财政奖补资金和区域统筹激励奖补资金，适当提高高品质水体补偿标准，健全源头水和水源涵养区、集中式饮用水水源地保护区生态补偿机制。开展“山水林田湖草”生态保护修复利用的生态付费制度探索，健全“谁污染谁治理，谁破坏谁恢复”的市场化生态补偿机制。</w:t>
      </w:r>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hint="eastAsia" w:ascii="Times New Roman" w:hAnsi="Times New Roman" w:eastAsia="仿宋_GB2312" w:cs="Times New Roman"/>
          <w:b w:val="0"/>
          <w:bCs w:val="0"/>
          <w:kern w:val="2"/>
          <w:sz w:val="32"/>
          <w:szCs w:val="32"/>
          <w:lang w:val="en-US" w:eastAsia="zh-CN" w:bidi="ar-SA"/>
        </w:rPr>
      </w:pPr>
      <w:r>
        <w:rPr>
          <w:rFonts w:hint="eastAsia" w:eastAsia="仿宋_GB2312" w:cs="Times New Roman"/>
          <w:b/>
          <w:bCs/>
          <w:kern w:val="2"/>
          <w:sz w:val="32"/>
          <w:szCs w:val="32"/>
          <w:lang w:val="en-US" w:eastAsia="zh-CN" w:bidi="ar-SA"/>
        </w:rPr>
        <w:t>建立健全</w:t>
      </w:r>
      <w:r>
        <w:rPr>
          <w:rFonts w:hint="eastAsia" w:ascii="Times New Roman" w:hAnsi="Times New Roman" w:eastAsia="仿宋_GB2312" w:cs="Times New Roman"/>
          <w:b/>
          <w:bCs/>
          <w:kern w:val="2"/>
          <w:sz w:val="32"/>
          <w:szCs w:val="32"/>
          <w:lang w:val="en-US" w:eastAsia="zh-CN" w:bidi="ar-SA"/>
        </w:rPr>
        <w:t>市场化生态保护机制。</w:t>
      </w:r>
      <w:r>
        <w:rPr>
          <w:rFonts w:hint="eastAsia" w:eastAsia="仿宋_GB2312"/>
          <w:sz w:val="32"/>
          <w:szCs w:val="32"/>
        </w:rPr>
        <w:t>积极申请生态环保金融支持项目储备库入库，气候投融资试点等</w:t>
      </w:r>
      <w:r>
        <w:rPr>
          <w:rFonts w:hint="eastAsia" w:eastAsia="仿宋_GB2312"/>
          <w:sz w:val="32"/>
          <w:szCs w:val="32"/>
          <w:lang w:eastAsia="zh-CN"/>
        </w:rPr>
        <w:t>，</w:t>
      </w:r>
      <w:r>
        <w:rPr>
          <w:rFonts w:hint="eastAsia" w:ascii="Times New Roman" w:hAnsi="Times New Roman" w:eastAsia="仿宋_GB2312" w:cs="Times New Roman"/>
          <w:b w:val="0"/>
          <w:bCs w:val="0"/>
          <w:kern w:val="2"/>
          <w:sz w:val="32"/>
          <w:szCs w:val="32"/>
          <w:lang w:val="en-US" w:eastAsia="zh-CN" w:bidi="ar-SA"/>
        </w:rPr>
        <w:t>鼓励开展以生态环境导向的开发（EOD）模式试点项目，统筹生态环境治理与产业发展、区域开发与持续运营、投融资与项目实施等，推动生态环境高水平保护</w:t>
      </w:r>
      <w:r>
        <w:rPr>
          <w:rFonts w:hint="eastAsia" w:eastAsia="仿宋_GB2312" w:cs="Times New Roman"/>
          <w:b w:val="0"/>
          <w:bCs w:val="0"/>
          <w:kern w:val="2"/>
          <w:sz w:val="32"/>
          <w:szCs w:val="32"/>
          <w:lang w:val="en-US" w:eastAsia="zh-CN" w:bidi="ar-SA"/>
        </w:rPr>
        <w:t>和</w:t>
      </w:r>
      <w:r>
        <w:rPr>
          <w:rFonts w:hint="eastAsia" w:ascii="Times New Roman" w:hAnsi="Times New Roman" w:eastAsia="仿宋_GB2312" w:cs="Times New Roman"/>
          <w:b w:val="0"/>
          <w:bCs w:val="0"/>
          <w:kern w:val="2"/>
          <w:sz w:val="32"/>
          <w:szCs w:val="32"/>
          <w:lang w:val="en-US" w:eastAsia="zh-CN" w:bidi="ar-SA"/>
        </w:rPr>
        <w:t>经济高质量</w:t>
      </w:r>
      <w:r>
        <w:rPr>
          <w:rFonts w:hint="eastAsia" w:eastAsia="仿宋_GB2312" w:cs="Times New Roman"/>
          <w:b w:val="0"/>
          <w:bCs w:val="0"/>
          <w:kern w:val="2"/>
          <w:sz w:val="32"/>
          <w:szCs w:val="32"/>
          <w:lang w:val="en-US" w:eastAsia="zh-CN" w:bidi="ar-SA"/>
        </w:rPr>
        <w:t>协同</w:t>
      </w:r>
      <w:r>
        <w:rPr>
          <w:rFonts w:hint="eastAsia" w:ascii="Times New Roman" w:hAnsi="Times New Roman" w:eastAsia="仿宋_GB2312" w:cs="Times New Roman"/>
          <w:b w:val="0"/>
          <w:bCs w:val="0"/>
          <w:kern w:val="2"/>
          <w:sz w:val="32"/>
          <w:szCs w:val="32"/>
          <w:lang w:val="en-US" w:eastAsia="zh-CN" w:bidi="ar-SA"/>
        </w:rPr>
        <w:t>发展。探索建立促进绿色金融发展的正向激励机制，建立绿色信贷的贴息制度和担保制度，通过财政资金杠杆，放大银行的投入比例，降低绿色融资成本，提升绿色效应商业可持续性。加强用能权、用水权、排污权、碳排放权市场交易制度建设，鼓励各类投资进入</w:t>
      </w:r>
      <w:r>
        <w:rPr>
          <w:rFonts w:hint="eastAsia" w:eastAsia="仿宋_GB2312" w:cs="Times New Roman"/>
          <w:b w:val="0"/>
          <w:bCs w:val="0"/>
          <w:kern w:val="2"/>
          <w:sz w:val="32"/>
          <w:szCs w:val="32"/>
          <w:lang w:val="en-US" w:eastAsia="zh-CN" w:bidi="ar-SA"/>
        </w:rPr>
        <w:t>生态</w:t>
      </w:r>
      <w:r>
        <w:rPr>
          <w:rFonts w:hint="eastAsia" w:ascii="Times New Roman" w:hAnsi="Times New Roman" w:eastAsia="仿宋_GB2312" w:cs="Times New Roman"/>
          <w:b w:val="0"/>
          <w:bCs w:val="0"/>
          <w:kern w:val="2"/>
          <w:sz w:val="32"/>
          <w:szCs w:val="32"/>
          <w:lang w:val="en-US" w:eastAsia="zh-CN" w:bidi="ar-SA"/>
        </w:rPr>
        <w:t>环保市场。</w:t>
      </w:r>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健全生态产品经营开发机制。</w:t>
      </w:r>
      <w:r>
        <w:rPr>
          <w:rFonts w:hint="eastAsia" w:ascii="Times New Roman" w:hAnsi="Times New Roman" w:eastAsia="仿宋_GB2312" w:cs="Times New Roman"/>
          <w:b w:val="0"/>
          <w:bCs w:val="0"/>
          <w:kern w:val="2"/>
          <w:sz w:val="32"/>
          <w:szCs w:val="32"/>
          <w:lang w:val="en-US" w:eastAsia="zh-CN" w:bidi="ar-SA"/>
        </w:rPr>
        <w:t>推进生态产品供需精准对接，加强市场信息共享和产销对接，充分利用展会平台开展生态农产品推介。组织开展生态产品线上云交易、云招商，推进生态产品供给方与需求方、资源方与投资方高效对接</w:t>
      </w:r>
      <w:r>
        <w:rPr>
          <w:rFonts w:hint="eastAsia" w:eastAsia="仿宋_GB2312" w:cs="Times New Roman"/>
          <w:b w:val="0"/>
          <w:bCs w:val="0"/>
          <w:kern w:val="2"/>
          <w:sz w:val="32"/>
          <w:szCs w:val="32"/>
          <w:lang w:val="en-US" w:eastAsia="zh-CN" w:bidi="ar-SA"/>
        </w:rPr>
        <w:t>，</w:t>
      </w:r>
      <w:r>
        <w:rPr>
          <w:rFonts w:hint="eastAsia" w:ascii="Times New Roman" w:hAnsi="Times New Roman" w:eastAsia="仿宋_GB2312" w:cs="Times New Roman"/>
          <w:b w:val="0"/>
          <w:bCs w:val="0"/>
          <w:kern w:val="2"/>
          <w:sz w:val="32"/>
          <w:szCs w:val="32"/>
          <w:lang w:val="en-US" w:eastAsia="zh-CN" w:bidi="ar-SA"/>
        </w:rPr>
        <w:t>促进生态产品价值增值。围绕生态产品供给，建立和规范生态产品认证评价标准。加强生态产品品牌培育和保护，提升生态产品溢价。扩大绿色食品、有机农产品和地理标志农产品生产规模，培育大宗优势产品以及地域特色鲜明的农产品品牌。</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firstLine="643" w:firstLineChars="200"/>
        <w:textAlignment w:val="auto"/>
        <w:outlineLvl w:val="2"/>
        <w:rPr>
          <w:rFonts w:eastAsia="仿宋_GB2312"/>
          <w:b/>
          <w:sz w:val="32"/>
          <w:szCs w:val="32"/>
        </w:rPr>
      </w:pPr>
      <w:bookmarkStart w:id="84" w:name="_Toc25553"/>
      <w:r>
        <w:rPr>
          <w:rFonts w:hint="eastAsia" w:eastAsia="仿宋_GB2312"/>
          <w:b/>
          <w:sz w:val="32"/>
          <w:szCs w:val="32"/>
        </w:rPr>
        <w:t>强化“两山”建设绩效考核机制</w:t>
      </w:r>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建立“两山”实践绩效考核督查机制。</w:t>
      </w:r>
      <w:r>
        <w:rPr>
          <w:rFonts w:hint="eastAsia" w:ascii="Times New Roman" w:hAnsi="Times New Roman" w:eastAsia="仿宋_GB2312" w:cs="Times New Roman"/>
          <w:b w:val="0"/>
          <w:bCs w:val="0"/>
          <w:kern w:val="2"/>
          <w:sz w:val="32"/>
          <w:szCs w:val="32"/>
          <w:lang w:val="en-US" w:eastAsia="zh-CN" w:bidi="ar-SA"/>
        </w:rPr>
        <w:t>建立“两山”目标责任制，将“两山”建设任务逐级分解，落实到具体部门和乡镇，各部门和乡镇将任务落实到具体人员。建立部门、乡镇、村组行政首长负责制和目标责任考核机制，从县级部门到乡镇、村组建立多级目标任务完成情况的评估机制，将考评结果作为岗位调整、晋升、绩效分配，领导干部生态环境离任审计、责任追究的重要依据。把资源消耗、环境损害、生态效益等体现生态文明建设状况的指标，纳入经济社会发展评价体系。</w:t>
      </w:r>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全面推行领导干部自然资源资产离任（任中）审计。</w:t>
      </w:r>
      <w:r>
        <w:rPr>
          <w:rFonts w:hint="eastAsia" w:ascii="Times New Roman" w:hAnsi="Times New Roman" w:eastAsia="仿宋_GB2312" w:cs="Times New Roman"/>
          <w:b w:val="0"/>
          <w:bCs w:val="0"/>
          <w:kern w:val="2"/>
          <w:sz w:val="32"/>
          <w:szCs w:val="32"/>
          <w:lang w:val="en-US" w:eastAsia="zh-CN" w:bidi="ar-SA"/>
        </w:rPr>
        <w:t>建立领导干部自然资源资产离任审计整改督查机制和协作配合机制。加强自然资源资产离任审计队伍建设，着力培育一批具备环境领域专业知识和技能的审计人才。强化大数据审计，创新离任审计方式方法。探索建立专家库，组成由水质监测、森林测绘、生态环境保护等领域专业人才支持的咨询团队，实施专家咨询制度，聘请具备法律、环境等专业背景的技术专家共同参与审计工作。</w:t>
      </w:r>
    </w:p>
    <w:p>
      <w:pPr>
        <w:keepNext w:val="0"/>
        <w:keepLines w:val="0"/>
        <w:pageBreakBefore w:val="0"/>
        <w:widowControl w:val="0"/>
        <w:kinsoku/>
        <w:wordWrap/>
        <w:overflowPunct/>
        <w:topLinePunct w:val="0"/>
        <w:autoSpaceDE/>
        <w:autoSpaceDN/>
        <w:bidi w:val="0"/>
        <w:adjustRightInd w:val="0"/>
        <w:snapToGrid w:val="0"/>
        <w:spacing w:line="360" w:lineRule="auto"/>
        <w:ind w:firstLine="602"/>
        <w:textAlignment w:val="auto"/>
        <w:rPr>
          <w:rFonts w:hint="eastAsia" w:ascii="Times New Roman" w:hAnsi="Times New Roman" w:eastAsia="仿宋_GB2312" w:cs="Times New Roman"/>
          <w:b w:val="0"/>
          <w:bCs w:val="0"/>
          <w:kern w:val="2"/>
          <w:sz w:val="32"/>
          <w:szCs w:val="32"/>
          <w:lang w:val="en-US" w:eastAsia="zh-CN" w:bidi="ar-SA"/>
        </w:rPr>
      </w:pPr>
      <w:r>
        <w:rPr>
          <w:rFonts w:hint="eastAsia" w:eastAsia="仿宋_GB2312" w:cs="Times New Roman"/>
          <w:b/>
          <w:bCs/>
          <w:kern w:val="2"/>
          <w:sz w:val="32"/>
          <w:szCs w:val="32"/>
          <w:lang w:val="en-US" w:eastAsia="zh-CN" w:bidi="ar-SA"/>
        </w:rPr>
        <w:t>落实</w:t>
      </w:r>
      <w:r>
        <w:rPr>
          <w:rFonts w:hint="eastAsia" w:ascii="Times New Roman" w:hAnsi="Times New Roman" w:eastAsia="仿宋_GB2312" w:cs="Times New Roman"/>
          <w:b/>
          <w:bCs/>
          <w:kern w:val="2"/>
          <w:sz w:val="32"/>
          <w:szCs w:val="32"/>
          <w:lang w:val="en-US" w:eastAsia="zh-CN" w:bidi="ar-SA"/>
        </w:rPr>
        <w:t>生态环境损害赔偿制度。</w:t>
      </w:r>
      <w:r>
        <w:rPr>
          <w:rFonts w:hint="eastAsia" w:ascii="Times New Roman" w:hAnsi="Times New Roman" w:eastAsia="仿宋_GB2312" w:cs="Times New Roman"/>
          <w:b w:val="0"/>
          <w:bCs w:val="0"/>
          <w:kern w:val="2"/>
          <w:sz w:val="32"/>
          <w:szCs w:val="32"/>
          <w:lang w:val="en-US" w:eastAsia="zh-CN" w:bidi="ar-SA"/>
        </w:rPr>
        <w:t>完善生态环境损害赔偿制度，推动落实企业法定代表人、主要负责人同为本单位生态环境保护第一责任人制度，压企业污染治理、损害赔偿和生态修复的主体责任。</w:t>
      </w:r>
      <w:r>
        <w:rPr>
          <w:rFonts w:hint="eastAsia" w:eastAsia="仿宋_GB2312" w:cs="Times New Roman"/>
          <w:b w:val="0"/>
          <w:bCs w:val="0"/>
          <w:kern w:val="2"/>
          <w:sz w:val="32"/>
          <w:szCs w:val="32"/>
          <w:lang w:val="en-US" w:eastAsia="zh-CN" w:bidi="ar-SA"/>
        </w:rPr>
        <w:t>推进生态环境局沂源分局</w:t>
      </w:r>
      <w:r>
        <w:rPr>
          <w:rFonts w:hint="eastAsia" w:ascii="Times New Roman" w:hAnsi="Times New Roman" w:eastAsia="仿宋_GB2312" w:cs="Times New Roman"/>
          <w:b w:val="0"/>
          <w:bCs w:val="0"/>
          <w:kern w:val="2"/>
          <w:sz w:val="32"/>
          <w:szCs w:val="32"/>
          <w:lang w:val="en-US" w:eastAsia="zh-CN" w:bidi="ar-SA"/>
        </w:rPr>
        <w:t>会同相关部门负责指导有关生态环境损害调查、鉴定评估、修复方案编制、修复效果后评估等业务工作。完善生态环境公益诉讼与生态环境损害赔偿制度的衔接机制，加大环境资源审判公众参与和司法公开力度。</w:t>
      </w:r>
    </w:p>
    <w:p>
      <w:pPr>
        <w:adjustRightInd w:val="0"/>
        <w:snapToGrid w:val="0"/>
        <w:spacing w:line="360" w:lineRule="auto"/>
        <w:outlineLvl w:val="0"/>
        <w:rPr>
          <w:rFonts w:eastAsia="黑体"/>
          <w:sz w:val="32"/>
          <w:szCs w:val="32"/>
        </w:rPr>
      </w:pPr>
      <w:bookmarkStart w:id="85" w:name="_Toc16282"/>
      <w:r>
        <w:rPr>
          <w:rFonts w:hint="eastAsia" w:eastAsia="黑体"/>
          <w:sz w:val="32"/>
          <w:szCs w:val="32"/>
          <w:lang w:val="en-US" w:eastAsia="zh-CN"/>
        </w:rPr>
        <w:t>六</w:t>
      </w:r>
      <w:r>
        <w:rPr>
          <w:rFonts w:eastAsia="黑体"/>
          <w:sz w:val="32"/>
          <w:szCs w:val="32"/>
        </w:rPr>
        <w:t>、</w:t>
      </w:r>
      <w:r>
        <w:rPr>
          <w:rFonts w:hint="eastAsia" w:eastAsia="黑体"/>
          <w:sz w:val="32"/>
          <w:szCs w:val="32"/>
        </w:rPr>
        <w:t>保障措施</w:t>
      </w:r>
      <w:bookmarkEnd w:id="85"/>
    </w:p>
    <w:p>
      <w:pPr>
        <w:pStyle w:val="4"/>
        <w:pageBreakBefore w:val="0"/>
        <w:widowControl w:val="0"/>
        <w:kinsoku/>
        <w:wordWrap/>
        <w:overflowPunct/>
        <w:topLinePunct w:val="0"/>
        <w:autoSpaceDE/>
        <w:autoSpaceDN/>
        <w:bidi w:val="0"/>
        <w:adjustRightInd w:val="0"/>
        <w:snapToGrid w:val="0"/>
        <w:spacing w:before="0" w:after="0" w:line="360" w:lineRule="auto"/>
        <w:ind w:firstLine="634"/>
        <w:textAlignment w:val="auto"/>
        <w:rPr>
          <w:rFonts w:ascii="Times New Roman" w:hAnsi="Times New Roman" w:eastAsia="楷体_GB2312" w:cs="Times New Roman"/>
          <w:sz w:val="32"/>
          <w:szCs w:val="32"/>
        </w:rPr>
      </w:pPr>
      <w:bookmarkStart w:id="86" w:name="_Toc13488"/>
      <w:r>
        <w:rPr>
          <w:rFonts w:ascii="Times New Roman" w:hAnsi="Times New Roman" w:eastAsia="楷体_GB2312" w:cs="Times New Roman"/>
          <w:sz w:val="32"/>
          <w:szCs w:val="32"/>
        </w:rPr>
        <w:t>（</w:t>
      </w:r>
      <w:r>
        <w:rPr>
          <w:rFonts w:hint="eastAsia" w:ascii="Times New Roman" w:hAnsi="Times New Roman" w:eastAsia="楷体_GB2312" w:cs="Times New Roman"/>
          <w:sz w:val="32"/>
          <w:szCs w:val="32"/>
        </w:rPr>
        <w:t>一</w:t>
      </w:r>
      <w:r>
        <w:rPr>
          <w:rFonts w:ascii="Times New Roman" w:hAnsi="Times New Roman" w:eastAsia="楷体_GB2312" w:cs="Times New Roman"/>
          <w:sz w:val="32"/>
          <w:szCs w:val="32"/>
        </w:rPr>
        <w:t>）加强组织领导责任</w:t>
      </w:r>
      <w:bookmarkEnd w:id="86"/>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eastAsia="仿宋_GB2312" w:cs="仿宋_GB2312"/>
          <w:b w:val="0"/>
          <w:bCs w:val="0"/>
          <w:sz w:val="32"/>
          <w:szCs w:val="32"/>
        </w:rPr>
      </w:pPr>
      <w:r>
        <w:rPr>
          <w:rFonts w:hint="eastAsia" w:eastAsia="仿宋_GB2312" w:cs="仿宋_GB2312"/>
          <w:b w:val="0"/>
          <w:bCs w:val="0"/>
          <w:sz w:val="32"/>
          <w:szCs w:val="32"/>
        </w:rPr>
        <w:t>成立沂源县“绿水青山就是金山银山”实践创新基地建设领导小组，对“绿水青山就是金山银山”实践创新基地建设进行统一领导。健全“两山”基地责任制，理顺各乡镇（街道）及相关部门权责。成立相应的领导协调机制，加强部门联动，形成管理合力。加强与上级生态环境部门的联系沟通，及时总结汇报工作进展，并通过管理平台向生态环境部提交年度工作总结材料。随时了解掌握“两山”实践创新基地的政策要求，动态调整工作安排，确保创建工作与上级要求步调一致。</w:t>
      </w:r>
    </w:p>
    <w:p>
      <w:pPr>
        <w:pStyle w:val="4"/>
        <w:pageBreakBefore w:val="0"/>
        <w:widowControl w:val="0"/>
        <w:kinsoku/>
        <w:wordWrap/>
        <w:overflowPunct/>
        <w:topLinePunct w:val="0"/>
        <w:autoSpaceDE/>
        <w:autoSpaceDN/>
        <w:bidi w:val="0"/>
        <w:adjustRightInd w:val="0"/>
        <w:snapToGrid w:val="0"/>
        <w:spacing w:before="0" w:after="0" w:line="360" w:lineRule="auto"/>
        <w:ind w:firstLine="634"/>
        <w:textAlignment w:val="auto"/>
        <w:rPr>
          <w:rFonts w:ascii="Times New Roman" w:hAnsi="Times New Roman" w:eastAsia="楷体_GB2312" w:cs="Times New Roman"/>
          <w:sz w:val="32"/>
          <w:szCs w:val="32"/>
        </w:rPr>
      </w:pPr>
      <w:bookmarkStart w:id="87" w:name="_Toc20428"/>
      <w:bookmarkStart w:id="88" w:name="_Toc108171395"/>
      <w:r>
        <w:rPr>
          <w:rFonts w:hint="eastAsia" w:ascii="Times New Roman" w:hAnsi="Times New Roman" w:eastAsia="楷体_GB2312" w:cs="Times New Roman"/>
          <w:sz w:val="32"/>
          <w:szCs w:val="32"/>
        </w:rPr>
        <w:t>（二）健全资金保障机制</w:t>
      </w:r>
      <w:bookmarkEnd w:id="87"/>
      <w:bookmarkEnd w:id="88"/>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建立稳定的政府投入机制，加大对</w:t>
      </w:r>
      <w:r>
        <w:rPr>
          <w:rFonts w:hint="eastAsia" w:ascii="Times New Roman" w:hAnsi="Times New Roman" w:eastAsia="仿宋_GB2312" w:cs="仿宋_GB2312"/>
          <w:b w:val="0"/>
          <w:bCs w:val="0"/>
          <w:sz w:val="32"/>
          <w:szCs w:val="32"/>
          <w:lang w:eastAsia="zh-CN"/>
        </w:rPr>
        <w:t>“</w:t>
      </w:r>
      <w:r>
        <w:rPr>
          <w:rFonts w:hint="eastAsia" w:ascii="Times New Roman" w:hAnsi="Times New Roman" w:eastAsia="仿宋_GB2312" w:cs="仿宋_GB2312"/>
          <w:b w:val="0"/>
          <w:bCs w:val="0"/>
          <w:sz w:val="32"/>
          <w:szCs w:val="32"/>
          <w:lang w:val="en-US" w:eastAsia="zh-CN"/>
        </w:rPr>
        <w:t>两山</w:t>
      </w:r>
      <w:r>
        <w:rPr>
          <w:rFonts w:hint="eastAsia" w:ascii="Times New Roman" w:hAnsi="Times New Roman" w:eastAsia="仿宋_GB2312" w:cs="仿宋_GB2312"/>
          <w:b w:val="0"/>
          <w:bCs w:val="0"/>
          <w:sz w:val="32"/>
          <w:szCs w:val="32"/>
          <w:lang w:eastAsia="zh-CN"/>
        </w:rPr>
        <w:t>”</w:t>
      </w:r>
      <w:r>
        <w:rPr>
          <w:rFonts w:hint="eastAsia" w:ascii="Times New Roman" w:hAnsi="Times New Roman" w:eastAsia="仿宋_GB2312" w:cs="仿宋_GB2312"/>
          <w:b w:val="0"/>
          <w:bCs w:val="0"/>
          <w:sz w:val="32"/>
          <w:szCs w:val="32"/>
        </w:rPr>
        <w:t>建设的资金支持，纳入同级财政预算和固定资产投资计划，统筹利用好现有资金渠道</w:t>
      </w:r>
      <w:r>
        <w:rPr>
          <w:rFonts w:hint="eastAsia" w:ascii="Times New Roman" w:hAnsi="Times New Roman" w:eastAsia="仿宋_GB2312" w:cs="仿宋_GB2312"/>
          <w:b w:val="0"/>
          <w:bCs w:val="0"/>
          <w:sz w:val="32"/>
          <w:szCs w:val="32"/>
          <w:lang w:eastAsia="zh-CN"/>
        </w:rPr>
        <w:t>，</w:t>
      </w:r>
      <w:r>
        <w:rPr>
          <w:rFonts w:hint="eastAsia" w:ascii="Times New Roman" w:hAnsi="Times New Roman" w:eastAsia="仿宋_GB2312" w:cs="仿宋_GB2312"/>
          <w:b w:val="0"/>
          <w:bCs w:val="0"/>
          <w:sz w:val="32"/>
          <w:szCs w:val="32"/>
        </w:rPr>
        <w:t>加强相关规划统筹衔接和项目储备库建设，积极争取国家、省、市、县各类资金支持。逐步建立政府引导、市场运作、社会参与的生态补偿机制。积极拓展投融资渠道，建立健全多元化的投融资机制，鼓励金融机构开发绿色基金、绿色保险、绿色信托、绿色租赁等新产品、新服务，创新绿色金融支持机制，积极引导资金流向生态环保产业，积极推进生态环境第三方治理，鼓励通过 PPP</w:t>
      </w:r>
      <w:r>
        <w:rPr>
          <w:rFonts w:hint="eastAsia" w:ascii="Times New Roman" w:hAnsi="Times New Roman" w:eastAsia="仿宋_GB2312" w:cs="仿宋_GB2312"/>
          <w:b w:val="0"/>
          <w:bCs w:val="0"/>
          <w:sz w:val="32"/>
          <w:szCs w:val="32"/>
          <w:lang w:eastAsia="zh-CN"/>
        </w:rPr>
        <w:t>、</w:t>
      </w:r>
      <w:r>
        <w:rPr>
          <w:rFonts w:hint="eastAsia" w:ascii="Times New Roman" w:hAnsi="Times New Roman" w:eastAsia="仿宋_GB2312" w:cs="仿宋_GB2312"/>
          <w:b w:val="0"/>
          <w:bCs w:val="0"/>
          <w:sz w:val="32"/>
          <w:szCs w:val="32"/>
        </w:rPr>
        <w:t>EOD、政府购买服务等模式实施重点工程项目。</w:t>
      </w:r>
    </w:p>
    <w:p>
      <w:pPr>
        <w:pStyle w:val="4"/>
        <w:pageBreakBefore w:val="0"/>
        <w:widowControl w:val="0"/>
        <w:kinsoku/>
        <w:wordWrap/>
        <w:overflowPunct/>
        <w:topLinePunct w:val="0"/>
        <w:autoSpaceDE/>
        <w:autoSpaceDN/>
        <w:bidi w:val="0"/>
        <w:adjustRightInd w:val="0"/>
        <w:snapToGrid w:val="0"/>
        <w:spacing w:before="0" w:after="0" w:line="360" w:lineRule="auto"/>
        <w:ind w:firstLine="634"/>
        <w:textAlignment w:val="auto"/>
        <w:rPr>
          <w:rFonts w:ascii="Times New Roman" w:hAnsi="Times New Roman" w:eastAsia="楷体_GB2312" w:cs="Times New Roman"/>
          <w:sz w:val="32"/>
          <w:szCs w:val="32"/>
        </w:rPr>
      </w:pPr>
      <w:bookmarkStart w:id="89" w:name="_Toc5203"/>
      <w:bookmarkStart w:id="90" w:name="_Toc108171396"/>
      <w:r>
        <w:rPr>
          <w:rFonts w:hint="eastAsia" w:ascii="Times New Roman" w:hAnsi="Times New Roman" w:eastAsia="楷体_GB2312" w:cs="Times New Roman"/>
          <w:sz w:val="32"/>
          <w:szCs w:val="32"/>
        </w:rPr>
        <w:t>（三）强化监督考核体系</w:t>
      </w:r>
      <w:bookmarkEnd w:id="89"/>
      <w:bookmarkEnd w:id="90"/>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根据</w:t>
      </w:r>
      <w:r>
        <w:rPr>
          <w:rFonts w:hint="eastAsia" w:eastAsia="仿宋_GB2312" w:cs="仿宋_GB2312"/>
          <w:b w:val="0"/>
          <w:bCs w:val="0"/>
          <w:sz w:val="32"/>
          <w:szCs w:val="32"/>
          <w:lang w:eastAsia="zh-CN"/>
        </w:rPr>
        <w:t>“</w:t>
      </w:r>
      <w:r>
        <w:rPr>
          <w:rFonts w:hint="eastAsia" w:eastAsia="仿宋_GB2312" w:cs="仿宋_GB2312"/>
          <w:b w:val="0"/>
          <w:bCs w:val="0"/>
          <w:sz w:val="32"/>
          <w:szCs w:val="32"/>
          <w:lang w:val="en-US" w:eastAsia="zh-CN"/>
        </w:rPr>
        <w:t>两山</w:t>
      </w:r>
      <w:r>
        <w:rPr>
          <w:rFonts w:hint="eastAsia" w:eastAsia="仿宋_GB2312" w:cs="仿宋_GB2312"/>
          <w:b w:val="0"/>
          <w:bCs w:val="0"/>
          <w:sz w:val="32"/>
          <w:szCs w:val="32"/>
          <w:lang w:eastAsia="zh-CN"/>
        </w:rPr>
        <w:t>”</w:t>
      </w:r>
      <w:r>
        <w:rPr>
          <w:rFonts w:hint="eastAsia" w:ascii="Times New Roman" w:hAnsi="Times New Roman" w:eastAsia="仿宋_GB2312" w:cs="仿宋_GB2312"/>
          <w:b w:val="0"/>
          <w:bCs w:val="0"/>
          <w:sz w:val="32"/>
          <w:szCs w:val="32"/>
        </w:rPr>
        <w:t>实践创新基地建设实施方案，制定年度行动计划，明确目标任务、时间节点和工作要求，突出项目化、清单化、责任化管理，确保目标责任落实。制定《沂源县创建“绿水青山就是金山银山”实践创新基地工作考核奖励办法》，定期开展考核评估工作。建立健全常态化、动态化评估机制，加强</w:t>
      </w:r>
      <w:r>
        <w:rPr>
          <w:rFonts w:hint="eastAsia" w:eastAsia="仿宋_GB2312" w:cs="仿宋_GB2312"/>
          <w:b w:val="0"/>
          <w:bCs w:val="0"/>
          <w:sz w:val="32"/>
          <w:szCs w:val="32"/>
          <w:lang w:eastAsia="zh-CN"/>
        </w:rPr>
        <w:t>“</w:t>
      </w:r>
      <w:r>
        <w:rPr>
          <w:rFonts w:hint="eastAsia" w:eastAsia="仿宋_GB2312" w:cs="仿宋_GB2312"/>
          <w:b w:val="0"/>
          <w:bCs w:val="0"/>
          <w:sz w:val="32"/>
          <w:szCs w:val="32"/>
          <w:lang w:val="en-US" w:eastAsia="zh-CN"/>
        </w:rPr>
        <w:t>两山</w:t>
      </w:r>
      <w:r>
        <w:rPr>
          <w:rFonts w:hint="eastAsia" w:eastAsia="仿宋_GB2312" w:cs="仿宋_GB2312"/>
          <w:b w:val="0"/>
          <w:bCs w:val="0"/>
          <w:sz w:val="32"/>
          <w:szCs w:val="32"/>
          <w:lang w:eastAsia="zh-CN"/>
        </w:rPr>
        <w:t>”</w:t>
      </w:r>
      <w:r>
        <w:rPr>
          <w:rFonts w:hint="eastAsia" w:ascii="Times New Roman" w:hAnsi="Times New Roman" w:eastAsia="仿宋_GB2312" w:cs="仿宋_GB2312"/>
          <w:b w:val="0"/>
          <w:bCs w:val="0"/>
          <w:sz w:val="32"/>
          <w:szCs w:val="32"/>
        </w:rPr>
        <w:t>实践创新基地建设的跟踪和监督，每年组织开展实施情况的评估分析和重点工作的动态更新，及时总结成效，发现问题，解决问题。严格责任追究和问责，将建设工作纳入领导干部的勤政考核体系，突出考核结果运用，作为评定干部年度考核等次和提拔任用的重要依据之一。</w:t>
      </w:r>
    </w:p>
    <w:p>
      <w:pPr>
        <w:pStyle w:val="4"/>
        <w:adjustRightInd w:val="0"/>
        <w:snapToGrid w:val="0"/>
        <w:spacing w:before="0" w:after="0" w:line="360" w:lineRule="auto"/>
        <w:ind w:firstLine="634"/>
        <w:rPr>
          <w:rFonts w:ascii="Times New Roman" w:hAnsi="Times New Roman" w:eastAsia="楷体_GB2312" w:cs="Times New Roman"/>
        </w:rPr>
      </w:pPr>
      <w:bookmarkStart w:id="91" w:name="_Toc13917"/>
      <w:r>
        <w:rPr>
          <w:rFonts w:hint="eastAsia" w:ascii="Times New Roman" w:hAnsi="Times New Roman" w:eastAsia="楷体_GB2312" w:cs="Times New Roman"/>
        </w:rPr>
        <w:t>（</w:t>
      </w:r>
      <w:r>
        <w:rPr>
          <w:rFonts w:hint="eastAsia" w:ascii="Times New Roman" w:hAnsi="Times New Roman" w:eastAsia="楷体_GB2312" w:cs="Times New Roman"/>
          <w:lang w:val="en-US" w:eastAsia="zh-CN"/>
        </w:rPr>
        <w:t>四</w:t>
      </w:r>
      <w:r>
        <w:rPr>
          <w:rFonts w:hint="eastAsia" w:ascii="Times New Roman" w:hAnsi="Times New Roman" w:eastAsia="楷体_GB2312" w:cs="Times New Roman"/>
        </w:rPr>
        <w:t>）强化宣传社会参与</w:t>
      </w:r>
      <w:bookmarkEnd w:id="91"/>
    </w:p>
    <w:p>
      <w:pPr>
        <w:adjustRightInd w:val="0"/>
        <w:snapToGrid w:val="0"/>
        <w:spacing w:line="360" w:lineRule="auto"/>
        <w:ind w:firstLine="640" w:firstLineChars="200"/>
        <w:rPr>
          <w:rFonts w:eastAsia="仿宋_GB2312" w:cs="仿宋_GB2312"/>
          <w:sz w:val="32"/>
          <w:szCs w:val="32"/>
        </w:rPr>
      </w:pPr>
      <w:r>
        <w:rPr>
          <w:rFonts w:hint="eastAsia" w:eastAsia="仿宋_GB2312" w:cs="仿宋_GB2312"/>
          <w:sz w:val="32"/>
          <w:szCs w:val="32"/>
        </w:rPr>
        <w:t>定期召开中期总结、年度总结，对</w:t>
      </w:r>
      <w:r>
        <w:rPr>
          <w:rFonts w:hint="eastAsia" w:eastAsia="仿宋_GB2312" w:cs="仿宋_GB2312"/>
          <w:b w:val="0"/>
          <w:bCs w:val="0"/>
          <w:sz w:val="32"/>
          <w:szCs w:val="32"/>
          <w:lang w:eastAsia="zh-CN"/>
        </w:rPr>
        <w:t>“</w:t>
      </w:r>
      <w:r>
        <w:rPr>
          <w:rFonts w:hint="eastAsia" w:eastAsia="仿宋_GB2312" w:cs="仿宋_GB2312"/>
          <w:b w:val="0"/>
          <w:bCs w:val="0"/>
          <w:sz w:val="32"/>
          <w:szCs w:val="32"/>
          <w:lang w:val="en-US" w:eastAsia="zh-CN"/>
        </w:rPr>
        <w:t>两山</w:t>
      </w:r>
      <w:r>
        <w:rPr>
          <w:rFonts w:hint="eastAsia" w:eastAsia="仿宋_GB2312" w:cs="仿宋_GB2312"/>
          <w:b w:val="0"/>
          <w:bCs w:val="0"/>
          <w:sz w:val="32"/>
          <w:szCs w:val="32"/>
          <w:lang w:eastAsia="zh-CN"/>
        </w:rPr>
        <w:t>”</w:t>
      </w:r>
      <w:r>
        <w:rPr>
          <w:rFonts w:hint="eastAsia" w:eastAsia="仿宋_GB2312" w:cs="仿宋_GB2312"/>
          <w:sz w:val="32"/>
          <w:szCs w:val="32"/>
        </w:rPr>
        <w:t>建设见效快、运作好的区域和部门及时总结经验，不断积累、集成，形成一套完整、有效的管理模式和</w:t>
      </w:r>
      <w:r>
        <w:rPr>
          <w:rFonts w:hint="eastAsia" w:eastAsia="仿宋_GB2312" w:cs="仿宋_GB2312"/>
          <w:b w:val="0"/>
          <w:bCs w:val="0"/>
          <w:sz w:val="32"/>
          <w:szCs w:val="32"/>
          <w:lang w:eastAsia="zh-CN"/>
        </w:rPr>
        <w:t>“</w:t>
      </w:r>
      <w:r>
        <w:rPr>
          <w:rFonts w:hint="eastAsia" w:eastAsia="仿宋_GB2312" w:cs="仿宋_GB2312"/>
          <w:b w:val="0"/>
          <w:bCs w:val="0"/>
          <w:sz w:val="32"/>
          <w:szCs w:val="32"/>
          <w:lang w:val="en-US" w:eastAsia="zh-CN"/>
        </w:rPr>
        <w:t>两山</w:t>
      </w:r>
      <w:r>
        <w:rPr>
          <w:rFonts w:hint="eastAsia" w:eastAsia="仿宋_GB2312" w:cs="仿宋_GB2312"/>
          <w:b w:val="0"/>
          <w:bCs w:val="0"/>
          <w:sz w:val="32"/>
          <w:szCs w:val="32"/>
          <w:lang w:eastAsia="zh-CN"/>
        </w:rPr>
        <w:t>”</w:t>
      </w:r>
      <w:r>
        <w:rPr>
          <w:rFonts w:hint="eastAsia" w:eastAsia="仿宋_GB2312" w:cs="仿宋_GB2312"/>
          <w:sz w:val="32"/>
          <w:szCs w:val="32"/>
        </w:rPr>
        <w:t>转化模式，为其他区域的</w:t>
      </w:r>
      <w:r>
        <w:rPr>
          <w:rFonts w:hint="eastAsia" w:eastAsia="仿宋_GB2312" w:cs="仿宋_GB2312"/>
          <w:b w:val="0"/>
          <w:bCs w:val="0"/>
          <w:sz w:val="32"/>
          <w:szCs w:val="32"/>
          <w:lang w:eastAsia="zh-CN"/>
        </w:rPr>
        <w:t>“</w:t>
      </w:r>
      <w:r>
        <w:rPr>
          <w:rFonts w:hint="eastAsia" w:eastAsia="仿宋_GB2312" w:cs="仿宋_GB2312"/>
          <w:b w:val="0"/>
          <w:bCs w:val="0"/>
          <w:sz w:val="32"/>
          <w:szCs w:val="32"/>
          <w:lang w:val="en-US" w:eastAsia="zh-CN"/>
        </w:rPr>
        <w:t>两山</w:t>
      </w:r>
      <w:r>
        <w:rPr>
          <w:rFonts w:hint="eastAsia" w:eastAsia="仿宋_GB2312" w:cs="仿宋_GB2312"/>
          <w:b w:val="0"/>
          <w:bCs w:val="0"/>
          <w:sz w:val="32"/>
          <w:szCs w:val="32"/>
          <w:lang w:eastAsia="zh-CN"/>
        </w:rPr>
        <w:t>”</w:t>
      </w:r>
      <w:r>
        <w:rPr>
          <w:rFonts w:hint="eastAsia" w:eastAsia="仿宋_GB2312" w:cs="仿宋_GB2312"/>
          <w:sz w:val="32"/>
          <w:szCs w:val="32"/>
        </w:rPr>
        <w:t>建设提供有益经验和示范引领。做好</w:t>
      </w:r>
      <w:r>
        <w:rPr>
          <w:rFonts w:hint="eastAsia" w:eastAsia="仿宋_GB2312" w:cs="仿宋_GB2312"/>
          <w:b w:val="0"/>
          <w:bCs w:val="0"/>
          <w:sz w:val="32"/>
          <w:szCs w:val="32"/>
          <w:lang w:eastAsia="zh-CN"/>
        </w:rPr>
        <w:t>“</w:t>
      </w:r>
      <w:r>
        <w:rPr>
          <w:rFonts w:hint="eastAsia" w:eastAsia="仿宋_GB2312" w:cs="仿宋_GB2312"/>
          <w:b w:val="0"/>
          <w:bCs w:val="0"/>
          <w:sz w:val="32"/>
          <w:szCs w:val="32"/>
          <w:lang w:val="en-US" w:eastAsia="zh-CN"/>
        </w:rPr>
        <w:t>两山</w:t>
      </w:r>
      <w:r>
        <w:rPr>
          <w:rFonts w:hint="eastAsia" w:eastAsia="仿宋_GB2312" w:cs="仿宋_GB2312"/>
          <w:b w:val="0"/>
          <w:bCs w:val="0"/>
          <w:sz w:val="32"/>
          <w:szCs w:val="32"/>
          <w:lang w:eastAsia="zh-CN"/>
        </w:rPr>
        <w:t>”</w:t>
      </w:r>
      <w:r>
        <w:rPr>
          <w:rFonts w:hint="eastAsia" w:eastAsia="仿宋_GB2312" w:cs="仿宋_GB2312"/>
          <w:sz w:val="32"/>
          <w:szCs w:val="32"/>
        </w:rPr>
        <w:t>理念的宣传解读，及时回应和解答社会各界关注的热点、难点问题。通过互联网、广播电视、微信、学校等平台强化宣传工作，组织有关生态文明的系列报道、编写生态文明建设的市民手册、举办生态文明建设方面的专题报告和讲座等，对政府机关、企事业单位、中小学校等进行宣传教育。倡导节能环保、保护环境、崇尚自然的绿色消费观，引导公众自觉履行生态保护义务，开展绿色生活，积极监督生态文明建设工作进展。</w:t>
      </w:r>
    </w:p>
    <w:p>
      <w:pPr>
        <w:pStyle w:val="4"/>
        <w:adjustRightInd w:val="0"/>
        <w:snapToGrid w:val="0"/>
        <w:spacing w:before="0" w:after="0" w:line="360" w:lineRule="auto"/>
        <w:ind w:firstLine="634"/>
        <w:rPr>
          <w:rFonts w:ascii="Times New Roman" w:hAnsi="Times New Roman" w:eastAsia="楷体_GB2312" w:cs="Times New Roman"/>
        </w:rPr>
      </w:pPr>
      <w:bookmarkStart w:id="92" w:name="_Toc108171399"/>
      <w:bookmarkStart w:id="93" w:name="_Toc11725"/>
      <w:r>
        <w:rPr>
          <w:rFonts w:hint="eastAsia" w:ascii="Times New Roman" w:hAnsi="Times New Roman" w:eastAsia="楷体_GB2312" w:cs="Times New Roman"/>
        </w:rPr>
        <w:t>（</w:t>
      </w:r>
      <w:r>
        <w:rPr>
          <w:rFonts w:hint="eastAsia" w:ascii="Times New Roman" w:hAnsi="Times New Roman" w:eastAsia="楷体_GB2312" w:cs="Times New Roman"/>
          <w:lang w:val="en-US" w:eastAsia="zh-CN"/>
        </w:rPr>
        <w:t>五</w:t>
      </w:r>
      <w:r>
        <w:rPr>
          <w:rFonts w:hint="eastAsia" w:ascii="Times New Roman" w:hAnsi="Times New Roman" w:eastAsia="楷体_GB2312" w:cs="Times New Roman"/>
        </w:rPr>
        <w:t>）加强人才队伍建设</w:t>
      </w:r>
      <w:bookmarkEnd w:id="92"/>
      <w:bookmarkEnd w:id="93"/>
    </w:p>
    <w:p>
      <w:pPr>
        <w:adjustRightInd w:val="0"/>
        <w:snapToGrid w:val="0"/>
        <w:spacing w:line="360" w:lineRule="auto"/>
        <w:ind w:firstLine="640" w:firstLineChars="200"/>
        <w:rPr>
          <w:rFonts w:eastAsia="仿宋_GB2312"/>
          <w:b/>
          <w:sz w:val="32"/>
          <w:szCs w:val="32"/>
        </w:rPr>
      </w:pPr>
      <w:r>
        <w:rPr>
          <w:rFonts w:hint="eastAsia" w:eastAsia="仿宋_GB2312" w:cs="仿宋_GB2312"/>
          <w:sz w:val="32"/>
          <w:szCs w:val="32"/>
        </w:rPr>
        <w:t>加快集聚高层次创新创业人才。建立完善更加开放、更具活力、更有特色的沂源人才政策支持体系。高效培育开发本土人才，释放全县本土创新创业人才潜力。突出培养懂技术、善经营、会管理的“农文旅融合”的复合型、应用型人才，加大乡村“能工巧匠”培育力度，推动形成各类人才竞相迸出的生动局面。完善创业扶持政策，设立专项扶持资金。优化提升人才发展的生态环境。实行人才激励奖励机制，设立创新创业人才引进专项基金、研发和创业扶持基金等，大力营造尊重人才、尊重知识、尊重创造的人文环境。</w:t>
      </w:r>
    </w:p>
    <w:p>
      <w:pPr>
        <w:adjustRightInd w:val="0"/>
        <w:snapToGrid w:val="0"/>
        <w:spacing w:line="360" w:lineRule="auto"/>
        <w:ind w:firstLine="643" w:firstLineChars="200"/>
        <w:rPr>
          <w:rFonts w:eastAsia="仿宋_GB2312"/>
          <w:b/>
          <w:sz w:val="32"/>
          <w:szCs w:val="32"/>
        </w:rPr>
      </w:pPr>
    </w:p>
    <w:p>
      <w:pPr>
        <w:adjustRightInd w:val="0"/>
        <w:snapToGrid w:val="0"/>
        <w:spacing w:line="360" w:lineRule="auto"/>
        <w:ind w:firstLine="640" w:firstLineChars="200"/>
        <w:rPr>
          <w:rFonts w:ascii="仿宋_GB2312" w:hAnsi="仿宋_GB2312" w:eastAsia="仿宋_GB2312" w:cs="仿宋_GB2312"/>
          <w:sz w:val="32"/>
          <w:szCs w:val="32"/>
        </w:rPr>
      </w:pPr>
    </w:p>
    <w:p>
      <w:pPr>
        <w:adjustRightInd w:val="0"/>
        <w:snapToGrid w:val="0"/>
        <w:spacing w:line="360" w:lineRule="auto"/>
        <w:ind w:firstLine="480" w:firstLineChars="200"/>
        <w:jc w:val="center"/>
        <w:rPr>
          <w:rFonts w:eastAsia="黑体"/>
          <w:bCs/>
          <w:sz w:val="24"/>
          <w:szCs w:val="28"/>
        </w:rPr>
      </w:pPr>
    </w:p>
    <w:p>
      <w:pPr>
        <w:adjustRightInd w:val="0"/>
        <w:snapToGrid w:val="0"/>
        <w:spacing w:line="360" w:lineRule="auto"/>
        <w:ind w:firstLine="480" w:firstLineChars="200"/>
        <w:rPr>
          <w:rFonts w:eastAsia="黑体"/>
          <w:bCs/>
          <w:sz w:val="24"/>
          <w:szCs w:val="28"/>
        </w:rPr>
        <w:sectPr>
          <w:footerReference r:id="rId4" w:type="default"/>
          <w:pgSz w:w="11906" w:h="16838"/>
          <w:pgMar w:top="1440" w:right="1800" w:bottom="1440" w:left="1800" w:header="851" w:footer="992" w:gutter="0"/>
          <w:pgNumType w:start="1"/>
          <w:cols w:space="425" w:num="1"/>
          <w:docGrid w:type="lines" w:linePitch="312" w:charSpace="0"/>
        </w:sectPr>
      </w:pPr>
    </w:p>
    <w:p>
      <w:pPr>
        <w:adjustRightInd w:val="0"/>
        <w:snapToGrid w:val="0"/>
        <w:spacing w:line="360" w:lineRule="auto"/>
        <w:outlineLvl w:val="0"/>
        <w:rPr>
          <w:rFonts w:hint="eastAsia" w:eastAsia="黑体"/>
          <w:sz w:val="32"/>
          <w:szCs w:val="32"/>
          <w:lang w:val="en-US" w:eastAsia="zh-CN"/>
        </w:rPr>
      </w:pPr>
      <w:bookmarkStart w:id="94" w:name="_Toc27009"/>
      <w:r>
        <w:rPr>
          <w:rFonts w:hint="eastAsia" w:eastAsia="黑体"/>
          <w:sz w:val="32"/>
          <w:szCs w:val="32"/>
          <w:lang w:val="en-US" w:eastAsia="zh-CN"/>
        </w:rPr>
        <w:t>七</w:t>
      </w:r>
      <w:r>
        <w:rPr>
          <w:rFonts w:eastAsia="黑体"/>
          <w:sz w:val="32"/>
          <w:szCs w:val="32"/>
        </w:rPr>
        <w:t>、</w:t>
      </w:r>
      <w:r>
        <w:rPr>
          <w:rFonts w:hint="eastAsia" w:eastAsia="黑体"/>
          <w:sz w:val="32"/>
          <w:szCs w:val="32"/>
          <w:lang w:val="en-US" w:eastAsia="zh-CN"/>
        </w:rPr>
        <w:t>重点</w:t>
      </w:r>
      <w:r>
        <w:rPr>
          <w:rFonts w:hint="eastAsia" w:eastAsia="黑体"/>
          <w:sz w:val="32"/>
          <w:szCs w:val="32"/>
        </w:rPr>
        <w:t>工程项目</w:t>
      </w:r>
      <w:r>
        <w:rPr>
          <w:rFonts w:hint="eastAsia" w:eastAsia="黑体"/>
          <w:sz w:val="32"/>
          <w:szCs w:val="32"/>
          <w:lang w:val="en-US" w:eastAsia="zh-CN"/>
        </w:rPr>
        <w:t>清单（暂列）</w:t>
      </w:r>
      <w:bookmarkEnd w:id="94"/>
    </w:p>
    <w:p>
      <w:pPr>
        <w:adjustRightInd w:val="0"/>
        <w:snapToGrid w:val="0"/>
        <w:spacing w:line="360" w:lineRule="auto"/>
        <w:ind w:firstLine="480" w:firstLineChars="200"/>
        <w:jc w:val="center"/>
        <w:rPr>
          <w:rFonts w:hint="default" w:eastAsia="黑体"/>
          <w:bCs/>
          <w:sz w:val="24"/>
          <w:szCs w:val="28"/>
          <w:lang w:val="en-US" w:eastAsia="zh-CN"/>
        </w:rPr>
      </w:pPr>
      <w:r>
        <w:rPr>
          <w:rFonts w:eastAsia="黑体"/>
          <w:bCs/>
          <w:sz w:val="24"/>
          <w:szCs w:val="28"/>
        </w:rPr>
        <w:t>表</w:t>
      </w:r>
      <w:r>
        <w:rPr>
          <w:rFonts w:hint="eastAsia" w:eastAsia="黑体"/>
          <w:bCs/>
          <w:sz w:val="24"/>
          <w:szCs w:val="28"/>
          <w:lang w:val="en-US" w:eastAsia="zh-CN"/>
        </w:rPr>
        <w:t>7</w:t>
      </w:r>
      <w:r>
        <w:rPr>
          <w:rFonts w:eastAsia="黑体"/>
          <w:bCs/>
          <w:sz w:val="24"/>
          <w:szCs w:val="28"/>
        </w:rPr>
        <w:t xml:space="preserve">-1 </w:t>
      </w:r>
      <w:r>
        <w:rPr>
          <w:rFonts w:hint="eastAsia" w:eastAsia="黑体"/>
          <w:bCs/>
          <w:sz w:val="24"/>
          <w:szCs w:val="28"/>
        </w:rPr>
        <w:t>沂源县“两山”实践创新基地建设重点工程</w:t>
      </w:r>
      <w:r>
        <w:rPr>
          <w:rFonts w:hint="eastAsia" w:eastAsia="黑体"/>
          <w:bCs/>
          <w:sz w:val="24"/>
          <w:szCs w:val="28"/>
          <w:lang w:val="en-US" w:eastAsia="zh-CN"/>
        </w:rPr>
        <w:t>项目清单</w:t>
      </w:r>
    </w:p>
    <w:tbl>
      <w:tblPr>
        <w:tblStyle w:val="18"/>
        <w:tblW w:w="13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738"/>
        <w:gridCol w:w="672"/>
        <w:gridCol w:w="2017"/>
        <w:gridCol w:w="4913"/>
        <w:gridCol w:w="1442"/>
        <w:gridCol w:w="1258"/>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blHeader/>
          <w:jc w:val="center"/>
        </w:trPr>
        <w:tc>
          <w:tcPr>
            <w:tcW w:w="1117" w:type="dxa"/>
            <w:vAlign w:val="center"/>
          </w:tcPr>
          <w:p>
            <w:pPr>
              <w:keepNext w:val="0"/>
              <w:keepLines w:val="0"/>
              <w:suppressLineNumbers w:val="0"/>
              <w:spacing w:before="0" w:beforeAutospacing="0" w:after="0" w:afterAutospacing="0"/>
              <w:ind w:left="0" w:right="0"/>
              <w:jc w:val="center"/>
              <w:rPr>
                <w:rFonts w:hint="eastAsia"/>
              </w:rPr>
            </w:pPr>
            <w:r>
              <w:rPr>
                <w:rFonts w:hint="eastAsia" w:ascii="黑体" w:hAnsi="黑体" w:eastAsia="黑体"/>
                <w:b/>
                <w:bCs/>
                <w:color w:val="000000"/>
                <w:sz w:val="22"/>
              </w:rPr>
              <w:t>目标</w:t>
            </w:r>
          </w:p>
        </w:tc>
        <w:tc>
          <w:tcPr>
            <w:tcW w:w="738" w:type="dxa"/>
            <w:vAlign w:val="center"/>
          </w:tcPr>
          <w:p>
            <w:pPr>
              <w:keepNext w:val="0"/>
              <w:keepLines w:val="0"/>
              <w:suppressLineNumbers w:val="0"/>
              <w:spacing w:before="0" w:beforeAutospacing="0" w:after="0" w:afterAutospacing="0"/>
              <w:ind w:left="0" w:right="0"/>
              <w:jc w:val="center"/>
              <w:rPr>
                <w:rFonts w:hint="eastAsia" w:ascii="黑体" w:hAnsi="黑体" w:eastAsia="黑体"/>
                <w:b/>
                <w:bCs/>
                <w:color w:val="000000"/>
                <w:sz w:val="22"/>
              </w:rPr>
            </w:pPr>
            <w:r>
              <w:rPr>
                <w:rFonts w:hint="eastAsia" w:ascii="黑体" w:hAnsi="黑体" w:eastAsia="黑体"/>
                <w:b/>
                <w:bCs/>
                <w:color w:val="000000"/>
                <w:sz w:val="22"/>
              </w:rPr>
              <w:t>任务</w:t>
            </w:r>
          </w:p>
        </w:tc>
        <w:tc>
          <w:tcPr>
            <w:tcW w:w="672" w:type="dxa"/>
            <w:vAlign w:val="center"/>
          </w:tcPr>
          <w:p>
            <w:pPr>
              <w:keepNext w:val="0"/>
              <w:keepLines w:val="0"/>
              <w:suppressLineNumbers w:val="0"/>
              <w:spacing w:before="0" w:beforeAutospacing="0" w:after="0" w:afterAutospacing="0"/>
              <w:ind w:left="0" w:right="0"/>
              <w:jc w:val="center"/>
              <w:rPr>
                <w:rFonts w:hint="eastAsia" w:ascii="黑体" w:hAnsi="黑体" w:eastAsia="黑体"/>
                <w:b/>
                <w:bCs/>
                <w:color w:val="000000"/>
                <w:sz w:val="22"/>
              </w:rPr>
            </w:pPr>
            <w:r>
              <w:rPr>
                <w:rFonts w:hint="eastAsia" w:ascii="黑体" w:hAnsi="黑体" w:eastAsia="黑体"/>
                <w:b/>
                <w:bCs/>
                <w:color w:val="000000"/>
                <w:sz w:val="22"/>
              </w:rPr>
              <w:t>序号</w:t>
            </w:r>
          </w:p>
        </w:tc>
        <w:tc>
          <w:tcPr>
            <w:tcW w:w="2017" w:type="dxa"/>
            <w:vAlign w:val="center"/>
          </w:tcPr>
          <w:p>
            <w:pPr>
              <w:keepNext w:val="0"/>
              <w:keepLines w:val="0"/>
              <w:suppressLineNumbers w:val="0"/>
              <w:spacing w:before="0" w:beforeAutospacing="0" w:after="0" w:afterAutospacing="0"/>
              <w:ind w:left="0" w:right="0"/>
              <w:jc w:val="center"/>
              <w:rPr>
                <w:rFonts w:hint="eastAsia"/>
              </w:rPr>
            </w:pPr>
            <w:r>
              <w:rPr>
                <w:rFonts w:hint="eastAsia" w:ascii="黑体" w:hAnsi="黑体" w:eastAsia="黑体"/>
                <w:b/>
                <w:bCs/>
                <w:color w:val="000000"/>
                <w:sz w:val="22"/>
              </w:rPr>
              <w:t>项目名称</w:t>
            </w:r>
          </w:p>
        </w:tc>
        <w:tc>
          <w:tcPr>
            <w:tcW w:w="4913" w:type="dxa"/>
            <w:vAlign w:val="center"/>
          </w:tcPr>
          <w:p>
            <w:pPr>
              <w:keepNext w:val="0"/>
              <w:keepLines w:val="0"/>
              <w:suppressLineNumbers w:val="0"/>
              <w:spacing w:before="0" w:beforeAutospacing="0" w:after="0" w:afterAutospacing="0"/>
              <w:ind w:left="0" w:right="0"/>
              <w:jc w:val="center"/>
              <w:rPr>
                <w:rFonts w:hint="eastAsia"/>
              </w:rPr>
            </w:pPr>
            <w:r>
              <w:rPr>
                <w:rFonts w:hint="eastAsia" w:ascii="黑体" w:hAnsi="黑体" w:eastAsia="黑体"/>
                <w:b/>
                <w:bCs/>
                <w:color w:val="000000"/>
                <w:sz w:val="22"/>
              </w:rPr>
              <w:t>项目内容</w:t>
            </w:r>
          </w:p>
        </w:tc>
        <w:tc>
          <w:tcPr>
            <w:tcW w:w="1442" w:type="dxa"/>
            <w:vAlign w:val="center"/>
          </w:tcPr>
          <w:p>
            <w:pPr>
              <w:keepNext w:val="0"/>
              <w:keepLines w:val="0"/>
              <w:suppressLineNumbers w:val="0"/>
              <w:spacing w:before="0" w:beforeAutospacing="0" w:after="0" w:afterAutospacing="0"/>
              <w:ind w:left="0" w:right="0"/>
              <w:jc w:val="center"/>
              <w:rPr>
                <w:rFonts w:hint="eastAsia"/>
              </w:rPr>
            </w:pPr>
            <w:r>
              <w:rPr>
                <w:rFonts w:hint="eastAsia" w:ascii="黑体" w:hAnsi="黑体" w:eastAsia="黑体"/>
                <w:b/>
                <w:bCs/>
                <w:color w:val="000000"/>
                <w:sz w:val="22"/>
              </w:rPr>
              <w:t>实施年限（年）</w:t>
            </w:r>
          </w:p>
        </w:tc>
        <w:tc>
          <w:tcPr>
            <w:tcW w:w="1258" w:type="dxa"/>
            <w:vAlign w:val="center"/>
          </w:tcPr>
          <w:p>
            <w:pPr>
              <w:keepNext w:val="0"/>
              <w:keepLines w:val="0"/>
              <w:suppressLineNumbers w:val="0"/>
              <w:spacing w:before="0" w:beforeAutospacing="0" w:after="0" w:afterAutospacing="0"/>
              <w:ind w:left="0" w:right="0"/>
              <w:jc w:val="center"/>
              <w:rPr>
                <w:rFonts w:hint="eastAsia" w:ascii="黑体" w:hAnsi="黑体" w:eastAsia="黑体"/>
                <w:b/>
                <w:bCs/>
                <w:color w:val="000000"/>
                <w:sz w:val="22"/>
              </w:rPr>
            </w:pPr>
            <w:r>
              <w:rPr>
                <w:rFonts w:hint="eastAsia" w:ascii="黑体" w:hAnsi="黑体" w:eastAsia="黑体"/>
                <w:b/>
                <w:bCs/>
                <w:color w:val="000000"/>
                <w:sz w:val="22"/>
              </w:rPr>
              <w:t>投资概算</w:t>
            </w:r>
          </w:p>
          <w:p>
            <w:pPr>
              <w:keepNext w:val="0"/>
              <w:keepLines w:val="0"/>
              <w:suppressLineNumbers w:val="0"/>
              <w:spacing w:before="0" w:beforeAutospacing="0" w:after="0" w:afterAutospacing="0"/>
              <w:ind w:left="0" w:right="0"/>
              <w:jc w:val="center"/>
              <w:rPr>
                <w:rFonts w:hint="eastAsia" w:ascii="黑体" w:hAnsi="黑体" w:eastAsia="黑体"/>
                <w:b/>
                <w:bCs/>
                <w:color w:val="000000"/>
                <w:sz w:val="22"/>
              </w:rPr>
            </w:pPr>
            <w:r>
              <w:rPr>
                <w:rFonts w:hint="eastAsia" w:ascii="黑体" w:hAnsi="黑体" w:eastAsia="黑体"/>
                <w:b/>
                <w:bCs/>
                <w:color w:val="000000"/>
                <w:sz w:val="22"/>
              </w:rPr>
              <w:t>（万元）</w:t>
            </w:r>
          </w:p>
        </w:tc>
        <w:tc>
          <w:tcPr>
            <w:tcW w:w="1655" w:type="dxa"/>
            <w:vAlign w:val="center"/>
          </w:tcPr>
          <w:p>
            <w:pPr>
              <w:keepNext w:val="0"/>
              <w:keepLines w:val="0"/>
              <w:suppressLineNumbers w:val="0"/>
              <w:spacing w:before="0" w:beforeAutospacing="0" w:after="0" w:afterAutospacing="0"/>
              <w:ind w:left="0" w:right="0"/>
              <w:jc w:val="center"/>
              <w:rPr>
                <w:rFonts w:hint="eastAsia"/>
              </w:rPr>
            </w:pPr>
            <w:r>
              <w:rPr>
                <w:rFonts w:hint="eastAsia" w:ascii="黑体" w:hAnsi="黑体" w:eastAsia="黑体"/>
                <w:b/>
                <w:bCs/>
                <w:color w:val="000000"/>
                <w:sz w:val="22"/>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117" w:type="dxa"/>
            <w:vMerge w:val="restart"/>
            <w:vAlign w:val="center"/>
          </w:tcPr>
          <w:p>
            <w:pPr>
              <w:keepNext w:val="0"/>
              <w:keepLines w:val="0"/>
              <w:suppressLineNumbers w:val="0"/>
              <w:snapToGrid w:val="0"/>
              <w:spacing w:before="0" w:beforeAutospacing="0" w:after="0" w:afterAutospacing="0"/>
              <w:ind w:left="0" w:right="0"/>
              <w:jc w:val="center"/>
              <w:rPr>
                <w:rFonts w:hint="eastAsia"/>
                <w:b/>
                <w:bCs/>
                <w:szCs w:val="21"/>
              </w:rPr>
            </w:pPr>
            <w:r>
              <w:rPr>
                <w:rFonts w:hint="eastAsia"/>
                <w:b/>
                <w:bCs/>
                <w:szCs w:val="21"/>
              </w:rPr>
              <w:t>构筑绿水青山</w:t>
            </w:r>
          </w:p>
        </w:tc>
        <w:tc>
          <w:tcPr>
            <w:tcW w:w="738" w:type="dxa"/>
            <w:vMerge w:val="restart"/>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rPr>
              <w:t>环境质量</w:t>
            </w:r>
            <w:r>
              <w:rPr>
                <w:rFonts w:hint="eastAsia"/>
                <w:szCs w:val="21"/>
                <w:lang w:val="en-US" w:eastAsia="zh-CN"/>
              </w:rPr>
              <w:t>改善</w:t>
            </w: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沂源县沂河治理工程</w:t>
            </w:r>
          </w:p>
        </w:tc>
        <w:tc>
          <w:tcPr>
            <w:tcW w:w="4913" w:type="dxa"/>
            <w:vAlign w:val="center"/>
          </w:tcPr>
          <w:p>
            <w:pPr>
              <w:keepNext w:val="0"/>
              <w:keepLines w:val="0"/>
              <w:suppressLineNumbers w:val="0"/>
              <w:snapToGrid w:val="0"/>
              <w:spacing w:before="0" w:beforeAutospacing="0" w:after="0" w:afterAutospacing="0"/>
              <w:ind w:left="0" w:right="0"/>
              <w:jc w:val="both"/>
              <w:rPr>
                <w:rFonts w:hint="eastAsia" w:eastAsia="宋体"/>
                <w:szCs w:val="21"/>
                <w:lang w:eastAsia="zh-CN"/>
              </w:rPr>
            </w:pPr>
            <w:r>
              <w:rPr>
                <w:rFonts w:hint="eastAsia"/>
                <w:szCs w:val="21"/>
              </w:rPr>
              <w:t>主要实施清淤疏浚工程、橡胶坝工程、溢流堰工程、漫 水桥工程、生产桥工程、防汛路工程</w:t>
            </w:r>
            <w:r>
              <w:rPr>
                <w:rFonts w:hint="eastAsia"/>
                <w:szCs w:val="21"/>
                <w:lang w:eastAsia="zh-CN"/>
              </w:rPr>
              <w:t>。</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-2026</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71000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b/>
                <w:bCs/>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沂源县地表水污染防控及溯源管理能力提升项目</w:t>
            </w:r>
          </w:p>
        </w:tc>
        <w:tc>
          <w:tcPr>
            <w:tcW w:w="4913" w:type="dxa"/>
            <w:vAlign w:val="center"/>
          </w:tcPr>
          <w:p>
            <w:pPr>
              <w:keepNext w:val="0"/>
              <w:keepLines w:val="0"/>
              <w:suppressLineNumbers w:val="0"/>
              <w:snapToGrid w:val="0"/>
              <w:spacing w:before="0" w:beforeAutospacing="0" w:after="0" w:afterAutospacing="0"/>
              <w:ind w:left="0" w:right="0"/>
              <w:jc w:val="both"/>
              <w:rPr>
                <w:rFonts w:hint="eastAsia" w:eastAsia="宋体"/>
                <w:szCs w:val="21"/>
                <w:lang w:eastAsia="zh-CN"/>
              </w:rPr>
            </w:pPr>
            <w:r>
              <w:rPr>
                <w:rFonts w:hint="eastAsia"/>
                <w:szCs w:val="21"/>
              </w:rPr>
              <w:t>开展现场采样分析、污染源详查、土壤淋滤试验、碳氮 同位素分析，解析流域TN主要污染来源，提出防控对策； 建设5座标准水质自动监测站和16座微型预警站，购置水质应急监测车、环保无人机、便携式水质监测仪等，建设“沂源县水环境综合管理平台”，实现自动监测水站数据汇总、分析、管理。新建生态溢流堰（跌水坝）两座，对5.7公里田庄灌区南干渠进行修复，新建1.2公里生态补水长廊，购买4艘自动水草清理船</w:t>
            </w:r>
            <w:r>
              <w:rPr>
                <w:rFonts w:hint="eastAsia"/>
                <w:szCs w:val="21"/>
                <w:lang w:eastAsia="zh-CN"/>
              </w:rPr>
              <w:t>。</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2023-2024</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4126</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eastAsia="宋体"/>
                <w:szCs w:val="21"/>
                <w:lang w:eastAsia="zh-CN"/>
              </w:rPr>
            </w:pPr>
            <w:r>
              <w:rPr>
                <w:rFonts w:hint="eastAsia"/>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b/>
                <w:bCs/>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沂源县环境空气质量持续提升第三方协同管控及造雾增湿抑尘项目</w:t>
            </w:r>
          </w:p>
        </w:tc>
        <w:tc>
          <w:tcPr>
            <w:tcW w:w="4913" w:type="dxa"/>
            <w:vAlign w:val="center"/>
          </w:tcPr>
          <w:p>
            <w:pPr>
              <w:keepNext w:val="0"/>
              <w:keepLines w:val="0"/>
              <w:suppressLineNumbers w:val="0"/>
              <w:snapToGrid w:val="0"/>
              <w:spacing w:before="0" w:beforeAutospacing="0" w:after="0" w:afterAutospacing="0"/>
              <w:ind w:left="0" w:right="0"/>
              <w:jc w:val="both"/>
              <w:rPr>
                <w:rFonts w:hint="eastAsia"/>
                <w:szCs w:val="21"/>
              </w:rPr>
            </w:pPr>
            <w:r>
              <w:rPr>
                <w:rFonts w:hint="eastAsia"/>
                <w:szCs w:val="21"/>
              </w:rPr>
              <w:t>成立10人组成的专业技术团队，为沂源县提供24*365颗粒物和臭氧协同智慧管控服务，助力沂源县降低臭氧浓度、减少臭氧超标天数，PM2.5持续改善。一是建立本地化技术团队。设1名专业项目经理，统一安排管控团队日常管控方案。对发现的问题统一建立档案清单，并交办给相关责任单位。由2名经验丰富的人员组建数据分析团队，主要负责分析污染过程、编制数据分析报告等。3人组成的企业及加油站调研团队，4人组成的颗粒物溯源团队，主要负责VOCs和颗粒物污染的溯源排查及整改验收工作。二是提供区域大气综合管理平台服务。以数据采集服务为基础，通过获取各类监测设备及相关的环境和气象数据，实现对图像和数据的存储、统计、显示，提供基于网页的系统分析结果，并进行展示。通过统一的Web系统平台进行区域空气质量监测的数据分析与综合管理，实现数据一体化的统一加工处理和计算，保障服务于大气环境原始数据、过程数据、结果数据和发布数据的一致性，为实现区域联动的重污染天气应急响应体系提供坚实的数据基础。三是建立任务分解机制、压力传导机制、任务调度机制等六大机制保障项目高效运行</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-2024</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2920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eastAsia="宋体"/>
                <w:szCs w:val="21"/>
                <w:lang w:eastAsia="zh-CN"/>
              </w:rPr>
            </w:pPr>
            <w:r>
              <w:rPr>
                <w:rFonts w:hint="eastAsia"/>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b/>
                <w:bCs/>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山东博瑞源清洁能源科技有限公司莱芜—沂源天然气干线项目</w:t>
            </w:r>
          </w:p>
        </w:tc>
        <w:tc>
          <w:tcPr>
            <w:tcW w:w="4913" w:type="dxa"/>
            <w:vAlign w:val="center"/>
          </w:tcPr>
          <w:p>
            <w:pPr>
              <w:keepNext w:val="0"/>
              <w:keepLines w:val="0"/>
              <w:suppressLineNumbers w:val="0"/>
              <w:snapToGrid w:val="0"/>
              <w:spacing w:before="0" w:beforeAutospacing="0" w:after="0" w:afterAutospacing="0"/>
              <w:ind w:left="0" w:right="0"/>
              <w:jc w:val="both"/>
              <w:rPr>
                <w:rFonts w:hint="eastAsia"/>
                <w:szCs w:val="21"/>
              </w:rPr>
            </w:pPr>
            <w:r>
              <w:rPr>
                <w:rFonts w:hint="eastAsia"/>
                <w:szCs w:val="21"/>
              </w:rPr>
              <w:t>新建莱芜-沂源天然气管道73公里，新建门站及分输站3座</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-2024</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55000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历山街道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b/>
                <w:bCs/>
                <w:szCs w:val="21"/>
              </w:rPr>
            </w:pPr>
          </w:p>
        </w:tc>
        <w:tc>
          <w:tcPr>
            <w:tcW w:w="738" w:type="dxa"/>
            <w:vMerge w:val="restart"/>
            <w:vAlign w:val="center"/>
          </w:tcPr>
          <w:p>
            <w:pPr>
              <w:keepNext w:val="0"/>
              <w:keepLines w:val="0"/>
              <w:suppressLineNumbers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生态保护修复</w:t>
            </w: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沂源县国家储备林建设项目</w:t>
            </w:r>
          </w:p>
        </w:tc>
        <w:tc>
          <w:tcPr>
            <w:tcW w:w="4913" w:type="dxa"/>
            <w:vAlign w:val="center"/>
          </w:tcPr>
          <w:p>
            <w:pPr>
              <w:keepNext w:val="0"/>
              <w:keepLines w:val="0"/>
              <w:suppressLineNumbers w:val="0"/>
              <w:snapToGrid w:val="0"/>
              <w:spacing w:before="0" w:beforeAutospacing="0" w:after="0" w:afterAutospacing="0"/>
              <w:ind w:left="0" w:right="0"/>
              <w:jc w:val="both"/>
              <w:rPr>
                <w:rFonts w:hint="eastAsia" w:eastAsia="仿宋_GB2312"/>
                <w:szCs w:val="21"/>
              </w:rPr>
            </w:pPr>
            <w:r>
              <w:rPr>
                <w:rFonts w:hint="eastAsia"/>
                <w:szCs w:val="21"/>
              </w:rPr>
              <w:t>进行“林改培”和森林抚育7.8万亩，同时配套实施基础设施建设和森林康养项目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-2028</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101406</w:t>
            </w:r>
          </w:p>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.33</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b/>
                <w:bCs/>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沂源县草原（地）有害生物和森林、草原、湿地生态系统外来入侵物种普查</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1.草原（地）有害生物普查；</w:t>
            </w:r>
          </w:p>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2.森林、草原、湿地生态系统外来入侵物种普查</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2023</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683</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restart"/>
            <w:vAlign w:val="center"/>
          </w:tcPr>
          <w:p>
            <w:pPr>
              <w:keepNext w:val="0"/>
              <w:keepLines w:val="0"/>
              <w:suppressLineNumbers w:val="0"/>
              <w:snapToGrid w:val="0"/>
              <w:spacing w:before="0" w:beforeAutospacing="0" w:after="0" w:afterAutospacing="0"/>
              <w:ind w:left="0" w:right="0"/>
              <w:jc w:val="center"/>
              <w:rPr>
                <w:rFonts w:hint="eastAsia"/>
                <w:b/>
                <w:bCs/>
                <w:szCs w:val="21"/>
              </w:rPr>
            </w:pPr>
            <w:r>
              <w:rPr>
                <w:rFonts w:hint="eastAsia"/>
                <w:b/>
                <w:bCs/>
                <w:szCs w:val="21"/>
              </w:rPr>
              <w:t>推动“两山”转化</w:t>
            </w:r>
          </w:p>
        </w:tc>
        <w:tc>
          <w:tcPr>
            <w:tcW w:w="738" w:type="dxa"/>
            <w:vMerge w:val="restart"/>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民生福祉</w:t>
            </w: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沂源县住房和城乡建设局沂源县啤酒文化创意产业园区市政基础设施建设项目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实施鲁山西路西延（华源路—南麻大街）、华源路北延（振兴西路—鲁山西路）建设。建设华源路市政配套设施，敷设污水管线5500米、雨水管线5777米，建设人行道5612米</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2023</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38000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沂源县内涝治理管网改造工程</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荆山路等15公里合流管网治理，包括分流改造、错接混 接、直排口、空白区</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2023</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9200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沂源县农村生活污水治理</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完成373个村的污水治理采用纳管、建设污水处理站、集中拉运处理、建设单户联户处理设备4种验收模式</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-2025</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50704</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eastAsia="宋体"/>
                <w:szCs w:val="21"/>
                <w:lang w:eastAsia="zh-CN"/>
              </w:rPr>
            </w:pPr>
            <w:r>
              <w:rPr>
                <w:rFonts w:hint="eastAsia"/>
                <w:szCs w:val="21"/>
                <w:lang w:eastAsia="zh-CN"/>
              </w:rPr>
              <w:t>生态环境局沂源分局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沂源县城排水管网工程</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实施螳螂河东路等8条路段路面及雨污分流改造</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2023</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25600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沂源县第二污水处理厂扩建及配套管网改造项目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在原污水处理工艺基础上增加水解酸化池、应急处理池、 沉淀池及相关配套设施设备；辅助实施螳螂河东路等12条路段污水管线及雨水管线配套建设</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-2025</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43000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沂源宏鼎资产经营有限公司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医养健康产业重点项目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重点实施鲁山神农药谷养生小镇、县人民医院安宁疗护中心、沂源春沨渡休闲旅游度假区项目、京医到家综合门诊部项目、石门水寨康养旅游度假区等项目。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交通基础设施重点项目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临临高速沂源段、沂邳线、华源路、G341黄海线二期芝芳至莱芜界段改建等项目；白中路白峪至红旗水库段、曹徐路西峪至徐家庄段、淄中路三岔至娥庄段、滑龙路大中修工程；鲁沟路、东公路、曹姚路、新保路改建工程和路网提档升级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城区道路工程重点项目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重点实施康源路、鲁山路东延、新城路西延、健康路北延、润生路北延、东埠路、北麻路、学前路等项目；以及螳螂河东路、胜利路、健康路、振兴路改造工程。</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市政基础设施重点项目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重点实施东部水厂（二期）、沂源经济开发区供水管网工程、城区道路雨污分流工程等项目。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能源基础设施重点项目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重点实施光大生物质及生活垃圾焚烧发电项目、博瑞源LNG储气调峰中心等项目。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新基建项目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重点实施5G通讯基站、电动汽车充电站、安耐科氢电油气示范站及智慧交通、智慧医疗、智慧教育、智慧物流、智慧社区等项目。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现代教育重点工程</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城西初级中学新建项目、新城路小学易址新建项目、振兴东路小学新建项目、祥源路小学新建项目、儒林小学新建项目、电子工程学校易址新建项目、怡康嘉苑幼儿园新建项目、沂蒙佳苑幼儿园新建项目、幼儿园改造提升项目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文化体育重点工程</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重点实施沂源县城开发保护工程、青少年校外活动中心建设工程、全民健身运动会、“重阳节”老年人健身展演活动等项目。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卫生医疗重点工程</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县人民医院新院建设项目、县人民医院国家级药物临床试验机构及医养结合中心建设项目、县妇幼保健院二期建设项目、县精神病防治院门诊病房楼建设项目、中心村卫生室建设项目、县第二人民医院综合病房楼建设项目、南麻街道卫生院新院建设项目、鲁村镇中心卫生院病房楼建设项目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restart"/>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生态经济</w:t>
            </w: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青岛啤酒沂源产业园项目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占地300亩，总建筑面积85万㎡，主要建设啤酒、矿泉水生产车间、仓库、实验室及附属设施。购置啤酒、矿泉水生产线及设备。年产啤酒60万吨、矿泉水100万吨</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-2028</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300000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沂源县南麻街道办事处、沂源县工业和信息化局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沂源城鼎投资开发有限公司沂源县西部新城乡村振兴产业孵化基地建设项目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占地45.5亩，建筑面积11.7万㎡，主要建设农产品电子商务中心、农产品冷链物流中心、农产品仓储中心</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-2024</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60000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南麻街道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山东红泉文旅产业发展有限公司牛郎织女景区项目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规划总占地面积约5300亩，总建筑面积约16万㎡，主要建设文化商业体验区、田园牧歌农庄区、运动康养度假区、森林游憩休闲区等。采用阳光棚等新型保温措施，不产生农膜废弃物，可替代淘汰农膜</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-2024</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97000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沂源县文化和旅游局、燕崖镇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山东鲁中高新科技园区开发有限公司数字沂源（一期）项目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建设数字沂源综合运营指挥中心，一网统管综合指挥台、数据资产、城市综合管理服务、视频全目标解析等平台及智慧交通数字化设施及智慧社区等</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-2024</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10400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鲁中高科公司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山东诚联产业园区发展有限公司诚城·沂源医药新材料产业园项目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占地500亩，建设研发中心楼及厂房</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-2024</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300000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山东星辉农业发展有限公司高档果品种植示范基地项目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整合土地500亩，种植各类有机时令鲜果，建设数字化 展示大厅</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2023</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8000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东里镇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无忧岛（沂源）农业旅游开发有限公司无忧岛田园综合体项目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占地60亩，建设科技研发中心、电子商务中心、旅客接待中心、建筑面积2万㎡。建设组织培养实验室3000㎡、果蔬大棚120个，樱桃、猕猴桃、蓝莓和葡萄采摘园750亩，高科技农业试验田900亩、农产品加工和分拣车间3万㎡。实施村容村貌提升和乡村振兴休闲旅游体系建设</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-2028</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65000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鲁村镇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山东桃花岛艺术乡村文化旅游发展有限公司沂河源田园综合体项目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总建筑面积10.2万㎡，主要建设高标准农田、小米加工坊、小榨油坊、酿酒坊、乡村生态田园农旅艺术体验社区等</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201</w:t>
            </w:r>
            <w:r>
              <w:rPr>
                <w:rFonts w:hint="eastAsia"/>
                <w:szCs w:val="21"/>
                <w:lang w:val="en-US" w:eastAsia="zh-CN"/>
              </w:rPr>
              <w:t>3</w:t>
            </w:r>
            <w:r>
              <w:rPr>
                <w:rFonts w:hint="eastAsia"/>
                <w:szCs w:val="21"/>
              </w:rPr>
              <w:t>-2025</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59000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鲁村镇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中庄镇现代矮砧苹果基地建设项目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伐除老果园，更新重建新型矮砧苹果示范园15处、6500亩</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-2030</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16000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中庄镇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山东极有鲜电子商务有限公司电子商务物流园项目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建设电子商务办公楼1.2万㎡，商贸办公楼、农资办公 楼各5000㎡，企业总部基地楼2.8万㎡，仓储分拨中心1.4万㎡，商贸恒温仓储中心、农资仓储中心、物流云仓 储中心各6000㎡，人才公寓楼4500㎡</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-2025</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40000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南麻街道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高效特色农业项目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新建现代果树（苹果、梨）示范基地1260亩</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-2025</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2600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沂源县农业农村局、相关镇办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水肥一体化建设</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全县新建水肥一体化6万亩</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202</w:t>
            </w:r>
            <w:r>
              <w:rPr>
                <w:rFonts w:hint="eastAsia"/>
                <w:szCs w:val="21"/>
                <w:lang w:val="en-US" w:eastAsia="zh-CN"/>
              </w:rPr>
              <w:t>3</w:t>
            </w:r>
            <w:r>
              <w:rPr>
                <w:rFonts w:hint="eastAsia"/>
                <w:szCs w:val="21"/>
              </w:rPr>
              <w:t>-2025</w:t>
            </w: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10800</w:t>
            </w: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沂源县农业农村局、各镇办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现代农业农村重点工程</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重点实施山东华盛科沃云果业示范基地项目、源河公司年产2000万棒菌棒智慧工厂项目、果山园公司果品深加工项目、水肥一体化建设项目等项目。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园区基础设施重点项目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标准厂房、电子信息产业园、人才公寓、园区道路建设项目、供水供热供气管网工程、儒林社区、张良社区等项目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新医药产业重点项目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瑞阳制药非青类药品生产高端认证暨技术升级项目、瑞阳制药智能化工厂建设项目、瑞阳制药头孢类新产品绿色智能生产及欧盟高端认证产业化项目、山东药玻预灌封注射器扩产改造项目、山东药玻一级耐水药用玻璃瓶项目、山东药玻高档轻量玻璃瓶项目、鑫泉医药公司无菌原料药建设项目、英科医疗TPE手套和CPE手套项目、本草药业医药气雾剂制造项目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新材料产业重点项目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金辉碳纤维及纤维增强复合材料产业园、鲁阳公司耐火纤维材料产业园、泉聚新材料公司超轻质绝热材料项目、瑞丰高分子生物可降解高分子材料PBAT项目、瑞丰高分子高透明MBS树脂项目（二期）、卓意玻纤技术研发院项目、精一新材料公司玻纤网格布高端制造项目、中新泰合半导体芯片封装用模塑料项目、瑞泰新材料高性能军用高温合金材料产业化项目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电子信息产业重点项目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重点实施合力泰电子手机摄像头模组项目（二期）、中晟医疗器械公司基于生物光谱扫描技术的宫颈癌检测仪项目、利安源智能终端项目、玖鼎电子智能终端产业园等项目。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新能源产业重点项目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智能充电桩、分布式光伏发电站、安耐科加氢加气站、农村电网升级改造工程等项目。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传统产业改造升级重点项目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沃源公司高档面料生产线搬迁改造项目、青岛啤酒沂源新建啤酒工程等项目。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现代物流产业重点项目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重点实施鲁中公铁智慧联运枢纽物流园项目、山东康健医药物流配送中心项目、阿里（沂源）数字农业集运加工中心项目等项目。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现代金融产业重点项目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重点实施鲁中产融特色小镇、乡村振兴产业基金项目、“沂源现象”金融研究中心等项目。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电子商务产业重点项目</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rPr>
            </w:pPr>
            <w:r>
              <w:rPr>
                <w:rFonts w:hint="eastAsia"/>
              </w:rPr>
              <w:t>山东极有鲜电子商务产业园等项目。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restart"/>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lang w:val="en-US" w:eastAsia="zh-CN"/>
              </w:rPr>
              <w:t>社会</w:t>
            </w:r>
            <w:r>
              <w:rPr>
                <w:rFonts w:hint="eastAsia"/>
                <w:szCs w:val="21"/>
              </w:rPr>
              <w:t>效益</w:t>
            </w: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right="0"/>
              <w:jc w:val="center"/>
              <w:rPr>
                <w:rFonts w:hint="eastAsia"/>
                <w:szCs w:val="21"/>
              </w:rPr>
            </w:pPr>
            <w:r>
              <w:rPr>
                <w:rFonts w:hint="eastAsia"/>
                <w:szCs w:val="21"/>
              </w:rPr>
              <w:t>生态沂源建设重点工程</w:t>
            </w:r>
          </w:p>
        </w:tc>
        <w:tc>
          <w:tcPr>
            <w:tcW w:w="4913" w:type="dxa"/>
            <w:vAlign w:val="center"/>
          </w:tcPr>
          <w:p>
            <w:pPr>
              <w:pStyle w:val="16"/>
              <w:keepNext w:val="0"/>
              <w:keepLines w:val="0"/>
              <w:suppressLineNumbers w:val="0"/>
              <w:snapToGrid w:val="0"/>
              <w:spacing w:before="0" w:beforeAutospacing="0" w:after="0" w:afterAutospacing="0"/>
              <w:ind w:left="0" w:right="0" w:firstLine="0" w:firstLineChars="0"/>
              <w:jc w:val="both"/>
              <w:rPr>
                <w:rFonts w:hint="eastAsia" w:eastAsia="仿宋_GB2312"/>
                <w:szCs w:val="21"/>
              </w:rPr>
            </w:pPr>
            <w:r>
              <w:rPr>
                <w:rFonts w:hint="eastAsia"/>
              </w:rPr>
              <w:t>重点实施城镇污水综合治理工程、第一污水处理厂提标改造工程、第二污水处理厂提标改造工程、第三污水处理厂、沂河源国家级湿地公园、水资源综合开发利用项目、废弃物无害化处理项目、城乡人居环境整治项目、中水回用项目、14条河流域水环境治理、雨洪资源利用等项目。</w:t>
            </w:r>
          </w:p>
        </w:tc>
        <w:tc>
          <w:tcPr>
            <w:tcW w:w="1442"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258"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655"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lang w:val="en-US" w:eastAsia="zh-CN"/>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山东红泉文旅产业发展有限公司朱彦夫党性教育基地项目</w:t>
            </w:r>
          </w:p>
        </w:tc>
        <w:tc>
          <w:tcPr>
            <w:tcW w:w="4913" w:type="dxa"/>
            <w:vAlign w:val="center"/>
          </w:tcPr>
          <w:p>
            <w:pPr>
              <w:keepNext w:val="0"/>
              <w:keepLines w:val="0"/>
              <w:suppressLineNumbers w:val="0"/>
              <w:snapToGrid w:val="0"/>
              <w:spacing w:before="0" w:beforeAutospacing="0" w:after="0" w:afterAutospacing="0"/>
              <w:ind w:left="0" w:leftChars="0" w:right="0" w:rightChars="0"/>
              <w:jc w:val="both"/>
              <w:rPr>
                <w:rFonts w:hint="eastAsia" w:ascii="Times New Roman" w:hAnsi="Times New Roman" w:eastAsia="宋体" w:cs="Times New Roman"/>
                <w:kern w:val="2"/>
                <w:sz w:val="21"/>
                <w:szCs w:val="21"/>
                <w:lang w:val="en-US" w:eastAsia="zh-CN" w:bidi="ar-SA"/>
              </w:rPr>
            </w:pPr>
            <w:r>
              <w:rPr>
                <w:rFonts w:hint="eastAsia"/>
              </w:rPr>
              <w:t>总建筑面积6.6万㎡。建设楷模学院教育培训区、初心家园事迹展览区、钢铁营地军事拓展区等核心功能区及其附属设施，县城配套建设会议中心及食宿区，建筑面积2.1万㎡</w:t>
            </w:r>
          </w:p>
        </w:tc>
        <w:tc>
          <w:tcPr>
            <w:tcW w:w="1442"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rPr>
              <w:t>202</w:t>
            </w:r>
            <w:r>
              <w:rPr>
                <w:rFonts w:hint="eastAsia"/>
                <w:lang w:val="en-US" w:eastAsia="zh-CN"/>
              </w:rPr>
              <w:t>3</w:t>
            </w:r>
            <w:r>
              <w:rPr>
                <w:rFonts w:hint="eastAsia"/>
              </w:rPr>
              <w:t>-2024</w:t>
            </w:r>
          </w:p>
        </w:tc>
        <w:tc>
          <w:tcPr>
            <w:tcW w:w="1258"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37000</w:t>
            </w:r>
          </w:p>
        </w:tc>
        <w:tc>
          <w:tcPr>
            <w:tcW w:w="1655"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沂源县文化和旅游局、西里镇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lang w:val="en-US" w:eastAsia="zh-CN"/>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上榜文旅发展（沂源）有限公司红色文旅综合体建设项目</w:t>
            </w:r>
          </w:p>
        </w:tc>
        <w:tc>
          <w:tcPr>
            <w:tcW w:w="4913" w:type="dxa"/>
            <w:vAlign w:val="center"/>
          </w:tcPr>
          <w:p>
            <w:pPr>
              <w:keepNext w:val="0"/>
              <w:keepLines w:val="0"/>
              <w:suppressLineNumbers w:val="0"/>
              <w:snapToGrid w:val="0"/>
              <w:spacing w:before="0" w:beforeAutospacing="0" w:after="0" w:afterAutospacing="0"/>
              <w:ind w:left="0" w:leftChars="0" w:right="0" w:rightChars="0"/>
              <w:jc w:val="both"/>
              <w:rPr>
                <w:rFonts w:hint="eastAsia" w:ascii="Times New Roman" w:hAnsi="Times New Roman" w:eastAsia="宋体" w:cs="Times New Roman"/>
                <w:kern w:val="2"/>
                <w:sz w:val="21"/>
                <w:szCs w:val="21"/>
                <w:lang w:val="en-US" w:eastAsia="zh-CN" w:bidi="ar-SA"/>
              </w:rPr>
            </w:pPr>
            <w:r>
              <w:rPr>
                <w:rFonts w:hint="eastAsia"/>
              </w:rPr>
              <w:t>占地320亩，总建筑面积21.3万㎡，主要建设党建研学、航天军事博物馆、坦克训练场、地下实弹靶场射击、潜艇科教体验区、教室、宿舍、会议厅、餐厅、室外深度 体验项目等</w:t>
            </w:r>
          </w:p>
        </w:tc>
        <w:tc>
          <w:tcPr>
            <w:tcW w:w="1442"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rPr>
              <w:t>202</w:t>
            </w:r>
            <w:r>
              <w:rPr>
                <w:rFonts w:hint="eastAsia"/>
                <w:lang w:val="en-US" w:eastAsia="zh-CN"/>
              </w:rPr>
              <w:t>3</w:t>
            </w:r>
            <w:r>
              <w:rPr>
                <w:rFonts w:hint="eastAsia"/>
              </w:rPr>
              <w:t>-2025</w:t>
            </w:r>
          </w:p>
        </w:tc>
        <w:tc>
          <w:tcPr>
            <w:tcW w:w="1258"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40000</w:t>
            </w:r>
          </w:p>
        </w:tc>
        <w:tc>
          <w:tcPr>
            <w:tcW w:w="1655"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沂源县文化和旅游局、张家坡镇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lang w:val="en-US" w:eastAsia="zh-CN"/>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日照兴业集团城市更新项目</w:t>
            </w:r>
          </w:p>
        </w:tc>
        <w:tc>
          <w:tcPr>
            <w:tcW w:w="4913" w:type="dxa"/>
            <w:vAlign w:val="center"/>
          </w:tcPr>
          <w:p>
            <w:pPr>
              <w:keepNext w:val="0"/>
              <w:keepLines w:val="0"/>
              <w:suppressLineNumbers w:val="0"/>
              <w:snapToGrid w:val="0"/>
              <w:spacing w:before="0" w:beforeAutospacing="0" w:after="0" w:afterAutospacing="0"/>
              <w:ind w:left="0" w:leftChars="0" w:right="0" w:rightChars="0"/>
              <w:jc w:val="both"/>
              <w:rPr>
                <w:rFonts w:hint="eastAsia" w:ascii="Times New Roman" w:hAnsi="Times New Roman" w:eastAsia="宋体" w:cs="Times New Roman"/>
                <w:kern w:val="2"/>
                <w:sz w:val="21"/>
                <w:szCs w:val="21"/>
                <w:lang w:val="en-US" w:eastAsia="zh-CN" w:bidi="ar-SA"/>
              </w:rPr>
            </w:pPr>
            <w:r>
              <w:rPr>
                <w:rFonts w:hint="eastAsia"/>
              </w:rPr>
              <w:t>包含城市文化会客厅及周边公园提升改造、绿兰莎啤酒厂整体搬迁后周边公园改造及文化展示长廊、付家庄整体拆迁后周边文化公园及文化长廊建设等项目。建设景观园林绿化、体育设施、室外道路等；对胜利山九九乐园园林绿化景观、相关活动设施，儿童乐园园林绿化景观、儿童健身设施等进行提升</w:t>
            </w:r>
          </w:p>
        </w:tc>
        <w:tc>
          <w:tcPr>
            <w:tcW w:w="1442"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rPr>
              <w:t>202</w:t>
            </w:r>
            <w:r>
              <w:rPr>
                <w:rFonts w:hint="eastAsia"/>
                <w:lang w:val="en-US" w:eastAsia="zh-CN"/>
              </w:rPr>
              <w:t>3</w:t>
            </w:r>
            <w:r>
              <w:rPr>
                <w:rFonts w:hint="eastAsia"/>
              </w:rPr>
              <w:t>-2025</w:t>
            </w:r>
          </w:p>
        </w:tc>
        <w:tc>
          <w:tcPr>
            <w:tcW w:w="1258"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152000</w:t>
            </w:r>
          </w:p>
        </w:tc>
        <w:tc>
          <w:tcPr>
            <w:tcW w:w="1655"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沂源县住房城乡建设局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vAlign w:val="center"/>
          </w:tcPr>
          <w:p>
            <w:pPr>
              <w:keepNext w:val="0"/>
              <w:keepLines w:val="0"/>
              <w:suppressLineNumbers w:val="0"/>
              <w:snapToGrid w:val="0"/>
              <w:spacing w:before="0" w:beforeAutospacing="0" w:after="0" w:afterAutospacing="0"/>
              <w:ind w:left="0" w:right="0"/>
              <w:jc w:val="center"/>
              <w:rPr>
                <w:rFonts w:hint="eastAsia" w:eastAsia="仿宋"/>
                <w:szCs w:val="21"/>
              </w:rPr>
            </w:pPr>
          </w:p>
        </w:tc>
        <w:tc>
          <w:tcPr>
            <w:tcW w:w="738" w:type="dxa"/>
            <w:vMerge w:val="continue"/>
            <w:vAlign w:val="center"/>
          </w:tcPr>
          <w:p>
            <w:pPr>
              <w:keepNext w:val="0"/>
              <w:keepLines w:val="0"/>
              <w:suppressLineNumbers w:val="0"/>
              <w:snapToGrid w:val="0"/>
              <w:spacing w:before="0" w:beforeAutospacing="0" w:after="0" w:afterAutospacing="0"/>
              <w:ind w:left="0" w:right="0"/>
              <w:jc w:val="center"/>
              <w:rPr>
                <w:rFonts w:hint="eastAsia"/>
                <w:szCs w:val="21"/>
                <w:lang w:val="en-US" w:eastAsia="zh-CN"/>
              </w:rPr>
            </w:pPr>
          </w:p>
        </w:tc>
        <w:tc>
          <w:tcPr>
            <w:tcW w:w="672" w:type="dxa"/>
            <w:vAlign w:val="center"/>
          </w:tcPr>
          <w:p>
            <w:pPr>
              <w:keepNext w:val="0"/>
              <w:keepLines w:val="0"/>
              <w:numPr>
                <w:ilvl w:val="0"/>
                <w:numId w:val="14"/>
              </w:numPr>
              <w:suppressLineNumbers w:val="0"/>
              <w:snapToGrid w:val="0"/>
              <w:spacing w:before="0" w:beforeAutospacing="0" w:after="0" w:afterAutospacing="0"/>
              <w:ind w:right="0"/>
              <w:jc w:val="center"/>
              <w:rPr>
                <w:rFonts w:hint="eastAsia"/>
                <w:szCs w:val="21"/>
              </w:rPr>
            </w:pPr>
          </w:p>
        </w:tc>
        <w:tc>
          <w:tcPr>
            <w:tcW w:w="2017"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山东虡盛文化发展有限公司虡盛文化旅游产业园项目</w:t>
            </w:r>
          </w:p>
        </w:tc>
        <w:tc>
          <w:tcPr>
            <w:tcW w:w="4913" w:type="dxa"/>
            <w:vAlign w:val="center"/>
          </w:tcPr>
          <w:p>
            <w:pPr>
              <w:keepNext w:val="0"/>
              <w:keepLines w:val="0"/>
              <w:suppressLineNumbers w:val="0"/>
              <w:snapToGrid w:val="0"/>
              <w:spacing w:before="0" w:beforeAutospacing="0" w:after="0" w:afterAutospacing="0"/>
              <w:ind w:left="0" w:leftChars="0" w:right="0" w:rightChars="0"/>
              <w:jc w:val="both"/>
              <w:rPr>
                <w:rFonts w:hint="eastAsia" w:ascii="Times New Roman" w:hAnsi="Times New Roman" w:eastAsia="宋体" w:cs="Times New Roman"/>
                <w:kern w:val="2"/>
                <w:sz w:val="21"/>
                <w:szCs w:val="21"/>
                <w:lang w:val="en-US" w:eastAsia="zh-CN" w:bidi="ar-SA"/>
              </w:rPr>
            </w:pPr>
            <w:r>
              <w:rPr>
                <w:rFonts w:hint="eastAsia"/>
              </w:rPr>
              <w:t>占地150亩，总建筑面积3万㎡，主要建设园林式博物馆，包括藏品展馆区、文化大讲堂、科研中心、修复中心等设施</w:t>
            </w:r>
          </w:p>
        </w:tc>
        <w:tc>
          <w:tcPr>
            <w:tcW w:w="1442"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rPr>
              <w:t>202</w:t>
            </w:r>
            <w:r>
              <w:rPr>
                <w:rFonts w:hint="eastAsia"/>
                <w:lang w:val="en-US" w:eastAsia="zh-CN"/>
              </w:rPr>
              <w:t>3</w:t>
            </w:r>
            <w:r>
              <w:rPr>
                <w:rFonts w:hint="eastAsia"/>
              </w:rPr>
              <w:t>-2025</w:t>
            </w:r>
          </w:p>
        </w:tc>
        <w:tc>
          <w:tcPr>
            <w:tcW w:w="1258"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79000</w:t>
            </w:r>
          </w:p>
        </w:tc>
        <w:tc>
          <w:tcPr>
            <w:tcW w:w="1655" w:type="dxa"/>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rPr>
              <w:t>历山街道</w:t>
            </w:r>
          </w:p>
        </w:tc>
      </w:tr>
    </w:tbl>
    <w:p/>
    <w:sectPr>
      <w:footerReference r:id="rId5"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altName w:val="宋体"/>
    <w:panose1 w:val="020B0503020204020204"/>
    <w:charset w:val="86"/>
    <w:family w:val="auto"/>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D901B"/>
    <w:multiLevelType w:val="singleLevel"/>
    <w:tmpl w:val="856D901B"/>
    <w:lvl w:ilvl="0" w:tentative="0">
      <w:start w:val="1"/>
      <w:numFmt w:val="decimal"/>
      <w:suff w:val="nothing"/>
      <w:lvlText w:val="（%1）"/>
      <w:lvlJc w:val="left"/>
    </w:lvl>
  </w:abstractNum>
  <w:abstractNum w:abstractNumId="1">
    <w:nsid w:val="9770C5E0"/>
    <w:multiLevelType w:val="singleLevel"/>
    <w:tmpl w:val="9770C5E0"/>
    <w:lvl w:ilvl="0" w:tentative="0">
      <w:start w:val="1"/>
      <w:numFmt w:val="decimal"/>
      <w:lvlText w:val="%1"/>
      <w:lvlJc w:val="left"/>
      <w:pPr>
        <w:tabs>
          <w:tab w:val="left" w:pos="420"/>
        </w:tabs>
        <w:ind w:left="425" w:hanging="425"/>
      </w:pPr>
      <w:rPr>
        <w:rFonts w:hint="default"/>
      </w:rPr>
    </w:lvl>
  </w:abstractNum>
  <w:abstractNum w:abstractNumId="2">
    <w:nsid w:val="A08EF33E"/>
    <w:multiLevelType w:val="multilevel"/>
    <w:tmpl w:val="A08EF33E"/>
    <w:lvl w:ilvl="0" w:tentative="0">
      <w:start w:val="1"/>
      <w:numFmt w:val="decimal"/>
      <w:lvlText w:val="%1."/>
      <w:lvlJc w:val="left"/>
      <w:pPr>
        <w:ind w:left="1039" w:hanging="396"/>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abstractNum w:abstractNumId="3">
    <w:nsid w:val="B8E88870"/>
    <w:multiLevelType w:val="singleLevel"/>
    <w:tmpl w:val="B8E88870"/>
    <w:lvl w:ilvl="0" w:tentative="0">
      <w:start w:val="2"/>
      <w:numFmt w:val="chineseCounting"/>
      <w:suff w:val="nothing"/>
      <w:lvlText w:val="（%1）"/>
      <w:lvlJc w:val="left"/>
      <w:rPr>
        <w:rFonts w:hint="eastAsia"/>
      </w:rPr>
    </w:lvl>
  </w:abstractNum>
  <w:abstractNum w:abstractNumId="4">
    <w:nsid w:val="D841B805"/>
    <w:multiLevelType w:val="singleLevel"/>
    <w:tmpl w:val="D841B805"/>
    <w:lvl w:ilvl="0" w:tentative="0">
      <w:start w:val="3"/>
      <w:numFmt w:val="chineseCounting"/>
      <w:suff w:val="nothing"/>
      <w:lvlText w:val="（%1）"/>
      <w:lvlJc w:val="left"/>
      <w:rPr>
        <w:rFonts w:hint="eastAsia"/>
      </w:rPr>
    </w:lvl>
  </w:abstractNum>
  <w:abstractNum w:abstractNumId="5">
    <w:nsid w:val="DD47D698"/>
    <w:multiLevelType w:val="multilevel"/>
    <w:tmpl w:val="DD47D698"/>
    <w:lvl w:ilvl="0" w:tentative="0">
      <w:start w:val="1"/>
      <w:numFmt w:val="decimal"/>
      <w:lvlText w:val="%1."/>
      <w:lvlJc w:val="left"/>
      <w:pPr>
        <w:ind w:left="1039" w:hanging="396"/>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abstractNum w:abstractNumId="6">
    <w:nsid w:val="090D701A"/>
    <w:multiLevelType w:val="singleLevel"/>
    <w:tmpl w:val="090D701A"/>
    <w:lvl w:ilvl="0" w:tentative="0">
      <w:start w:val="2"/>
      <w:numFmt w:val="chineseCounting"/>
      <w:suff w:val="nothing"/>
      <w:lvlText w:val="（%1）"/>
      <w:lvlJc w:val="left"/>
      <w:rPr>
        <w:rFonts w:hint="eastAsia"/>
      </w:rPr>
    </w:lvl>
  </w:abstractNum>
  <w:abstractNum w:abstractNumId="7">
    <w:nsid w:val="15D3B238"/>
    <w:multiLevelType w:val="singleLevel"/>
    <w:tmpl w:val="15D3B238"/>
    <w:lvl w:ilvl="0" w:tentative="0">
      <w:start w:val="1"/>
      <w:numFmt w:val="decimal"/>
      <w:suff w:val="nothing"/>
      <w:lvlText w:val="（%1）"/>
      <w:lvlJc w:val="left"/>
    </w:lvl>
  </w:abstractNum>
  <w:abstractNum w:abstractNumId="8">
    <w:nsid w:val="18FCE4EC"/>
    <w:multiLevelType w:val="singleLevel"/>
    <w:tmpl w:val="18FCE4EC"/>
    <w:lvl w:ilvl="0" w:tentative="0">
      <w:start w:val="1"/>
      <w:numFmt w:val="decimal"/>
      <w:suff w:val="space"/>
      <w:lvlText w:val="%1."/>
      <w:lvlJc w:val="left"/>
    </w:lvl>
  </w:abstractNum>
  <w:abstractNum w:abstractNumId="9">
    <w:nsid w:val="37E7691B"/>
    <w:multiLevelType w:val="multilevel"/>
    <w:tmpl w:val="37E7691B"/>
    <w:lvl w:ilvl="0" w:tentative="0">
      <w:start w:val="1"/>
      <w:numFmt w:val="decimal"/>
      <w:lvlText w:val="%1."/>
      <w:lvlJc w:val="left"/>
      <w:pPr>
        <w:ind w:left="1039" w:hanging="396"/>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abstractNum w:abstractNumId="10">
    <w:nsid w:val="3CB3FBB2"/>
    <w:multiLevelType w:val="singleLevel"/>
    <w:tmpl w:val="3CB3FBB2"/>
    <w:lvl w:ilvl="0" w:tentative="0">
      <w:start w:val="1"/>
      <w:numFmt w:val="decimal"/>
      <w:suff w:val="space"/>
      <w:lvlText w:val="%1."/>
      <w:lvlJc w:val="left"/>
    </w:lvl>
  </w:abstractNum>
  <w:abstractNum w:abstractNumId="11">
    <w:nsid w:val="520120FE"/>
    <w:multiLevelType w:val="singleLevel"/>
    <w:tmpl w:val="520120FE"/>
    <w:lvl w:ilvl="0" w:tentative="0">
      <w:start w:val="1"/>
      <w:numFmt w:val="decimal"/>
      <w:suff w:val="nothing"/>
      <w:lvlText w:val="（%1）"/>
      <w:lvlJc w:val="left"/>
    </w:lvl>
  </w:abstractNum>
  <w:abstractNum w:abstractNumId="12">
    <w:nsid w:val="6798ACB1"/>
    <w:multiLevelType w:val="multilevel"/>
    <w:tmpl w:val="6798ACB1"/>
    <w:lvl w:ilvl="0" w:tentative="0">
      <w:start w:val="1"/>
      <w:numFmt w:val="decimal"/>
      <w:lvlText w:val="%1."/>
      <w:lvlJc w:val="left"/>
      <w:pPr>
        <w:ind w:left="1039" w:hanging="396"/>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abstractNum w:abstractNumId="13">
    <w:nsid w:val="7AC30AE6"/>
    <w:multiLevelType w:val="singleLevel"/>
    <w:tmpl w:val="7AC30AE6"/>
    <w:lvl w:ilvl="0" w:tentative="0">
      <w:start w:val="1"/>
      <w:numFmt w:val="decimal"/>
      <w:suff w:val="nothing"/>
      <w:lvlText w:val="（%1）"/>
      <w:lvlJc w:val="left"/>
    </w:lvl>
  </w:abstractNum>
  <w:num w:numId="1">
    <w:abstractNumId w:val="3"/>
  </w:num>
  <w:num w:numId="2">
    <w:abstractNumId w:val="4"/>
  </w:num>
  <w:num w:numId="3">
    <w:abstractNumId w:val="9"/>
  </w:num>
  <w:num w:numId="4">
    <w:abstractNumId w:val="5"/>
  </w:num>
  <w:num w:numId="5">
    <w:abstractNumId w:val="6"/>
  </w:num>
  <w:num w:numId="6">
    <w:abstractNumId w:val="2"/>
  </w:num>
  <w:num w:numId="7">
    <w:abstractNumId w:val="12"/>
  </w:num>
  <w:num w:numId="8">
    <w:abstractNumId w:val="13"/>
  </w:num>
  <w:num w:numId="9">
    <w:abstractNumId w:val="7"/>
  </w:num>
  <w:num w:numId="10">
    <w:abstractNumId w:val="0"/>
  </w:num>
  <w:num w:numId="11">
    <w:abstractNumId w:val="11"/>
  </w:num>
  <w:num w:numId="12">
    <w:abstractNumId w:val="10"/>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3ZjAyMDg1OGQ5ODY4NmE5NjlkNzRmYmM5NjEwYTgifQ=="/>
  </w:docVars>
  <w:rsids>
    <w:rsidRoot w:val="4B052C95"/>
    <w:rsid w:val="00206C0A"/>
    <w:rsid w:val="00217669"/>
    <w:rsid w:val="00307402"/>
    <w:rsid w:val="00307BF2"/>
    <w:rsid w:val="00394493"/>
    <w:rsid w:val="003A79E0"/>
    <w:rsid w:val="004B7A32"/>
    <w:rsid w:val="00504AF0"/>
    <w:rsid w:val="00517DE5"/>
    <w:rsid w:val="006A79BE"/>
    <w:rsid w:val="0072533F"/>
    <w:rsid w:val="00761D3D"/>
    <w:rsid w:val="007914A0"/>
    <w:rsid w:val="007C67CD"/>
    <w:rsid w:val="007D4714"/>
    <w:rsid w:val="008D6841"/>
    <w:rsid w:val="00926442"/>
    <w:rsid w:val="009676D6"/>
    <w:rsid w:val="00AE6E72"/>
    <w:rsid w:val="00AE7BA5"/>
    <w:rsid w:val="00BB5262"/>
    <w:rsid w:val="00CB0537"/>
    <w:rsid w:val="00CE42C8"/>
    <w:rsid w:val="00DB60DB"/>
    <w:rsid w:val="00DE56BC"/>
    <w:rsid w:val="00E7048B"/>
    <w:rsid w:val="00ED655A"/>
    <w:rsid w:val="00F56812"/>
    <w:rsid w:val="011A052D"/>
    <w:rsid w:val="01576085"/>
    <w:rsid w:val="032B6C3A"/>
    <w:rsid w:val="03BF7419"/>
    <w:rsid w:val="051777D5"/>
    <w:rsid w:val="05304CFD"/>
    <w:rsid w:val="05B31BD4"/>
    <w:rsid w:val="05CA06F1"/>
    <w:rsid w:val="062734D4"/>
    <w:rsid w:val="067517EC"/>
    <w:rsid w:val="07FB4DAE"/>
    <w:rsid w:val="08402456"/>
    <w:rsid w:val="08D71CE9"/>
    <w:rsid w:val="08F3581F"/>
    <w:rsid w:val="09566309"/>
    <w:rsid w:val="096133B5"/>
    <w:rsid w:val="09FE5F1E"/>
    <w:rsid w:val="0A987E49"/>
    <w:rsid w:val="0B5A3A72"/>
    <w:rsid w:val="0B9A0A60"/>
    <w:rsid w:val="0C907009"/>
    <w:rsid w:val="0D72055C"/>
    <w:rsid w:val="0D7469AA"/>
    <w:rsid w:val="0D8C35F6"/>
    <w:rsid w:val="0E2844A2"/>
    <w:rsid w:val="0E4A4418"/>
    <w:rsid w:val="0E9230A3"/>
    <w:rsid w:val="0EBC6F03"/>
    <w:rsid w:val="0EC63100"/>
    <w:rsid w:val="0ECF31C5"/>
    <w:rsid w:val="0FC47D76"/>
    <w:rsid w:val="10953945"/>
    <w:rsid w:val="11370766"/>
    <w:rsid w:val="116E2B13"/>
    <w:rsid w:val="11F66B8C"/>
    <w:rsid w:val="123A60B6"/>
    <w:rsid w:val="12DE7274"/>
    <w:rsid w:val="13C246D4"/>
    <w:rsid w:val="163A4B26"/>
    <w:rsid w:val="16A3369E"/>
    <w:rsid w:val="16B4010D"/>
    <w:rsid w:val="16BC2FBC"/>
    <w:rsid w:val="16F70EB5"/>
    <w:rsid w:val="17111243"/>
    <w:rsid w:val="175866A1"/>
    <w:rsid w:val="17B06607"/>
    <w:rsid w:val="17CA1024"/>
    <w:rsid w:val="189B7EFC"/>
    <w:rsid w:val="19574AA1"/>
    <w:rsid w:val="197A1E6E"/>
    <w:rsid w:val="19A20750"/>
    <w:rsid w:val="1C1E6EE4"/>
    <w:rsid w:val="1C4D552D"/>
    <w:rsid w:val="1CC207D2"/>
    <w:rsid w:val="1D1C3424"/>
    <w:rsid w:val="1D2D5631"/>
    <w:rsid w:val="1E102432"/>
    <w:rsid w:val="1E5369D0"/>
    <w:rsid w:val="1EA731C1"/>
    <w:rsid w:val="1EAE6F1D"/>
    <w:rsid w:val="1EBD380C"/>
    <w:rsid w:val="1EBD69A8"/>
    <w:rsid w:val="1EC04C47"/>
    <w:rsid w:val="1F6211D2"/>
    <w:rsid w:val="200059F9"/>
    <w:rsid w:val="20011FC5"/>
    <w:rsid w:val="202020AA"/>
    <w:rsid w:val="21404483"/>
    <w:rsid w:val="21C806DA"/>
    <w:rsid w:val="21F039A6"/>
    <w:rsid w:val="21F10E4E"/>
    <w:rsid w:val="21F16BC6"/>
    <w:rsid w:val="22D327D6"/>
    <w:rsid w:val="230F132C"/>
    <w:rsid w:val="231828DF"/>
    <w:rsid w:val="236D1A58"/>
    <w:rsid w:val="23EC3D11"/>
    <w:rsid w:val="240B443D"/>
    <w:rsid w:val="24373239"/>
    <w:rsid w:val="24B97FD8"/>
    <w:rsid w:val="252A22B5"/>
    <w:rsid w:val="25AC5757"/>
    <w:rsid w:val="26AD333E"/>
    <w:rsid w:val="26D44A70"/>
    <w:rsid w:val="276146FD"/>
    <w:rsid w:val="283B7736"/>
    <w:rsid w:val="29A0718A"/>
    <w:rsid w:val="29A97492"/>
    <w:rsid w:val="29EF4A0A"/>
    <w:rsid w:val="29FB0865"/>
    <w:rsid w:val="2A445F75"/>
    <w:rsid w:val="2A7A3899"/>
    <w:rsid w:val="2A851038"/>
    <w:rsid w:val="2B0F4CFD"/>
    <w:rsid w:val="2B423706"/>
    <w:rsid w:val="2BB67139"/>
    <w:rsid w:val="2D0D36B6"/>
    <w:rsid w:val="2E224612"/>
    <w:rsid w:val="2E3305CD"/>
    <w:rsid w:val="2EB47DC4"/>
    <w:rsid w:val="2F0106CB"/>
    <w:rsid w:val="2F0C331C"/>
    <w:rsid w:val="30224D9D"/>
    <w:rsid w:val="31D82201"/>
    <w:rsid w:val="31FC4CAA"/>
    <w:rsid w:val="323D71D6"/>
    <w:rsid w:val="329C17B7"/>
    <w:rsid w:val="33C727D6"/>
    <w:rsid w:val="33E136A3"/>
    <w:rsid w:val="33FA40FA"/>
    <w:rsid w:val="34661C1D"/>
    <w:rsid w:val="348119C9"/>
    <w:rsid w:val="34A00986"/>
    <w:rsid w:val="34A42225"/>
    <w:rsid w:val="35B338D9"/>
    <w:rsid w:val="35E3546D"/>
    <w:rsid w:val="35FB549E"/>
    <w:rsid w:val="36CC769A"/>
    <w:rsid w:val="36D6647D"/>
    <w:rsid w:val="3729371C"/>
    <w:rsid w:val="38985641"/>
    <w:rsid w:val="3899321B"/>
    <w:rsid w:val="39AD1B7B"/>
    <w:rsid w:val="3A6A6B44"/>
    <w:rsid w:val="3A9836E6"/>
    <w:rsid w:val="3AE82245"/>
    <w:rsid w:val="3AFA7F85"/>
    <w:rsid w:val="3BB1191E"/>
    <w:rsid w:val="3CA6188E"/>
    <w:rsid w:val="3DFE445B"/>
    <w:rsid w:val="3E44668D"/>
    <w:rsid w:val="3E492A9D"/>
    <w:rsid w:val="3E4F79B3"/>
    <w:rsid w:val="3F2327AF"/>
    <w:rsid w:val="3FE61C22"/>
    <w:rsid w:val="409018AF"/>
    <w:rsid w:val="40A90D21"/>
    <w:rsid w:val="417836A0"/>
    <w:rsid w:val="42E87780"/>
    <w:rsid w:val="43A56FC1"/>
    <w:rsid w:val="44D85639"/>
    <w:rsid w:val="44DC50C3"/>
    <w:rsid w:val="459B31D0"/>
    <w:rsid w:val="45E6171D"/>
    <w:rsid w:val="46082302"/>
    <w:rsid w:val="4631143E"/>
    <w:rsid w:val="47E726FC"/>
    <w:rsid w:val="48873598"/>
    <w:rsid w:val="493E459E"/>
    <w:rsid w:val="4958586B"/>
    <w:rsid w:val="495B7301"/>
    <w:rsid w:val="4A8D5963"/>
    <w:rsid w:val="4AB2387D"/>
    <w:rsid w:val="4AD7598C"/>
    <w:rsid w:val="4B052C95"/>
    <w:rsid w:val="4BB075EA"/>
    <w:rsid w:val="4C201254"/>
    <w:rsid w:val="4C387642"/>
    <w:rsid w:val="4C927CD7"/>
    <w:rsid w:val="4D7D0866"/>
    <w:rsid w:val="4D8266A2"/>
    <w:rsid w:val="4D9060F5"/>
    <w:rsid w:val="4E3E3FEC"/>
    <w:rsid w:val="4EEF4561"/>
    <w:rsid w:val="500A1AE2"/>
    <w:rsid w:val="509755BF"/>
    <w:rsid w:val="515406D7"/>
    <w:rsid w:val="5173669A"/>
    <w:rsid w:val="51AF590D"/>
    <w:rsid w:val="51B26791"/>
    <w:rsid w:val="51BC1F8F"/>
    <w:rsid w:val="51FC3D11"/>
    <w:rsid w:val="52FD6C63"/>
    <w:rsid w:val="536E566D"/>
    <w:rsid w:val="539B4258"/>
    <w:rsid w:val="541D223B"/>
    <w:rsid w:val="55CA2B7C"/>
    <w:rsid w:val="55F67FAE"/>
    <w:rsid w:val="56D71B8E"/>
    <w:rsid w:val="57C2618C"/>
    <w:rsid w:val="57C42EB1"/>
    <w:rsid w:val="57CA6DF2"/>
    <w:rsid w:val="5814234C"/>
    <w:rsid w:val="581D461C"/>
    <w:rsid w:val="58850B9C"/>
    <w:rsid w:val="58922659"/>
    <w:rsid w:val="58B62A6F"/>
    <w:rsid w:val="595219A0"/>
    <w:rsid w:val="596671F9"/>
    <w:rsid w:val="59C5033E"/>
    <w:rsid w:val="5A1D2982"/>
    <w:rsid w:val="5AB27C15"/>
    <w:rsid w:val="5B181591"/>
    <w:rsid w:val="5B726329"/>
    <w:rsid w:val="5B751D56"/>
    <w:rsid w:val="5C0C0E68"/>
    <w:rsid w:val="5E000307"/>
    <w:rsid w:val="5E535813"/>
    <w:rsid w:val="5EA90352"/>
    <w:rsid w:val="60A704C8"/>
    <w:rsid w:val="6197160F"/>
    <w:rsid w:val="62C51434"/>
    <w:rsid w:val="637D564F"/>
    <w:rsid w:val="64274FE8"/>
    <w:rsid w:val="64283A29"/>
    <w:rsid w:val="642E73AF"/>
    <w:rsid w:val="647875E8"/>
    <w:rsid w:val="64A07A63"/>
    <w:rsid w:val="654903C3"/>
    <w:rsid w:val="657B5DDA"/>
    <w:rsid w:val="663178D3"/>
    <w:rsid w:val="66B65AB2"/>
    <w:rsid w:val="67702502"/>
    <w:rsid w:val="678C7F65"/>
    <w:rsid w:val="69126A56"/>
    <w:rsid w:val="69825989"/>
    <w:rsid w:val="698519E9"/>
    <w:rsid w:val="6A786D8C"/>
    <w:rsid w:val="6B272C8C"/>
    <w:rsid w:val="6B296D37"/>
    <w:rsid w:val="6BEC5C84"/>
    <w:rsid w:val="6C550679"/>
    <w:rsid w:val="6C7E0833"/>
    <w:rsid w:val="6CA57AF4"/>
    <w:rsid w:val="6D0E7DB8"/>
    <w:rsid w:val="6D8F7642"/>
    <w:rsid w:val="6DBD14E6"/>
    <w:rsid w:val="6F743FC6"/>
    <w:rsid w:val="6FC64E5B"/>
    <w:rsid w:val="6FE44A4D"/>
    <w:rsid w:val="70DD6FD3"/>
    <w:rsid w:val="710A5653"/>
    <w:rsid w:val="7235262F"/>
    <w:rsid w:val="727D7636"/>
    <w:rsid w:val="72874010"/>
    <w:rsid w:val="72D52FCE"/>
    <w:rsid w:val="74235D34"/>
    <w:rsid w:val="750B717B"/>
    <w:rsid w:val="7577691F"/>
    <w:rsid w:val="75B275F6"/>
    <w:rsid w:val="76556507"/>
    <w:rsid w:val="76570D4B"/>
    <w:rsid w:val="766F3739"/>
    <w:rsid w:val="768B2AE2"/>
    <w:rsid w:val="77071BC4"/>
    <w:rsid w:val="77154C42"/>
    <w:rsid w:val="771D3E69"/>
    <w:rsid w:val="77DE72AE"/>
    <w:rsid w:val="78B1207F"/>
    <w:rsid w:val="7A410F49"/>
    <w:rsid w:val="7A884DCA"/>
    <w:rsid w:val="7ACF0C4A"/>
    <w:rsid w:val="7B283F88"/>
    <w:rsid w:val="7B29035B"/>
    <w:rsid w:val="7B5D4D08"/>
    <w:rsid w:val="7B922DFD"/>
    <w:rsid w:val="7BC2255D"/>
    <w:rsid w:val="7BF50E76"/>
    <w:rsid w:val="7C4116D4"/>
    <w:rsid w:val="7C55517F"/>
    <w:rsid w:val="7D197F5B"/>
    <w:rsid w:val="7D23702C"/>
    <w:rsid w:val="7D3953C9"/>
    <w:rsid w:val="7EF473C3"/>
    <w:rsid w:val="7F657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spacing w:before="360" w:after="120"/>
      <w:jc w:val="left"/>
      <w:outlineLvl w:val="1"/>
    </w:pPr>
    <w:rPr>
      <w:rFonts w:eastAsia="楷体" w:asciiTheme="majorHAnsi" w:hAnsiTheme="majorHAnsi" w:cstheme="majorBidi"/>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2">
    <w:name w:val="Plain Text"/>
    <w:basedOn w:val="1"/>
    <w:semiHidden/>
    <w:qFormat/>
    <w:uiPriority w:val="0"/>
    <w:rPr>
      <w:rFonts w:ascii="宋体" w:hAnsi="Courier New"/>
    </w:rPr>
  </w:style>
  <w:style w:type="paragraph" w:styleId="6">
    <w:name w:val="annotation text"/>
    <w:basedOn w:val="1"/>
    <w:unhideWhenUsed/>
    <w:qFormat/>
    <w:uiPriority w:val="99"/>
    <w:pPr>
      <w:spacing w:line="360" w:lineRule="auto"/>
      <w:ind w:firstLine="723" w:firstLineChars="200"/>
      <w:jc w:val="left"/>
    </w:pPr>
    <w:rPr>
      <w:rFonts w:eastAsia="仿宋_GB2312"/>
      <w:sz w:val="32"/>
    </w:rPr>
  </w:style>
  <w:style w:type="paragraph" w:styleId="7">
    <w:name w:val="Body Text"/>
    <w:basedOn w:val="1"/>
    <w:qFormat/>
    <w:uiPriority w:val="0"/>
    <w:pPr>
      <w:spacing w:after="120"/>
    </w:pPr>
  </w:style>
  <w:style w:type="paragraph" w:styleId="8">
    <w:name w:val="toc 3"/>
    <w:basedOn w:val="1"/>
    <w:next w:val="1"/>
    <w:qFormat/>
    <w:uiPriority w:val="39"/>
    <w:pPr>
      <w:tabs>
        <w:tab w:val="right" w:leader="dot" w:pos="8296"/>
      </w:tabs>
      <w:spacing w:line="360" w:lineRule="auto"/>
      <w:ind w:left="1280" w:leftChars="400" w:firstLine="480" w:firstLineChars="200"/>
      <w:jc w:val="left"/>
    </w:pPr>
    <w:rPr>
      <w:rFonts w:eastAsia="仿宋_GB2312"/>
      <w:sz w:val="32"/>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pPr>
      <w:spacing w:line="360" w:lineRule="auto"/>
      <w:ind w:firstLine="723" w:firstLineChars="200"/>
    </w:pPr>
    <w:rPr>
      <w:rFonts w:eastAsia="仿宋_GB2312"/>
      <w:sz w:val="32"/>
    </w:rPr>
  </w:style>
  <w:style w:type="paragraph" w:styleId="12">
    <w:name w:val="footnote text"/>
    <w:basedOn w:val="1"/>
    <w:semiHidden/>
    <w:unhideWhenUsed/>
    <w:qFormat/>
    <w:uiPriority w:val="99"/>
    <w:pPr>
      <w:snapToGrid w:val="0"/>
      <w:jc w:val="left"/>
    </w:pPr>
    <w:rPr>
      <w:sz w:val="18"/>
      <w:szCs w:val="18"/>
    </w:rPr>
  </w:style>
  <w:style w:type="paragraph" w:styleId="13">
    <w:name w:val="toc 2"/>
    <w:basedOn w:val="1"/>
    <w:next w:val="1"/>
    <w:qFormat/>
    <w:uiPriority w:val="39"/>
    <w:pPr>
      <w:spacing w:line="360" w:lineRule="auto"/>
      <w:ind w:left="420" w:leftChars="200" w:firstLine="723" w:firstLineChars="200"/>
    </w:pPr>
    <w:rPr>
      <w:rFonts w:eastAsia="仿宋_GB2312"/>
      <w:sz w:val="32"/>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autoRedefine/>
    <w:qFormat/>
    <w:uiPriority w:val="99"/>
    <w:pPr>
      <w:jc w:val="center"/>
      <w:outlineLvl w:val="0"/>
    </w:pPr>
    <w:rPr>
      <w:rFonts w:ascii="Arial" w:hAnsi="Arial" w:cs="Arial"/>
      <w:sz w:val="32"/>
      <w:szCs w:val="32"/>
    </w:rPr>
  </w:style>
  <w:style w:type="paragraph" w:styleId="16">
    <w:name w:val="Body Text First Indent"/>
    <w:basedOn w:val="1"/>
    <w:autoRedefine/>
    <w:qFormat/>
    <w:uiPriority w:val="0"/>
    <w:pPr>
      <w:ind w:firstLine="420" w:firstLineChars="1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autoRedefine/>
    <w:qFormat/>
    <w:uiPriority w:val="0"/>
    <w:rPr>
      <w:b/>
    </w:rPr>
  </w:style>
  <w:style w:type="character" w:styleId="21">
    <w:name w:val="FollowedHyperlink"/>
    <w:basedOn w:val="19"/>
    <w:autoRedefine/>
    <w:qFormat/>
    <w:uiPriority w:val="0"/>
    <w:rPr>
      <w:color w:val="800080"/>
      <w:u w:val="single"/>
    </w:rPr>
  </w:style>
  <w:style w:type="character" w:styleId="22">
    <w:name w:val="Emphasis"/>
    <w:basedOn w:val="19"/>
    <w:autoRedefine/>
    <w:qFormat/>
    <w:uiPriority w:val="0"/>
    <w:rPr>
      <w:i/>
    </w:rPr>
  </w:style>
  <w:style w:type="character" w:styleId="23">
    <w:name w:val="Hyperlink"/>
    <w:basedOn w:val="19"/>
    <w:autoRedefine/>
    <w:qFormat/>
    <w:uiPriority w:val="0"/>
    <w:rPr>
      <w:color w:val="0000FF"/>
      <w:u w:val="single"/>
    </w:rPr>
  </w:style>
  <w:style w:type="character" w:styleId="24">
    <w:name w:val="footnote reference"/>
    <w:basedOn w:val="19"/>
    <w:autoRedefine/>
    <w:semiHidden/>
    <w:unhideWhenUsed/>
    <w:qFormat/>
    <w:uiPriority w:val="99"/>
    <w:rPr>
      <w:vertAlign w:val="superscript"/>
    </w:rPr>
  </w:style>
  <w:style w:type="paragraph" w:styleId="25">
    <w:name w:val="List Paragraph"/>
    <w:basedOn w:val="1"/>
    <w:autoRedefine/>
    <w:unhideWhenUsed/>
    <w:qFormat/>
    <w:uiPriority w:val="99"/>
    <w:pPr>
      <w:ind w:firstLine="420" w:firstLineChars="200"/>
    </w:pPr>
  </w:style>
  <w:style w:type="character" w:customStyle="1" w:styleId="26">
    <w:name w:val="font11"/>
    <w:basedOn w:val="19"/>
    <w:autoRedefine/>
    <w:qFormat/>
    <w:uiPriority w:val="0"/>
    <w:rPr>
      <w:rFonts w:hint="default" w:ascii="仿宋_GB2312" w:eastAsia="仿宋_GB2312" w:cs="仿宋_GB2312"/>
      <w:b/>
      <w:bCs/>
      <w:color w:val="000000"/>
      <w:sz w:val="24"/>
      <w:szCs w:val="24"/>
      <w:u w:val="none"/>
    </w:rPr>
  </w:style>
  <w:style w:type="character" w:customStyle="1" w:styleId="27">
    <w:name w:val="font51"/>
    <w:basedOn w:val="19"/>
    <w:autoRedefine/>
    <w:qFormat/>
    <w:uiPriority w:val="0"/>
    <w:rPr>
      <w:rFonts w:hint="default" w:ascii="Times New Roman" w:hAnsi="Times New Roman" w:cs="Times New Roman"/>
      <w:color w:val="000000"/>
      <w:sz w:val="21"/>
      <w:szCs w:val="21"/>
      <w:u w:val="none"/>
    </w:rPr>
  </w:style>
  <w:style w:type="character" w:customStyle="1" w:styleId="28">
    <w:name w:val="font91"/>
    <w:basedOn w:val="19"/>
    <w:autoRedefine/>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95</Pages>
  <Words>46381</Words>
  <Characters>48401</Characters>
  <Lines>78</Lines>
  <Paragraphs>22</Paragraphs>
  <TotalTime>3</TotalTime>
  <ScaleCrop>false</ScaleCrop>
  <LinksUpToDate>false</LinksUpToDate>
  <CharactersWithSpaces>48591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2023-06-30T06:07:00Z</dcterms:created>
  <dc:creator>Fannie</dc:creator>
  <cp:lastModifiedBy>白白白白</cp:lastModifiedBy>
  <dcterms:modified xsi:type="dcterms:W3CDTF">2024-03-22T09:01:29Z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EA9A3CD2D3A0464484FE8FD55DA0E4D5_13</vt:lpwstr>
  </property>
</Properties>
</file>