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shd w:val="clear" w:color="auto" w:fill="FFFFFF"/>
        <w:adjustRightInd w:val="0"/>
        <w:snapToGrid w:val="0"/>
        <w:spacing w:beforeAutospacing="0" w:afterAutospacing="0"/>
        <w:jc w:val="both"/>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both"/>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center"/>
        <w:rPr>
          <w:rFonts w:ascii="方正小标宋简体" w:hAnsi="方正小标宋简体" w:eastAsia="方正小标宋简体" w:cs="方正小标宋简体"/>
          <w:b/>
          <w:bCs/>
          <w:sz w:val="72"/>
          <w:szCs w:val="72"/>
          <w:shd w:val="clear" w:color="auto" w:fill="FFFFFF"/>
        </w:rPr>
      </w:pPr>
      <w:r>
        <w:rPr>
          <w:rFonts w:hint="eastAsia" w:ascii="方正小标宋简体" w:hAnsi="方正小标宋简体" w:eastAsia="方正小标宋简体" w:cs="方正小标宋简体"/>
          <w:b/>
          <w:bCs/>
          <w:sz w:val="72"/>
          <w:szCs w:val="72"/>
          <w:shd w:val="clear" w:color="auto" w:fill="FFFFFF"/>
        </w:rPr>
        <w:t xml:space="preserve">沂源县养殖水域滩涂规划 </w:t>
      </w:r>
    </w:p>
    <w:p>
      <w:pPr>
        <w:jc w:val="center"/>
        <w:outlineLvl w:val="0"/>
        <w:rPr>
          <w:b/>
          <w:sz w:val="36"/>
          <w:szCs w:val="36"/>
        </w:rPr>
      </w:pPr>
      <w:bookmarkStart w:id="0" w:name="_Toc319487020"/>
      <w:bookmarkStart w:id="1" w:name="_Toc320949876"/>
      <w:bookmarkStart w:id="2" w:name="_Toc319485273"/>
      <w:bookmarkStart w:id="3" w:name="_Toc311020622"/>
      <w:bookmarkStart w:id="4" w:name="_Toc312696515"/>
      <w:bookmarkStart w:id="5" w:name="_Toc311039770"/>
      <w:bookmarkStart w:id="6" w:name="_Toc320950504"/>
      <w:bookmarkStart w:id="7" w:name="_Toc320951166"/>
      <w:bookmarkStart w:id="8" w:name="_Toc312834023"/>
      <w:bookmarkStart w:id="9" w:name="_Toc320803027"/>
      <w:r>
        <w:rPr>
          <w:rFonts w:hAnsi="宋体"/>
          <w:b/>
          <w:sz w:val="36"/>
          <w:szCs w:val="36"/>
        </w:rPr>
        <w:t>（</w:t>
      </w:r>
      <w:r>
        <w:rPr>
          <w:b/>
          <w:sz w:val="36"/>
          <w:szCs w:val="36"/>
        </w:rPr>
        <w:t>2017-2030</w:t>
      </w:r>
      <w:r>
        <w:rPr>
          <w:rFonts w:hAnsi="宋体"/>
          <w:b/>
          <w:sz w:val="36"/>
          <w:szCs w:val="36"/>
        </w:rPr>
        <w:t>）</w:t>
      </w:r>
      <w:bookmarkEnd w:id="0"/>
      <w:bookmarkEnd w:id="1"/>
      <w:bookmarkEnd w:id="2"/>
      <w:bookmarkEnd w:id="3"/>
      <w:bookmarkEnd w:id="4"/>
      <w:bookmarkEnd w:id="5"/>
      <w:bookmarkEnd w:id="6"/>
      <w:bookmarkEnd w:id="7"/>
      <w:bookmarkEnd w:id="8"/>
      <w:bookmarkEnd w:id="9"/>
    </w:p>
    <w:p>
      <w:pPr>
        <w:pStyle w:val="6"/>
        <w:widowControl/>
        <w:shd w:val="clear" w:color="auto" w:fill="FFFFFF"/>
        <w:adjustRightInd w:val="0"/>
        <w:snapToGrid w:val="0"/>
        <w:spacing w:beforeAutospacing="0" w:afterAutospacing="0"/>
        <w:jc w:val="center"/>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center"/>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center"/>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center"/>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both"/>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both"/>
        <w:rPr>
          <w:rFonts w:ascii="方正小标宋简体" w:hAnsi="方正小标宋简体" w:eastAsia="方正小标宋简体" w:cs="方正小标宋简体"/>
          <w:b/>
          <w:bCs/>
          <w:sz w:val="72"/>
          <w:szCs w:val="72"/>
          <w:shd w:val="clear" w:color="auto" w:fill="FFFFFF"/>
        </w:rPr>
      </w:pPr>
    </w:p>
    <w:p>
      <w:pPr>
        <w:pStyle w:val="6"/>
        <w:widowControl/>
        <w:shd w:val="clear" w:color="auto" w:fill="FFFFFF"/>
        <w:adjustRightInd w:val="0"/>
        <w:snapToGrid w:val="0"/>
        <w:spacing w:beforeAutospacing="0" w:afterAutospacing="0"/>
        <w:jc w:val="center"/>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沂源县水务局</w:t>
      </w:r>
    </w:p>
    <w:p>
      <w:pPr>
        <w:pStyle w:val="6"/>
        <w:widowControl/>
        <w:shd w:val="clear" w:color="auto" w:fill="FFFFFF"/>
        <w:adjustRightInd w:val="0"/>
        <w:snapToGrid w:val="0"/>
        <w:spacing w:beforeAutospacing="0" w:afterAutospacing="0"/>
        <w:jc w:val="center"/>
        <w:rPr>
          <w:rFonts w:ascii="黑体" w:hAnsi="黑体" w:eastAsia="黑体" w:cs="黑体"/>
          <w:b/>
          <w:bCs/>
          <w:sz w:val="32"/>
          <w:szCs w:val="32"/>
          <w:shd w:val="clear" w:color="auto" w:fill="FFFFFF"/>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b/>
          <w:bCs/>
          <w:sz w:val="32"/>
          <w:szCs w:val="32"/>
          <w:shd w:val="clear" w:color="auto" w:fill="FFFFFF"/>
        </w:rPr>
        <w:t>2017年8月17日</w:t>
      </w:r>
    </w:p>
    <w:p>
      <w:pPr>
        <w:pStyle w:val="6"/>
        <w:widowControl/>
        <w:shd w:val="clear" w:color="auto" w:fill="FFFFFF"/>
        <w:adjustRightInd w:val="0"/>
        <w:snapToGrid w:val="0"/>
        <w:spacing w:beforeAutospacing="0" w:afterAutospacing="0"/>
        <w:jc w:val="center"/>
        <w:rPr>
          <w:rFonts w:ascii="黑体" w:hAnsi="黑体" w:eastAsia="黑体" w:cs="黑体"/>
          <w:b/>
          <w:bCs/>
          <w:sz w:val="32"/>
          <w:szCs w:val="32"/>
          <w:shd w:val="clear" w:color="auto" w:fill="FFFFFF"/>
        </w:rPr>
      </w:pPr>
    </w:p>
    <w:p>
      <w:pPr>
        <w:pStyle w:val="6"/>
        <w:widowControl/>
        <w:shd w:val="clear" w:color="auto" w:fill="FFFFFF"/>
        <w:adjustRightInd w:val="0"/>
        <w:snapToGrid w:val="0"/>
        <w:spacing w:beforeAutospacing="0" w:afterAutospacing="0"/>
        <w:jc w:val="center"/>
        <w:rPr>
          <w:rFonts w:ascii="黑体" w:hAnsi="黑体" w:eastAsia="黑体" w:cs="黑体"/>
          <w:b/>
          <w:bCs/>
          <w:sz w:val="32"/>
          <w:szCs w:val="32"/>
          <w:shd w:val="clear" w:color="auto" w:fill="FFFFFF"/>
        </w:rPr>
      </w:pPr>
    </w:p>
    <w:p>
      <w:pPr>
        <w:pStyle w:val="6"/>
        <w:widowControl/>
        <w:shd w:val="clear" w:color="auto" w:fill="FFFFFF"/>
        <w:adjustRightInd w:val="0"/>
        <w:snapToGrid w:val="0"/>
        <w:spacing w:beforeAutospacing="0" w:afterAutospacing="0"/>
        <w:jc w:val="center"/>
        <w:rPr>
          <w:rFonts w:ascii="黑体" w:hAnsi="黑体" w:eastAsia="黑体" w:cs="黑体"/>
          <w:b/>
          <w:bCs/>
          <w:sz w:val="32"/>
          <w:szCs w:val="32"/>
          <w:shd w:val="clear" w:color="auto" w:fill="FFFFFF"/>
        </w:rPr>
      </w:pPr>
    </w:p>
    <w:p>
      <w:pPr>
        <w:pStyle w:val="6"/>
        <w:widowControl/>
        <w:shd w:val="clear" w:color="auto" w:fill="FFFFFF"/>
        <w:adjustRightInd w:val="0"/>
        <w:snapToGrid w:val="0"/>
        <w:spacing w:beforeAutospacing="0" w:afterAutospacing="0"/>
        <w:jc w:val="center"/>
        <w:rPr>
          <w:rFonts w:ascii="黑体" w:hAnsi="黑体" w:eastAsia="黑体" w:cs="黑体"/>
          <w:b/>
          <w:bCs/>
          <w:sz w:val="32"/>
          <w:szCs w:val="32"/>
          <w:shd w:val="clear" w:color="auto" w:fill="FFFFFF"/>
        </w:rPr>
        <w:sectPr>
          <w:pgSz w:w="11906" w:h="16838"/>
          <w:pgMar w:top="1440" w:right="1800" w:bottom="1440" w:left="1800" w:header="851" w:footer="992" w:gutter="0"/>
          <w:cols w:space="425" w:num="1"/>
          <w:docGrid w:type="lines" w:linePitch="312" w:charSpace="0"/>
        </w:sectPr>
      </w:pPr>
    </w:p>
    <w:p>
      <w:pPr>
        <w:ind w:right="-153" w:rightChars="-73"/>
        <w:jc w:val="center"/>
        <w:rPr>
          <w:rFonts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第一章　总  则</w:t>
      </w:r>
    </w:p>
    <w:p>
      <w:pPr>
        <w:pStyle w:val="6"/>
        <w:widowControl/>
        <w:shd w:val="clear" w:color="auto" w:fill="FFFFFF"/>
        <w:adjustRightInd w:val="0"/>
        <w:snapToGrid w:val="0"/>
        <w:spacing w:beforeAutospacing="0" w:afterAutospacing="0" w:line="540" w:lineRule="exact"/>
        <w:jc w:val="center"/>
        <w:rPr>
          <w:rFonts w:ascii="仿宋_GB2312" w:hAnsi="仿宋_GB2312" w:eastAsia="仿宋_GB2312" w:cs="仿宋_GB2312"/>
          <w:b/>
          <w:bCs/>
          <w:sz w:val="32"/>
          <w:szCs w:val="32"/>
          <w:shd w:val="clear" w:color="auto" w:fill="FFFFFF"/>
        </w:rPr>
      </w:pPr>
    </w:p>
    <w:p>
      <w:pPr>
        <w:pStyle w:val="6"/>
        <w:widowControl/>
        <w:shd w:val="clear" w:color="auto" w:fill="FFFFFF"/>
        <w:adjustRightInd w:val="0"/>
        <w:snapToGrid w:val="0"/>
        <w:spacing w:beforeAutospacing="0" w:afterAutospacing="0" w:line="540" w:lineRule="exact"/>
        <w:jc w:val="center"/>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第一节　前  言</w:t>
      </w:r>
    </w:p>
    <w:p>
      <w:pPr>
        <w:spacing w:line="570" w:lineRule="exact"/>
        <w:ind w:firstLine="640" w:firstLineChars="200"/>
        <w:rPr>
          <w:rFonts w:ascii="黑体" w:hAnsi="黑体" w:eastAsia="黑体" w:cs="黑体"/>
          <w:sz w:val="32"/>
          <w:szCs w:val="32"/>
        </w:rPr>
      </w:pPr>
    </w:p>
    <w:p>
      <w:pPr>
        <w:spacing w:line="570" w:lineRule="exact"/>
        <w:ind w:right="-153" w:rightChars="-73"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一、面临形势</w:t>
      </w:r>
    </w:p>
    <w:p>
      <w:pPr>
        <w:pStyle w:val="6"/>
        <w:widowControl/>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沂源县位于山东省中部，</w:t>
      </w:r>
      <w:r>
        <w:rPr>
          <w:rFonts w:hint="eastAsia" w:ascii="仿宋_GB2312" w:hAnsi="仿宋_GB2312" w:eastAsia="仿宋_GB2312" w:cs="仿宋_GB2312"/>
          <w:sz w:val="32"/>
          <w:szCs w:val="32"/>
        </w:rPr>
        <w:t>暖温带季风区域大陆性气候</w:t>
      </w:r>
      <w:r>
        <w:rPr>
          <w:rFonts w:hint="eastAsia" w:ascii="仿宋_GB2312" w:hAnsi="仿宋_GB2312" w:eastAsia="仿宋_GB2312" w:cs="仿宋_GB2312"/>
          <w:sz w:val="32"/>
          <w:szCs w:val="32"/>
          <w:shd w:val="clear" w:color="auto" w:fill="FFFFFF"/>
        </w:rPr>
        <w:t>，四季分明，县内沟壑较多，是沂河的发源地。特别是在沂河上游流域内的拦蓄工程较多，其中大、中型水库各1座，小（一）型水库20座，小（二）型92座</w:t>
      </w:r>
      <w:r>
        <w:rPr>
          <w:rFonts w:hint="eastAsia" w:ascii="仿宋_GB2312" w:hAnsi="仿宋_GB2312" w:eastAsia="仿宋_GB2312" w:cs="仿宋_GB2312"/>
          <w:sz w:val="32"/>
          <w:szCs w:val="32"/>
        </w:rPr>
        <w:t>，塘坝403座，坑塘1205个，沂河57公里的主河道建梯级橡胶坝19座，全县总宜鱼水面198</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亩。</w:t>
      </w:r>
      <w:r>
        <w:rPr>
          <w:rFonts w:hint="eastAsia" w:ascii="仿宋_GB2312" w:hAnsi="仿宋_GB2312" w:eastAsia="仿宋_GB2312" w:cs="仿宋_GB2312"/>
          <w:sz w:val="32"/>
          <w:szCs w:val="32"/>
          <w:shd w:val="clear" w:color="auto" w:fill="FFFFFF"/>
        </w:rPr>
        <w:t>具备发展规模化渔业的优良条件。除库区大水面外，县境内山泉分布广，沂河两岸傍河取水井多、为发展冷水鱼养殖提供得天独厚的自然条件。</w:t>
      </w:r>
    </w:p>
    <w:p>
      <w:pPr>
        <w:pStyle w:val="6"/>
        <w:widowControl/>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为进一步推进我县养殖水域滩涂使用权制度建设，促进我县水产养殖业持续健康发展，做好水域资源优势大文章，实现渔业跨越性发展，县人民政府出台了相关文件，明确发展水产养殖的扶持、奖励等政策。为科学、合理及充分利用丰富的水域渔业自然资源，进一步加强对我县水产养殖的规范化管理，实现水域资源的科学规划和有效配置，保持我县水产养殖业的持续健康发展，根据国家《渔业法》、农业部相关文件精神，结合我县实际，特编制本规划。</w:t>
      </w:r>
    </w:p>
    <w:p>
      <w:pPr>
        <w:spacing w:line="570" w:lineRule="exact"/>
        <w:ind w:right="-153" w:rightChars="-73"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二、编制背景</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根据《中华人民共和国渔业法》，</w:t>
      </w:r>
      <w:r>
        <w:rPr>
          <w:rFonts w:ascii="仿宋_GB2312" w:hAnsi="仿宋_GB2312" w:eastAsia="仿宋_GB2312" w:cs="仿宋_GB2312"/>
          <w:sz w:val="32"/>
          <w:szCs w:val="32"/>
        </w:rPr>
        <w:t>2016</w:t>
      </w:r>
      <w:r>
        <w:rPr>
          <w:rFonts w:hint="eastAsia" w:ascii="仿宋_GB2312" w:hAnsi="仿宋_GB2312" w:eastAsia="仿宋_GB2312" w:cs="仿宋_GB2312"/>
          <w:sz w:val="32"/>
          <w:szCs w:val="32"/>
        </w:rPr>
        <w:t>年农业部下发的《养殖水域滩涂规划编制工作规范》和《养殖水域滩涂规划编制大纲》，要求各级编制《养殖水域滩涂规划》，要求合理布局水产养殖生产，按照要求划定禁止养殖区、限制养殖区和养殖区，保护水域滩涂生态环境，设定发展底线，稳定基本养殖面积，保障渔民合法权益。长期以来，我市没有制定专项水域滩涂总体利用空间规划，这种状况已经不适应新时代渔业产业发展、渔业生产管理以及生态环境保护的需要，急需编制本规划。</w:t>
      </w:r>
    </w:p>
    <w:p>
      <w:pPr>
        <w:spacing w:line="570" w:lineRule="exact"/>
        <w:ind w:right="-153" w:rightChars="-73"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三、目的意义</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本规划以《沂源县土地利用总体规划（</w:t>
      </w:r>
      <w:r>
        <w:rPr>
          <w:rFonts w:ascii="仿宋_GB2312" w:hAnsi="仿宋_GB2312" w:eastAsia="仿宋_GB2312" w:cs="仿宋_GB2312"/>
          <w:sz w:val="32"/>
          <w:szCs w:val="32"/>
        </w:rPr>
        <w:t>2006-2020</w:t>
      </w:r>
      <w:r>
        <w:rPr>
          <w:rFonts w:hint="eastAsia" w:ascii="仿宋_GB2312" w:hAnsi="仿宋_GB2312" w:eastAsia="仿宋_GB2312" w:cs="仿宋_GB2312"/>
          <w:sz w:val="32"/>
          <w:szCs w:val="32"/>
        </w:rPr>
        <w:t>年）》、《山东省生态保护红线规划（</w:t>
      </w:r>
      <w:r>
        <w:rPr>
          <w:rFonts w:ascii="仿宋_GB2312" w:hAnsi="仿宋_GB2312" w:eastAsia="仿宋_GB2312" w:cs="仿宋_GB2312"/>
          <w:sz w:val="32"/>
          <w:szCs w:val="32"/>
        </w:rPr>
        <w:t>2016-2020</w:t>
      </w:r>
      <w:r>
        <w:rPr>
          <w:rFonts w:hint="eastAsia" w:ascii="仿宋_GB2312" w:hAnsi="仿宋_GB2312" w:eastAsia="仿宋_GB2312" w:cs="仿宋_GB2312"/>
          <w:sz w:val="32"/>
          <w:szCs w:val="32"/>
        </w:rPr>
        <w:t>）》和国家有关法律、法规为依据，在充分开展养殖水域滩涂资源调查的基础上，通过科学分析资源禀赋和环境承载能力，制定指导、规范产业发展的科学空间规划。本规划一经发布，一切利用水域滩涂从事水产养殖的行为必须遵守，确保产业发展规范有序，保障有效供给安全、环境生态安全和产品质量安全，实现渔业提质增效、减量增收、绿色发展、富裕渔民的发展总目标，为渔业在乡村振兴战略中的发挥积极作用奠定坚实的规划基础。</w:t>
      </w:r>
    </w:p>
    <w:p>
      <w:pPr>
        <w:widowControl/>
        <w:jc w:val="left"/>
        <w:rPr>
          <w:rFonts w:ascii="仿宋_GB2312" w:hAnsi="仿宋_GB2312" w:eastAsia="仿宋_GB2312" w:cs="仿宋_GB2312"/>
          <w:kern w:val="0"/>
          <w:sz w:val="32"/>
          <w:szCs w:val="32"/>
          <w:shd w:val="clear" w:color="auto" w:fill="FFFFFF"/>
        </w:rPr>
      </w:pPr>
      <w:r>
        <w:rPr>
          <w:rFonts w:ascii="仿宋_GB2312" w:hAnsi="仿宋_GB2312" w:eastAsia="仿宋_GB2312" w:cs="仿宋_GB2312"/>
          <w:sz w:val="32"/>
          <w:szCs w:val="32"/>
          <w:shd w:val="clear" w:color="auto" w:fill="FFFFFF"/>
        </w:rPr>
        <w:br w:type="page"/>
      </w:r>
    </w:p>
    <w:p>
      <w:pPr>
        <w:pStyle w:val="6"/>
        <w:widowControl/>
        <w:shd w:val="clear" w:color="auto" w:fill="FFFFFF"/>
        <w:adjustRightInd w:val="0"/>
        <w:snapToGrid w:val="0"/>
        <w:spacing w:beforeAutospacing="0" w:afterAutospacing="0" w:line="540" w:lineRule="exact"/>
        <w:jc w:val="center"/>
        <w:rPr>
          <w:rFonts w:ascii="黑体" w:hAnsi="黑体" w:eastAsia="黑体" w:cs="黑体"/>
          <w:sz w:val="32"/>
          <w:szCs w:val="32"/>
          <w:shd w:val="clear" w:color="auto" w:fill="FFFFFF"/>
        </w:rPr>
      </w:pPr>
      <w:r>
        <w:rPr>
          <w:rFonts w:hint="eastAsia" w:ascii="黑体" w:hAnsi="黑体" w:eastAsia="黑体" w:cs="黑体"/>
          <w:b/>
          <w:bCs/>
          <w:sz w:val="32"/>
          <w:szCs w:val="32"/>
          <w:shd w:val="clear" w:color="auto" w:fill="FFFFFF"/>
        </w:rPr>
        <w:t>第二节　养殖水域滩涂规划依据</w:t>
      </w:r>
    </w:p>
    <w:p>
      <w:pPr>
        <w:spacing w:line="570" w:lineRule="exact"/>
        <w:ind w:right="-153" w:rightChars="-73" w:firstLine="640" w:firstLineChars="200"/>
        <w:rPr>
          <w:rFonts w:hint="eastAsia" w:ascii="仿宋_GB2312" w:hAnsi="仿宋_GB2312" w:eastAsia="仿宋_GB2312" w:cs="仿宋_GB2312"/>
          <w:b/>
          <w:bCs/>
          <w:sz w:val="32"/>
          <w:szCs w:val="32"/>
        </w:rPr>
      </w:pPr>
    </w:p>
    <w:p>
      <w:pPr>
        <w:spacing w:line="570" w:lineRule="exact"/>
        <w:ind w:right="-153" w:rightChars="-73" w:firstLine="640"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一、</w:t>
      </w:r>
      <w:r>
        <w:rPr>
          <w:rFonts w:hint="eastAsia" w:ascii="仿宋_GB2312" w:hAnsi="仿宋_GB2312" w:eastAsia="仿宋_GB2312" w:cs="仿宋_GB2312"/>
          <w:b/>
          <w:bCs/>
          <w:sz w:val="32"/>
          <w:szCs w:val="32"/>
          <w:lang w:eastAsia="zh-CN"/>
        </w:rPr>
        <w:t>规划编制依据</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《中华人民共和国渔业法》</w:t>
      </w:r>
      <w:r>
        <w:rPr>
          <w:rFonts w:hint="eastAsia" w:ascii="仿宋_GB2312" w:hAnsi="仿宋_GB2312" w:eastAsia="仿宋_GB2312" w:cs="仿宋_GB2312"/>
          <w:sz w:val="32"/>
          <w:szCs w:val="32"/>
          <w:lang w:eastAsia="zh-CN"/>
        </w:rPr>
        <w:t>（中</w:t>
      </w:r>
      <w:r>
        <w:rPr>
          <w:rFonts w:hint="eastAsia" w:ascii="仿宋_GB2312" w:hAnsi="仿宋_GB2312" w:eastAsia="仿宋_GB2312" w:cs="仿宋_GB2312"/>
          <w:sz w:val="32"/>
          <w:szCs w:val="32"/>
        </w:rPr>
        <w:t>华人民共和国第十届全国人民代表大会常务委员会第十一次会议于２００４年８月２８日通过</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《中华人民共和国土地管理法》</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1988年12月29日第七届全国人民代表大会常务委员会第五次会议修正</w:t>
      </w:r>
      <w:r>
        <w:rPr>
          <w:rFonts w:hint="eastAsia" w:ascii="仿宋_GB2312" w:hAnsi="仿宋_GB2312" w:eastAsia="仿宋_GB2312" w:cs="仿宋_GB2312"/>
          <w:sz w:val="32"/>
          <w:szCs w:val="32"/>
          <w:lang w:val="en-US" w:eastAsia="zh-CN"/>
        </w:rPr>
        <w:t>通过</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 xml:space="preserve"> </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《中华人民共和国水法》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2016年7月2日第十二届全国人民代表大会常务委员会第二十一次会议修改</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《中华人民共和国水污染防治法》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2017年6月27日第十二届全国人民代表大会常务委员会第二十八次会议修正</w:t>
      </w:r>
      <w:r>
        <w:rPr>
          <w:rFonts w:hint="eastAsia" w:ascii="仿宋_GB2312" w:hAnsi="仿宋_GB2312" w:eastAsia="仿宋_GB2312" w:cs="仿宋_GB2312"/>
          <w:sz w:val="32"/>
          <w:szCs w:val="32"/>
          <w:lang w:eastAsia="zh-CN"/>
        </w:rPr>
        <w:t>通过）；</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《中华人民共和国农产品质量安全法》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第十届</w:t>
      </w:r>
      <w:r>
        <w:rPr>
          <w:rFonts w:hint="default" w:ascii="仿宋_GB2312" w:hAnsi="仿宋_GB2312" w:eastAsia="仿宋_GB2312" w:cs="仿宋_GB2312"/>
          <w:sz w:val="32"/>
          <w:szCs w:val="32"/>
        </w:rPr>
        <w:fldChar w:fldCharType="begin"/>
      </w:r>
      <w:r>
        <w:rPr>
          <w:rFonts w:hint="default" w:ascii="仿宋_GB2312" w:hAnsi="仿宋_GB2312" w:eastAsia="仿宋_GB2312" w:cs="仿宋_GB2312"/>
          <w:sz w:val="32"/>
          <w:szCs w:val="32"/>
        </w:rPr>
        <w:instrText xml:space="preserve"> HYPERLINK "https://baike.baidu.com/item/%E5%85%A8%E5%9B%BD%E4%BA%BA%E6%B0%91%E4%BB%A3%E8%A1%A8%E5%A4%A7%E4%BC%9A%E5%B8%B8%E5%8A%A1%E5%A7%94%E5%91%98%E4%BC%9A" \t "https://baike.baidu.com/item/%E4%B8%AD%E5%8D%8E%E4%BA%BA%E6%B0%91%E5%85%B1%E5%92%8C%E5%9B%BD%E5%86%9C%E4%BA%A7%E5%93%81%E8%B4%A8%E9%87%8F%E5%AE%89%E5%85%A8%E6%B3%95/_blank" </w:instrText>
      </w:r>
      <w:r>
        <w:rPr>
          <w:rFonts w:hint="default" w:ascii="仿宋_GB2312" w:hAnsi="仿宋_GB2312" w:eastAsia="仿宋_GB2312" w:cs="仿宋_GB2312"/>
          <w:sz w:val="32"/>
          <w:szCs w:val="32"/>
        </w:rPr>
        <w:fldChar w:fldCharType="separate"/>
      </w:r>
      <w:r>
        <w:rPr>
          <w:rFonts w:hint="default" w:ascii="仿宋_GB2312" w:hAnsi="仿宋_GB2312" w:eastAsia="仿宋_GB2312" w:cs="仿宋_GB2312"/>
          <w:sz w:val="32"/>
          <w:szCs w:val="32"/>
        </w:rPr>
        <w:t>全国人民代表大会常务委员会</w:t>
      </w:r>
      <w:r>
        <w:rPr>
          <w:rFonts w:hint="default" w:ascii="仿宋_GB2312" w:hAnsi="仿宋_GB2312" w:eastAsia="仿宋_GB2312" w:cs="仿宋_GB2312"/>
          <w:sz w:val="32"/>
          <w:szCs w:val="32"/>
        </w:rPr>
        <w:fldChar w:fldCharType="end"/>
      </w:r>
      <w:r>
        <w:rPr>
          <w:rFonts w:hint="default" w:ascii="仿宋_GB2312" w:hAnsi="仿宋_GB2312" w:eastAsia="仿宋_GB2312" w:cs="仿宋_GB2312"/>
          <w:sz w:val="32"/>
          <w:szCs w:val="32"/>
        </w:rPr>
        <w:t>第二十一次会议于2006年4月29日通过</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《中华人民共和国渔业法实施细则》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1987年10月20日农牧渔业部发布</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《水产养殖质量安全管理规定》中华人民共和国农业部令第</w:t>
      </w:r>
      <w:r>
        <w:rPr>
          <w:rFonts w:hint="default" w:ascii="仿宋_GB2312" w:hAnsi="仿宋_GB2312" w:eastAsia="仿宋_GB2312" w:cs="仿宋_GB2312"/>
          <w:sz w:val="32"/>
          <w:szCs w:val="32"/>
          <w:lang w:val="en-US"/>
        </w:rPr>
        <w:t>31</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《国务院关于促进海洋渔业持续健康发展的若干意见》（国发﹝2013﹞11号）</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《中共中央国务院关于加快推进生态文明建设的意见》（中发﹝2015﹞12号）</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《农业部关于加快推进渔业转方式调结构的指导意见》（农渔发﹝2016﹞1号）</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农业部关于印发《养殖水域滩涂规划编制工作规范》和《养殖水域滩涂规划编制大纲》的通知（农渔发〔2016〕39号）</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《国务院关于印发水污染防治行动计划的通知》（国发﹝2015﹞17号）</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《山东省实施&lt;中华人民共和国渔业法&gt;办法》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2018年1月23日山东省第十二届人民代表大会常务委员会第三十五次会议第三次修正</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《山东省国有渔业养殖水域滩涂使用管理办法》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011年2月26日省政府第94次常务会议通过</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《山东省水污染防治条例》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2000.12）；</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《山东省环境保护条例》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2001年12月7日第九届山东省人民代表大会常务委员会第二十四次会议修正</w:t>
      </w:r>
      <w:r>
        <w:rPr>
          <w:rFonts w:hint="eastAsia" w:ascii="仿宋_GB2312" w:hAnsi="仿宋_GB2312" w:eastAsia="仿宋_GB2312" w:cs="仿宋_GB2312"/>
          <w:sz w:val="32"/>
          <w:szCs w:val="32"/>
          <w:lang w:eastAsia="zh-CN"/>
        </w:rPr>
        <w:t>通过）；</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《山东省水资源条例》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2017年9月30日山东省第十二届人民代表大会常务委员会第三十二次会议通过</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《山东省渔业资源保护办法》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2002年6月12日省政府第25次常务会议通过</w:t>
      </w:r>
      <w:r>
        <w:rPr>
          <w:rFonts w:hint="eastAsia" w:ascii="仿宋_GB2312" w:hAnsi="仿宋_GB2312" w:eastAsia="仿宋_GB2312" w:cs="仿宋_GB2312"/>
          <w:sz w:val="32"/>
          <w:szCs w:val="32"/>
          <w:lang w:eastAsia="zh-CN"/>
        </w:rPr>
        <w:t>）；</w:t>
      </w:r>
    </w:p>
    <w:p>
      <w:pPr>
        <w:spacing w:line="570" w:lineRule="exact"/>
        <w:ind w:right="-153" w:rightChars="-73"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《山东省生态保护红线规划</w:t>
      </w:r>
      <w:r>
        <w:rPr>
          <w:rFonts w:ascii="仿宋_GB2312" w:hAnsi="仿宋_GB2312" w:eastAsia="仿宋_GB2312" w:cs="仿宋_GB2312"/>
          <w:sz w:val="32"/>
          <w:szCs w:val="32"/>
        </w:rPr>
        <w:t>(2016-2020</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《沂源县现代渔业规划2011-2020》；</w:t>
      </w:r>
    </w:p>
    <w:p>
      <w:pPr>
        <w:pStyle w:val="6"/>
        <w:widowControl/>
        <w:shd w:val="clear" w:color="auto" w:fill="FFFFFF"/>
        <w:adjustRightInd w:val="0"/>
        <w:snapToGrid w:val="0"/>
        <w:spacing w:beforeAutospacing="0" w:afterAutospacing="0" w:line="57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《沂源县大、中型水库保护管理条例》（2010.5）；</w:t>
      </w:r>
      <w:r>
        <w:rPr>
          <w:rFonts w:hint="eastAsia" w:ascii="仿宋_GB2312" w:hAnsi="仿宋_GB2312" w:eastAsia="仿宋_GB2312" w:cs="仿宋_GB2312"/>
          <w:sz w:val="32"/>
          <w:szCs w:val="32"/>
          <w:shd w:val="clear" w:color="auto" w:fill="FFFFFF"/>
        </w:rPr>
        <w:br w:type="textWrapping"/>
      </w:r>
    </w:p>
    <w:p>
      <w:pPr>
        <w:pStyle w:val="6"/>
        <w:widowControl/>
        <w:shd w:val="clear" w:color="auto" w:fill="FFFFFF"/>
        <w:adjustRightInd w:val="0"/>
        <w:snapToGrid w:val="0"/>
        <w:spacing w:beforeAutospacing="0" w:afterAutospacing="0" w:line="570" w:lineRule="exact"/>
        <w:ind w:firstLine="640" w:firstLineChars="200"/>
        <w:rPr>
          <w:rFonts w:hint="eastAsia" w:ascii="仿宋_GB2312" w:hAnsi="仿宋_GB2312" w:eastAsia="仿宋_GB2312" w:cs="仿宋_GB2312"/>
          <w:sz w:val="32"/>
          <w:szCs w:val="32"/>
          <w:shd w:val="clear" w:color="auto" w:fill="FFFFFF"/>
        </w:rPr>
      </w:pPr>
    </w:p>
    <w:p>
      <w:pPr>
        <w:pStyle w:val="6"/>
        <w:widowControl/>
        <w:shd w:val="clear" w:color="auto" w:fill="FFFFFF"/>
        <w:adjustRightInd w:val="0"/>
        <w:snapToGrid w:val="0"/>
        <w:spacing w:beforeAutospacing="0" w:afterAutospacing="0" w:line="570" w:lineRule="exact"/>
        <w:ind w:firstLine="640" w:firstLineChars="200"/>
        <w:rPr>
          <w:rFonts w:hint="eastAsia" w:ascii="仿宋_GB2312" w:hAnsi="仿宋_GB2312" w:eastAsia="仿宋_GB2312" w:cs="仿宋_GB2312"/>
          <w:sz w:val="32"/>
          <w:szCs w:val="32"/>
          <w:shd w:val="clear" w:color="auto" w:fill="FFFFFF"/>
        </w:rPr>
      </w:pPr>
    </w:p>
    <w:p>
      <w:pPr>
        <w:pStyle w:val="6"/>
        <w:widowControl/>
        <w:shd w:val="clear" w:color="auto" w:fill="FFFFFF"/>
        <w:adjustRightInd w:val="0"/>
        <w:snapToGrid w:val="0"/>
        <w:spacing w:beforeAutospacing="0" w:afterAutospacing="0" w:line="540" w:lineRule="exact"/>
        <w:jc w:val="center"/>
        <w:rPr>
          <w:rFonts w:ascii="黑体" w:hAnsi="黑体" w:eastAsia="黑体" w:cs="黑体"/>
          <w:sz w:val="32"/>
          <w:szCs w:val="32"/>
          <w:shd w:val="clear" w:color="auto" w:fill="FFFFFF"/>
        </w:rPr>
      </w:pPr>
      <w:r>
        <w:rPr>
          <w:rFonts w:hint="eastAsia" w:ascii="黑体" w:hAnsi="黑体" w:eastAsia="黑体" w:cs="黑体"/>
          <w:b/>
          <w:bCs/>
          <w:sz w:val="32"/>
          <w:szCs w:val="32"/>
          <w:shd w:val="clear" w:color="auto" w:fill="FFFFFF"/>
        </w:rPr>
        <w:t>第三节　目标任务</w:t>
      </w:r>
    </w:p>
    <w:p>
      <w:pPr>
        <w:spacing w:line="570" w:lineRule="exact"/>
        <w:ind w:right="-153" w:rightChars="-73" w:firstLine="640" w:firstLineChars="200"/>
        <w:jc w:val="left"/>
        <w:rPr>
          <w:rFonts w:ascii="黑体" w:hAnsi="黑体" w:eastAsia="黑体" w:cs="黑体"/>
          <w:sz w:val="32"/>
          <w:szCs w:val="32"/>
        </w:rPr>
      </w:pP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一、规划期限</w:t>
      </w: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本规划期自</w:t>
      </w:r>
      <w:r>
        <w:rPr>
          <w:rFonts w:ascii="仿宋_GB2312" w:hAnsi="仿宋_GB2312" w:eastAsia="仿宋_GB2312" w:cs="仿宋_GB2312"/>
          <w:sz w:val="32"/>
          <w:szCs w:val="32"/>
        </w:rPr>
        <w:t>2017</w:t>
      </w:r>
      <w:r>
        <w:rPr>
          <w:rFonts w:hint="eastAsia" w:ascii="仿宋_GB2312" w:hAnsi="仿宋_GB2312" w:eastAsia="仿宋_GB2312" w:cs="仿宋_GB2312"/>
          <w:sz w:val="32"/>
          <w:szCs w:val="32"/>
        </w:rPr>
        <w:t>年至</w:t>
      </w:r>
      <w:r>
        <w:rPr>
          <w:rFonts w:ascii="仿宋_GB2312" w:hAnsi="仿宋_GB2312" w:eastAsia="仿宋_GB2312" w:cs="仿宋_GB2312"/>
          <w:sz w:val="32"/>
          <w:szCs w:val="32"/>
        </w:rPr>
        <w:t>2030</w:t>
      </w:r>
      <w:r>
        <w:rPr>
          <w:rFonts w:hint="eastAsia" w:ascii="仿宋_GB2312" w:hAnsi="仿宋_GB2312" w:eastAsia="仿宋_GB2312" w:cs="仿宋_GB2312"/>
          <w:sz w:val="32"/>
          <w:szCs w:val="32"/>
        </w:rPr>
        <w:t>年，基准年</w:t>
      </w:r>
      <w:r>
        <w:rPr>
          <w:rFonts w:ascii="仿宋_GB2312" w:hAnsi="仿宋_GB2312" w:eastAsia="仿宋_GB2312" w:cs="仿宋_GB2312"/>
          <w:sz w:val="32"/>
          <w:szCs w:val="32"/>
        </w:rPr>
        <w:t>2016</w:t>
      </w:r>
      <w:r>
        <w:rPr>
          <w:rFonts w:hint="eastAsia" w:ascii="仿宋_GB2312" w:hAnsi="仿宋_GB2312" w:eastAsia="仿宋_GB2312" w:cs="仿宋_GB2312"/>
          <w:sz w:val="32"/>
          <w:szCs w:val="32"/>
        </w:rPr>
        <w:t>年。</w:t>
      </w: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二、规划目标</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atLeast"/>
        <w:ind w:left="0" w:leftChars="0" w:right="0" w:rightChars="0" w:firstLine="620" w:firstLineChars="200"/>
        <w:jc w:val="both"/>
        <w:textAlignment w:val="auto"/>
        <w:outlineLvl w:val="9"/>
        <w:rPr>
          <w:rFonts w:hint="eastAsia" w:ascii="仿宋_GB2312" w:hAnsi="仿宋_GB2312" w:eastAsia="仿宋_GB2312" w:cs="仿宋_GB2312"/>
          <w:spacing w:val="-5"/>
          <w:sz w:val="32"/>
          <w:szCs w:val="32"/>
          <w:shd w:val="clear" w:color="auto" w:fill="FFFFFF"/>
        </w:rPr>
      </w:pPr>
      <w:r>
        <w:rPr>
          <w:rFonts w:hint="eastAsia" w:ascii="仿宋_GB2312" w:hAnsi="仿宋_GB2312" w:eastAsia="仿宋_GB2312" w:cs="仿宋_GB2312"/>
          <w:spacing w:val="-5"/>
          <w:sz w:val="32"/>
          <w:szCs w:val="32"/>
          <w:shd w:val="clear" w:color="auto" w:fill="FFFFFF"/>
        </w:rPr>
        <w:t>到 2030 年，对水产养殖产业的供给侧结构性改革取得突破，生态养殖取得较大发展，实现空间规划布局合理，各类资源节约环境友好型养殖模式。基本建成与资源环境相协调、监管能力相配套、发展水平相适应的绿色生态 水产养殖产业格局。</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atLeast"/>
        <w:ind w:left="0" w:leftChars="0" w:right="0" w:rightChars="0" w:firstLine="620" w:firstLineChars="200"/>
        <w:jc w:val="both"/>
        <w:textAlignment w:val="auto"/>
        <w:outlineLvl w:val="9"/>
        <w:rPr>
          <w:rFonts w:hint="default" w:ascii="仿宋_GB2312" w:hAnsi="仿宋_GB2312" w:eastAsia="仿宋_GB2312" w:cs="仿宋_GB2312"/>
          <w:spacing w:val="-5"/>
          <w:sz w:val="32"/>
          <w:szCs w:val="32"/>
          <w:shd w:val="clear" w:color="auto" w:fill="FFFFFF"/>
        </w:rPr>
      </w:pPr>
      <w:r>
        <w:rPr>
          <w:rFonts w:hint="eastAsia" w:ascii="仿宋_GB2312" w:hAnsi="仿宋_GB2312" w:eastAsia="仿宋_GB2312" w:cs="仿宋_GB2312"/>
          <w:spacing w:val="-5"/>
          <w:sz w:val="32"/>
          <w:szCs w:val="32"/>
          <w:shd w:val="clear" w:color="auto" w:fill="FFFFFF"/>
          <w:lang w:val="en-US" w:eastAsia="zh-CN"/>
        </w:rPr>
        <w:t>具体目标为：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atLeast"/>
        <w:ind w:left="0" w:leftChars="0" w:right="0" w:rightChars="0" w:firstLine="620" w:firstLineChars="200"/>
        <w:jc w:val="both"/>
        <w:textAlignment w:val="auto"/>
        <w:outlineLvl w:val="9"/>
        <w:rPr>
          <w:rFonts w:hint="default" w:ascii="仿宋_GB2312" w:hAnsi="仿宋_GB2312" w:eastAsia="仿宋_GB2312" w:cs="仿宋_GB2312"/>
          <w:spacing w:val="-5"/>
          <w:sz w:val="32"/>
          <w:szCs w:val="32"/>
          <w:shd w:val="clear" w:color="auto" w:fill="FFFFFF"/>
        </w:rPr>
      </w:pPr>
      <w:r>
        <w:rPr>
          <w:rFonts w:hint="eastAsia" w:ascii="仿宋_GB2312" w:hAnsi="仿宋_GB2312" w:eastAsia="仿宋_GB2312" w:cs="仿宋_GB2312"/>
          <w:spacing w:val="-5"/>
          <w:sz w:val="32"/>
          <w:szCs w:val="32"/>
          <w:shd w:val="clear" w:color="auto" w:fill="FFFFFF"/>
          <w:lang w:val="en-US" w:eastAsia="zh-CN"/>
        </w:rPr>
        <w:t>到2025年全县水产工厂化养殖面积发展到24</w:t>
      </w:r>
      <w:r>
        <w:rPr>
          <w:rFonts w:hint="default" w:ascii="仿宋_GB2312" w:hAnsi="仿宋_GB2312" w:eastAsia="仿宋_GB2312" w:cs="仿宋_GB2312"/>
          <w:spacing w:val="-5"/>
          <w:sz w:val="32"/>
          <w:szCs w:val="32"/>
          <w:shd w:val="clear" w:color="auto" w:fill="FFFFFF"/>
          <w:lang w:val="en-US" w:eastAsia="zh-CN"/>
        </w:rPr>
        <w:t>亩</w:t>
      </w:r>
      <w:r>
        <w:rPr>
          <w:rFonts w:hint="eastAsia" w:ascii="仿宋_GB2312" w:hAnsi="仿宋_GB2312" w:eastAsia="仿宋_GB2312" w:cs="仿宋_GB2312"/>
          <w:spacing w:val="-5"/>
          <w:sz w:val="32"/>
          <w:szCs w:val="32"/>
          <w:shd w:val="clear" w:color="auto" w:fill="FFFFFF"/>
          <w:lang w:val="en-US" w:eastAsia="zh-CN"/>
        </w:rPr>
        <w:t>，鱼藕混养面积达到250</w:t>
      </w:r>
      <w:r>
        <w:rPr>
          <w:rFonts w:hint="default" w:ascii="仿宋_GB2312" w:hAnsi="仿宋_GB2312" w:eastAsia="仿宋_GB2312" w:cs="仿宋_GB2312"/>
          <w:spacing w:val="-5"/>
          <w:sz w:val="32"/>
          <w:szCs w:val="32"/>
          <w:shd w:val="clear" w:color="auto" w:fill="FFFFFF"/>
          <w:lang w:val="en-US" w:eastAsia="zh-CN"/>
        </w:rPr>
        <w:t>亩</w:t>
      </w:r>
      <w:r>
        <w:rPr>
          <w:rFonts w:hint="eastAsia" w:ascii="仿宋_GB2312" w:hAnsi="仿宋_GB2312" w:eastAsia="仿宋_GB2312" w:cs="仿宋_GB2312"/>
          <w:spacing w:val="-5"/>
          <w:sz w:val="32"/>
          <w:szCs w:val="32"/>
          <w:shd w:val="clear" w:color="auto" w:fill="FFFFFF"/>
          <w:lang w:val="en-US"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atLeast"/>
        <w:ind w:left="0" w:leftChars="0" w:right="0" w:rightChars="0" w:firstLine="620" w:firstLineChars="200"/>
        <w:jc w:val="both"/>
        <w:textAlignment w:val="auto"/>
        <w:outlineLvl w:val="9"/>
        <w:rPr>
          <w:rFonts w:hint="default" w:ascii="仿宋_GB2312" w:hAnsi="仿宋_GB2312" w:eastAsia="仿宋_GB2312" w:cs="仿宋_GB2312"/>
          <w:spacing w:val="-5"/>
          <w:sz w:val="32"/>
          <w:szCs w:val="32"/>
          <w:shd w:val="clear" w:color="auto" w:fill="FFFFFF"/>
        </w:rPr>
      </w:pPr>
      <w:r>
        <w:rPr>
          <w:rFonts w:hint="eastAsia" w:ascii="仿宋_GB2312" w:hAnsi="仿宋_GB2312" w:eastAsia="仿宋_GB2312" w:cs="仿宋_GB2312"/>
          <w:spacing w:val="-5"/>
          <w:sz w:val="32"/>
          <w:szCs w:val="32"/>
          <w:shd w:val="clear" w:color="auto" w:fill="FFFFFF"/>
          <w:lang w:val="en-US" w:eastAsia="zh-CN"/>
        </w:rPr>
        <w:t>到2030年全县工厂化养殖面积发展到44亩，鱼藕混养面积达到550亩。</w:t>
      </w:r>
    </w:p>
    <w:p>
      <w:pPr>
        <w:pStyle w:val="3"/>
        <w:keepNext w:val="0"/>
        <w:keepLines w:val="0"/>
        <w:pageBreakBefore w:val="0"/>
        <w:kinsoku/>
        <w:wordWrap/>
        <w:overflowPunct/>
        <w:topLinePunct w:val="0"/>
        <w:autoSpaceDE/>
        <w:autoSpaceDN/>
        <w:bidi w:val="0"/>
        <w:adjustRightInd/>
        <w:snapToGrid/>
        <w:spacing w:line="570" w:lineRule="exact"/>
        <w:ind w:left="0" w:leftChars="0" w:right="0" w:rightChars="0" w:firstLine="620" w:firstLineChars="200"/>
        <w:jc w:val="both"/>
        <w:textAlignment w:val="auto"/>
        <w:outlineLvl w:val="9"/>
        <w:rPr>
          <w:rFonts w:ascii="仿宋_GB2312" w:hAnsi="仿宋_GB2312" w:eastAsia="仿宋_GB2312" w:cs="仿宋_GB2312"/>
          <w:spacing w:val="-5"/>
          <w:sz w:val="32"/>
          <w:szCs w:val="32"/>
          <w:shd w:val="clear" w:color="auto" w:fill="FFFFFF"/>
        </w:rPr>
      </w:pP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三、重点任务</w:t>
      </w: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、综合考量，科学划定三区。通过调查评价，综合考量环保、水利、林业、统计等部门意见，科学划定三区，突出空间规划的宗旨，为水产养殖业绿色、协调、可持续发展提供制度保障，实现依法管控。</w:t>
      </w: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推进水产养殖产业新旧动能转换。引导传统养殖池塘进行生态化改造，提升水产养殖集约化、标准化和产业化、现代化发展水平。以培育新型渔业经营主体为载体，重点推广符合绿色发展要求的生态、高效、健康养殖模式和技术。推进规模化养殖场的养殖尾水净化处理配套设施改造，实现养殖尾水达标排放和水产养殖业绿色发展。</w:t>
      </w:r>
    </w:p>
    <w:p>
      <w:pPr>
        <w:keepNext w:val="0"/>
        <w:keepLines w:val="0"/>
        <w:pageBreakBefore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加强水域生态环境保护。开展渔业资源养护，加强水域生态环境保护，推进水域生态文明建设。根据水域生态环境、资源状况，合理确定渔业资源增殖放流区，科学安排增殖放流品种和规模，以鱼养水，保护生态。坚持水产养殖绿色本色，调控水域滩涂开发利用对生态环境的影响。</w:t>
      </w:r>
    </w:p>
    <w:p>
      <w:pPr>
        <w:spacing w:line="570" w:lineRule="exact"/>
        <w:ind w:right="-153" w:rightChars="-73" w:firstLine="640" w:firstLineChars="200"/>
        <w:jc w:val="left"/>
        <w:rPr>
          <w:rFonts w:ascii="仿宋_GB2312" w:hAnsi="仿宋_GB2312" w:eastAsia="仿宋_GB2312" w:cs="仿宋_GB2312"/>
          <w:sz w:val="32"/>
          <w:szCs w:val="32"/>
        </w:rPr>
      </w:pPr>
    </w:p>
    <w:p>
      <w:pPr>
        <w:pStyle w:val="6"/>
        <w:widowControl/>
        <w:numPr>
          <w:ilvl w:val="0"/>
          <w:numId w:val="1"/>
        </w:numPr>
        <w:shd w:val="clear" w:color="auto" w:fill="FFFFFF"/>
        <w:adjustRightInd w:val="0"/>
        <w:snapToGrid w:val="0"/>
        <w:spacing w:beforeAutospacing="0" w:afterAutospacing="0" w:line="540" w:lineRule="exact"/>
        <w:jc w:val="center"/>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　基本原则</w:t>
      </w:r>
    </w:p>
    <w:p>
      <w:pPr>
        <w:pStyle w:val="6"/>
        <w:widowControl/>
        <w:shd w:val="clear" w:color="auto" w:fill="FFFFFF"/>
        <w:adjustRightInd w:val="0"/>
        <w:snapToGrid w:val="0"/>
        <w:spacing w:beforeAutospacing="0" w:afterAutospacing="0" w:line="540" w:lineRule="exact"/>
        <w:jc w:val="both"/>
        <w:rPr>
          <w:rFonts w:ascii="仿宋_GB2312" w:hAnsi="仿宋_GB2312" w:eastAsia="仿宋_GB2312" w:cs="仿宋_GB2312"/>
          <w:b/>
          <w:bCs/>
          <w:sz w:val="32"/>
          <w:szCs w:val="32"/>
          <w:shd w:val="clear" w:color="auto" w:fill="FFFFFF"/>
        </w:rPr>
      </w:pP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70" w:lineRule="exact"/>
        <w:ind w:left="0" w:leftChars="0" w:right="0" w:rightChars="0"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（一）尊重历史，照顾现实的原则，将已养殖的水域纳入规划。</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70" w:lineRule="exact"/>
        <w:ind w:left="0" w:leftChars="0" w:right="0" w:rightChars="0"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（二）一次规划，分步实施的原则。</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70" w:lineRule="exact"/>
        <w:ind w:left="0" w:leftChars="0" w:right="0" w:rightChars="0"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（三）开发和保护相结合的原则。根据现有的水域资源分布状况将水产资源丰富的水域确定为养殖发展的重要水域，在保护的基础上进行开发，以开发促发展，使养殖生产的数量、环境容量和养殖容量和谐发展。</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70" w:lineRule="exact"/>
        <w:ind w:left="0" w:leftChars="0" w:right="0" w:rightChars="0"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（四）因地制宜，发挥优势的原则。根据现有的自然、经济、社会、技术等条件和特点，因地制宜地进行养殖布局，体现区域特点，发挥地方水域资源优势。</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70" w:lineRule="exact"/>
        <w:ind w:left="0" w:leftChars="0" w:right="0" w:rightChars="0" w:firstLine="640" w:firstLineChars="200"/>
        <w:jc w:val="left"/>
        <w:textAlignment w:val="auto"/>
        <w:outlineLvl w:val="9"/>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（五）规划与调整相结合的原则。通过规划的实施，对不符合区域布局的养殖场所进行调整，做到水域使用功能明确，产业布局更合理。</w:t>
      </w:r>
    </w:p>
    <w:p>
      <w:pPr>
        <w:pStyle w:val="6"/>
        <w:widowControl/>
        <w:shd w:val="clear" w:color="auto" w:fill="FFFFFF"/>
        <w:adjustRightInd w:val="0"/>
        <w:snapToGrid w:val="0"/>
        <w:spacing w:beforeAutospacing="0" w:afterAutospacing="0" w:line="540" w:lineRule="exact"/>
        <w:ind w:firstLine="640" w:firstLineChars="200"/>
        <w:rPr>
          <w:rFonts w:ascii="仿宋_GB2312" w:hAnsi="仿宋_GB2312" w:eastAsia="仿宋_GB2312" w:cs="仿宋_GB2312"/>
          <w:sz w:val="32"/>
          <w:szCs w:val="32"/>
          <w:shd w:val="clear" w:color="auto" w:fill="FFFFFF"/>
        </w:rPr>
      </w:pPr>
    </w:p>
    <w:p>
      <w:pPr>
        <w:ind w:right="-153" w:rightChars="-73"/>
        <w:jc w:val="center"/>
        <w:rPr>
          <w:rFonts w:ascii="黑体" w:hAnsi="黑体" w:eastAsia="黑体" w:cs="黑体"/>
          <w:b/>
          <w:bCs/>
          <w:sz w:val="32"/>
          <w:szCs w:val="32"/>
        </w:rPr>
      </w:pPr>
      <w:r>
        <w:rPr>
          <w:rFonts w:hint="eastAsia" w:ascii="黑体" w:hAnsi="黑体" w:eastAsia="黑体" w:cs="黑体"/>
          <w:b/>
          <w:bCs/>
          <w:sz w:val="32"/>
          <w:szCs w:val="32"/>
        </w:rPr>
        <w:t>第五节　规划范围</w:t>
      </w:r>
    </w:p>
    <w:p>
      <w:pPr>
        <w:ind w:right="-153" w:rightChars="-73"/>
        <w:jc w:val="center"/>
        <w:rPr>
          <w:rFonts w:ascii="黑体" w:hAnsi="黑体" w:eastAsia="黑体" w:cs="黑体"/>
          <w:b/>
          <w:bCs/>
          <w:sz w:val="32"/>
          <w:szCs w:val="32"/>
        </w:rPr>
      </w:pPr>
    </w:p>
    <w:p>
      <w:pPr>
        <w:spacing w:line="570" w:lineRule="exact"/>
        <w:ind w:right="-153" w:rightChars="-73"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规划中的养殖水域滩涂是指沂源县行政区域内，已经进行水产养殖开发利用和目前尚未开发但适于水产养殖开发利用的所有（全民、集体）水域和滩涂。本规划具体水域滩涂类型包括池塘、工厂化养殖设施、水库、河流、湿地公园、景观水体、以及宜渔“三荒”资源等。</w:t>
      </w:r>
    </w:p>
    <w:p>
      <w:pPr>
        <w:adjustRightInd w:val="0"/>
        <w:snapToGrid w:val="0"/>
        <w:spacing w:line="520" w:lineRule="exact"/>
        <w:ind w:left="420" w:leftChars="200"/>
        <w:rPr>
          <w:rFonts w:ascii="仿宋_GB2312" w:hAnsi="仿宋_GB2312" w:eastAsia="仿宋_GB2312" w:cs="仿宋_GB2312"/>
          <w:b/>
          <w:bCs/>
          <w:sz w:val="32"/>
          <w:szCs w:val="32"/>
          <w:shd w:val="clear" w:color="auto" w:fill="FFFFFF"/>
        </w:rPr>
      </w:pPr>
    </w:p>
    <w:p>
      <w:pPr>
        <w:pStyle w:val="6"/>
        <w:widowControl/>
        <w:shd w:val="clear" w:color="auto" w:fill="FFFFFF"/>
        <w:adjustRightInd w:val="0"/>
        <w:snapToGrid w:val="0"/>
        <w:spacing w:beforeAutospacing="0" w:afterAutospacing="0" w:line="520" w:lineRule="exact"/>
        <w:jc w:val="center"/>
        <w:rPr>
          <w:rFonts w:ascii="黑体" w:hAnsi="黑体" w:eastAsia="黑体" w:cs="黑体"/>
          <w:sz w:val="36"/>
          <w:szCs w:val="36"/>
        </w:rPr>
      </w:pPr>
    </w:p>
    <w:p>
      <w:pPr>
        <w:pStyle w:val="6"/>
        <w:widowControl/>
        <w:shd w:val="clear" w:color="auto" w:fill="FFFFFF"/>
        <w:adjustRightInd w:val="0"/>
        <w:snapToGrid w:val="0"/>
        <w:spacing w:beforeAutospacing="0" w:afterAutospacing="0" w:line="52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第二章　养殖水域滩涂利用评价</w:t>
      </w:r>
    </w:p>
    <w:p>
      <w:pPr>
        <w:pStyle w:val="6"/>
        <w:widowControl/>
        <w:shd w:val="clear" w:color="auto" w:fill="FFFFFF"/>
        <w:adjustRightInd w:val="0"/>
        <w:snapToGrid w:val="0"/>
        <w:spacing w:beforeAutospacing="0" w:afterAutospacing="0" w:line="520" w:lineRule="exact"/>
        <w:ind w:firstLine="640" w:firstLineChars="200"/>
        <w:rPr>
          <w:rFonts w:ascii="仿宋_GB2312" w:hAnsi="仿宋_GB2312" w:eastAsia="仿宋_GB2312" w:cs="仿宋_GB2312"/>
          <w:sz w:val="32"/>
          <w:szCs w:val="32"/>
        </w:rPr>
      </w:pPr>
    </w:p>
    <w:p>
      <w:pPr>
        <w:pStyle w:val="6"/>
        <w:widowControl/>
        <w:shd w:val="clear" w:color="auto" w:fill="FFFFFF"/>
        <w:adjustRightInd w:val="0"/>
        <w:snapToGrid w:val="0"/>
        <w:spacing w:beforeAutospacing="0" w:afterAutospacing="0" w:line="520" w:lineRule="exact"/>
        <w:jc w:val="center"/>
        <w:rPr>
          <w:rFonts w:ascii="黑体" w:hAnsi="黑体" w:eastAsia="黑体" w:cs="黑体"/>
          <w:b/>
          <w:bCs/>
          <w:sz w:val="32"/>
          <w:szCs w:val="32"/>
        </w:rPr>
      </w:pPr>
      <w:r>
        <w:rPr>
          <w:rFonts w:hint="eastAsia" w:ascii="黑体" w:hAnsi="黑体" w:eastAsia="黑体" w:cs="黑体"/>
          <w:b/>
          <w:bCs/>
          <w:sz w:val="32"/>
          <w:szCs w:val="32"/>
        </w:rPr>
        <w:t>第六节  水域滩涂承载力分析</w:t>
      </w:r>
    </w:p>
    <w:p>
      <w:pPr>
        <w:pStyle w:val="6"/>
        <w:widowControl/>
        <w:shd w:val="clear" w:color="auto" w:fill="FFFFFF"/>
        <w:adjustRightInd w:val="0"/>
        <w:snapToGrid w:val="0"/>
        <w:spacing w:beforeAutospacing="0" w:afterAutospacing="0" w:line="520" w:lineRule="exact"/>
        <w:ind w:firstLine="640" w:firstLineChars="200"/>
        <w:rPr>
          <w:rFonts w:ascii="仿宋_GB2312" w:hAnsi="仿宋_GB2312" w:eastAsia="仿宋_GB2312" w:cs="仿宋_GB2312"/>
          <w:sz w:val="32"/>
          <w:szCs w:val="32"/>
        </w:rPr>
      </w:pP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6.1　水域滩涂资源状况</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地理位置</w:t>
      </w:r>
      <w:r>
        <w:rPr>
          <w:rFonts w:hint="eastAsia" w:ascii="仿宋_GB2312" w:hAnsi="仿宋_GB2312" w:eastAsia="仿宋_GB2312" w:cs="仿宋_GB2312"/>
          <w:sz w:val="32"/>
          <w:szCs w:val="32"/>
        </w:rPr>
        <w:t xml:space="preserve">　沂源县位于山东省中部，北纬35°55’—36°23’，东经117°48’—118°31’。东靠临朐，东南与沂水毗临，西依莱芜，西南与新泰接壤，南连蒙阴，北与博山、淄川相望。县城南麻至省会济南160公里，青岛284公里，泰安100公里，淄博（张店）97公里，临沂178公里。全县东西长63.6公里，南北宽52.2公里，总面积1636平方公里。因沂河发源地而得名。 </w:t>
      </w:r>
    </w:p>
    <w:p>
      <w:pPr>
        <w:pStyle w:val="6"/>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行政区划</w:t>
      </w:r>
      <w:r>
        <w:rPr>
          <w:rFonts w:hint="eastAsia" w:ascii="仿宋_GB2312" w:hAnsi="仿宋_GB2312" w:eastAsia="仿宋_GB2312" w:cs="仿宋_GB2312"/>
          <w:sz w:val="32"/>
          <w:szCs w:val="32"/>
        </w:rPr>
        <w:t xml:space="preserve">　全县辖10镇， 2个街道办，626个行政村， 982个自然村。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土地资源</w:t>
      </w:r>
      <w:r>
        <w:rPr>
          <w:rFonts w:hint="eastAsia" w:ascii="仿宋_GB2312" w:hAnsi="仿宋_GB2312" w:eastAsia="仿宋_GB2312" w:cs="仿宋_GB2312"/>
          <w:sz w:val="32"/>
          <w:szCs w:val="32"/>
        </w:rPr>
        <w:t>　全县土地总面积为245.35万亩（1635.66平方公里）。其中耕地面积22.6万亩，园地面积35.62万亩，林地面积114.7万亩。耕地中有效灌溉面积15.48万亩。</w:t>
      </w:r>
    </w:p>
    <w:p>
      <w:pPr>
        <w:pStyle w:val="6"/>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6.2　自然气候条件</w:t>
      </w:r>
    </w:p>
    <w:p>
      <w:pPr>
        <w:pStyle w:val="6"/>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沂源县属暖温带季风区域大陆性气候，四季分明。春季回暖迟而迅速，风大雨少。夏季湿热多雨，间有干旱。秋季凉爽，干燥少雨。冬季寒冷，雨雪稀少。因受山区地形影响，小气候特点明显，干旱威胁较严重。 日照与辐射 日照 境内历年日照时数平均2592.7小时，日照百分率为59％。常年日照时数5月份最多，为277.2小时，占年日照时数的10.7％。12月份日照最少，为180.9小时，仅占年日照时数的7％。7、8月份雨季，日照时数减少，分别为47％和54％。 太阳辐射 太阳辐射量，年均125.8千卡/平方厘米。年辐射量5月份最多，为15.3千卡/平方厘米， 12月份最少，为6.1千卡/平方厘米。</w:t>
      </w:r>
    </w:p>
    <w:p>
      <w:pPr>
        <w:pStyle w:val="6"/>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气温</w:t>
      </w:r>
      <w:r>
        <w:rPr>
          <w:rFonts w:hint="eastAsia" w:ascii="仿宋_GB2312" w:hAnsi="仿宋_GB2312" w:eastAsia="仿宋_GB2312" w:cs="仿宋_GB2312"/>
          <w:sz w:val="32"/>
          <w:szCs w:val="32"/>
        </w:rPr>
        <w:t xml:space="preserve">　境内常年平均气温11.9℃，年均最高气温12.7℃，年均最低气温10.8℃。一年中，最热月为7月，月均温为25.2℃，最冷月为1月，月均温-3.7℃。受地理方位和海拨高度影响，全县各地气温差异很大。海拨200-300米的平洼地带，每百米温度梯度为0.63℃；海拨300-500米的丘陵地带，温度梯度为0.35℃；海拨500-800米的低山带，温度梯度为0.8℃。县境西部海拨600米以上的低山地带，比东南部海拨200米的河谷地带，年均气温低3.6℃。民谚曰：“山下杏花山上雪，山前山后不一天”。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降水</w:t>
      </w:r>
      <w:r>
        <w:rPr>
          <w:rFonts w:hint="eastAsia" w:ascii="仿宋_GB2312" w:hAnsi="仿宋_GB2312" w:eastAsia="仿宋_GB2312" w:cs="仿宋_GB2312"/>
          <w:sz w:val="32"/>
          <w:szCs w:val="32"/>
        </w:rPr>
        <w:t xml:space="preserve">　历年平均降水量690.9毫米。年内降水不均，春季占14％，夏季占64％，秋季占18％，冬季占4％。7、8月份降水量最集中，占全年降水量的51.7％。受地形影响，北部山区、东南部沂河谷地为多雨区，东里一带年均降雨808.5毫米，较全县年多降雨117.6毫米。鲁村洼地为少雨区，包家庄一带年均降雨660.5毫米，较全县少30毫米。生态环境对降水影响也很大，鲁山、毫山等林场附近，年降水量偏多5-13％。田庄水库库区降水量比距离3公里的县城偏多27.6毫米。降水程度以7月份最大，平均14.9毫米/日，1月份最少，平均2.5毫米/日。年降水日数，历年平均86天，多雨年110天，少雨年7 2天。 </w:t>
      </w:r>
    </w:p>
    <w:p>
      <w:pPr>
        <w:pStyle w:val="6"/>
        <w:shd w:val="clear" w:color="auto" w:fill="FFFFFF"/>
        <w:adjustRightInd w:val="0"/>
        <w:snapToGrid w:val="0"/>
        <w:spacing w:beforeAutospacing="0" w:afterAutospacing="0" w:line="570" w:lineRule="exact"/>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湿度与蒸发</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湿度</w:t>
      </w:r>
      <w:r>
        <w:rPr>
          <w:rFonts w:hint="eastAsia" w:ascii="仿宋_GB2312" w:hAnsi="仿宋_GB2312" w:eastAsia="仿宋_GB2312" w:cs="仿宋_GB2312"/>
          <w:sz w:val="32"/>
          <w:szCs w:val="32"/>
        </w:rPr>
        <w:t>　境内相对湿度年均63％，以7、8月份最大，为79％。4月份最小，为51％。整个春季在51-54％之间，为全年最小季节，春季比冬季更干燥。</w:t>
      </w:r>
    </w:p>
    <w:p>
      <w:pPr>
        <w:pStyle w:val="6"/>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蒸发</w:t>
      </w:r>
      <w:r>
        <w:rPr>
          <w:rFonts w:hint="eastAsia" w:ascii="仿宋_GB2312" w:hAnsi="仿宋_GB2312" w:eastAsia="仿宋_GB2312" w:cs="仿宋_GB2312"/>
          <w:sz w:val="32"/>
          <w:szCs w:val="32"/>
        </w:rPr>
        <w:t>　全县历年平均蒸发量为1836.1毫米，为年均降水量的2.65倍。全年除7月份降水量大于蒸发量外，其它月份降水量均小于蒸发量，故发生干旱。蒸发量最大的5月份，为288.1毫米，相当于12月份和1月份之和的5.7倍。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b/>
          <w:bCs/>
          <w:sz w:val="32"/>
          <w:szCs w:val="32"/>
        </w:rPr>
        <w:t>气压与风</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b/>
          <w:bCs/>
          <w:sz w:val="32"/>
          <w:szCs w:val="32"/>
        </w:rPr>
        <w:t>气压</w:t>
      </w:r>
      <w:r>
        <w:rPr>
          <w:rFonts w:hint="eastAsia" w:ascii="仿宋_GB2312" w:hAnsi="仿宋_GB2312" w:eastAsia="仿宋_GB2312" w:cs="仿宋_GB2312"/>
          <w:sz w:val="32"/>
          <w:szCs w:val="32"/>
        </w:rPr>
        <w:t xml:space="preserve">　年平均气压981.7百帕，1月份最高，平均气压为990百帕，7月份最低，平均气压970百帕。全县气压变化规律是：上半年气压逐渐下降，至7月份降到最低值。下半年从7月份以后逐渐上升，形成对称的“V”字形变化。 </w:t>
      </w:r>
    </w:p>
    <w:p>
      <w:pPr>
        <w:pStyle w:val="6"/>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风</w:t>
      </w:r>
      <w:r>
        <w:rPr>
          <w:rFonts w:hint="eastAsia" w:ascii="仿宋_GB2312" w:hAnsi="仿宋_GB2312" w:eastAsia="仿宋_GB2312" w:cs="仿宋_GB2312"/>
          <w:sz w:val="32"/>
          <w:szCs w:val="32"/>
        </w:rPr>
        <w:t>　境内以静风、西风和东东北风为最多，以北风、北北东风、南南东风、南南西风和西北风为最少。年平均风速2.3米/秒。各季风速中，春季风速大，4月份最大，为3.2米/秒。4月份以后渐减，8、9月份最小，仅为1.8米/秒。11月份风速达到全年次高值，2.2米/秒。每年2-3月份，多为东北东风，频率10-11％；4-5月份多为西南西风，频率为10％；6-9月份多东北东风，频率8-10％；11-12月份和1月份多为西风，频率11-13％。</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b/>
          <w:bCs/>
          <w:sz w:val="32"/>
          <w:szCs w:val="32"/>
        </w:rPr>
        <w:t xml:space="preserve">地温与冻土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地温</w:t>
      </w:r>
      <w:r>
        <w:rPr>
          <w:rFonts w:hint="eastAsia" w:ascii="仿宋_GB2312" w:hAnsi="仿宋_GB2312" w:eastAsia="仿宋_GB2312" w:cs="仿宋_GB2312"/>
          <w:sz w:val="32"/>
          <w:szCs w:val="32"/>
        </w:rPr>
        <w:t>　年平均地温为14.4℃，较年均气温高2.5℃。年均最高地温31.5℃，最低为4.7℃。一年内，以7月份最高为28.7℃，1月份最低为-3.2℃。地面极端最高温度是1958年6月27日，为67.9℃；地面极端最低温度是1981年1月27日，为-28.4℃。地中温度(5、10、15、20厘米)变异不明显，在14℃左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冻土</w:t>
      </w:r>
      <w:r>
        <w:rPr>
          <w:rFonts w:hint="eastAsia" w:ascii="仿宋_GB2312" w:hAnsi="仿宋_GB2312" w:eastAsia="仿宋_GB2312" w:cs="仿宋_GB2312"/>
          <w:sz w:val="32"/>
          <w:szCs w:val="32"/>
        </w:rPr>
        <w:t>　冻土初日，历年平均在12月17日，最早在11月18日。解冻日期，平均在2月20日。解冻日数平均每年63天。冻土厚度≥10厘米的初日为1月8日，终日为2月7日，最大冻土厚度为44厘米，发生在1958年1月26日。有10％的年份出现20-30天只冻不消的现象，其余处于冻消相间状态。</w:t>
      </w:r>
    </w:p>
    <w:p>
      <w:pPr>
        <w:pStyle w:val="6"/>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霜期</w:t>
      </w:r>
      <w:r>
        <w:rPr>
          <w:rFonts w:hint="eastAsia" w:ascii="仿宋_GB2312" w:hAnsi="仿宋_GB2312" w:eastAsia="仿宋_GB2312" w:cs="仿宋_GB2312"/>
          <w:sz w:val="32"/>
          <w:szCs w:val="32"/>
        </w:rPr>
        <w:t xml:space="preserve"> 境内初霜期多年平均出现在10月15日，最早为9月29日，最晚为10月30日。终霜期多年平均出现在4月9日，最早为3月19日，最晚为5月13日。历年平均无霜期189天，最长期为219天，最短期为162天。 </w:t>
      </w:r>
    </w:p>
    <w:p>
      <w:pPr>
        <w:pStyle w:val="6"/>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rPr>
        <w:t>水资源</w:t>
      </w:r>
      <w:r>
        <w:rPr>
          <w:rFonts w:hint="eastAsia" w:ascii="仿宋_GB2312" w:hAnsi="仿宋_GB2312" w:eastAsia="仿宋_GB2312" w:cs="仿宋_GB2312"/>
          <w:sz w:val="32"/>
          <w:szCs w:val="32"/>
        </w:rPr>
        <w:t xml:space="preserve">　沂源县水资源全部来自大气降水，没有客水资源。水资源的年际变化大，各年丰枯悬殊，最大年降水量是最小年降水量的4倍，降水量主要集中在汛期，6-9月份的降水量占全年的75.4%。全县多年平均水资源总量为4.92亿m3，其中地表水3.57亿m3，地下水1.35亿m3。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6.3　水生生物资源状况</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水生植物 主要有浮萍、芜萍、紫背浮萍、轮叶黑藻、金鱼藻、苔草、菹草、马来眼子菜、槐叶藻等。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水生类 全县鱼类共有6目10科30种。主要有鲤鱼、鱤鱼、鲶鱼、餐条、马口鱼、麦穗鱼、甲鱼、鳖、螃虾、青鱼、象鲶鱼、鳜鱼、泥鳅、鳝鱼、鳊鲌等类。 水生动物除鱼类外，有腹足类、瓣鳃类、甲壳类、两栖类、爬行类20多种。主要是，腹足纲：光滑狭、田螺等。甲壳纲：白虾、青虾等。两栖纲：水蛇、鳖等。底栖动物主要有水蚯蚓、锥实螺等。</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w:t>
      </w:r>
      <w:r>
        <w:rPr>
          <w:rFonts w:hint="eastAsia" w:ascii="仿宋_GB2312" w:hAnsi="仿宋_GB2312" w:eastAsia="仿宋_GB2312" w:cs="仿宋_GB2312"/>
          <w:b/>
          <w:bCs/>
          <w:sz w:val="32"/>
          <w:szCs w:val="32"/>
          <w:shd w:val="clear" w:color="auto" w:fill="FFFFFF"/>
        </w:rPr>
        <w:t>6.4　水域环境状况</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沂源县总体水质条件良好，符合国家渔业用水标准。</w:t>
      </w:r>
    </w:p>
    <w:p>
      <w:pPr>
        <w:pStyle w:val="6"/>
        <w:widowControl/>
        <w:shd w:val="clear" w:color="auto" w:fill="FFFFFF"/>
        <w:adjustRightInd w:val="0"/>
        <w:snapToGrid w:val="0"/>
        <w:spacing w:beforeAutospacing="0" w:afterAutospacing="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drawing>
          <wp:inline distT="0" distB="0" distL="114300" distR="114300">
            <wp:extent cx="5510530" cy="7792720"/>
            <wp:effectExtent l="0" t="0" r="13970" b="17780"/>
            <wp:docPr id="7" name="图片 7" descr="环境检测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环境检测_页面_1"/>
                    <pic:cNvPicPr>
                      <a:picLocks noChangeAspect="1"/>
                    </pic:cNvPicPr>
                  </pic:nvPicPr>
                  <pic:blipFill>
                    <a:blip r:embed="rId5"/>
                    <a:stretch>
                      <a:fillRect/>
                    </a:stretch>
                  </pic:blipFill>
                  <pic:spPr>
                    <a:xfrm>
                      <a:off x="0" y="0"/>
                      <a:ext cx="5510530" cy="7792720"/>
                    </a:xfrm>
                    <a:prstGeom prst="rect">
                      <a:avLst/>
                    </a:prstGeom>
                  </pic:spPr>
                </pic:pic>
              </a:graphicData>
            </a:graphic>
          </wp:inline>
        </w:drawing>
      </w:r>
      <w:r>
        <w:rPr>
          <w:rFonts w:hint="eastAsia" w:ascii="仿宋_GB2312" w:hAnsi="仿宋_GB2312" w:eastAsia="仿宋_GB2312" w:cs="仿宋_GB2312"/>
          <w:sz w:val="32"/>
          <w:szCs w:val="32"/>
          <w:shd w:val="clear" w:color="auto" w:fill="FFFFFF"/>
        </w:rPr>
        <w:drawing>
          <wp:inline distT="0" distB="0" distL="114300" distR="114300">
            <wp:extent cx="5510530" cy="7792720"/>
            <wp:effectExtent l="0" t="0" r="13970" b="17780"/>
            <wp:docPr id="8" name="图片 8" descr="环境检测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境检测_页面_2"/>
                    <pic:cNvPicPr>
                      <a:picLocks noChangeAspect="1"/>
                    </pic:cNvPicPr>
                  </pic:nvPicPr>
                  <pic:blipFill>
                    <a:blip r:embed="rId6"/>
                    <a:stretch>
                      <a:fillRect/>
                    </a:stretch>
                  </pic:blipFill>
                  <pic:spPr>
                    <a:xfrm>
                      <a:off x="0" y="0"/>
                      <a:ext cx="5510530" cy="7792720"/>
                    </a:xfrm>
                    <a:prstGeom prst="rect">
                      <a:avLst/>
                    </a:prstGeom>
                  </pic:spPr>
                </pic:pic>
              </a:graphicData>
            </a:graphic>
          </wp:inline>
        </w:drawing>
      </w:r>
      <w:r>
        <w:rPr>
          <w:rFonts w:hint="eastAsia" w:ascii="仿宋_GB2312" w:hAnsi="仿宋_GB2312" w:eastAsia="仿宋_GB2312" w:cs="仿宋_GB2312"/>
          <w:sz w:val="32"/>
          <w:szCs w:val="32"/>
          <w:shd w:val="clear" w:color="auto" w:fill="FFFFFF"/>
        </w:rPr>
        <w:drawing>
          <wp:inline distT="0" distB="0" distL="114300" distR="114300">
            <wp:extent cx="5770245" cy="8454390"/>
            <wp:effectExtent l="0" t="0" r="1905" b="3810"/>
            <wp:docPr id="1" name="图片 1" descr="环境检测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境检测_页面_4"/>
                    <pic:cNvPicPr>
                      <a:picLocks noChangeAspect="1"/>
                    </pic:cNvPicPr>
                  </pic:nvPicPr>
                  <pic:blipFill>
                    <a:blip r:embed="rId7">
                      <a:lum bright="-24000" contrast="42000"/>
                    </a:blip>
                    <a:srcRect l="4592" t="4167" r="4122" b="1278"/>
                    <a:stretch>
                      <a:fillRect/>
                    </a:stretch>
                  </pic:blipFill>
                  <pic:spPr>
                    <a:xfrm>
                      <a:off x="0" y="0"/>
                      <a:ext cx="5770245" cy="8454390"/>
                    </a:xfrm>
                    <a:prstGeom prst="rect">
                      <a:avLst/>
                    </a:prstGeom>
                  </pic:spPr>
                </pic:pic>
              </a:graphicData>
            </a:graphic>
          </wp:inline>
        </w:drawing>
      </w:r>
    </w:p>
    <w:p>
      <w:pPr>
        <w:pStyle w:val="6"/>
        <w:widowControl/>
        <w:shd w:val="clear" w:color="auto" w:fill="FFFFFF"/>
        <w:adjustRightInd w:val="0"/>
        <w:snapToGrid w:val="0"/>
        <w:spacing w:beforeAutospacing="0" w:afterAutospacing="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据对沂源县环保部门对沂河多个主要断面水质检测结果表明，沂源县上述水域的PH值7.6，溶氧量7.3mg/L,COD15mg/L,BOD3.40mg/L，氨氮0.16mg/L，总磷、叶绿素-a、挥发酚、非离子氨、石油类、汞、铜、锌、铅、镉等水质指标全部符合《地表水环境质量标准（GB 3838—2002）》Ⅲ类及《渔业水质标准（GB 11607—1989）》的规定。由于水域上游经过多年封山育林，水土保持小流域治理等工程措施，荒山得到绿化，被大量植被覆盖，村庄居住坡度高，无污染工业企业，上游带入丰富的有机和无机营养盐类，使水质肥沃，有利于以鱼类为主的饵料生物的繁衍生长，促进食物链的良性循环。</w:t>
      </w:r>
    </w:p>
    <w:p>
      <w:pPr>
        <w:pStyle w:val="6"/>
        <w:widowControl/>
        <w:shd w:val="clear" w:color="auto" w:fill="FFFFFF"/>
        <w:adjustRightInd w:val="0"/>
        <w:snapToGrid w:val="0"/>
        <w:spacing w:beforeAutospacing="0" w:afterAutospacing="0" w:line="52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6.5 水域滩涂承载力评价</w:t>
      </w:r>
    </w:p>
    <w:p>
      <w:pPr>
        <w:pStyle w:val="6"/>
        <w:widowControl/>
        <w:shd w:val="clear" w:color="auto" w:fill="FFFFFF"/>
        <w:adjustRightInd w:val="0"/>
        <w:snapToGrid w:val="0"/>
        <w:spacing w:beforeAutospacing="0" w:afterAutospacing="0" w:line="52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根据我县水域滩涂资源、水文气候条件、水生生物资源和水域环境状况，经专家进行水域滩涂承载力分析评价，认为：我县境内的山区水库在按照水产品规范健康养殖操作规程进行养殖，走品牌化、规模化、渔业发展路子。渔业效益还有很好的发展潜力和提升空间。</w:t>
      </w:r>
    </w:p>
    <w:p>
      <w:pPr>
        <w:pStyle w:val="6"/>
        <w:widowControl/>
        <w:shd w:val="clear" w:color="auto" w:fill="FFFFFF"/>
        <w:adjustRightInd w:val="0"/>
        <w:snapToGrid w:val="0"/>
        <w:spacing w:beforeAutospacing="0" w:afterAutospacing="0" w:line="520" w:lineRule="exact"/>
        <w:ind w:firstLine="640" w:firstLineChars="200"/>
        <w:jc w:val="both"/>
        <w:rPr>
          <w:rFonts w:ascii="仿宋_GB2312" w:hAnsi="仿宋_GB2312" w:eastAsia="仿宋_GB2312" w:cs="仿宋_GB2312"/>
          <w:sz w:val="32"/>
          <w:szCs w:val="32"/>
          <w:shd w:val="clear" w:color="auto" w:fill="FFFFFF"/>
        </w:rPr>
      </w:pPr>
    </w:p>
    <w:p>
      <w:pPr>
        <w:pStyle w:val="6"/>
        <w:widowControl/>
        <w:numPr>
          <w:ilvl w:val="0"/>
          <w:numId w:val="2"/>
        </w:numPr>
        <w:shd w:val="clear" w:color="auto" w:fill="FFFFFF"/>
        <w:adjustRightInd w:val="0"/>
        <w:snapToGrid w:val="0"/>
        <w:spacing w:beforeAutospacing="0" w:afterAutospacing="0" w:line="520" w:lineRule="exact"/>
        <w:jc w:val="center"/>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渔业养殖产业发展分析</w:t>
      </w:r>
    </w:p>
    <w:p>
      <w:pPr>
        <w:pStyle w:val="6"/>
        <w:widowControl/>
        <w:shd w:val="clear" w:color="auto" w:fill="FFFFFF"/>
        <w:adjustRightInd w:val="0"/>
        <w:snapToGrid w:val="0"/>
        <w:spacing w:beforeAutospacing="0" w:afterAutospacing="0" w:line="520" w:lineRule="exact"/>
        <w:jc w:val="both"/>
        <w:rPr>
          <w:rFonts w:ascii="黑体" w:hAnsi="黑体" w:eastAsia="黑体" w:cs="黑体"/>
          <w:b/>
          <w:bCs/>
          <w:sz w:val="32"/>
          <w:szCs w:val="32"/>
          <w:shd w:val="clear" w:color="auto" w:fill="FFFFFF"/>
        </w:rPr>
      </w:pPr>
    </w:p>
    <w:p>
      <w:pPr>
        <w:pStyle w:val="6"/>
        <w:widowControl/>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7.1 水产养殖发展现状</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沂源县水产养殖以水库、塘坝、池塘为主，主要品种有鲢、鳙、鲤、草、青、乌鳢、鲫等。兼顾利用山泉、傍河取水井养鱼冷水鱼，主要品种有虹鳟、金鳟、鲟鱼等品种。“十二五” 期间，我县利用资源优势，积极发展水库休闲渔业，使我县养殖规模不断扩大、基地建设初具规模、区域发展布局进一步合理、养殖结构得到优化、组织化生产能力得到加强、科技水平和服务得到提高。2016年全县渔业养殖面积19800亩，总产量1485吨。渔业总产值0.89亿元，渔业人员收入22000元/年•人，高出全县当年农民人均收入。池塘、塘坝、水库63%左右鱼饲料来源于天然水体的浮游生物其他水面主养单性鲩鱼，饲料主要是投喂全价颗粒饲料，还有依赖牧草等。近年来，我县家庭自营、个体联营、公司经营、水产养殖专业合作社等多种生产模式逐渐兴起，养殖品种以鲩鱼为主。</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w:t>
      </w:r>
      <w:r>
        <w:rPr>
          <w:rFonts w:hint="eastAsia" w:ascii="仿宋_GB2312" w:hAnsi="仿宋_GB2312" w:eastAsia="仿宋_GB2312" w:cs="仿宋_GB2312"/>
          <w:b/>
          <w:bCs/>
          <w:sz w:val="32"/>
          <w:szCs w:val="32"/>
          <w:shd w:val="clear" w:color="auto" w:fill="FFFFFF"/>
        </w:rPr>
        <w:t>7.2 水产养殖存在的主要问题</w:t>
      </w:r>
      <w:r>
        <w:rPr>
          <w:rFonts w:hint="eastAsia" w:ascii="仿宋_GB2312" w:hAnsi="仿宋_GB2312" w:eastAsia="仿宋_GB2312" w:cs="仿宋_GB2312"/>
          <w:b/>
          <w:bCs/>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7.2.1  规划布局和生产结构调整滞后。渔业要快速发展，必须有指导产业发展的合理规划，对发展生产有合理的布局，进行有序的开发和有效的管理。当前沂源县渔业存在着布局散乱、生产结构调整不力、管理不规范等问题，没有能按现有自然资源、生态资源进行科学布局，指导生产的发展，渔业生产仍以“四大家鱼”为主，优势、优质等经济鱼类的比重少，缺少科学元素支持，渔业发展滞后，市场体系不健全；集约化、规模化、产业化程度低，产品质量难以保证，市场竞争能力差，抵御市场风险能力弱，这些都亟待规范。</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7.2.2  产业发展程度低。我县渔业发展未形成养殖、加工、饲料、苗种、流通、融资一体的良性产业链，产业上、下游没有匹配，不能形成合力、良性发展，制约了渔业产业经济的发展。</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7.2.3 渔业基础设施和保障体系建设滞后。由于资金与技术等原因，我县现有的渔业产业链服务体系不健全，必须加大投入，加强技术推广、病害防治、渔业环境和产品质量监测等保障体系的建设，为渔业经济的快速发展提供有力保障。</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7.2.4 投入不足对渔业的影响越来越突出。渔业属弱质产业，虽然政府对行业的扶持力度越来越大，但由于自身积累能力较低，金融部门的支持的力度欠缺，融资能力差，与其他行业相比、与渔业业发展的实际需要相比，还有很大差距，投入的严重不足，成为渔业进一步发展的瓶颈。。</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w:t>
      </w:r>
      <w:r>
        <w:rPr>
          <w:rFonts w:hint="eastAsia" w:ascii="仿宋_GB2312" w:hAnsi="仿宋_GB2312" w:eastAsia="仿宋_GB2312" w:cs="仿宋_GB2312"/>
          <w:b/>
          <w:bCs/>
          <w:sz w:val="32"/>
          <w:szCs w:val="32"/>
          <w:shd w:val="clear" w:color="auto" w:fill="FFFFFF"/>
        </w:rPr>
        <w:t>7.3 全县水产业的发展潜力</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7.3.1水产业结构调整尚有较大空间。按照“让少的多起来，多的优起来”的农业产业结构调整原则，水产业是整个农业结构调整中的组成部分。随着市场对水产品需求的变化，水产业内部结构调整有较大空间。</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7.3.</w:t>
      </w:r>
      <w:r>
        <w:rPr>
          <w:rFonts w:hint="eastAsia" w:ascii="仿宋_GB2312" w:hAnsi="仿宋_GB2312" w:eastAsia="仿宋_GB2312" w:cs="仿宋_GB2312"/>
          <w:sz w:val="32"/>
          <w:szCs w:val="32"/>
          <w:shd w:val="clear" w:color="auto" w:fill="FFFFFF"/>
          <w:lang w:val="en-US" w:eastAsia="zh-CN"/>
        </w:rPr>
        <w:t>2</w:t>
      </w:r>
      <w:r>
        <w:rPr>
          <w:rFonts w:hint="eastAsia" w:ascii="仿宋_GB2312" w:hAnsi="仿宋_GB2312" w:eastAsia="仿宋_GB2312" w:cs="仿宋_GB2312"/>
          <w:sz w:val="32"/>
          <w:szCs w:val="32"/>
          <w:shd w:val="clear" w:color="auto" w:fill="FFFFFF"/>
        </w:rPr>
        <w:t>生态环境好，大力发展无公害水产品养殖。全县大、中、水库库区沿岸植被良好，无任何工业污染，优势的水资源不仅添加了一道道亮丽的色彩，更为水产业的发展提供了良好的基础。全县水产品属于无公害水产品，深受消费者喜爱。因此，大力发展无公害水产品，创出自己的品牌，是全县水产业发展和努力的方向。</w:t>
      </w:r>
    </w:p>
    <w:p>
      <w:pPr>
        <w:pStyle w:val="6"/>
        <w:widowControl/>
        <w:shd w:val="clear" w:color="auto" w:fill="FFFFFF"/>
        <w:adjustRightInd w:val="0"/>
        <w:snapToGrid w:val="0"/>
        <w:spacing w:beforeAutospacing="0" w:after="312" w:afterLines="100" w:afterAutospacing="0" w:line="57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7.3.</w:t>
      </w:r>
      <w:r>
        <w:rPr>
          <w:rFonts w:hint="eastAsia" w:ascii="仿宋_GB2312" w:hAnsi="仿宋_GB2312" w:eastAsia="仿宋_GB2312" w:cs="仿宋_GB2312"/>
          <w:sz w:val="32"/>
          <w:szCs w:val="32"/>
          <w:shd w:val="clear" w:color="auto" w:fill="FFFFFF"/>
          <w:lang w:val="en-US" w:eastAsia="zh-CN"/>
        </w:rPr>
        <w:t>3</w:t>
      </w:r>
      <w:r>
        <w:rPr>
          <w:rFonts w:hint="eastAsia" w:ascii="仿宋_GB2312" w:hAnsi="仿宋_GB2312" w:eastAsia="仿宋_GB2312" w:cs="仿宋_GB2312"/>
          <w:sz w:val="32"/>
          <w:szCs w:val="32"/>
          <w:shd w:val="clear" w:color="auto" w:fill="FFFFFF"/>
        </w:rPr>
        <w:t>休闲垂钓渔业的兴起和发展，为水产业的多轮驱动，开辟了另一片全新的领域。促成了水产业的多向发展。</w:t>
      </w:r>
    </w:p>
    <w:p>
      <w:pPr>
        <w:pStyle w:val="6"/>
        <w:widowControl/>
        <w:shd w:val="clear" w:color="auto" w:fill="FFFFFF"/>
        <w:adjustRightInd w:val="0"/>
        <w:snapToGrid w:val="0"/>
        <w:spacing w:beforeAutospacing="0" w:after="312" w:afterLines="100" w:afterAutospacing="0" w:line="570" w:lineRule="exact"/>
        <w:ind w:firstLine="640" w:firstLineChars="200"/>
        <w:rPr>
          <w:rFonts w:hint="eastAsia" w:ascii="仿宋_GB2312" w:hAnsi="仿宋_GB2312" w:eastAsia="仿宋_GB2312" w:cs="仿宋_GB2312"/>
          <w:sz w:val="32"/>
          <w:szCs w:val="32"/>
          <w:shd w:val="clear" w:color="auto" w:fill="FFFFFF"/>
        </w:rPr>
      </w:pPr>
    </w:p>
    <w:p>
      <w:pPr>
        <w:pStyle w:val="6"/>
        <w:widowControl/>
        <w:shd w:val="clear" w:color="auto" w:fill="FFFFFF"/>
        <w:adjustRightInd w:val="0"/>
        <w:snapToGrid w:val="0"/>
        <w:spacing w:beforeAutospacing="0" w:after="312" w:afterLines="100" w:afterAutospacing="0" w:line="520" w:lineRule="exact"/>
        <w:jc w:val="center"/>
        <w:rPr>
          <w:rFonts w:ascii="黑体" w:hAnsi="黑体" w:eastAsia="黑体" w:cs="黑体"/>
          <w:sz w:val="32"/>
          <w:szCs w:val="32"/>
        </w:rPr>
      </w:pPr>
      <w:r>
        <w:rPr>
          <w:rFonts w:hint="eastAsia" w:ascii="黑体" w:hAnsi="黑体" w:eastAsia="黑体" w:cs="黑体"/>
          <w:b/>
          <w:bCs/>
          <w:sz w:val="32"/>
          <w:szCs w:val="32"/>
          <w:shd w:val="clear" w:color="auto" w:fill="FFFFFF"/>
        </w:rPr>
        <w:t>第八节</w:t>
      </w:r>
      <w:r>
        <w:rPr>
          <w:rFonts w:hint="eastAsia" w:ascii="黑体" w:hAnsi="黑体" w:eastAsia="黑体" w:cs="黑体"/>
          <w:b/>
          <w:bCs/>
          <w:sz w:val="32"/>
          <w:szCs w:val="32"/>
          <w:shd w:val="clear" w:color="auto" w:fill="FFFFFF"/>
          <w:lang w:eastAsia="zh-CN"/>
        </w:rPr>
        <w:t>　</w:t>
      </w:r>
      <w:r>
        <w:rPr>
          <w:rFonts w:hint="eastAsia" w:ascii="黑体" w:hAnsi="黑体" w:eastAsia="黑体" w:cs="黑体"/>
          <w:b/>
          <w:bCs/>
          <w:sz w:val="32"/>
          <w:szCs w:val="32"/>
          <w:shd w:val="clear" w:color="auto" w:fill="FFFFFF"/>
        </w:rPr>
        <w:t>养殖水域滩涂开发总体思路</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坚持科学发展观，按照高产、优质、高效、安全及资源保护与开发利用相结合，建设生态文明的发展思路，我县的水产养殖业在养殖模式上推广集约高效，在养殖品种上突出名特优新，在养殖理念上注重生态健康，努力构建自然环境和谐、主导产业突出、基础设施完备、比较效益显著、具有鲜明特色的现代水产养殖业格局。</w:t>
      </w:r>
    </w:p>
    <w:p>
      <w:pPr>
        <w:pStyle w:val="6"/>
        <w:widowControl/>
        <w:shd w:val="clear" w:color="auto" w:fill="FFFFFF"/>
        <w:adjustRightInd w:val="0"/>
        <w:snapToGrid w:val="0"/>
        <w:spacing w:beforeAutospacing="0" w:afterAutospacing="0" w:line="520" w:lineRule="exact"/>
        <w:ind w:firstLine="720" w:firstLineChars="200"/>
        <w:rPr>
          <w:rFonts w:ascii="方正小标宋简体" w:hAnsi="方正小标宋简体" w:eastAsia="方正小标宋简体" w:cs="方正小标宋简体"/>
          <w:sz w:val="36"/>
          <w:szCs w:val="36"/>
        </w:rPr>
      </w:pPr>
    </w:p>
    <w:p>
      <w:pPr>
        <w:pStyle w:val="6"/>
        <w:widowControl/>
        <w:shd w:val="clear" w:color="auto" w:fill="FFFFFF"/>
        <w:adjustRightInd w:val="0"/>
        <w:snapToGrid w:val="0"/>
        <w:spacing w:beforeAutospacing="0" w:afterAutospacing="0" w:line="520" w:lineRule="exact"/>
        <w:jc w:val="center"/>
        <w:rPr>
          <w:rFonts w:ascii="方正小标宋简体" w:hAnsi="方正小标宋简体" w:eastAsia="方正小标宋简体" w:cs="方正小标宋简体"/>
          <w:sz w:val="36"/>
          <w:szCs w:val="36"/>
          <w:shd w:val="clear" w:color="auto" w:fill="FFFFFF"/>
        </w:rPr>
      </w:pPr>
      <w:r>
        <w:rPr>
          <w:rFonts w:hint="eastAsia" w:ascii="方正小标宋简体" w:hAnsi="方正小标宋简体" w:eastAsia="方正小标宋简体" w:cs="方正小标宋简体"/>
          <w:sz w:val="36"/>
          <w:szCs w:val="36"/>
          <w:shd w:val="clear" w:color="auto" w:fill="FFFFFF"/>
        </w:rPr>
        <w:t>第三章 养殖水域滩涂功能区规划</w:t>
      </w:r>
    </w:p>
    <w:p>
      <w:pPr>
        <w:adjustRightInd w:val="0"/>
        <w:snapToGrid w:val="0"/>
        <w:spacing w:after="312" w:afterLines="100" w:line="570" w:lineRule="exact"/>
        <w:ind w:right="-153" w:rightChars="-73" w:firstLine="640" w:firstLineChars="200"/>
        <w:jc w:val="center"/>
        <w:rPr>
          <w:rFonts w:ascii="黑体" w:hAnsi="黑体" w:eastAsia="黑体" w:cs="黑体"/>
          <w:sz w:val="32"/>
          <w:szCs w:val="32"/>
        </w:rPr>
      </w:pPr>
      <w:r>
        <w:rPr>
          <w:rFonts w:hint="eastAsia" w:ascii="黑体" w:hAnsi="黑体" w:eastAsia="黑体" w:cs="黑体"/>
          <w:sz w:val="32"/>
          <w:szCs w:val="32"/>
          <w:shd w:val="clear" w:color="auto" w:fill="FFFFFF"/>
        </w:rPr>
        <w:br w:type="textWrapping"/>
      </w:r>
      <w:r>
        <w:rPr>
          <w:rFonts w:hint="eastAsia" w:ascii="黑体" w:hAnsi="黑体" w:eastAsia="黑体" w:cs="黑体"/>
          <w:b/>
          <w:bCs/>
          <w:sz w:val="32"/>
          <w:szCs w:val="32"/>
          <w:shd w:val="clear" w:color="auto" w:fill="FFFFFF"/>
        </w:rPr>
        <w:t>第九节 划分的方法</w:t>
      </w:r>
    </w:p>
    <w:p>
      <w:pPr>
        <w:adjustRightInd w:val="0"/>
        <w:snapToGrid w:val="0"/>
        <w:spacing w:line="570" w:lineRule="exact"/>
        <w:ind w:right="-153" w:rightChars="-73"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根据《中华人民共和国渔业法》、《中共中央国务院关于加快推进生态文明建设的意见》、《山东省生态保护红线规划</w:t>
      </w:r>
      <w:r>
        <w:rPr>
          <w:rFonts w:ascii="仿宋_GB2312" w:hAnsi="仿宋_GB2312" w:eastAsia="仿宋_GB2312" w:cs="仿宋_GB2312"/>
          <w:sz w:val="32"/>
          <w:szCs w:val="32"/>
        </w:rPr>
        <w:t>(2016-2020</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沂源县河道管理条例》、《沂源县湿地保护条例》、《沂源县河道管理办法》等有关法律法规，在省、市规定功能区三分法的基础上，根据我县境内各水域的自然属性、养殖状况、是否允许养殖开发以及可承受的开发强度，将境内水域滩涂划分为禁止养殖区、限制养殖区、养殖区三个功能区。</w:t>
      </w:r>
    </w:p>
    <w:p>
      <w:pPr>
        <w:ind w:right="-153" w:rightChars="-73"/>
        <w:jc w:val="center"/>
      </w:pPr>
    </w:p>
    <w:p>
      <w:pPr>
        <w:spacing w:line="540" w:lineRule="exact"/>
        <w:jc w:val="center"/>
        <w:rPr>
          <w:rFonts w:hint="eastAsia" w:ascii="黑体" w:hAnsi="黑体" w:eastAsia="黑体" w:cs="宋体"/>
          <w:color w:val="000000"/>
          <w:kern w:val="0"/>
          <w:sz w:val="24"/>
        </w:rPr>
      </w:pPr>
    </w:p>
    <w:p>
      <w:pPr>
        <w:spacing w:line="540" w:lineRule="exact"/>
        <w:jc w:val="center"/>
        <w:rPr>
          <w:rFonts w:hint="eastAsia" w:ascii="黑体" w:hAnsi="黑体" w:eastAsia="黑体" w:cs="宋体"/>
          <w:color w:val="000000"/>
          <w:kern w:val="0"/>
          <w:sz w:val="24"/>
        </w:rPr>
      </w:pPr>
    </w:p>
    <w:p>
      <w:pPr>
        <w:spacing w:line="540" w:lineRule="exact"/>
        <w:jc w:val="center"/>
        <w:rPr>
          <w:rFonts w:hint="eastAsia" w:ascii="黑体" w:hAnsi="黑体" w:eastAsia="黑体" w:cs="宋体"/>
          <w:color w:val="000000"/>
          <w:kern w:val="0"/>
          <w:sz w:val="24"/>
        </w:rPr>
      </w:pPr>
    </w:p>
    <w:p>
      <w:pPr>
        <w:spacing w:line="540" w:lineRule="exact"/>
        <w:jc w:val="center"/>
        <w:rPr>
          <w:rFonts w:hint="eastAsia" w:ascii="黑体" w:hAnsi="黑体" w:eastAsia="黑体" w:cs="宋体"/>
          <w:color w:val="000000"/>
          <w:kern w:val="0"/>
          <w:sz w:val="24"/>
        </w:rPr>
      </w:pPr>
    </w:p>
    <w:p>
      <w:pPr>
        <w:spacing w:line="540" w:lineRule="exact"/>
        <w:jc w:val="center"/>
        <w:rPr>
          <w:rFonts w:ascii="黑体" w:hAnsi="黑体" w:eastAsia="黑体" w:cs="宋体"/>
          <w:color w:val="000000"/>
          <w:kern w:val="0"/>
          <w:sz w:val="24"/>
        </w:rPr>
      </w:pPr>
      <w:r>
        <w:rPr>
          <w:rFonts w:hint="eastAsia" w:ascii="黑体" w:hAnsi="黑体" w:eastAsia="黑体" w:cs="宋体"/>
          <w:color w:val="000000"/>
          <w:kern w:val="0"/>
          <w:sz w:val="24"/>
        </w:rPr>
        <w:t>山东省淡水养殖水域滩涂功能划分表</w:t>
      </w:r>
    </w:p>
    <w:tbl>
      <w:tblPr>
        <w:tblStyle w:val="1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709"/>
        <w:gridCol w:w="1276"/>
        <w:gridCol w:w="992"/>
        <w:gridCol w:w="3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96" w:type="dxa"/>
            <w:gridSpan w:val="2"/>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一级</w:t>
            </w:r>
          </w:p>
        </w:tc>
        <w:tc>
          <w:tcPr>
            <w:tcW w:w="1985" w:type="dxa"/>
            <w:gridSpan w:val="2"/>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二级</w:t>
            </w:r>
          </w:p>
        </w:tc>
        <w:tc>
          <w:tcPr>
            <w:tcW w:w="4619" w:type="dxa"/>
            <w:gridSpan w:val="2"/>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代码</w:t>
            </w:r>
          </w:p>
        </w:tc>
        <w:tc>
          <w:tcPr>
            <w:tcW w:w="992" w:type="dxa"/>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名称</w:t>
            </w:r>
          </w:p>
        </w:tc>
        <w:tc>
          <w:tcPr>
            <w:tcW w:w="709" w:type="dxa"/>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代码</w:t>
            </w:r>
          </w:p>
        </w:tc>
        <w:tc>
          <w:tcPr>
            <w:tcW w:w="1276" w:type="dxa"/>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名称</w:t>
            </w:r>
          </w:p>
        </w:tc>
        <w:tc>
          <w:tcPr>
            <w:tcW w:w="992" w:type="dxa"/>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代码</w:t>
            </w:r>
          </w:p>
        </w:tc>
        <w:tc>
          <w:tcPr>
            <w:tcW w:w="3627" w:type="dxa"/>
            <w:vAlign w:val="center"/>
          </w:tcPr>
          <w:p>
            <w:pPr>
              <w:widowControl/>
              <w:jc w:val="center"/>
              <w:rPr>
                <w:rFonts w:ascii="宋体" w:hAnsi="宋体" w:cs="宋体"/>
                <w:color w:val="000000"/>
                <w:sz w:val="18"/>
                <w:szCs w:val="18"/>
              </w:rPr>
            </w:pPr>
            <w:r>
              <w:rPr>
                <w:rFonts w:hint="eastAsia" w:ascii="宋体" w:hAnsi="宋体" w:cs="宋体"/>
                <w:b/>
                <w:bCs/>
                <w:color w:val="000000"/>
                <w:sz w:val="18"/>
                <w:szCs w:val="18"/>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w:t>
            </w:r>
          </w:p>
        </w:tc>
        <w:tc>
          <w:tcPr>
            <w:tcW w:w="992"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禁养区</w:t>
            </w:r>
          </w:p>
        </w:tc>
        <w:tc>
          <w:tcPr>
            <w:tcW w:w="709"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w:t>
            </w:r>
          </w:p>
        </w:tc>
        <w:tc>
          <w:tcPr>
            <w:tcW w:w="1276"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保护区</w:t>
            </w:r>
          </w:p>
          <w:p>
            <w:pPr>
              <w:widowControl/>
              <w:jc w:val="center"/>
              <w:rPr>
                <w:rFonts w:ascii="宋体" w:hAnsi="宋体" w:cs="宋体"/>
                <w:color w:val="000000"/>
                <w:sz w:val="18"/>
                <w:szCs w:val="18"/>
              </w:rPr>
            </w:pPr>
            <w:r>
              <w:rPr>
                <w:rFonts w:hint="eastAsia" w:ascii="宋体" w:hAnsi="宋体" w:cs="宋体"/>
                <w:color w:val="000000"/>
                <w:sz w:val="18"/>
                <w:szCs w:val="18"/>
              </w:rPr>
              <w:t>禁养区</w:t>
            </w: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w:t>
            </w:r>
            <w:r>
              <w:rPr>
                <w:rFonts w:hint="eastAsia" w:ascii="宋体" w:hAnsi="宋体" w:cs="宋体"/>
                <w:color w:val="000000"/>
                <w:sz w:val="18"/>
                <w:szCs w:val="18"/>
              </w:rPr>
              <w:t>-</w:t>
            </w:r>
            <w:r>
              <w:rPr>
                <w:rFonts w:ascii="宋体" w:hAnsi="宋体" w:cs="宋体"/>
                <w:color w:val="000000"/>
                <w:sz w:val="18"/>
                <w:szCs w:val="18"/>
              </w:rPr>
              <w:t>1</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饮用水水源地一级保护区禁养区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w:t>
            </w:r>
            <w:r>
              <w:rPr>
                <w:rFonts w:hint="eastAsia" w:ascii="宋体" w:hAnsi="宋体" w:cs="宋体"/>
                <w:color w:val="000000"/>
                <w:sz w:val="18"/>
                <w:szCs w:val="18"/>
              </w:rPr>
              <w:t>-</w:t>
            </w:r>
            <w:r>
              <w:rPr>
                <w:rFonts w:ascii="宋体" w:hAnsi="宋体" w:cs="宋体"/>
                <w:color w:val="000000"/>
                <w:sz w:val="18"/>
                <w:szCs w:val="18"/>
              </w:rPr>
              <w:t>2</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自然保护区核心区和缓冲区禁养区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w:t>
            </w:r>
            <w:r>
              <w:rPr>
                <w:rFonts w:hint="eastAsia" w:ascii="宋体" w:hAnsi="宋体" w:cs="宋体"/>
                <w:color w:val="000000"/>
                <w:sz w:val="18"/>
                <w:szCs w:val="18"/>
              </w:rPr>
              <w:t>-</w:t>
            </w:r>
            <w:r>
              <w:rPr>
                <w:rFonts w:ascii="宋体" w:hAnsi="宋体" w:cs="宋体"/>
                <w:color w:val="000000"/>
                <w:sz w:val="18"/>
                <w:szCs w:val="18"/>
              </w:rPr>
              <w:t>3</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国家水产种质资源保护区核心区禁养区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Align w:val="center"/>
          </w:tcPr>
          <w:p>
            <w:pPr>
              <w:widowControl/>
              <w:jc w:val="center"/>
              <w:rPr>
                <w:rFonts w:hint="eastAsia" w:ascii="宋体" w:hAnsi="宋体" w:cs="宋体" w:eastAsiaTheme="minorEastAsia"/>
                <w:color w:val="000000"/>
                <w:sz w:val="18"/>
                <w:szCs w:val="18"/>
                <w:lang w:val="en-US" w:eastAsia="zh-CN"/>
              </w:rPr>
            </w:pPr>
            <w:r>
              <w:rPr>
                <w:rFonts w:hint="eastAsia" w:ascii="宋体" w:hAnsi="宋体" w:cs="宋体"/>
                <w:color w:val="000000"/>
                <w:sz w:val="18"/>
                <w:szCs w:val="18"/>
              </w:rPr>
              <w:t>1-</w:t>
            </w:r>
            <w:r>
              <w:rPr>
                <w:rFonts w:hint="eastAsia" w:ascii="宋体" w:hAnsi="宋体" w:cs="宋体"/>
                <w:color w:val="000000"/>
                <w:sz w:val="18"/>
                <w:szCs w:val="18"/>
                <w:lang w:val="en-US" w:eastAsia="zh-CN"/>
              </w:rPr>
              <w:t>2</w:t>
            </w:r>
          </w:p>
        </w:tc>
        <w:tc>
          <w:tcPr>
            <w:tcW w:w="12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left"/>
              <w:textAlignment w:val="auto"/>
              <w:outlineLvl w:val="9"/>
              <w:rPr>
                <w:rFonts w:ascii="宋体" w:hAnsi="宋体" w:cs="宋体"/>
                <w:color w:val="000000"/>
                <w:sz w:val="18"/>
                <w:szCs w:val="18"/>
              </w:rPr>
            </w:pPr>
            <w:r>
              <w:rPr>
                <w:rFonts w:hint="eastAsia" w:ascii="宋体" w:hAnsi="宋体" w:cs="宋体"/>
                <w:color w:val="000000"/>
                <w:sz w:val="18"/>
                <w:szCs w:val="18"/>
              </w:rPr>
              <w:t>港口、航道、行洪区、河道堤防安全保护区等公共设施安全区域禁养区。</w:t>
            </w:r>
          </w:p>
        </w:tc>
        <w:tc>
          <w:tcPr>
            <w:tcW w:w="992" w:type="dxa"/>
            <w:vAlign w:val="center"/>
          </w:tcPr>
          <w:p>
            <w:pPr>
              <w:widowControl/>
              <w:jc w:val="center"/>
              <w:rPr>
                <w:rFonts w:hint="eastAsia" w:ascii="宋体" w:hAnsi="宋体" w:cs="宋体" w:eastAsiaTheme="minorEastAsia"/>
                <w:color w:val="000000"/>
                <w:sz w:val="18"/>
                <w:szCs w:val="18"/>
                <w:lang w:val="en-US" w:eastAsia="zh-CN"/>
              </w:rPr>
            </w:pPr>
            <w:r>
              <w:rPr>
                <w:rFonts w:hint="eastAsia" w:ascii="宋体" w:hAnsi="宋体" w:cs="宋体"/>
                <w:color w:val="000000"/>
                <w:sz w:val="18"/>
                <w:szCs w:val="18"/>
                <w:lang w:val="en-US" w:eastAsia="zh-CN"/>
              </w:rPr>
              <w:t>1-2-5</w:t>
            </w:r>
          </w:p>
        </w:tc>
        <w:tc>
          <w:tcPr>
            <w:tcW w:w="3627" w:type="dxa"/>
            <w:vAlign w:val="center"/>
          </w:tcPr>
          <w:p>
            <w:pPr>
              <w:widowControl/>
              <w:jc w:val="center"/>
              <w:rPr>
                <w:rFonts w:hint="eastAsia" w:ascii="宋体" w:hAnsi="宋体" w:cs="宋体"/>
                <w:color w:val="000000"/>
                <w:sz w:val="18"/>
                <w:szCs w:val="18"/>
              </w:rPr>
            </w:pPr>
            <w:r>
              <w:rPr>
                <w:rFonts w:hint="eastAsia" w:ascii="宋体" w:hAnsi="宋体" w:cs="宋体"/>
                <w:color w:val="000000"/>
                <w:sz w:val="18"/>
                <w:szCs w:val="18"/>
                <w:lang w:eastAsia="zh-CN"/>
              </w:rPr>
              <w:t>一类生态红线保护区</w:t>
            </w:r>
            <w:r>
              <w:rPr>
                <w:rFonts w:hint="eastAsia" w:ascii="宋体" w:hAnsi="宋体" w:cs="宋体"/>
                <w:color w:val="000000"/>
                <w:sz w:val="18"/>
                <w:szCs w:val="18"/>
              </w:rPr>
              <w:t>域禁养区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992"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限养区</w:t>
            </w:r>
          </w:p>
        </w:tc>
        <w:tc>
          <w:tcPr>
            <w:tcW w:w="709"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2-1</w:t>
            </w:r>
          </w:p>
        </w:tc>
        <w:tc>
          <w:tcPr>
            <w:tcW w:w="1276"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保护区</w:t>
            </w:r>
          </w:p>
          <w:p>
            <w:pPr>
              <w:widowControl/>
              <w:jc w:val="center"/>
              <w:rPr>
                <w:rFonts w:ascii="宋体" w:hAnsi="宋体" w:cs="宋体"/>
                <w:color w:val="000000"/>
                <w:sz w:val="18"/>
                <w:szCs w:val="18"/>
              </w:rPr>
            </w:pPr>
            <w:r>
              <w:rPr>
                <w:rFonts w:hint="eastAsia" w:ascii="宋体" w:hAnsi="宋体" w:cs="宋体"/>
                <w:color w:val="000000"/>
                <w:sz w:val="18"/>
                <w:szCs w:val="18"/>
              </w:rPr>
              <w:t>限养区</w:t>
            </w: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2-1-1</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饮用水水源地二级保护区限养区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jc w:val="center"/>
              <w:rPr>
                <w:rFonts w:ascii="宋体" w:hAnsi="宋体" w:cs="宋体"/>
                <w:color w:val="000000"/>
                <w:sz w:val="18"/>
                <w:szCs w:val="18"/>
              </w:rPr>
            </w:pPr>
          </w:p>
        </w:tc>
        <w:tc>
          <w:tcPr>
            <w:tcW w:w="992" w:type="dxa"/>
            <w:vMerge w:val="continue"/>
            <w:vAlign w:val="center"/>
          </w:tcPr>
          <w:p>
            <w:pPr>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2-1-2</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自然保护区实验区限养区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jc w:val="center"/>
              <w:rPr>
                <w:rFonts w:ascii="宋体" w:hAnsi="宋体" w:cs="宋体"/>
                <w:color w:val="000000"/>
                <w:sz w:val="18"/>
                <w:szCs w:val="18"/>
              </w:rPr>
            </w:pPr>
          </w:p>
        </w:tc>
        <w:tc>
          <w:tcPr>
            <w:tcW w:w="992" w:type="dxa"/>
            <w:vMerge w:val="continue"/>
            <w:vAlign w:val="center"/>
          </w:tcPr>
          <w:p>
            <w:pPr>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2-1-3</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国家水产种质资源保护区实验区限养区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jc w:val="center"/>
              <w:rPr>
                <w:rFonts w:ascii="宋体" w:hAnsi="宋体" w:cs="宋体"/>
                <w:color w:val="000000"/>
                <w:sz w:val="18"/>
                <w:szCs w:val="18"/>
              </w:rPr>
            </w:pPr>
          </w:p>
        </w:tc>
        <w:tc>
          <w:tcPr>
            <w:tcW w:w="992" w:type="dxa"/>
            <w:vMerge w:val="continue"/>
            <w:vAlign w:val="center"/>
          </w:tcPr>
          <w:p>
            <w:pPr>
              <w:jc w:val="center"/>
              <w:rPr>
                <w:rFonts w:ascii="宋体" w:hAnsi="宋体" w:cs="宋体"/>
                <w:color w:val="000000"/>
                <w:sz w:val="18"/>
                <w:szCs w:val="18"/>
              </w:rPr>
            </w:pPr>
          </w:p>
        </w:tc>
        <w:tc>
          <w:tcPr>
            <w:tcW w:w="709"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2-2</w:t>
            </w:r>
          </w:p>
        </w:tc>
        <w:tc>
          <w:tcPr>
            <w:tcW w:w="5895" w:type="dxa"/>
            <w:gridSpan w:val="3"/>
            <w:vAlign w:val="center"/>
          </w:tcPr>
          <w:p>
            <w:pPr>
              <w:widowControl/>
              <w:jc w:val="center"/>
              <w:rPr>
                <w:rFonts w:ascii="宋体" w:hAnsi="宋体" w:cs="宋体"/>
                <w:color w:val="000000"/>
                <w:sz w:val="18"/>
                <w:szCs w:val="18"/>
              </w:rPr>
            </w:pPr>
            <w:r>
              <w:rPr>
                <w:rFonts w:hint="eastAsia" w:ascii="宋体" w:hAnsi="宋体" w:cs="宋体"/>
                <w:color w:val="000000"/>
                <w:sz w:val="18"/>
                <w:szCs w:val="18"/>
              </w:rPr>
              <w:t>风景名胜区限养区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jc w:val="center"/>
              <w:rPr>
                <w:rFonts w:ascii="宋体" w:hAnsi="宋体" w:cs="宋体"/>
                <w:color w:val="000000"/>
                <w:sz w:val="18"/>
                <w:szCs w:val="18"/>
              </w:rPr>
            </w:pPr>
          </w:p>
        </w:tc>
        <w:tc>
          <w:tcPr>
            <w:tcW w:w="992" w:type="dxa"/>
            <w:vMerge w:val="continue"/>
            <w:vAlign w:val="center"/>
          </w:tcPr>
          <w:p>
            <w:pPr>
              <w:jc w:val="center"/>
              <w:rPr>
                <w:rFonts w:ascii="宋体" w:hAnsi="宋体" w:cs="宋体"/>
                <w:color w:val="000000"/>
                <w:sz w:val="18"/>
                <w:szCs w:val="18"/>
              </w:rPr>
            </w:pPr>
          </w:p>
        </w:tc>
        <w:tc>
          <w:tcPr>
            <w:tcW w:w="709"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2-3</w:t>
            </w:r>
          </w:p>
        </w:tc>
        <w:tc>
          <w:tcPr>
            <w:tcW w:w="1276"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重点生态功能区限养区</w:t>
            </w: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2-3-</w:t>
            </w:r>
            <w:r>
              <w:rPr>
                <w:rFonts w:ascii="宋体" w:hAnsi="宋体" w:cs="宋体"/>
                <w:color w:val="000000"/>
                <w:sz w:val="18"/>
                <w:szCs w:val="18"/>
              </w:rPr>
              <w:t>1</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湖泊限养区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2-3-</w:t>
            </w:r>
            <w:r>
              <w:rPr>
                <w:rFonts w:ascii="宋体" w:hAnsi="宋体" w:cs="宋体"/>
                <w:color w:val="000000"/>
                <w:sz w:val="18"/>
                <w:szCs w:val="18"/>
              </w:rPr>
              <w:t>2</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水库限养区</w:t>
            </w:r>
            <w:r>
              <w:rPr>
                <w:rFonts w:ascii="宋体" w:hAnsi="宋体" w:cs="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2-3-</w:t>
            </w:r>
            <w:r>
              <w:rPr>
                <w:rFonts w:ascii="宋体" w:hAnsi="宋体" w:cs="宋体"/>
                <w:color w:val="000000"/>
                <w:sz w:val="18"/>
                <w:szCs w:val="18"/>
              </w:rPr>
              <w:t>3</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河流限养区</w:t>
            </w:r>
            <w:r>
              <w:rPr>
                <w:rFonts w:ascii="宋体" w:hAnsi="宋体" w:cs="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2-3-4</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湿地限养区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3</w:t>
            </w:r>
          </w:p>
        </w:tc>
        <w:tc>
          <w:tcPr>
            <w:tcW w:w="992"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养殖区</w:t>
            </w:r>
          </w:p>
        </w:tc>
        <w:tc>
          <w:tcPr>
            <w:tcW w:w="709"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3-1</w:t>
            </w:r>
          </w:p>
        </w:tc>
        <w:tc>
          <w:tcPr>
            <w:tcW w:w="1276" w:type="dxa"/>
            <w:vMerge w:val="restart"/>
            <w:vAlign w:val="center"/>
          </w:tcPr>
          <w:p>
            <w:pPr>
              <w:widowControl/>
              <w:jc w:val="center"/>
              <w:rPr>
                <w:rFonts w:ascii="宋体" w:hAnsi="宋体" w:cs="宋体"/>
                <w:color w:val="000000"/>
                <w:sz w:val="18"/>
                <w:szCs w:val="18"/>
              </w:rPr>
            </w:pPr>
            <w:r>
              <w:rPr>
                <w:rFonts w:hint="eastAsia" w:ascii="宋体" w:hAnsi="宋体" w:cs="宋体"/>
                <w:color w:val="000000"/>
                <w:sz w:val="18"/>
                <w:szCs w:val="18"/>
              </w:rPr>
              <w:t>淡水养殖区</w:t>
            </w: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3-1-</w:t>
            </w:r>
            <w:r>
              <w:rPr>
                <w:rFonts w:ascii="宋体" w:hAnsi="宋体" w:cs="宋体"/>
                <w:color w:val="000000"/>
                <w:sz w:val="18"/>
                <w:szCs w:val="18"/>
              </w:rPr>
              <w:t>1</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池塘养殖区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3-1-</w:t>
            </w:r>
            <w:r>
              <w:rPr>
                <w:rFonts w:ascii="宋体" w:hAnsi="宋体" w:cs="宋体"/>
                <w:color w:val="000000"/>
                <w:sz w:val="18"/>
                <w:szCs w:val="18"/>
              </w:rPr>
              <w:t>2</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工厂化养殖区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3-1-3</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塌陷地养殖区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widowControl/>
              <w:jc w:val="center"/>
              <w:rPr>
                <w:rFonts w:ascii="宋体" w:hAnsi="宋体" w:cs="宋体"/>
                <w:color w:val="000000"/>
                <w:sz w:val="18"/>
                <w:szCs w:val="18"/>
              </w:rPr>
            </w:pPr>
          </w:p>
        </w:tc>
        <w:tc>
          <w:tcPr>
            <w:tcW w:w="992" w:type="dxa"/>
            <w:vMerge w:val="continue"/>
            <w:vAlign w:val="center"/>
          </w:tcPr>
          <w:p>
            <w:pPr>
              <w:widowControl/>
              <w:jc w:val="center"/>
              <w:rPr>
                <w:rFonts w:ascii="宋体" w:hAnsi="宋体" w:cs="宋体"/>
                <w:color w:val="000000"/>
                <w:sz w:val="18"/>
                <w:szCs w:val="18"/>
              </w:rPr>
            </w:pPr>
          </w:p>
        </w:tc>
        <w:tc>
          <w:tcPr>
            <w:tcW w:w="709" w:type="dxa"/>
            <w:vMerge w:val="continue"/>
            <w:vAlign w:val="center"/>
          </w:tcPr>
          <w:p>
            <w:pPr>
              <w:widowControl/>
              <w:jc w:val="center"/>
              <w:rPr>
                <w:rFonts w:ascii="宋体" w:hAnsi="宋体" w:cs="宋体"/>
                <w:color w:val="000000"/>
                <w:sz w:val="18"/>
                <w:szCs w:val="18"/>
              </w:rPr>
            </w:pPr>
          </w:p>
        </w:tc>
        <w:tc>
          <w:tcPr>
            <w:tcW w:w="1276" w:type="dxa"/>
            <w:vMerge w:val="continue"/>
            <w:vAlign w:val="center"/>
          </w:tcPr>
          <w:p>
            <w:pPr>
              <w:widowControl/>
              <w:jc w:val="center"/>
              <w:rPr>
                <w:rFonts w:ascii="宋体" w:hAnsi="宋体" w:cs="宋体"/>
                <w:color w:val="000000"/>
                <w:sz w:val="18"/>
                <w:szCs w:val="18"/>
              </w:rPr>
            </w:pPr>
          </w:p>
        </w:tc>
        <w:tc>
          <w:tcPr>
            <w:tcW w:w="992"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3-1-4</w:t>
            </w:r>
          </w:p>
        </w:tc>
        <w:tc>
          <w:tcPr>
            <w:tcW w:w="3627"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稻田综合种养区</w:t>
            </w:r>
          </w:p>
        </w:tc>
      </w:tr>
    </w:tbl>
    <w:p>
      <w:pPr>
        <w:ind w:right="-153" w:rightChars="-73"/>
      </w:pPr>
    </w:p>
    <w:p>
      <w:pPr>
        <w:adjustRightInd w:val="0"/>
        <w:snapToGrid w:val="0"/>
        <w:spacing w:line="570" w:lineRule="exact"/>
        <w:ind w:right="-153" w:rightChars="-73" w:firstLine="640"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禁止养殖区。</w:t>
      </w:r>
      <w:r>
        <w:rPr>
          <w:rFonts w:hint="eastAsia" w:ascii="仿宋_GB2312" w:hAnsi="仿宋_GB2312" w:eastAsia="仿宋_GB2312" w:cs="仿宋_GB2312"/>
          <w:sz w:val="32"/>
          <w:szCs w:val="32"/>
        </w:rPr>
        <w:t>根据我县实际情况，允许开展“放鱼养水”增殖渔业，经有关部门批准可以从事休闲渔业。禁止在水源地一二级保护区、国家级水产种质资源保护区核心区、湿地公园保育区和恢复重建区、河流、风景名胜区等重点生态功能区开展水产养殖。禁止在港口、航道、行洪区、河道管理范围保护区等公共设施安全区域开展水产养殖。禁止在有毒有害物质超过规定标准的水体开展水产养殖。禁止在法律法规规定其他区域进行水产养殖。</w:t>
      </w:r>
    </w:p>
    <w:p>
      <w:pPr>
        <w:adjustRightInd w:val="0"/>
        <w:snapToGrid w:val="0"/>
        <w:spacing w:line="570" w:lineRule="exact"/>
        <w:ind w:right="-153" w:rightChars="-73" w:firstLine="640"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限制养殖区。</w:t>
      </w:r>
      <w:r>
        <w:rPr>
          <w:rFonts w:hint="eastAsia" w:ascii="仿宋_GB2312" w:hAnsi="仿宋_GB2312" w:eastAsia="仿宋_GB2312" w:cs="仿宋_GB2312"/>
          <w:sz w:val="32"/>
          <w:szCs w:val="32"/>
        </w:rPr>
        <w:t>指环境和资源承载力较弱，并关系到较大范围内生态安全，或环境污染、损害、破坏较严重并急需修复与恢复，不适合进行集中高强度开发的水域，以及法律法规规定的其他限养区。应采取不危害堤防、河库安全，严格防控污染的养殖方式，允许开展增殖渔业，经有关部门许可可以从事休闲渔业。</w:t>
      </w:r>
    </w:p>
    <w:p>
      <w:pPr>
        <w:spacing w:line="570" w:lineRule="exact"/>
        <w:ind w:firstLine="640" w:firstLineChars="200"/>
        <w:jc w:val="left"/>
        <w:rPr>
          <w:rFonts w:ascii="仿宋_GB2312" w:hAnsi="仿宋_GB2312" w:eastAsia="仿宋_GB2312" w:cs="仿宋_GB2312"/>
          <w:b/>
          <w:bCs/>
          <w:sz w:val="32"/>
          <w:szCs w:val="32"/>
          <w:shd w:val="clear" w:color="auto" w:fill="FFFFFF"/>
        </w:rPr>
      </w:pP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养殖区。</w:t>
      </w:r>
      <w:r>
        <w:rPr>
          <w:rFonts w:hint="eastAsia" w:ascii="仿宋_GB2312" w:hAnsi="仿宋_GB2312" w:eastAsia="仿宋_GB2312" w:cs="仿宋_GB2312"/>
          <w:sz w:val="32"/>
          <w:szCs w:val="32"/>
        </w:rPr>
        <w:t>我县境内所属的禁止养殖区、限制养殖区以外的，已经从事水产养殖的水域和适宜渔业开发的宜渔土地资源划定为养殖区。按照各类水域的性质和功能划分为：工厂化设施养殖区、藕渔综合种养区。</w:t>
      </w:r>
    </w:p>
    <w:p>
      <w:pPr>
        <w:jc w:val="center"/>
        <w:rPr>
          <w:rFonts w:ascii="宋体" w:hAnsi="宋体"/>
          <w:b/>
          <w:color w:val="000000"/>
          <w:sz w:val="32"/>
          <w:szCs w:val="32"/>
        </w:rPr>
      </w:pPr>
    </w:p>
    <w:p>
      <w:pPr>
        <w:jc w:val="center"/>
        <w:rPr>
          <w:rFonts w:hint="eastAsia" w:ascii="宋体" w:hAnsi="宋体"/>
          <w:b/>
          <w:color w:val="000000"/>
          <w:sz w:val="32"/>
          <w:szCs w:val="32"/>
        </w:rPr>
      </w:pPr>
      <w:r>
        <w:rPr>
          <w:rFonts w:hint="eastAsia" w:ascii="宋体" w:hAnsi="宋体"/>
          <w:b/>
          <w:color w:val="000000"/>
          <w:sz w:val="32"/>
          <w:szCs w:val="32"/>
        </w:rPr>
        <w:t>沂源县养殖水域滩涂规划基本情况表</w:t>
      </w:r>
    </w:p>
    <w:p>
      <w:pPr>
        <w:jc w:val="center"/>
        <w:rPr>
          <w:rFonts w:hint="eastAsia" w:ascii="宋体" w:hAnsi="宋体"/>
          <w:b/>
          <w:color w:val="000000"/>
          <w:sz w:val="32"/>
          <w:szCs w:val="32"/>
        </w:rPr>
      </w:pPr>
    </w:p>
    <w:tbl>
      <w:tblPr>
        <w:tblStyle w:val="12"/>
        <w:tblW w:w="9600" w:type="dxa"/>
        <w:jc w:val="center"/>
        <w:tblInd w:w="0" w:type="dxa"/>
        <w:tblLayout w:type="fixed"/>
        <w:tblCellMar>
          <w:top w:w="0" w:type="dxa"/>
          <w:left w:w="108" w:type="dxa"/>
          <w:bottom w:w="0" w:type="dxa"/>
          <w:right w:w="108" w:type="dxa"/>
        </w:tblCellMar>
      </w:tblPr>
      <w:tblGrid>
        <w:gridCol w:w="857"/>
        <w:gridCol w:w="884"/>
        <w:gridCol w:w="11"/>
        <w:gridCol w:w="873"/>
        <w:gridCol w:w="22"/>
        <w:gridCol w:w="1837"/>
        <w:gridCol w:w="1692"/>
        <w:gridCol w:w="1514"/>
        <w:gridCol w:w="1270"/>
        <w:gridCol w:w="640"/>
      </w:tblGrid>
      <w:tr>
        <w:tblPrEx>
          <w:tblLayout w:type="fixed"/>
          <w:tblCellMar>
            <w:top w:w="0" w:type="dxa"/>
            <w:left w:w="108" w:type="dxa"/>
            <w:bottom w:w="0" w:type="dxa"/>
            <w:right w:w="108" w:type="dxa"/>
          </w:tblCellMar>
        </w:tblPrEx>
        <w:trPr>
          <w:trHeight w:val="352" w:hRule="atLeast"/>
          <w:jc w:val="center"/>
        </w:trPr>
        <w:tc>
          <w:tcPr>
            <w:tcW w:w="857"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宋体" w:cs="宋体"/>
                <w:b/>
                <w:color w:val="000000"/>
                <w:sz w:val="24"/>
              </w:rPr>
            </w:pPr>
            <w:r>
              <w:rPr>
                <w:rFonts w:hint="eastAsia"/>
                <w:b/>
                <w:color w:val="000000"/>
                <w:sz w:val="24"/>
              </w:rPr>
              <w:t>水域滩涂类型</w:t>
            </w:r>
          </w:p>
        </w:tc>
        <w:tc>
          <w:tcPr>
            <w:tcW w:w="1768" w:type="dxa"/>
            <w:gridSpan w:val="3"/>
            <w:tcBorders>
              <w:top w:val="single" w:color="auto" w:sz="8" w:space="0"/>
              <w:left w:val="nil"/>
              <w:bottom w:val="single" w:color="auto" w:sz="8" w:space="0"/>
              <w:right w:val="single" w:color="000000" w:sz="8" w:space="0"/>
            </w:tcBorders>
            <w:vAlign w:val="center"/>
          </w:tcPr>
          <w:p>
            <w:pPr>
              <w:jc w:val="center"/>
              <w:rPr>
                <w:rFonts w:ascii="宋体" w:cs="宋体"/>
                <w:b/>
                <w:color w:val="000000"/>
                <w:sz w:val="24"/>
              </w:rPr>
            </w:pPr>
            <w:r>
              <w:rPr>
                <w:rFonts w:hint="eastAsia"/>
                <w:b/>
                <w:color w:val="000000"/>
                <w:sz w:val="24"/>
              </w:rPr>
              <w:t>禁养区</w:t>
            </w:r>
          </w:p>
        </w:tc>
        <w:tc>
          <w:tcPr>
            <w:tcW w:w="1859" w:type="dxa"/>
            <w:gridSpan w:val="2"/>
            <w:vMerge w:val="restart"/>
            <w:tcBorders>
              <w:top w:val="single" w:color="auto" w:sz="8" w:space="0"/>
              <w:left w:val="nil"/>
              <w:right w:val="single" w:color="000000" w:sz="8" w:space="0"/>
            </w:tcBorders>
            <w:vAlign w:val="center"/>
          </w:tcPr>
          <w:p>
            <w:pPr>
              <w:jc w:val="center"/>
              <w:rPr>
                <w:rFonts w:hint="eastAsia"/>
                <w:b/>
                <w:color w:val="000000"/>
                <w:sz w:val="24"/>
              </w:rPr>
            </w:pPr>
            <w:r>
              <w:rPr>
                <w:rFonts w:hint="eastAsia"/>
                <w:b/>
                <w:color w:val="000000"/>
                <w:sz w:val="24"/>
              </w:rPr>
              <w:t>限养区面积</w:t>
            </w:r>
          </w:p>
          <w:p>
            <w:pPr>
              <w:jc w:val="center"/>
              <w:rPr>
                <w:rFonts w:ascii="宋体" w:cs="宋体"/>
                <w:b/>
                <w:color w:val="000000"/>
                <w:sz w:val="24"/>
              </w:rPr>
            </w:pPr>
            <w:r>
              <w:rPr>
                <w:rFonts w:hint="eastAsia"/>
                <w:b/>
                <w:color w:val="000000"/>
                <w:sz w:val="24"/>
              </w:rPr>
              <w:t>（亩）</w:t>
            </w:r>
          </w:p>
        </w:tc>
        <w:tc>
          <w:tcPr>
            <w:tcW w:w="1692" w:type="dxa"/>
            <w:vMerge w:val="restart"/>
            <w:tcBorders>
              <w:top w:val="single" w:color="auto" w:sz="8" w:space="0"/>
              <w:left w:val="nil"/>
              <w:right w:val="single" w:color="000000" w:sz="8" w:space="0"/>
            </w:tcBorders>
            <w:vAlign w:val="center"/>
          </w:tcPr>
          <w:p>
            <w:pPr>
              <w:jc w:val="center"/>
              <w:rPr>
                <w:rFonts w:hint="eastAsia"/>
                <w:b/>
                <w:color w:val="000000"/>
                <w:sz w:val="24"/>
              </w:rPr>
            </w:pPr>
            <w:r>
              <w:rPr>
                <w:rFonts w:hint="eastAsia"/>
                <w:b/>
                <w:color w:val="000000"/>
                <w:sz w:val="24"/>
              </w:rPr>
              <w:t>养殖区面积</w:t>
            </w:r>
          </w:p>
          <w:p>
            <w:pPr>
              <w:jc w:val="center"/>
              <w:rPr>
                <w:rFonts w:ascii="宋体" w:cs="宋体"/>
                <w:b/>
                <w:color w:val="000000"/>
                <w:sz w:val="24"/>
              </w:rPr>
            </w:pPr>
            <w:r>
              <w:rPr>
                <w:rFonts w:hint="eastAsia"/>
                <w:b/>
                <w:color w:val="000000"/>
                <w:sz w:val="24"/>
              </w:rPr>
              <w:t>（亩）</w:t>
            </w:r>
          </w:p>
        </w:tc>
        <w:tc>
          <w:tcPr>
            <w:tcW w:w="2784" w:type="dxa"/>
            <w:gridSpan w:val="2"/>
            <w:tcBorders>
              <w:top w:val="single" w:color="auto" w:sz="8" w:space="0"/>
              <w:left w:val="nil"/>
              <w:bottom w:val="single" w:color="auto" w:sz="8" w:space="0"/>
              <w:right w:val="single" w:color="000000" w:sz="8" w:space="0"/>
            </w:tcBorders>
            <w:vAlign w:val="center"/>
          </w:tcPr>
          <w:p>
            <w:pPr>
              <w:jc w:val="center"/>
              <w:rPr>
                <w:rFonts w:ascii="宋体" w:cs="宋体"/>
                <w:b/>
                <w:color w:val="000000"/>
                <w:sz w:val="24"/>
              </w:rPr>
            </w:pPr>
            <w:r>
              <w:rPr>
                <w:rFonts w:hint="eastAsia"/>
                <w:b/>
                <w:color w:val="000000"/>
                <w:sz w:val="24"/>
              </w:rPr>
              <w:t>合计</w:t>
            </w:r>
          </w:p>
        </w:tc>
        <w:tc>
          <w:tcPr>
            <w:tcW w:w="640"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宋体" w:cs="宋体"/>
                <w:b/>
                <w:color w:val="000000"/>
                <w:sz w:val="24"/>
              </w:rPr>
            </w:pPr>
            <w:r>
              <w:rPr>
                <w:rFonts w:hint="eastAsia"/>
                <w:b/>
                <w:color w:val="000000"/>
                <w:sz w:val="24"/>
              </w:rPr>
              <w:t>备注</w:t>
            </w:r>
          </w:p>
        </w:tc>
      </w:tr>
      <w:tr>
        <w:tblPrEx>
          <w:tblLayout w:type="fixed"/>
          <w:tblCellMar>
            <w:top w:w="0" w:type="dxa"/>
            <w:left w:w="108" w:type="dxa"/>
            <w:bottom w:w="0" w:type="dxa"/>
            <w:right w:w="108" w:type="dxa"/>
          </w:tblCellMar>
        </w:tblPrEx>
        <w:trPr>
          <w:trHeight w:val="683" w:hRule="atLeast"/>
          <w:jc w:val="center"/>
        </w:trPr>
        <w:tc>
          <w:tcPr>
            <w:tcW w:w="857" w:type="dxa"/>
            <w:vMerge w:val="continue"/>
            <w:tcBorders>
              <w:top w:val="single" w:color="auto" w:sz="8" w:space="0"/>
              <w:left w:val="single" w:color="auto" w:sz="8" w:space="0"/>
              <w:bottom w:val="single" w:color="000000" w:sz="8" w:space="0"/>
              <w:right w:val="single" w:color="auto" w:sz="8" w:space="0"/>
            </w:tcBorders>
            <w:vAlign w:val="center"/>
          </w:tcPr>
          <w:p>
            <w:pPr>
              <w:rPr>
                <w:rFonts w:ascii="宋体" w:cs="宋体"/>
                <w:color w:val="000000"/>
                <w:sz w:val="24"/>
              </w:rPr>
            </w:pPr>
          </w:p>
        </w:tc>
        <w:tc>
          <w:tcPr>
            <w:tcW w:w="884" w:type="dxa"/>
            <w:tcBorders>
              <w:top w:val="nil"/>
              <w:left w:val="nil"/>
              <w:bottom w:val="single" w:color="auto" w:sz="8" w:space="0"/>
              <w:right w:val="single" w:color="auto" w:sz="8" w:space="0"/>
            </w:tcBorders>
            <w:vAlign w:val="center"/>
          </w:tcPr>
          <w:p>
            <w:pPr>
              <w:jc w:val="center"/>
              <w:rPr>
                <w:rFonts w:hint="eastAsia"/>
                <w:b/>
                <w:color w:val="000000"/>
                <w:sz w:val="24"/>
              </w:rPr>
            </w:pPr>
            <w:r>
              <w:rPr>
                <w:rFonts w:hint="eastAsia"/>
                <w:b/>
                <w:color w:val="000000"/>
                <w:sz w:val="24"/>
              </w:rPr>
              <w:t>河道长度</w:t>
            </w:r>
          </w:p>
          <w:p>
            <w:pPr>
              <w:jc w:val="center"/>
              <w:rPr>
                <w:rFonts w:hint="eastAsia" w:ascii="宋体" w:cs="宋体" w:eastAsiaTheme="minorEastAsia"/>
                <w:b/>
                <w:color w:val="000000"/>
                <w:sz w:val="24"/>
                <w:lang w:eastAsia="zh-CN"/>
              </w:rPr>
            </w:pPr>
            <w:r>
              <w:rPr>
                <w:rFonts w:hint="eastAsia"/>
                <w:b/>
                <w:color w:val="000000"/>
                <w:sz w:val="24"/>
              </w:rPr>
              <w:t>（公里）</w:t>
            </w:r>
          </w:p>
        </w:tc>
        <w:tc>
          <w:tcPr>
            <w:tcW w:w="884" w:type="dxa"/>
            <w:gridSpan w:val="2"/>
            <w:tcBorders>
              <w:top w:val="nil"/>
              <w:left w:val="nil"/>
              <w:bottom w:val="single" w:color="auto" w:sz="8" w:space="0"/>
              <w:right w:val="single" w:color="auto" w:sz="8" w:space="0"/>
            </w:tcBorders>
            <w:vAlign w:val="center"/>
          </w:tcPr>
          <w:p>
            <w:pPr>
              <w:jc w:val="center"/>
              <w:rPr>
                <w:rFonts w:hint="eastAsia"/>
                <w:b/>
                <w:color w:val="000000"/>
                <w:sz w:val="24"/>
              </w:rPr>
            </w:pPr>
            <w:r>
              <w:rPr>
                <w:rFonts w:hint="eastAsia"/>
                <w:b/>
                <w:color w:val="000000"/>
                <w:sz w:val="24"/>
                <w:lang w:eastAsia="zh-CN"/>
              </w:rPr>
              <w:t>水域面积（亩）</w:t>
            </w:r>
          </w:p>
        </w:tc>
        <w:tc>
          <w:tcPr>
            <w:tcW w:w="1859" w:type="dxa"/>
            <w:gridSpan w:val="2"/>
            <w:vMerge w:val="continue"/>
            <w:tcBorders>
              <w:left w:val="nil"/>
              <w:bottom w:val="single" w:color="auto" w:sz="8" w:space="0"/>
              <w:right w:val="single" w:color="000000" w:sz="8" w:space="0"/>
            </w:tcBorders>
            <w:vAlign w:val="center"/>
          </w:tcPr>
          <w:p>
            <w:pPr>
              <w:jc w:val="center"/>
              <w:rPr>
                <w:rFonts w:ascii="宋体" w:cs="宋体"/>
                <w:b/>
                <w:color w:val="000000"/>
                <w:sz w:val="24"/>
              </w:rPr>
            </w:pPr>
          </w:p>
        </w:tc>
        <w:tc>
          <w:tcPr>
            <w:tcW w:w="1692" w:type="dxa"/>
            <w:vMerge w:val="continue"/>
            <w:tcBorders>
              <w:left w:val="nil"/>
              <w:bottom w:val="single" w:color="auto" w:sz="8" w:space="0"/>
              <w:right w:val="single" w:color="000000" w:sz="8" w:space="0"/>
            </w:tcBorders>
            <w:vAlign w:val="center"/>
          </w:tcPr>
          <w:p>
            <w:pPr>
              <w:jc w:val="center"/>
              <w:rPr>
                <w:rFonts w:ascii="宋体" w:cs="宋体"/>
                <w:b/>
                <w:color w:val="000000"/>
                <w:sz w:val="24"/>
              </w:rPr>
            </w:pPr>
          </w:p>
        </w:tc>
        <w:tc>
          <w:tcPr>
            <w:tcW w:w="1514" w:type="dxa"/>
            <w:tcBorders>
              <w:top w:val="nil"/>
              <w:left w:val="nil"/>
              <w:bottom w:val="single" w:color="auto" w:sz="8" w:space="0"/>
              <w:right w:val="single" w:color="auto" w:sz="8" w:space="0"/>
            </w:tcBorders>
            <w:vAlign w:val="center"/>
          </w:tcPr>
          <w:p>
            <w:pPr>
              <w:jc w:val="center"/>
              <w:rPr>
                <w:rFonts w:hint="eastAsia"/>
                <w:b/>
                <w:color w:val="000000"/>
                <w:sz w:val="24"/>
              </w:rPr>
            </w:pPr>
            <w:r>
              <w:rPr>
                <w:rFonts w:hint="eastAsia"/>
                <w:b/>
                <w:color w:val="000000"/>
                <w:sz w:val="24"/>
              </w:rPr>
              <w:t>总面积</w:t>
            </w:r>
          </w:p>
          <w:p>
            <w:pPr>
              <w:jc w:val="center"/>
              <w:rPr>
                <w:rFonts w:ascii="宋体" w:cs="宋体"/>
                <w:b/>
                <w:color w:val="000000"/>
                <w:sz w:val="24"/>
              </w:rPr>
            </w:pPr>
            <w:r>
              <w:rPr>
                <w:rFonts w:hint="eastAsia"/>
                <w:b/>
                <w:color w:val="000000"/>
                <w:sz w:val="24"/>
              </w:rPr>
              <w:t>（亩）</w:t>
            </w:r>
          </w:p>
        </w:tc>
        <w:tc>
          <w:tcPr>
            <w:tcW w:w="1270" w:type="dxa"/>
            <w:tcBorders>
              <w:top w:val="nil"/>
              <w:left w:val="nil"/>
              <w:bottom w:val="single" w:color="auto" w:sz="8" w:space="0"/>
              <w:right w:val="single" w:color="auto" w:sz="8" w:space="0"/>
            </w:tcBorders>
            <w:vAlign w:val="center"/>
          </w:tcPr>
          <w:p>
            <w:pPr>
              <w:jc w:val="center"/>
              <w:rPr>
                <w:rFonts w:ascii="宋体" w:cs="宋体"/>
                <w:b/>
                <w:color w:val="000000"/>
                <w:sz w:val="24"/>
              </w:rPr>
            </w:pPr>
            <w:r>
              <w:rPr>
                <w:rFonts w:hint="eastAsia"/>
                <w:b/>
                <w:color w:val="000000"/>
                <w:sz w:val="24"/>
              </w:rPr>
              <w:t>河道长度</w:t>
            </w:r>
            <w:r>
              <w:rPr>
                <w:b/>
                <w:color w:val="000000"/>
                <w:sz w:val="24"/>
              </w:rPr>
              <w:t xml:space="preserve"> </w:t>
            </w:r>
            <w:r>
              <w:rPr>
                <w:rFonts w:hint="eastAsia"/>
                <w:b/>
                <w:color w:val="000000"/>
                <w:sz w:val="24"/>
              </w:rPr>
              <w:t>（公里）</w:t>
            </w:r>
          </w:p>
        </w:tc>
        <w:tc>
          <w:tcPr>
            <w:tcW w:w="640" w:type="dxa"/>
            <w:vMerge w:val="continue"/>
            <w:tcBorders>
              <w:top w:val="single" w:color="auto" w:sz="8" w:space="0"/>
              <w:left w:val="single" w:color="auto" w:sz="8" w:space="0"/>
              <w:bottom w:val="single" w:color="000000" w:sz="8" w:space="0"/>
              <w:right w:val="single" w:color="auto" w:sz="8" w:space="0"/>
            </w:tcBorders>
            <w:vAlign w:val="center"/>
          </w:tcPr>
          <w:p>
            <w:pPr>
              <w:rPr>
                <w:rFonts w:ascii="宋体" w:cs="宋体"/>
                <w:color w:val="000000"/>
                <w:sz w:val="24"/>
              </w:rPr>
            </w:pPr>
          </w:p>
        </w:tc>
      </w:tr>
      <w:tr>
        <w:tblPrEx>
          <w:tblLayout w:type="fixed"/>
          <w:tblCellMar>
            <w:top w:w="0" w:type="dxa"/>
            <w:left w:w="108" w:type="dxa"/>
            <w:bottom w:w="0" w:type="dxa"/>
            <w:right w:w="108" w:type="dxa"/>
          </w:tblCellMar>
        </w:tblPrEx>
        <w:trPr>
          <w:trHeight w:val="683" w:hRule="atLeast"/>
          <w:jc w:val="center"/>
        </w:trPr>
        <w:tc>
          <w:tcPr>
            <w:tcW w:w="857" w:type="dxa"/>
            <w:tcBorders>
              <w:top w:val="nil"/>
              <w:left w:val="single" w:color="auto" w:sz="8" w:space="0"/>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养殖池塘</w:t>
            </w:r>
          </w:p>
        </w:tc>
        <w:tc>
          <w:tcPr>
            <w:tcW w:w="884"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ascii="宋体"/>
                <w:color w:val="000000"/>
                <w:sz w:val="24"/>
              </w:rPr>
              <w:t>0</w:t>
            </w:r>
          </w:p>
        </w:tc>
        <w:tc>
          <w:tcPr>
            <w:tcW w:w="884" w:type="dxa"/>
            <w:gridSpan w:val="2"/>
            <w:tcBorders>
              <w:top w:val="nil"/>
              <w:left w:val="nil"/>
              <w:bottom w:val="single" w:color="auto" w:sz="8" w:space="0"/>
              <w:right w:val="single" w:color="auto" w:sz="8" w:space="0"/>
            </w:tcBorders>
            <w:vAlign w:val="center"/>
          </w:tcPr>
          <w:p>
            <w:pPr>
              <w:jc w:val="center"/>
              <w:rPr>
                <w:rFonts w:hint="eastAsia" w:ascii="宋体" w:eastAsiaTheme="minorEastAsia"/>
                <w:color w:val="000000"/>
                <w:sz w:val="24"/>
                <w:lang w:val="en-US" w:eastAsia="zh-CN"/>
              </w:rPr>
            </w:pPr>
            <w:r>
              <w:rPr>
                <w:rFonts w:hint="eastAsia" w:ascii="宋体"/>
                <w:color w:val="000000"/>
                <w:sz w:val="24"/>
                <w:lang w:val="en-US" w:eastAsia="zh-CN"/>
              </w:rPr>
              <w:t>0</w:t>
            </w:r>
          </w:p>
        </w:tc>
        <w:tc>
          <w:tcPr>
            <w:tcW w:w="1859" w:type="dxa"/>
            <w:gridSpan w:val="2"/>
            <w:tcBorders>
              <w:top w:val="nil"/>
              <w:left w:val="nil"/>
              <w:bottom w:val="single" w:color="auto" w:sz="8" w:space="0"/>
              <w:right w:val="single" w:color="auto" w:sz="8" w:space="0"/>
            </w:tcBorders>
            <w:vAlign w:val="center"/>
          </w:tcPr>
          <w:p>
            <w:pPr>
              <w:jc w:val="center"/>
              <w:rPr>
                <w:rFonts w:ascii="宋体" w:cs="宋体"/>
                <w:color w:val="000000"/>
                <w:sz w:val="24"/>
              </w:rPr>
            </w:pPr>
            <w:r>
              <w:rPr>
                <w:rFonts w:ascii="宋体"/>
                <w:color w:val="000000"/>
                <w:sz w:val="24"/>
              </w:rPr>
              <w:t>0</w:t>
            </w:r>
          </w:p>
        </w:tc>
        <w:tc>
          <w:tcPr>
            <w:tcW w:w="1692" w:type="dxa"/>
            <w:tcBorders>
              <w:top w:val="nil"/>
              <w:left w:val="nil"/>
              <w:bottom w:val="single" w:color="auto" w:sz="8" w:space="0"/>
              <w:right w:val="single" w:color="auto" w:sz="8" w:space="0"/>
            </w:tcBorders>
            <w:vAlign w:val="center"/>
          </w:tcPr>
          <w:p>
            <w:pPr>
              <w:jc w:val="center"/>
              <w:rPr>
                <w:rFonts w:hint="eastAsia" w:ascii="宋体" w:cs="宋体" w:eastAsiaTheme="minorEastAsia"/>
                <w:color w:val="FF0000"/>
                <w:sz w:val="24"/>
                <w:lang w:val="en-US" w:eastAsia="zh-CN"/>
              </w:rPr>
            </w:pPr>
            <w:r>
              <w:rPr>
                <w:rFonts w:hint="eastAsia" w:ascii="宋体"/>
                <w:color w:val="000000"/>
                <w:sz w:val="24"/>
                <w:lang w:val="en-US" w:eastAsia="zh-CN"/>
              </w:rPr>
              <w:t>594</w:t>
            </w:r>
          </w:p>
        </w:tc>
        <w:tc>
          <w:tcPr>
            <w:tcW w:w="1514"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cs="宋体"/>
                <w:color w:val="000000"/>
                <w:sz w:val="24"/>
                <w:lang w:val="en-US" w:eastAsia="zh-CN"/>
              </w:rPr>
              <w:t>594</w:t>
            </w:r>
          </w:p>
        </w:tc>
        <w:tc>
          <w:tcPr>
            <w:tcW w:w="1270"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ascii="宋体"/>
                <w:color w:val="000000"/>
                <w:sz w:val="24"/>
              </w:rPr>
              <w:t>0</w:t>
            </w:r>
          </w:p>
        </w:tc>
        <w:tc>
          <w:tcPr>
            <w:tcW w:w="640"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　</w:t>
            </w:r>
          </w:p>
        </w:tc>
      </w:tr>
      <w:tr>
        <w:tblPrEx>
          <w:tblLayout w:type="fixed"/>
          <w:tblCellMar>
            <w:top w:w="0" w:type="dxa"/>
            <w:left w:w="108" w:type="dxa"/>
            <w:bottom w:w="0" w:type="dxa"/>
            <w:right w:w="108" w:type="dxa"/>
          </w:tblCellMar>
        </w:tblPrEx>
        <w:trPr>
          <w:trHeight w:val="616" w:hRule="atLeast"/>
          <w:jc w:val="center"/>
        </w:trPr>
        <w:tc>
          <w:tcPr>
            <w:tcW w:w="857" w:type="dxa"/>
            <w:tcBorders>
              <w:top w:val="nil"/>
              <w:left w:val="single" w:color="auto" w:sz="8" w:space="0"/>
              <w:bottom w:val="single" w:color="auto" w:sz="8" w:space="0"/>
              <w:right w:val="single" w:color="auto" w:sz="8" w:space="0"/>
            </w:tcBorders>
            <w:vAlign w:val="center"/>
          </w:tcPr>
          <w:p>
            <w:pPr>
              <w:jc w:val="center"/>
              <w:rPr>
                <w:rFonts w:ascii="宋体" w:hAnsi="宋体"/>
                <w:color w:val="000000"/>
                <w:sz w:val="24"/>
              </w:rPr>
            </w:pPr>
            <w:r>
              <w:rPr>
                <w:rFonts w:hint="eastAsia" w:ascii="宋体" w:hAnsi="宋体"/>
                <w:color w:val="000000"/>
                <w:sz w:val="24"/>
              </w:rPr>
              <w:t>水库</w:t>
            </w:r>
          </w:p>
        </w:tc>
        <w:tc>
          <w:tcPr>
            <w:tcW w:w="884" w:type="dxa"/>
            <w:tcBorders>
              <w:top w:val="nil"/>
              <w:left w:val="nil"/>
              <w:bottom w:val="single" w:color="auto" w:sz="8" w:space="0"/>
              <w:right w:val="single" w:color="auto" w:sz="8" w:space="0"/>
            </w:tcBorders>
            <w:vAlign w:val="center"/>
          </w:tcPr>
          <w:p>
            <w:pPr>
              <w:jc w:val="center"/>
              <w:rPr>
                <w:rFonts w:ascii="宋体"/>
                <w:color w:val="000000"/>
                <w:sz w:val="24"/>
              </w:rPr>
            </w:pPr>
            <w:r>
              <w:rPr>
                <w:rFonts w:hint="eastAsia" w:ascii="宋体"/>
                <w:color w:val="000000"/>
                <w:sz w:val="24"/>
              </w:rPr>
              <w:t>0</w:t>
            </w:r>
          </w:p>
        </w:tc>
        <w:tc>
          <w:tcPr>
            <w:tcW w:w="884" w:type="dxa"/>
            <w:gridSpan w:val="2"/>
            <w:tcBorders>
              <w:top w:val="nil"/>
              <w:left w:val="nil"/>
              <w:bottom w:val="single" w:color="auto" w:sz="8" w:space="0"/>
              <w:right w:val="single" w:color="auto" w:sz="8" w:space="0"/>
            </w:tcBorders>
            <w:vAlign w:val="center"/>
          </w:tcPr>
          <w:p>
            <w:pPr>
              <w:jc w:val="center"/>
              <w:rPr>
                <w:rFonts w:hint="eastAsia" w:ascii="宋体" w:eastAsiaTheme="minorEastAsia"/>
                <w:color w:val="000000"/>
                <w:sz w:val="24"/>
                <w:lang w:val="en-US" w:eastAsia="zh-CN"/>
              </w:rPr>
            </w:pPr>
            <w:r>
              <w:rPr>
                <w:rFonts w:hint="eastAsia" w:ascii="宋体"/>
                <w:color w:val="000000"/>
                <w:sz w:val="24"/>
                <w:lang w:val="en-US" w:eastAsia="zh-CN"/>
              </w:rPr>
              <w:t>11000</w:t>
            </w:r>
          </w:p>
        </w:tc>
        <w:tc>
          <w:tcPr>
            <w:tcW w:w="1859" w:type="dxa"/>
            <w:gridSpan w:val="2"/>
            <w:tcBorders>
              <w:top w:val="nil"/>
              <w:left w:val="nil"/>
              <w:bottom w:val="single" w:color="auto" w:sz="8" w:space="0"/>
              <w:right w:val="single" w:color="auto" w:sz="8" w:space="0"/>
            </w:tcBorders>
            <w:vAlign w:val="center"/>
          </w:tcPr>
          <w:p>
            <w:pPr>
              <w:jc w:val="center"/>
              <w:rPr>
                <w:rFonts w:ascii="宋体"/>
                <w:color w:val="000000"/>
                <w:sz w:val="24"/>
              </w:rPr>
            </w:pPr>
            <w:r>
              <w:rPr>
                <w:rFonts w:hint="eastAsia" w:ascii="宋体"/>
                <w:color w:val="000000"/>
                <w:sz w:val="24"/>
                <w:lang w:val="en-US" w:eastAsia="zh-CN"/>
              </w:rPr>
              <w:t>8</w:t>
            </w:r>
            <w:r>
              <w:rPr>
                <w:rFonts w:hint="eastAsia" w:ascii="宋体"/>
                <w:color w:val="000000"/>
                <w:sz w:val="24"/>
              </w:rPr>
              <w:t>865</w:t>
            </w:r>
          </w:p>
        </w:tc>
        <w:tc>
          <w:tcPr>
            <w:tcW w:w="1692" w:type="dxa"/>
            <w:tcBorders>
              <w:top w:val="nil"/>
              <w:left w:val="nil"/>
              <w:bottom w:val="single" w:color="auto" w:sz="8" w:space="0"/>
              <w:right w:val="single" w:color="auto" w:sz="8" w:space="0"/>
            </w:tcBorders>
            <w:vAlign w:val="center"/>
          </w:tcPr>
          <w:p>
            <w:pPr>
              <w:jc w:val="center"/>
              <w:rPr>
                <w:rFonts w:ascii="宋体" w:hAnsi="宋体"/>
                <w:color w:val="000000"/>
                <w:sz w:val="24"/>
              </w:rPr>
            </w:pPr>
            <w:r>
              <w:rPr>
                <w:rFonts w:hint="eastAsia" w:ascii="宋体" w:hAnsi="宋体"/>
                <w:color w:val="000000"/>
                <w:sz w:val="24"/>
              </w:rPr>
              <w:t>0</w:t>
            </w:r>
          </w:p>
        </w:tc>
        <w:tc>
          <w:tcPr>
            <w:tcW w:w="1514" w:type="dxa"/>
            <w:tcBorders>
              <w:top w:val="nil"/>
              <w:left w:val="nil"/>
              <w:bottom w:val="single" w:color="auto" w:sz="8" w:space="0"/>
              <w:right w:val="single" w:color="auto" w:sz="8" w:space="0"/>
            </w:tcBorders>
            <w:vAlign w:val="center"/>
          </w:tcPr>
          <w:p>
            <w:pPr>
              <w:jc w:val="center"/>
              <w:rPr>
                <w:rFonts w:ascii="宋体" w:hAnsi="宋体"/>
                <w:color w:val="000000"/>
                <w:sz w:val="24"/>
              </w:rPr>
            </w:pPr>
            <w:r>
              <w:rPr>
                <w:rFonts w:hint="eastAsia" w:ascii="宋体" w:hAnsi="宋体"/>
                <w:color w:val="000000"/>
                <w:sz w:val="24"/>
              </w:rPr>
              <w:t>19865</w:t>
            </w:r>
          </w:p>
        </w:tc>
        <w:tc>
          <w:tcPr>
            <w:tcW w:w="1270" w:type="dxa"/>
            <w:tcBorders>
              <w:top w:val="nil"/>
              <w:left w:val="nil"/>
              <w:bottom w:val="single" w:color="auto" w:sz="8" w:space="0"/>
              <w:right w:val="single" w:color="auto" w:sz="8" w:space="0"/>
            </w:tcBorders>
            <w:vAlign w:val="center"/>
          </w:tcPr>
          <w:p>
            <w:pPr>
              <w:jc w:val="center"/>
              <w:rPr>
                <w:rFonts w:ascii="宋体"/>
                <w:color w:val="000000"/>
                <w:sz w:val="24"/>
              </w:rPr>
            </w:pPr>
            <w:r>
              <w:rPr>
                <w:rFonts w:hint="eastAsia" w:ascii="宋体"/>
                <w:color w:val="000000"/>
                <w:sz w:val="24"/>
              </w:rPr>
              <w:t>0</w:t>
            </w:r>
          </w:p>
        </w:tc>
        <w:tc>
          <w:tcPr>
            <w:tcW w:w="640" w:type="dxa"/>
            <w:tcBorders>
              <w:top w:val="nil"/>
              <w:left w:val="nil"/>
              <w:bottom w:val="single" w:color="auto" w:sz="8" w:space="0"/>
              <w:right w:val="single" w:color="auto" w:sz="8" w:space="0"/>
            </w:tcBorders>
            <w:vAlign w:val="center"/>
          </w:tcPr>
          <w:p>
            <w:pPr>
              <w:jc w:val="center"/>
              <w:rPr>
                <w:rFonts w:ascii="宋体" w:hAnsi="宋体"/>
                <w:color w:val="000000"/>
                <w:sz w:val="24"/>
              </w:rPr>
            </w:pPr>
          </w:p>
        </w:tc>
      </w:tr>
      <w:tr>
        <w:tblPrEx>
          <w:tblLayout w:type="fixed"/>
          <w:tblCellMar>
            <w:top w:w="0" w:type="dxa"/>
            <w:left w:w="108" w:type="dxa"/>
            <w:bottom w:w="0" w:type="dxa"/>
            <w:right w:w="108" w:type="dxa"/>
          </w:tblCellMar>
        </w:tblPrEx>
        <w:trPr>
          <w:trHeight w:val="489" w:hRule="atLeast"/>
          <w:jc w:val="center"/>
        </w:trPr>
        <w:tc>
          <w:tcPr>
            <w:tcW w:w="857" w:type="dxa"/>
            <w:tcBorders>
              <w:top w:val="nil"/>
              <w:left w:val="single" w:color="auto" w:sz="8" w:space="0"/>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沂河主道</w:t>
            </w:r>
          </w:p>
        </w:tc>
        <w:tc>
          <w:tcPr>
            <w:tcW w:w="895" w:type="dxa"/>
            <w:gridSpan w:val="2"/>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57</w:t>
            </w:r>
          </w:p>
        </w:tc>
        <w:tc>
          <w:tcPr>
            <w:tcW w:w="895" w:type="dxa"/>
            <w:gridSpan w:val="2"/>
            <w:tcBorders>
              <w:top w:val="nil"/>
              <w:left w:val="nil"/>
              <w:bottom w:val="single" w:color="auto" w:sz="8" w:space="0"/>
              <w:right w:val="single" w:color="auto" w:sz="8" w:space="0"/>
            </w:tcBorders>
            <w:vAlign w:val="center"/>
          </w:tcPr>
          <w:p>
            <w:pPr>
              <w:jc w:val="center"/>
              <w:rPr>
                <w:rFonts w:hint="eastAsia" w:ascii="宋体" w:hAnsi="宋体" w:eastAsiaTheme="minorEastAsia"/>
                <w:color w:val="000000"/>
                <w:sz w:val="24"/>
                <w:lang w:val="en-US" w:eastAsia="zh-CN"/>
              </w:rPr>
            </w:pPr>
            <w:r>
              <w:rPr>
                <w:rFonts w:hint="eastAsia" w:ascii="宋体" w:hAnsi="宋体"/>
                <w:color w:val="000000"/>
                <w:sz w:val="24"/>
                <w:lang w:val="en-US" w:eastAsia="zh-CN"/>
              </w:rPr>
              <w:t>0</w:t>
            </w:r>
          </w:p>
        </w:tc>
        <w:tc>
          <w:tcPr>
            <w:tcW w:w="1837"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ascii="宋体"/>
                <w:color w:val="000000"/>
                <w:sz w:val="24"/>
              </w:rPr>
              <w:t>0</w:t>
            </w:r>
          </w:p>
        </w:tc>
        <w:tc>
          <w:tcPr>
            <w:tcW w:w="1692"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ascii="宋体"/>
                <w:color w:val="000000"/>
                <w:sz w:val="24"/>
              </w:rPr>
              <w:t>0</w:t>
            </w:r>
          </w:p>
        </w:tc>
        <w:tc>
          <w:tcPr>
            <w:tcW w:w="1514"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0</w:t>
            </w:r>
          </w:p>
        </w:tc>
        <w:tc>
          <w:tcPr>
            <w:tcW w:w="1270"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57</w:t>
            </w:r>
          </w:p>
        </w:tc>
        <w:tc>
          <w:tcPr>
            <w:tcW w:w="640" w:type="dxa"/>
            <w:tcBorders>
              <w:top w:val="nil"/>
              <w:left w:val="nil"/>
              <w:bottom w:val="single" w:color="auto" w:sz="8" w:space="0"/>
              <w:right w:val="single" w:color="auto" w:sz="8" w:space="0"/>
            </w:tcBorders>
          </w:tcPr>
          <w:p>
            <w:pPr>
              <w:rPr>
                <w:rFonts w:ascii="宋体" w:cs="宋体"/>
                <w:color w:val="000000"/>
                <w:sz w:val="24"/>
              </w:rPr>
            </w:pPr>
            <w:r>
              <w:rPr>
                <w:rFonts w:hint="eastAsia" w:ascii="宋体" w:hAnsi="宋体"/>
                <w:color w:val="000000"/>
                <w:sz w:val="24"/>
              </w:rPr>
              <w:t>　</w:t>
            </w:r>
          </w:p>
        </w:tc>
      </w:tr>
      <w:tr>
        <w:tblPrEx>
          <w:tblLayout w:type="fixed"/>
          <w:tblCellMar>
            <w:top w:w="0" w:type="dxa"/>
            <w:left w:w="108" w:type="dxa"/>
            <w:bottom w:w="0" w:type="dxa"/>
            <w:right w:w="108" w:type="dxa"/>
          </w:tblCellMar>
        </w:tblPrEx>
        <w:trPr>
          <w:trHeight w:val="704" w:hRule="atLeast"/>
          <w:jc w:val="center"/>
        </w:trPr>
        <w:tc>
          <w:tcPr>
            <w:tcW w:w="857" w:type="dxa"/>
            <w:tcBorders>
              <w:top w:val="nil"/>
              <w:left w:val="single" w:color="auto" w:sz="8" w:space="0"/>
              <w:bottom w:val="single" w:color="auto" w:sz="8" w:space="0"/>
              <w:right w:val="single" w:color="auto" w:sz="8" w:space="0"/>
            </w:tcBorders>
            <w:vAlign w:val="center"/>
          </w:tcPr>
          <w:p>
            <w:pPr>
              <w:jc w:val="center"/>
              <w:rPr>
                <w:rFonts w:ascii="宋体" w:cs="宋体"/>
                <w:color w:val="000000"/>
                <w:sz w:val="24"/>
              </w:rPr>
            </w:pPr>
            <w:r>
              <w:rPr>
                <w:rFonts w:hint="eastAsia" w:ascii="宋体" w:hAnsi="宋体"/>
                <w:color w:val="000000"/>
                <w:sz w:val="24"/>
              </w:rPr>
              <w:t>合计</w:t>
            </w:r>
          </w:p>
        </w:tc>
        <w:tc>
          <w:tcPr>
            <w:tcW w:w="895" w:type="dxa"/>
            <w:gridSpan w:val="2"/>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cs="宋体"/>
                <w:color w:val="000000"/>
                <w:sz w:val="24"/>
                <w:lang w:val="en-US" w:eastAsia="zh-CN"/>
              </w:rPr>
              <w:t>57</w:t>
            </w:r>
          </w:p>
        </w:tc>
        <w:tc>
          <w:tcPr>
            <w:tcW w:w="895" w:type="dxa"/>
            <w:gridSpan w:val="2"/>
            <w:tcBorders>
              <w:top w:val="nil"/>
              <w:left w:val="nil"/>
              <w:bottom w:val="single" w:color="auto" w:sz="8" w:space="0"/>
              <w:right w:val="single" w:color="auto" w:sz="8" w:space="0"/>
            </w:tcBorders>
            <w:vAlign w:val="center"/>
          </w:tcPr>
          <w:p>
            <w:pPr>
              <w:jc w:val="center"/>
              <w:rPr>
                <w:rFonts w:hint="eastAsia" w:ascii="宋体" w:cs="宋体"/>
                <w:color w:val="000000"/>
                <w:sz w:val="24"/>
                <w:lang w:val="en-US" w:eastAsia="zh-CN"/>
              </w:rPr>
            </w:pPr>
            <w:r>
              <w:rPr>
                <w:rFonts w:hint="eastAsia" w:ascii="宋体" w:cs="宋体"/>
                <w:color w:val="000000"/>
                <w:sz w:val="24"/>
                <w:lang w:val="en-US" w:eastAsia="zh-CN"/>
              </w:rPr>
              <w:t>11000</w:t>
            </w:r>
          </w:p>
        </w:tc>
        <w:tc>
          <w:tcPr>
            <w:tcW w:w="1837"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cs="宋体"/>
                <w:color w:val="000000"/>
                <w:sz w:val="24"/>
                <w:lang w:val="en-US" w:eastAsia="zh-CN"/>
              </w:rPr>
              <w:t>8</w:t>
            </w:r>
            <w:r>
              <w:rPr>
                <w:rFonts w:hint="eastAsia" w:ascii="宋体" w:cs="宋体"/>
                <w:color w:val="000000"/>
                <w:sz w:val="24"/>
              </w:rPr>
              <w:t>865</w:t>
            </w:r>
          </w:p>
        </w:tc>
        <w:tc>
          <w:tcPr>
            <w:tcW w:w="1692" w:type="dxa"/>
            <w:tcBorders>
              <w:top w:val="nil"/>
              <w:left w:val="nil"/>
              <w:bottom w:val="single" w:color="auto" w:sz="8" w:space="0"/>
              <w:right w:val="single" w:color="auto" w:sz="8" w:space="0"/>
            </w:tcBorders>
            <w:vAlign w:val="center"/>
          </w:tcPr>
          <w:p>
            <w:pPr>
              <w:jc w:val="center"/>
              <w:rPr>
                <w:rFonts w:hint="eastAsia" w:ascii="宋体" w:cs="宋体" w:eastAsiaTheme="minorEastAsia"/>
                <w:color w:val="000000"/>
                <w:sz w:val="24"/>
                <w:lang w:val="en-US" w:eastAsia="zh-CN"/>
              </w:rPr>
            </w:pPr>
            <w:r>
              <w:rPr>
                <w:rFonts w:hint="eastAsia" w:ascii="宋体" w:cs="宋体"/>
                <w:color w:val="000000"/>
                <w:sz w:val="24"/>
                <w:lang w:val="en-US" w:eastAsia="zh-CN"/>
              </w:rPr>
              <w:t>594</w:t>
            </w:r>
          </w:p>
        </w:tc>
        <w:tc>
          <w:tcPr>
            <w:tcW w:w="1514" w:type="dxa"/>
            <w:tcBorders>
              <w:top w:val="nil"/>
              <w:left w:val="nil"/>
              <w:bottom w:val="single" w:color="auto" w:sz="8" w:space="0"/>
              <w:right w:val="single" w:color="auto" w:sz="8" w:space="0"/>
            </w:tcBorders>
            <w:vAlign w:val="center"/>
          </w:tcPr>
          <w:p>
            <w:pPr>
              <w:jc w:val="center"/>
              <w:rPr>
                <w:rFonts w:hint="eastAsia" w:ascii="宋体" w:cs="宋体" w:eastAsiaTheme="minorEastAsia"/>
                <w:color w:val="000000"/>
                <w:sz w:val="24"/>
                <w:lang w:val="en-US" w:eastAsia="zh-CN"/>
              </w:rPr>
            </w:pPr>
            <w:r>
              <w:rPr>
                <w:rFonts w:hint="eastAsia" w:ascii="宋体" w:cs="宋体"/>
                <w:color w:val="000000"/>
                <w:sz w:val="24"/>
              </w:rPr>
              <w:t>20</w:t>
            </w:r>
            <w:r>
              <w:rPr>
                <w:rFonts w:hint="eastAsia" w:ascii="宋体" w:cs="宋体"/>
                <w:color w:val="000000"/>
                <w:sz w:val="24"/>
                <w:lang w:val="en-US" w:eastAsia="zh-CN"/>
              </w:rPr>
              <w:t>459</w:t>
            </w:r>
          </w:p>
        </w:tc>
        <w:tc>
          <w:tcPr>
            <w:tcW w:w="1270" w:type="dxa"/>
            <w:tcBorders>
              <w:top w:val="nil"/>
              <w:left w:val="nil"/>
              <w:bottom w:val="single" w:color="auto" w:sz="8" w:space="0"/>
              <w:right w:val="single" w:color="auto" w:sz="8" w:space="0"/>
            </w:tcBorders>
            <w:vAlign w:val="center"/>
          </w:tcPr>
          <w:p>
            <w:pPr>
              <w:jc w:val="center"/>
              <w:rPr>
                <w:rFonts w:ascii="宋体" w:cs="宋体"/>
                <w:color w:val="000000"/>
                <w:sz w:val="24"/>
              </w:rPr>
            </w:pPr>
            <w:r>
              <w:rPr>
                <w:rFonts w:hint="eastAsia" w:ascii="宋体" w:cs="宋体"/>
                <w:color w:val="000000"/>
                <w:sz w:val="24"/>
              </w:rPr>
              <w:t>57</w:t>
            </w:r>
          </w:p>
        </w:tc>
        <w:tc>
          <w:tcPr>
            <w:tcW w:w="640" w:type="dxa"/>
            <w:tcBorders>
              <w:top w:val="nil"/>
              <w:left w:val="nil"/>
              <w:bottom w:val="single" w:color="auto" w:sz="8" w:space="0"/>
              <w:right w:val="single" w:color="auto" w:sz="8" w:space="0"/>
            </w:tcBorders>
          </w:tcPr>
          <w:p>
            <w:pPr>
              <w:rPr>
                <w:rFonts w:ascii="宋体" w:cs="宋体"/>
                <w:color w:val="000000"/>
                <w:sz w:val="24"/>
              </w:rPr>
            </w:pPr>
            <w:r>
              <w:rPr>
                <w:rFonts w:hint="eastAsia" w:ascii="宋体" w:hAnsi="宋体"/>
                <w:color w:val="000000"/>
                <w:sz w:val="24"/>
              </w:rPr>
              <w:t>　</w:t>
            </w:r>
          </w:p>
        </w:tc>
      </w:tr>
    </w:tbl>
    <w:p>
      <w:pPr>
        <w:adjustRightInd w:val="0"/>
        <w:snapToGrid w:val="0"/>
        <w:spacing w:line="560" w:lineRule="exact"/>
        <w:ind w:right="-153" w:rightChars="-73"/>
        <w:jc w:val="center"/>
        <w:rPr>
          <w:rFonts w:hint="eastAsia" w:ascii="仿宋_GB2312" w:hAnsi="仿宋_GB2312" w:eastAsia="仿宋_GB2312" w:cs="仿宋_GB2312"/>
          <w:b/>
          <w:bCs/>
          <w:color w:val="C00000"/>
          <w:sz w:val="32"/>
          <w:szCs w:val="32"/>
        </w:rPr>
        <w:sectPr>
          <w:pgSz w:w="11906" w:h="16838"/>
          <w:pgMar w:top="1701" w:right="1587" w:bottom="1701" w:left="1587" w:header="851" w:footer="992" w:gutter="0"/>
          <w:cols w:space="0" w:num="1"/>
          <w:docGrid w:type="linesAndChars" w:linePitch="312" w:charSpace="0"/>
        </w:sectPr>
      </w:pPr>
    </w:p>
    <w:p>
      <w:pPr>
        <w:pStyle w:val="6"/>
        <w:widowControl/>
        <w:shd w:val="clear" w:color="auto" w:fill="FFFFFF"/>
        <w:adjustRightInd w:val="0"/>
        <w:snapToGrid w:val="0"/>
        <w:spacing w:beforeAutospacing="0" w:after="317" w:afterLines="100" w:afterAutospacing="0" w:line="520" w:lineRule="exact"/>
        <w:jc w:val="center"/>
        <w:rPr>
          <w:rFonts w:ascii="黑体" w:hAnsi="黑体" w:eastAsia="黑体" w:cs="黑体"/>
          <w:b/>
          <w:bCs/>
          <w:sz w:val="32"/>
          <w:szCs w:val="32"/>
        </w:rPr>
      </w:pPr>
      <w:r>
        <w:rPr>
          <w:rFonts w:hint="eastAsia" w:ascii="黑体" w:hAnsi="黑体" w:eastAsia="黑体" w:cs="黑体"/>
          <w:b/>
          <w:bCs/>
          <w:sz w:val="32"/>
          <w:szCs w:val="32"/>
          <w:shd w:val="clear" w:color="auto" w:fill="FFFFFF"/>
        </w:rPr>
        <w:t>第十节禁止养殖区</w:t>
      </w:r>
    </w:p>
    <w:p>
      <w:pPr>
        <w:widowControl/>
        <w:shd w:val="clear" w:color="auto" w:fill="FFFFFF"/>
        <w:snapToGrid w:val="0"/>
        <w:spacing w:line="57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辖区内的沂河等所有骨干河流主河道都属禁养区，不计面积。禁养依据：代码：1-</w:t>
      </w:r>
      <w:r>
        <w:rPr>
          <w:rFonts w:hint="eastAsia" w:ascii="仿宋_GB2312" w:hAnsi="仿宋_GB2312" w:eastAsia="仿宋_GB2312" w:cs="仿宋_GB2312"/>
          <w:kern w:val="0"/>
          <w:sz w:val="32"/>
          <w:szCs w:val="32"/>
          <w:shd w:val="clear" w:color="auto" w:fill="FFFFFF"/>
          <w:lang w:val="en-US" w:eastAsia="zh-CN" w:bidi="ar"/>
        </w:rPr>
        <w:t>2</w:t>
      </w:r>
      <w:r>
        <w:rPr>
          <w:rFonts w:hint="eastAsia" w:ascii="仿宋_GB2312" w:hAnsi="仿宋_GB2312" w:eastAsia="仿宋_GB2312" w:cs="仿宋_GB2312"/>
          <w:kern w:val="0"/>
          <w:sz w:val="32"/>
          <w:szCs w:val="32"/>
          <w:shd w:val="clear" w:color="auto" w:fill="FFFFFF"/>
          <w:lang w:bidi="ar"/>
        </w:rPr>
        <w:t>，港口、航道、行洪区、河道堤防安全保护区等公共设施安全区域禁养区。</w:t>
      </w:r>
    </w:p>
    <w:p>
      <w:pPr>
        <w:adjustRightInd w:val="0"/>
        <w:snapToGrid w:val="0"/>
        <w:spacing w:line="560" w:lineRule="exact"/>
        <w:ind w:right="-153" w:rightChars="-73"/>
        <w:jc w:val="center"/>
        <w:rPr>
          <w:rFonts w:ascii="宋体" w:cs="黑体"/>
          <w:b/>
          <w:color w:val="000000"/>
          <w:kern w:val="0"/>
          <w:sz w:val="32"/>
          <w:szCs w:val="32"/>
        </w:rPr>
      </w:pPr>
      <w:r>
        <w:rPr>
          <w:rFonts w:hint="eastAsia" w:ascii="宋体" w:hAnsi="宋体" w:cs="黑体"/>
          <w:b/>
          <w:color w:val="000000"/>
          <w:kern w:val="0"/>
          <w:sz w:val="32"/>
          <w:szCs w:val="32"/>
        </w:rPr>
        <w:t>沂源县级主要河流禁养区汇总表</w:t>
      </w:r>
    </w:p>
    <w:tbl>
      <w:tblPr>
        <w:tblStyle w:val="12"/>
        <w:tblW w:w="10100" w:type="dxa"/>
        <w:jc w:val="center"/>
        <w:tblInd w:w="0" w:type="dxa"/>
        <w:tblLayout w:type="fixed"/>
        <w:tblCellMar>
          <w:top w:w="0" w:type="dxa"/>
          <w:left w:w="108" w:type="dxa"/>
          <w:bottom w:w="0" w:type="dxa"/>
          <w:right w:w="108" w:type="dxa"/>
        </w:tblCellMar>
      </w:tblPr>
      <w:tblGrid>
        <w:gridCol w:w="758"/>
        <w:gridCol w:w="1122"/>
        <w:gridCol w:w="1123"/>
        <w:gridCol w:w="2385"/>
        <w:gridCol w:w="1263"/>
        <w:gridCol w:w="2819"/>
        <w:gridCol w:w="630"/>
      </w:tblGrid>
      <w:tr>
        <w:tblPrEx>
          <w:tblLayout w:type="fixed"/>
          <w:tblCellMar>
            <w:top w:w="0" w:type="dxa"/>
            <w:left w:w="108" w:type="dxa"/>
            <w:bottom w:w="0" w:type="dxa"/>
            <w:right w:w="108" w:type="dxa"/>
          </w:tblCellMar>
        </w:tblPrEx>
        <w:trPr>
          <w:trHeight w:val="442" w:hRule="atLeast"/>
          <w:jc w:val="center"/>
        </w:trPr>
        <w:tc>
          <w:tcPr>
            <w:tcW w:w="758"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序号</w:t>
            </w:r>
          </w:p>
        </w:tc>
        <w:tc>
          <w:tcPr>
            <w:tcW w:w="1122" w:type="dxa"/>
            <w:tcBorders>
              <w:top w:val="single" w:color="auto" w:sz="8" w:space="0"/>
              <w:left w:val="nil"/>
              <w:bottom w:val="single" w:color="auto" w:sz="4" w:space="0"/>
              <w:right w:val="single" w:color="auto" w:sz="4"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河流名称</w:t>
            </w:r>
          </w:p>
        </w:tc>
        <w:tc>
          <w:tcPr>
            <w:tcW w:w="1123" w:type="dxa"/>
            <w:tcBorders>
              <w:top w:val="single" w:color="auto" w:sz="8" w:space="0"/>
              <w:left w:val="nil"/>
              <w:bottom w:val="single" w:color="auto" w:sz="4" w:space="0"/>
              <w:right w:val="single" w:color="auto" w:sz="4"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管理属地</w:t>
            </w:r>
          </w:p>
        </w:tc>
        <w:tc>
          <w:tcPr>
            <w:tcW w:w="2385" w:type="dxa"/>
            <w:tcBorders>
              <w:top w:val="single" w:color="auto" w:sz="8" w:space="0"/>
              <w:left w:val="nil"/>
              <w:bottom w:val="single" w:color="auto" w:sz="4" w:space="0"/>
              <w:right w:val="single" w:color="auto" w:sz="4"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起止点</w:t>
            </w:r>
          </w:p>
        </w:tc>
        <w:tc>
          <w:tcPr>
            <w:tcW w:w="1263" w:type="dxa"/>
            <w:tcBorders>
              <w:top w:val="single" w:color="auto" w:sz="8" w:space="0"/>
              <w:left w:val="nil"/>
              <w:bottom w:val="single" w:color="auto" w:sz="4" w:space="0"/>
              <w:right w:val="single" w:color="auto" w:sz="4"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长度（公里）</w:t>
            </w:r>
          </w:p>
        </w:tc>
        <w:tc>
          <w:tcPr>
            <w:tcW w:w="2819" w:type="dxa"/>
            <w:tcBorders>
              <w:top w:val="single" w:color="auto" w:sz="8" w:space="0"/>
              <w:left w:val="nil"/>
              <w:bottom w:val="single" w:color="auto" w:sz="4" w:space="0"/>
              <w:right w:val="single" w:color="auto" w:sz="4"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涉及区域</w:t>
            </w:r>
          </w:p>
        </w:tc>
        <w:tc>
          <w:tcPr>
            <w:tcW w:w="630" w:type="dxa"/>
            <w:tcBorders>
              <w:top w:val="single" w:color="auto" w:sz="8" w:space="0"/>
              <w:left w:val="nil"/>
              <w:bottom w:val="single" w:color="auto" w:sz="4" w:space="0"/>
              <w:right w:val="single" w:color="auto" w:sz="8" w:space="0"/>
            </w:tcBorders>
            <w:vAlign w:val="center"/>
          </w:tcPr>
          <w:p>
            <w:pPr>
              <w:widowControl/>
              <w:jc w:val="center"/>
              <w:rPr>
                <w:rFonts w:ascii="宋体" w:cs="宋体"/>
                <w:color w:val="000000"/>
                <w:kern w:val="0"/>
                <w:szCs w:val="21"/>
              </w:rPr>
            </w:pPr>
            <w:r>
              <w:rPr>
                <w:rFonts w:hint="eastAsia" w:ascii="宋体" w:hAnsi="宋体" w:cs="宋体"/>
                <w:color w:val="000000"/>
                <w:kern w:val="0"/>
                <w:szCs w:val="21"/>
              </w:rPr>
              <w:t>备注</w:t>
            </w:r>
          </w:p>
        </w:tc>
      </w:tr>
      <w:tr>
        <w:tblPrEx>
          <w:tblLayout w:type="fixed"/>
          <w:tblCellMar>
            <w:top w:w="0" w:type="dxa"/>
            <w:left w:w="108" w:type="dxa"/>
            <w:bottom w:w="0" w:type="dxa"/>
            <w:right w:w="108" w:type="dxa"/>
          </w:tblCellMar>
        </w:tblPrEx>
        <w:trPr>
          <w:trHeight w:val="1692" w:hRule="atLeast"/>
          <w:jc w:val="center"/>
        </w:trPr>
        <w:tc>
          <w:tcPr>
            <w:tcW w:w="758" w:type="dxa"/>
            <w:tcBorders>
              <w:top w:val="nil"/>
              <w:left w:val="single" w:color="auto" w:sz="8" w:space="0"/>
              <w:bottom w:val="single" w:color="auto" w:sz="4" w:space="0"/>
              <w:right w:val="single" w:color="auto" w:sz="4" w:space="0"/>
            </w:tcBorders>
            <w:vAlign w:val="center"/>
          </w:tcPr>
          <w:p>
            <w:pPr>
              <w:widowControl/>
              <w:jc w:val="center"/>
              <w:rPr>
                <w:rFonts w:ascii="宋体" w:cs="宋体"/>
                <w:color w:val="000000"/>
                <w:kern w:val="0"/>
                <w:szCs w:val="21"/>
              </w:rPr>
            </w:pPr>
            <w:r>
              <w:rPr>
                <w:rFonts w:ascii="宋体" w:hAnsi="宋体" w:cs="宋体"/>
                <w:color w:val="000000"/>
                <w:kern w:val="0"/>
                <w:szCs w:val="21"/>
              </w:rPr>
              <w:t>1</w:t>
            </w:r>
          </w:p>
        </w:tc>
        <w:tc>
          <w:tcPr>
            <w:tcW w:w="1122"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沂河</w:t>
            </w:r>
          </w:p>
        </w:tc>
        <w:tc>
          <w:tcPr>
            <w:tcW w:w="1123"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市级</w:t>
            </w:r>
          </w:p>
        </w:tc>
        <w:tc>
          <w:tcPr>
            <w:tcW w:w="2385"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起点：田庄水库下游</w:t>
            </w:r>
            <w:r>
              <w:rPr>
                <w:rFonts w:ascii="宋体" w:hAnsi="宋体" w:cs="宋体"/>
                <w:kern w:val="0"/>
                <w:sz w:val="24"/>
              </w:rPr>
              <w:t xml:space="preserve">  </w:t>
            </w:r>
            <w:r>
              <w:rPr>
                <w:rFonts w:hint="eastAsia" w:ascii="宋体" w:hAnsi="宋体" w:cs="宋体"/>
                <w:kern w:val="0"/>
                <w:sz w:val="24"/>
              </w:rPr>
              <w:t>讫点：东里镇韩旺村</w:t>
            </w:r>
          </w:p>
        </w:tc>
        <w:tc>
          <w:tcPr>
            <w:tcW w:w="1263"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cs="宋体"/>
                <w:kern w:val="0"/>
                <w:sz w:val="24"/>
              </w:rPr>
              <w:t>57</w:t>
            </w:r>
          </w:p>
        </w:tc>
        <w:tc>
          <w:tcPr>
            <w:tcW w:w="2819"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cs="宋体"/>
                <w:kern w:val="0"/>
                <w:sz w:val="24"/>
              </w:rPr>
              <w:t>南麻</w:t>
            </w:r>
            <w:r>
              <w:rPr>
                <w:rFonts w:hint="eastAsia" w:ascii="宋体" w:cs="宋体"/>
                <w:kern w:val="0"/>
                <w:sz w:val="24"/>
                <w:lang w:eastAsia="zh-CN"/>
              </w:rPr>
              <w:t>镇</w:t>
            </w:r>
            <w:r>
              <w:rPr>
                <w:rFonts w:hint="eastAsia" w:ascii="宋体" w:cs="宋体"/>
                <w:kern w:val="0"/>
                <w:sz w:val="24"/>
              </w:rPr>
              <w:t>、历山</w:t>
            </w:r>
            <w:r>
              <w:rPr>
                <w:rFonts w:hint="eastAsia" w:ascii="宋体" w:cs="宋体"/>
                <w:kern w:val="0"/>
                <w:sz w:val="24"/>
                <w:lang w:eastAsia="zh-CN"/>
              </w:rPr>
              <w:t>街道办</w:t>
            </w:r>
            <w:r>
              <w:rPr>
                <w:rFonts w:hint="eastAsia" w:ascii="宋体" w:cs="宋体"/>
                <w:kern w:val="0"/>
                <w:sz w:val="24"/>
              </w:rPr>
              <w:t>、悦庄</w:t>
            </w:r>
            <w:r>
              <w:rPr>
                <w:rFonts w:hint="eastAsia" w:ascii="宋体" w:cs="宋体"/>
                <w:kern w:val="0"/>
                <w:sz w:val="24"/>
                <w:lang w:eastAsia="zh-CN"/>
              </w:rPr>
              <w:t>镇</w:t>
            </w:r>
            <w:r>
              <w:rPr>
                <w:rFonts w:hint="eastAsia" w:ascii="宋体" w:cs="宋体"/>
                <w:kern w:val="0"/>
                <w:sz w:val="24"/>
              </w:rPr>
              <w:t>、石桥</w:t>
            </w:r>
            <w:r>
              <w:rPr>
                <w:rFonts w:hint="eastAsia" w:ascii="宋体" w:cs="宋体"/>
                <w:kern w:val="0"/>
                <w:sz w:val="24"/>
                <w:lang w:eastAsia="zh-CN"/>
              </w:rPr>
              <w:t>镇</w:t>
            </w:r>
            <w:r>
              <w:rPr>
                <w:rFonts w:hint="eastAsia" w:ascii="宋体" w:cs="宋体"/>
                <w:kern w:val="0"/>
                <w:sz w:val="24"/>
              </w:rPr>
              <w:t>、燕崖</w:t>
            </w:r>
            <w:r>
              <w:rPr>
                <w:rFonts w:hint="eastAsia" w:ascii="宋体" w:cs="宋体"/>
                <w:kern w:val="0"/>
                <w:sz w:val="24"/>
                <w:lang w:eastAsia="zh-CN"/>
              </w:rPr>
              <w:t>镇</w:t>
            </w:r>
            <w:r>
              <w:rPr>
                <w:rFonts w:hint="eastAsia" w:ascii="宋体" w:cs="宋体"/>
                <w:kern w:val="0"/>
                <w:sz w:val="24"/>
              </w:rPr>
              <w:t>、中庄</w:t>
            </w:r>
            <w:r>
              <w:rPr>
                <w:rFonts w:hint="eastAsia" w:ascii="宋体" w:cs="宋体"/>
                <w:kern w:val="0"/>
                <w:sz w:val="24"/>
                <w:lang w:eastAsia="zh-CN"/>
              </w:rPr>
              <w:t>镇</w:t>
            </w:r>
            <w:r>
              <w:rPr>
                <w:rFonts w:hint="eastAsia" w:ascii="宋体" w:cs="宋体"/>
                <w:kern w:val="0"/>
                <w:sz w:val="24"/>
              </w:rPr>
              <w:t>、西里</w:t>
            </w:r>
            <w:r>
              <w:rPr>
                <w:rFonts w:hint="eastAsia" w:ascii="宋体" w:cs="宋体"/>
                <w:kern w:val="0"/>
                <w:sz w:val="24"/>
                <w:lang w:eastAsia="zh-CN"/>
              </w:rPr>
              <w:t>镇</w:t>
            </w:r>
            <w:r>
              <w:rPr>
                <w:rFonts w:hint="eastAsia" w:ascii="宋体" w:cs="宋体"/>
                <w:kern w:val="0"/>
                <w:sz w:val="24"/>
              </w:rPr>
              <w:t>、东里</w:t>
            </w:r>
            <w:r>
              <w:rPr>
                <w:rFonts w:hint="eastAsia" w:ascii="宋体" w:cs="宋体"/>
                <w:kern w:val="0"/>
                <w:sz w:val="24"/>
                <w:lang w:eastAsia="zh-CN"/>
              </w:rPr>
              <w:t>镇</w:t>
            </w:r>
            <w:r>
              <w:rPr>
                <w:rFonts w:hint="eastAsia" w:ascii="宋体" w:cs="宋体"/>
                <w:kern w:val="0"/>
                <w:sz w:val="24"/>
              </w:rPr>
              <w:t>等</w:t>
            </w:r>
          </w:p>
        </w:tc>
        <w:tc>
          <w:tcPr>
            <w:tcW w:w="630" w:type="dxa"/>
            <w:tcBorders>
              <w:top w:val="nil"/>
              <w:left w:val="nil"/>
              <w:bottom w:val="single" w:color="auto" w:sz="4" w:space="0"/>
              <w:right w:val="single" w:color="auto" w:sz="8" w:space="0"/>
            </w:tcBorders>
            <w:vAlign w:val="center"/>
          </w:tcPr>
          <w:p>
            <w:pPr>
              <w:widowControl/>
              <w:jc w:val="left"/>
              <w:rPr>
                <w:rFonts w:ascii="宋体" w:cs="宋体"/>
                <w:kern w:val="0"/>
                <w:sz w:val="24"/>
              </w:rPr>
            </w:pPr>
            <w:r>
              <w:rPr>
                <w:rFonts w:hint="eastAsia" w:ascii="宋体" w:hAnsi="宋体" w:cs="宋体"/>
                <w:kern w:val="0"/>
                <w:sz w:val="24"/>
              </w:rPr>
              <w:t>　</w:t>
            </w:r>
          </w:p>
        </w:tc>
      </w:tr>
    </w:tbl>
    <w:p>
      <w:pPr>
        <w:widowControl/>
        <w:shd w:val="clear" w:color="auto" w:fill="FFFFFF"/>
        <w:snapToGrid w:val="0"/>
        <w:spacing w:line="57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辖区内的</w:t>
      </w:r>
      <w:r>
        <w:rPr>
          <w:rFonts w:hint="eastAsia" w:ascii="仿宋_GB2312" w:hAnsi="仿宋_GB2312" w:eastAsia="仿宋_GB2312" w:cs="仿宋_GB2312"/>
          <w:kern w:val="0"/>
          <w:sz w:val="32"/>
          <w:szCs w:val="32"/>
          <w:shd w:val="clear" w:color="auto" w:fill="FFFFFF"/>
          <w:lang w:eastAsia="zh-CN" w:bidi="ar"/>
        </w:rPr>
        <w:t>大型水库田庄水库属</w:t>
      </w:r>
      <w:r>
        <w:rPr>
          <w:rFonts w:hint="eastAsia" w:ascii="仿宋_GB2312" w:hAnsi="仿宋_GB2312" w:eastAsia="仿宋_GB2312" w:cs="仿宋_GB2312"/>
          <w:kern w:val="0"/>
          <w:sz w:val="32"/>
          <w:szCs w:val="32"/>
          <w:shd w:val="clear" w:color="auto" w:fill="FFFFFF"/>
          <w:lang w:bidi="ar"/>
        </w:rPr>
        <w:t>禁养区。禁养依据：代码：1-2</w:t>
      </w:r>
      <w:r>
        <w:rPr>
          <w:rFonts w:hint="eastAsia" w:ascii="仿宋_GB2312" w:hAnsi="仿宋_GB2312" w:eastAsia="仿宋_GB2312" w:cs="仿宋_GB2312"/>
          <w:kern w:val="0"/>
          <w:sz w:val="32"/>
          <w:szCs w:val="32"/>
          <w:shd w:val="clear" w:color="auto" w:fill="FFFFFF"/>
          <w:lang w:val="en-US" w:eastAsia="zh-CN" w:bidi="ar"/>
        </w:rPr>
        <w:t>-5</w:t>
      </w:r>
      <w:r>
        <w:rPr>
          <w:rFonts w:hint="eastAsia" w:ascii="仿宋_GB2312" w:hAnsi="仿宋_GB2312" w:eastAsia="仿宋_GB2312" w:cs="仿宋_GB2312"/>
          <w:kern w:val="0"/>
          <w:sz w:val="32"/>
          <w:szCs w:val="32"/>
          <w:shd w:val="clear" w:color="auto" w:fill="FFFFFF"/>
          <w:lang w:eastAsia="zh-CN" w:bidi="ar"/>
        </w:rPr>
        <w:t>，一类生态红线保护区</w:t>
      </w:r>
      <w:r>
        <w:rPr>
          <w:rFonts w:hint="eastAsia" w:ascii="仿宋_GB2312" w:hAnsi="仿宋_GB2312" w:eastAsia="仿宋_GB2312" w:cs="仿宋_GB2312"/>
          <w:kern w:val="0"/>
          <w:sz w:val="32"/>
          <w:szCs w:val="32"/>
          <w:shd w:val="clear" w:color="auto" w:fill="FFFFFF"/>
          <w:lang w:bidi="ar"/>
        </w:rPr>
        <w:t>域禁养区。</w:t>
      </w:r>
    </w:p>
    <w:p>
      <w:pPr>
        <w:adjustRightInd w:val="0"/>
        <w:snapToGrid w:val="0"/>
        <w:spacing w:line="560" w:lineRule="exact"/>
        <w:ind w:right="-153" w:rightChars="-73"/>
        <w:jc w:val="center"/>
        <w:rPr>
          <w:rFonts w:ascii="宋体" w:cs="仿宋_GB2312"/>
          <w:b/>
          <w:sz w:val="32"/>
          <w:szCs w:val="32"/>
        </w:rPr>
      </w:pPr>
      <w:r>
        <w:rPr>
          <w:rFonts w:hint="eastAsia" w:ascii="宋体" w:hAnsi="宋体" w:cs="黑体"/>
          <w:b/>
          <w:color w:val="000000"/>
          <w:kern w:val="0"/>
          <w:sz w:val="32"/>
          <w:szCs w:val="32"/>
        </w:rPr>
        <w:t>一类生态红线保护规定进行禁养</w:t>
      </w:r>
      <w:r>
        <w:rPr>
          <w:rFonts w:hint="eastAsia" w:ascii="宋体" w:hAnsi="宋体" w:cs="黑体"/>
          <w:b/>
          <w:color w:val="000000"/>
          <w:kern w:val="0"/>
          <w:sz w:val="32"/>
          <w:szCs w:val="32"/>
          <w:lang w:eastAsia="zh-CN"/>
        </w:rPr>
        <w:t>的</w:t>
      </w:r>
      <w:r>
        <w:rPr>
          <w:rFonts w:hint="eastAsia" w:ascii="宋体" w:hAnsi="宋体" w:cs="黑体"/>
          <w:b/>
          <w:color w:val="000000"/>
          <w:kern w:val="0"/>
          <w:sz w:val="32"/>
          <w:szCs w:val="32"/>
        </w:rPr>
        <w:t>养殖区汇总表</w:t>
      </w:r>
    </w:p>
    <w:tbl>
      <w:tblPr>
        <w:tblStyle w:val="12"/>
        <w:tblW w:w="10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79"/>
        <w:gridCol w:w="1209"/>
        <w:gridCol w:w="1350"/>
        <w:gridCol w:w="1155"/>
        <w:gridCol w:w="1153"/>
        <w:gridCol w:w="1007"/>
        <w:gridCol w:w="1260"/>
        <w:gridCol w:w="1712"/>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761" w:hRule="atLeast"/>
          <w:jc w:val="center"/>
        </w:trPr>
        <w:tc>
          <w:tcPr>
            <w:tcW w:w="379"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序号</w:t>
            </w:r>
          </w:p>
        </w:tc>
        <w:tc>
          <w:tcPr>
            <w:tcW w:w="1209"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分类代码</w:t>
            </w:r>
          </w:p>
        </w:tc>
        <w:tc>
          <w:tcPr>
            <w:tcW w:w="1350"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水库名称</w:t>
            </w:r>
          </w:p>
        </w:tc>
        <w:tc>
          <w:tcPr>
            <w:tcW w:w="1155"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位置</w:t>
            </w:r>
          </w:p>
        </w:tc>
        <w:tc>
          <w:tcPr>
            <w:tcW w:w="1153"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水域面积（亩）</w:t>
            </w:r>
          </w:p>
        </w:tc>
        <w:tc>
          <w:tcPr>
            <w:tcW w:w="1007"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总库容</w:t>
            </w:r>
          </w:p>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（亿m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 xml:space="preserve"> ）</w:t>
            </w:r>
          </w:p>
        </w:tc>
        <w:tc>
          <w:tcPr>
            <w:tcW w:w="1260"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类型</w:t>
            </w:r>
          </w:p>
        </w:tc>
        <w:tc>
          <w:tcPr>
            <w:tcW w:w="1712"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bCs/>
                <w:sz w:val="24"/>
                <w:szCs w:val="24"/>
              </w:rPr>
            </w:pPr>
            <w:r>
              <w:rPr>
                <w:rFonts w:hint="eastAsia"/>
                <w:color w:val="000000" w:themeColor="text1"/>
                <w:sz w:val="24"/>
                <w14:textFill>
                  <w14:solidFill>
                    <w14:schemeClr w14:val="tx1"/>
                  </w14:solidFill>
                </w14:textFill>
              </w:rPr>
              <w:t>GIS中心坐标</w:t>
            </w:r>
          </w:p>
        </w:tc>
        <w:tc>
          <w:tcPr>
            <w:tcW w:w="794"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eastAsiaTheme="minor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379"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sz w:val="24"/>
                <w:szCs w:val="24"/>
              </w:rPr>
            </w:pPr>
            <w:r>
              <w:rPr>
                <w:rFonts w:hint="eastAsia" w:ascii="宋体" w:hAnsi="宋体" w:eastAsia="宋体" w:cs="宋体"/>
                <w:b w:val="0"/>
                <w:i w:val="0"/>
                <w:caps w:val="0"/>
                <w:color w:val="000000"/>
                <w:spacing w:val="0"/>
                <w:kern w:val="0"/>
                <w:sz w:val="24"/>
                <w:szCs w:val="24"/>
                <w:u w:val="none"/>
                <w:lang w:val="en-US" w:eastAsia="zh-CN" w:bidi="ar"/>
              </w:rPr>
              <w:t>1</w:t>
            </w:r>
          </w:p>
        </w:tc>
        <w:tc>
          <w:tcPr>
            <w:tcW w:w="1209"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i w:val="0"/>
                <w:caps w:val="0"/>
                <w:color w:val="000000"/>
                <w:spacing w:val="0"/>
                <w:kern w:val="0"/>
                <w:sz w:val="24"/>
                <w:szCs w:val="24"/>
                <w:u w:val="none"/>
                <w:lang w:val="en-US" w:eastAsia="zh-CN" w:bidi="ar"/>
              </w:rPr>
            </w:pPr>
            <w:r>
              <w:rPr>
                <w:rFonts w:hint="eastAsia" w:ascii="宋体" w:hAnsi="宋体" w:eastAsia="宋体" w:cs="宋体"/>
                <w:b w:val="0"/>
                <w:i w:val="0"/>
                <w:caps w:val="0"/>
                <w:color w:val="000000"/>
                <w:spacing w:val="0"/>
                <w:kern w:val="0"/>
                <w:sz w:val="24"/>
                <w:szCs w:val="24"/>
                <w:u w:val="none"/>
                <w:lang w:val="en-US" w:eastAsia="zh-CN" w:bidi="ar"/>
              </w:rPr>
              <w:t>1-2-5</w:t>
            </w:r>
          </w:p>
        </w:tc>
        <w:tc>
          <w:tcPr>
            <w:tcW w:w="1350"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sz w:val="24"/>
                <w:szCs w:val="24"/>
              </w:rPr>
            </w:pPr>
            <w:r>
              <w:rPr>
                <w:rFonts w:hint="eastAsia" w:ascii="宋体" w:hAnsi="宋体" w:eastAsia="宋体" w:cs="宋体"/>
                <w:b w:val="0"/>
                <w:i w:val="0"/>
                <w:caps w:val="0"/>
                <w:color w:val="000000"/>
                <w:spacing w:val="0"/>
                <w:kern w:val="0"/>
                <w:sz w:val="24"/>
                <w:szCs w:val="24"/>
                <w:u w:val="none"/>
                <w:lang w:val="en-US" w:eastAsia="zh-CN" w:bidi="ar"/>
              </w:rPr>
              <w:t>田庄水库</w:t>
            </w:r>
          </w:p>
        </w:tc>
        <w:tc>
          <w:tcPr>
            <w:tcW w:w="1155"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sz w:val="24"/>
                <w:szCs w:val="24"/>
                <w:lang w:eastAsia="zh-CN"/>
              </w:rPr>
            </w:pPr>
            <w:r>
              <w:rPr>
                <w:rFonts w:hint="eastAsia" w:ascii="宋体" w:hAnsi="宋体" w:eastAsia="宋体" w:cs="宋体"/>
                <w:b w:val="0"/>
                <w:sz w:val="24"/>
                <w:szCs w:val="24"/>
                <w:lang w:eastAsia="zh-CN"/>
              </w:rPr>
              <w:t>南麻街道办、鲁村镇</w:t>
            </w:r>
          </w:p>
        </w:tc>
        <w:tc>
          <w:tcPr>
            <w:tcW w:w="1153"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11000</w:t>
            </w:r>
          </w:p>
        </w:tc>
        <w:tc>
          <w:tcPr>
            <w:tcW w:w="1007"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i w:val="0"/>
                <w:caps w:val="0"/>
                <w:color w:val="000000"/>
                <w:spacing w:val="0"/>
                <w:kern w:val="0"/>
                <w:sz w:val="24"/>
                <w:szCs w:val="24"/>
                <w:u w:val="none"/>
                <w:lang w:val="en-US" w:eastAsia="zh-CN" w:bidi="ar"/>
              </w:rPr>
            </w:pPr>
            <w:r>
              <w:rPr>
                <w:rFonts w:hint="eastAsia" w:ascii="宋体" w:hAnsi="宋体" w:cs="宋体"/>
                <w:b w:val="0"/>
                <w:i w:val="0"/>
                <w:caps w:val="0"/>
                <w:color w:val="000000"/>
                <w:spacing w:val="0"/>
                <w:kern w:val="0"/>
                <w:sz w:val="24"/>
                <w:szCs w:val="24"/>
                <w:u w:val="none"/>
                <w:lang w:val="en-US" w:eastAsia="zh-CN" w:bidi="ar"/>
              </w:rPr>
              <w:t>1.356</w:t>
            </w:r>
          </w:p>
        </w:tc>
        <w:tc>
          <w:tcPr>
            <w:tcW w:w="1260"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宋体"/>
                <w:b w:val="0"/>
                <w:sz w:val="24"/>
                <w:szCs w:val="24"/>
              </w:rPr>
            </w:pPr>
            <w:r>
              <w:rPr>
                <w:rFonts w:hint="eastAsia" w:ascii="宋体" w:hAnsi="宋体" w:eastAsia="宋体" w:cs="宋体"/>
                <w:b w:val="0"/>
                <w:i w:val="0"/>
                <w:caps w:val="0"/>
                <w:color w:val="000000"/>
                <w:spacing w:val="0"/>
                <w:kern w:val="0"/>
                <w:sz w:val="24"/>
                <w:szCs w:val="24"/>
                <w:u w:val="none"/>
                <w:lang w:val="en-US" w:eastAsia="zh-CN" w:bidi="ar"/>
              </w:rPr>
              <w:t>大（二）型</w:t>
            </w:r>
          </w:p>
        </w:tc>
        <w:tc>
          <w:tcPr>
            <w:tcW w:w="1712"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sz w:val="24"/>
                <w:szCs w:val="24"/>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38.96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r>
              <w:rPr>
                <w:rFonts w:hint="eastAsia" w:ascii="宋体" w:hAnsi="宋体" w:eastAsia="宋体" w:cs="宋体"/>
                <w:b w:val="0"/>
                <w:i w:val="0"/>
                <w:caps w:val="0"/>
                <w:color w:val="000000"/>
                <w:spacing w:val="0"/>
                <w:kern w:val="0"/>
                <w:sz w:val="24"/>
                <w:szCs w:val="24"/>
                <w:u w:val="none"/>
                <w:lang w:val="en-US" w:eastAsia="zh-CN" w:bidi="ar"/>
              </w:rPr>
              <w:t> </w:t>
            </w:r>
          </w:p>
        </w:tc>
        <w:tc>
          <w:tcPr>
            <w:tcW w:w="794" w:type="dxa"/>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i w:val="0"/>
                <w:caps w:val="0"/>
                <w:color w:val="000000"/>
                <w:spacing w:val="0"/>
                <w:kern w:val="0"/>
                <w:sz w:val="24"/>
                <w:szCs w:val="24"/>
                <w:u w:val="none"/>
                <w:lang w:val="en-US" w:eastAsia="zh-CN" w:bidi="ar"/>
              </w:rPr>
            </w:pPr>
          </w:p>
        </w:tc>
      </w:tr>
    </w:tbl>
    <w:p>
      <w:pPr>
        <w:wordWrap w:val="0"/>
        <w:spacing w:line="560" w:lineRule="exact"/>
        <w:ind w:left="2" w:leftChars="1" w:firstLine="560" w:firstLineChars="200"/>
        <w:rPr>
          <w:rFonts w:hAnsi="宋体"/>
          <w:sz w:val="28"/>
          <w:szCs w:val="28"/>
        </w:rPr>
      </w:pPr>
      <w:r>
        <w:rPr>
          <w:rFonts w:hint="eastAsia" w:hAnsi="宋体"/>
          <w:sz w:val="28"/>
          <w:szCs w:val="28"/>
        </w:rPr>
        <w:t>禁止养殖区内的水产养殖，由本级人民政府及相关部门负责限期搬迁或关停。禁止养殖区内重点生态功能区和公共设施安全区域划定前已有的水产养殖，搬迁或关停造成养殖生产者经济损失的应依法给予补偿。禁养区</w:t>
      </w:r>
      <w:r>
        <w:rPr>
          <w:rFonts w:hAnsi="宋体"/>
          <w:sz w:val="28"/>
          <w:szCs w:val="28"/>
        </w:rPr>
        <w:t>水域</w:t>
      </w:r>
      <w:r>
        <w:rPr>
          <w:rFonts w:hint="eastAsia" w:hAnsi="宋体"/>
          <w:sz w:val="28"/>
          <w:szCs w:val="28"/>
        </w:rPr>
        <w:t>不影响增殖</w:t>
      </w:r>
      <w:r>
        <w:rPr>
          <w:rFonts w:hAnsi="宋体"/>
          <w:sz w:val="28"/>
          <w:szCs w:val="28"/>
        </w:rPr>
        <w:t>放流项目的实施</w:t>
      </w:r>
      <w:r>
        <w:rPr>
          <w:rFonts w:hint="eastAsia" w:hAnsi="宋体"/>
          <w:sz w:val="28"/>
          <w:szCs w:val="28"/>
        </w:rPr>
        <w:t>，</w:t>
      </w:r>
      <w:r>
        <w:rPr>
          <w:rFonts w:hAnsi="宋体"/>
          <w:sz w:val="28"/>
          <w:szCs w:val="28"/>
        </w:rPr>
        <w:t>每年可列入放鱼养水工程，适当</w:t>
      </w:r>
      <w:r>
        <w:rPr>
          <w:rFonts w:hint="eastAsia" w:hAnsi="宋体"/>
          <w:sz w:val="28"/>
          <w:szCs w:val="28"/>
        </w:rPr>
        <w:t>放养</w:t>
      </w:r>
      <w:r>
        <w:rPr>
          <w:rFonts w:hAnsi="宋体"/>
          <w:sz w:val="28"/>
          <w:szCs w:val="28"/>
        </w:rPr>
        <w:t>滤食性鱼类</w:t>
      </w:r>
      <w:r>
        <w:rPr>
          <w:rFonts w:hint="eastAsia" w:hAnsi="宋体"/>
          <w:sz w:val="28"/>
          <w:szCs w:val="28"/>
        </w:rPr>
        <w:t>，</w:t>
      </w:r>
      <w:r>
        <w:rPr>
          <w:rFonts w:hAnsi="宋体"/>
          <w:sz w:val="28"/>
          <w:szCs w:val="28"/>
        </w:rPr>
        <w:t>达到净化水质</w:t>
      </w:r>
      <w:r>
        <w:rPr>
          <w:rFonts w:hint="eastAsia" w:hAnsi="宋体"/>
          <w:sz w:val="28"/>
          <w:szCs w:val="28"/>
        </w:rPr>
        <w:t>的</w:t>
      </w:r>
      <w:r>
        <w:rPr>
          <w:rFonts w:hAnsi="宋体"/>
          <w:sz w:val="28"/>
          <w:szCs w:val="28"/>
        </w:rPr>
        <w:t>目的</w:t>
      </w:r>
      <w:r>
        <w:rPr>
          <w:rFonts w:hint="eastAsia" w:hAnsi="宋体"/>
          <w:sz w:val="28"/>
          <w:szCs w:val="28"/>
        </w:rPr>
        <w:t>。</w:t>
      </w:r>
    </w:p>
    <w:p>
      <w:pPr>
        <w:pStyle w:val="6"/>
        <w:widowControl/>
        <w:shd w:val="clear" w:color="auto" w:fill="FFFFFF"/>
        <w:adjustRightInd w:val="0"/>
        <w:snapToGrid w:val="0"/>
        <w:spacing w:before="317" w:beforeLines="100" w:beforeAutospacing="0" w:after="317" w:afterLines="100" w:afterAutospacing="0" w:line="520" w:lineRule="exact"/>
        <w:jc w:val="center"/>
        <w:rPr>
          <w:rFonts w:hint="eastAsia" w:ascii="黑体" w:hAnsi="黑体" w:eastAsia="黑体" w:cs="黑体"/>
          <w:b/>
          <w:bCs/>
          <w:sz w:val="32"/>
          <w:szCs w:val="32"/>
          <w:shd w:val="clear" w:color="auto" w:fill="FFFFFF"/>
        </w:rPr>
      </w:pPr>
    </w:p>
    <w:p>
      <w:pPr>
        <w:pStyle w:val="6"/>
        <w:widowControl/>
        <w:shd w:val="clear" w:color="auto" w:fill="FFFFFF"/>
        <w:adjustRightInd w:val="0"/>
        <w:snapToGrid w:val="0"/>
        <w:spacing w:before="317" w:beforeLines="100" w:beforeAutospacing="0" w:after="317" w:afterLines="100" w:afterAutospacing="0" w:line="520" w:lineRule="exact"/>
        <w:jc w:val="center"/>
        <w:rPr>
          <w:rFonts w:hint="eastAsia" w:ascii="黑体" w:hAnsi="黑体" w:eastAsia="黑体" w:cs="黑体"/>
          <w:b/>
          <w:bCs/>
          <w:sz w:val="32"/>
          <w:szCs w:val="32"/>
          <w:shd w:val="clear" w:color="auto" w:fill="FFFFFF"/>
        </w:rPr>
      </w:pPr>
    </w:p>
    <w:p>
      <w:pPr>
        <w:pStyle w:val="6"/>
        <w:widowControl/>
        <w:shd w:val="clear" w:color="auto" w:fill="FFFFFF"/>
        <w:adjustRightInd w:val="0"/>
        <w:snapToGrid w:val="0"/>
        <w:spacing w:before="317" w:beforeLines="100" w:beforeAutospacing="0" w:after="317" w:afterLines="100" w:afterAutospacing="0" w:line="520" w:lineRule="exact"/>
        <w:jc w:val="center"/>
        <w:rPr>
          <w:rFonts w:ascii="黑体" w:hAnsi="黑体" w:eastAsia="黑体" w:cs="黑体"/>
          <w:b/>
          <w:bCs/>
          <w:kern w:val="2"/>
          <w:sz w:val="32"/>
          <w:szCs w:val="32"/>
          <w:shd w:val="clear" w:color="auto" w:fill="FFFFFF"/>
        </w:rPr>
      </w:pPr>
      <w:r>
        <w:rPr>
          <w:rFonts w:hint="eastAsia" w:ascii="黑体" w:hAnsi="黑体" w:eastAsia="黑体" w:cs="黑体"/>
          <w:b/>
          <w:bCs/>
          <w:sz w:val="32"/>
          <w:szCs w:val="32"/>
          <w:shd w:val="clear" w:color="auto" w:fill="FFFFFF"/>
        </w:rPr>
        <w:t>第十一节</w:t>
      </w:r>
      <w:r>
        <w:rPr>
          <w:rFonts w:hint="eastAsia" w:ascii="黑体" w:hAnsi="黑体" w:eastAsia="黑体" w:cs="黑体"/>
          <w:b/>
          <w:bCs/>
          <w:kern w:val="2"/>
          <w:sz w:val="32"/>
          <w:szCs w:val="32"/>
          <w:shd w:val="clear" w:color="auto" w:fill="FFFFFF"/>
          <w:lang w:eastAsia="zh-CN"/>
        </w:rPr>
        <w:t>　</w:t>
      </w:r>
      <w:r>
        <w:rPr>
          <w:rFonts w:hint="eastAsia" w:ascii="黑体" w:hAnsi="黑体" w:eastAsia="黑体" w:cs="黑体"/>
          <w:b/>
          <w:bCs/>
          <w:kern w:val="2"/>
          <w:sz w:val="32"/>
          <w:szCs w:val="32"/>
          <w:shd w:val="clear" w:color="auto" w:fill="FFFFFF"/>
        </w:rPr>
        <w:t>限制养殖区</w:t>
      </w:r>
    </w:p>
    <w:p>
      <w:pPr>
        <w:pStyle w:val="6"/>
        <w:widowControl/>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lang w:bidi="ar"/>
        </w:rPr>
        <w:t>我县限养区的类型为水库限制养殖区以洁水与</w:t>
      </w:r>
      <w:r>
        <w:rPr>
          <w:rFonts w:hint="eastAsia" w:ascii="仿宋_GB2312" w:hAnsi="仿宋_GB2312" w:eastAsia="仿宋_GB2312" w:cs="仿宋_GB2312"/>
          <w:sz w:val="32"/>
          <w:szCs w:val="32"/>
          <w:shd w:val="clear" w:color="auto" w:fill="FFFFFF"/>
        </w:rPr>
        <w:t>积极培育旅游休闲娱乐区为目标，主要建设以休闲、垂钓、品鲜、名优特观赏鱼养殖为主要内涵的休闲渔业，通过休闲渔业开发培育特色主导产业和优势产业，带动区域渔业的全面发展。</w:t>
      </w:r>
    </w:p>
    <w:p>
      <w:pPr>
        <w:pStyle w:val="6"/>
        <w:widowControl/>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以全县</w:t>
      </w:r>
      <w:bookmarkStart w:id="10" w:name="_GoBack"/>
      <w:bookmarkEnd w:id="10"/>
      <w:r>
        <w:rPr>
          <w:rFonts w:ascii="仿宋_GB2312" w:hAnsi="仿宋_GB2312" w:eastAsia="仿宋_GB2312" w:cs="仿宋_GB2312"/>
          <w:sz w:val="32"/>
          <w:szCs w:val="32"/>
          <w:lang w:bidi="ar"/>
        </w:rPr>
        <w:t>中型水库</w:t>
      </w:r>
      <w:r>
        <w:rPr>
          <w:rFonts w:hint="eastAsia" w:ascii="仿宋_GB2312" w:hAnsi="仿宋_GB2312" w:eastAsia="仿宋_GB2312" w:cs="仿宋_GB2312"/>
          <w:sz w:val="32"/>
          <w:szCs w:val="32"/>
          <w:lang w:bidi="ar"/>
        </w:rPr>
        <w:t>红旗水库</w:t>
      </w:r>
      <w:r>
        <w:rPr>
          <w:rFonts w:ascii="仿宋_GB2312" w:hAnsi="仿宋_GB2312" w:eastAsia="仿宋_GB2312" w:cs="仿宋_GB2312"/>
          <w:sz w:val="32"/>
          <w:szCs w:val="32"/>
          <w:lang w:bidi="ar"/>
        </w:rPr>
        <w:t>，20座小（一）型水库，92座小（二）型</w:t>
      </w:r>
      <w:r>
        <w:rPr>
          <w:rFonts w:hint="eastAsia" w:ascii="仿宋_GB2312" w:hAnsi="仿宋_GB2312" w:eastAsia="仿宋_GB2312" w:cs="仿宋_GB2312"/>
          <w:sz w:val="32"/>
          <w:szCs w:val="32"/>
          <w:lang w:bidi="ar"/>
        </w:rPr>
        <w:t>水库的</w:t>
      </w:r>
      <w:r>
        <w:rPr>
          <w:rFonts w:hint="eastAsia" w:ascii="仿宋_GB2312" w:hAnsi="仿宋_GB2312" w:eastAsia="仿宋_GB2312" w:cs="仿宋_GB2312"/>
          <w:sz w:val="32"/>
          <w:szCs w:val="32"/>
          <w:lang w:val="en-US" w:eastAsia="zh-CN" w:bidi="ar"/>
        </w:rPr>
        <w:t>2.0</w:t>
      </w:r>
      <w:r>
        <w:rPr>
          <w:rFonts w:hint="eastAsia" w:ascii="仿宋_GB2312" w:hAnsi="仿宋_GB2312" w:eastAsia="仿宋_GB2312" w:cs="仿宋_GB2312"/>
          <w:sz w:val="32"/>
          <w:szCs w:val="32"/>
          <w:lang w:bidi="ar"/>
        </w:rPr>
        <w:t>万亩的水环境生态修复为重点，通过创新生产经营和管理体制机制，推广洁水生态开发新型模式，合理增养滤食性鱼类和土著水生生物资源，加强渔业执法和管理，大力发展水库有机鱼生产，充分发挥渔业在改善水质、保护水环境和打造生态品牌等方面的突出作用，引导、推动全县洁水渔业建设。</w:t>
      </w:r>
    </w:p>
    <w:p>
      <w:pPr>
        <w:spacing w:line="570" w:lineRule="exact"/>
        <w:ind w:firstLine="640" w:firstLineChars="200"/>
        <w:jc w:val="both"/>
        <w:rPr>
          <w:rFonts w:hint="eastAsia" w:ascii="仿宋_GB2312" w:hAnsi="仿宋_GB2312" w:eastAsia="仿宋_GB2312" w:cs="仿宋_GB2312"/>
          <w:color w:val="FF0000"/>
          <w:kern w:val="0"/>
          <w:sz w:val="32"/>
          <w:szCs w:val="32"/>
          <w:lang w:eastAsia="zh-CN" w:bidi="ar"/>
        </w:rPr>
      </w:pPr>
      <w:r>
        <w:rPr>
          <w:rFonts w:hint="eastAsia" w:ascii="仿宋_GB2312" w:hAnsi="仿宋_GB2312" w:eastAsia="仿宋_GB2312" w:cs="仿宋_GB2312"/>
          <w:kern w:val="0"/>
          <w:sz w:val="32"/>
          <w:szCs w:val="32"/>
          <w:lang w:bidi="ar"/>
        </w:rPr>
        <w:t>（一）2025年前计划安排：选择大型水库田庄水库的沂河源渔业有限公司和中型水库红旗水库的双马山现代农业发展公司作为渔业龙头。两处公司的养殖水</w:t>
      </w:r>
      <w:r>
        <w:rPr>
          <w:rFonts w:hint="eastAsia" w:ascii="仿宋_GB2312" w:hAnsi="仿宋_GB2312" w:eastAsia="仿宋_GB2312" w:cs="仿宋_GB2312"/>
          <w:kern w:val="0"/>
          <w:sz w:val="32"/>
          <w:szCs w:val="32"/>
          <w:lang w:val="en-US" w:eastAsia="zh-CN" w:bidi="ar"/>
        </w:rPr>
        <w:t>域12200亩</w:t>
      </w:r>
      <w:r>
        <w:rPr>
          <w:rFonts w:hint="eastAsia" w:ascii="仿宋_GB2312" w:hAnsi="仿宋_GB2312" w:eastAsia="仿宋_GB2312" w:cs="仿宋_GB2312"/>
          <w:kern w:val="0"/>
          <w:sz w:val="32"/>
          <w:szCs w:val="32"/>
          <w:lang w:bidi="ar"/>
        </w:rPr>
        <w:t>，均采用大水体放养。水质优良，无污染。已经取得了鲢鱼、鳙鱼无公害水产品的</w:t>
      </w:r>
      <w:r>
        <w:rPr>
          <w:rFonts w:hint="eastAsia" w:ascii="仿宋_GB2312" w:hAnsi="仿宋_GB2312" w:eastAsia="仿宋_GB2312" w:cs="仿宋_GB2312"/>
          <w:color w:val="auto"/>
          <w:kern w:val="0"/>
          <w:sz w:val="32"/>
          <w:szCs w:val="32"/>
          <w:lang w:bidi="ar"/>
        </w:rPr>
        <w:t>认证。提高品牌效益，依托无公害水产品认证注册“红旗”渔业有机</w:t>
      </w:r>
      <w:r>
        <w:rPr>
          <w:rFonts w:hint="eastAsia" w:ascii="仿宋_GB2312" w:hAnsi="仿宋_GB2312" w:eastAsia="仿宋_GB2312" w:cs="仿宋_GB2312"/>
          <w:color w:val="auto"/>
          <w:kern w:val="0"/>
          <w:sz w:val="32"/>
          <w:szCs w:val="32"/>
          <w:lang w:eastAsia="zh-CN" w:bidi="ar"/>
        </w:rPr>
        <w:t>鱼</w:t>
      </w:r>
      <w:r>
        <w:rPr>
          <w:rFonts w:hint="eastAsia" w:ascii="仿宋_GB2312" w:hAnsi="仿宋_GB2312" w:eastAsia="仿宋_GB2312" w:cs="仿宋_GB2312"/>
          <w:color w:val="auto"/>
          <w:kern w:val="0"/>
          <w:sz w:val="32"/>
          <w:szCs w:val="32"/>
          <w:lang w:bidi="ar"/>
        </w:rPr>
        <w:t>品牌</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整合悦庄镇的6座小（一）北营、娄峪、龙王官庄、双跃、大寺、赵庄水库和14座小（二）水库壮大培植相互融合</w:t>
      </w:r>
      <w:r>
        <w:rPr>
          <w:rFonts w:hint="eastAsia" w:ascii="仿宋_GB2312" w:hAnsi="仿宋_GB2312" w:eastAsia="仿宋_GB2312" w:cs="仿宋_GB2312"/>
          <w:color w:val="auto"/>
          <w:kern w:val="0"/>
          <w:sz w:val="32"/>
          <w:szCs w:val="32"/>
          <w:lang w:eastAsia="zh-CN" w:bidi="ar"/>
        </w:rPr>
        <w:t>发展。</w:t>
      </w:r>
    </w:p>
    <w:p>
      <w:pPr>
        <w:pStyle w:val="6"/>
        <w:widowControl/>
        <w:shd w:val="clear" w:color="auto" w:fill="FFFFFF"/>
        <w:adjustRightInd w:val="0"/>
        <w:snapToGrid w:val="0"/>
        <w:spacing w:beforeAutospacing="0" w:afterAutospacing="0" w:line="57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lang w:bidi="ar"/>
        </w:rPr>
        <w:t>（二）2030年以前工作重点以南鲁山镇芦芽、璞邱；鲁村镇青杨圈、石门、刘家庄；大张庄镇张家旁峪、水营、石柱；中庄镇社庄；曹宅；石桥镇错石、郭家上峪；张加坡镇后峪、北店子14座小（一）型水库和78座小（二）型水库（中庄镇3座，西里镇2座，东里镇2座，张家坡镇4座，石桥镇8座，历山街道办7座，南麻街道办4座，南鲁山镇9座，鲁村24镇24座，大张庄镇14座，燕崖镇1座）作为整合对象，结合2025年规划</w:t>
      </w:r>
      <w:r>
        <w:rPr>
          <w:rFonts w:hint="eastAsia" w:ascii="仿宋_GB2312" w:hAnsi="仿宋_GB2312" w:eastAsia="仿宋_GB2312" w:cs="仿宋_GB2312"/>
          <w:sz w:val="32"/>
          <w:szCs w:val="32"/>
          <w:lang w:eastAsia="zh-CN" w:bidi="ar"/>
        </w:rPr>
        <w:t>方案</w:t>
      </w:r>
      <w:r>
        <w:rPr>
          <w:rFonts w:hint="eastAsia" w:ascii="仿宋_GB2312" w:hAnsi="仿宋_GB2312" w:eastAsia="仿宋_GB2312" w:cs="仿宋_GB2312"/>
          <w:sz w:val="32"/>
          <w:szCs w:val="32"/>
          <w:lang w:bidi="ar"/>
        </w:rPr>
        <w:t>，发展大水体放鱼滤水性鱼类养殖。利用好“红旗”渔业品牌，实行渔业生产经营销售一体化管理，壮大全县水库渔业经济。完成2万亩洁水渔业基地任务。</w:t>
      </w:r>
    </w:p>
    <w:p>
      <w:pPr>
        <w:widowControl/>
        <w:jc w:val="left"/>
        <w:rPr>
          <w:rFonts w:ascii="方正小标宋简体" w:hAnsi="方正小标宋简体" w:eastAsia="方正小标宋简体" w:cs="方正小标宋简体"/>
          <w:sz w:val="40"/>
          <w:szCs w:val="40"/>
        </w:rPr>
      </w:pPr>
      <w:r>
        <w:rPr>
          <w:rFonts w:ascii="方正小标宋简体" w:hAnsi="方正小标宋简体" w:eastAsia="方正小标宋简体" w:cs="方正小标宋简体"/>
          <w:sz w:val="40"/>
          <w:szCs w:val="40"/>
        </w:rPr>
        <w:br w:type="page"/>
      </w:r>
    </w:p>
    <w:p>
      <w:pPr>
        <w:snapToGrid w:val="0"/>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沂源县水库限制养殖区规划表</w:t>
      </w:r>
    </w:p>
    <w:p>
      <w:pPr>
        <w:jc w:val="center"/>
        <w:rPr>
          <w:sz w:val="18"/>
          <w:szCs w:val="18"/>
        </w:rPr>
      </w:pPr>
    </w:p>
    <w:tbl>
      <w:tblPr>
        <w:tblStyle w:val="13"/>
        <w:tblW w:w="98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3128"/>
        <w:gridCol w:w="1183"/>
        <w:gridCol w:w="297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blHeader/>
          <w:jc w:val="center"/>
        </w:trPr>
        <w:tc>
          <w:tcPr>
            <w:tcW w:w="114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分类</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代码</w:t>
            </w:r>
          </w:p>
        </w:tc>
        <w:tc>
          <w:tcPr>
            <w:tcW w:w="312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1183"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规划养殖</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面积</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亩</w:t>
            </w:r>
            <w:r>
              <w:rPr>
                <w:rFonts w:hint="eastAsia"/>
                <w:color w:val="000000" w:themeColor="text1"/>
                <w:sz w:val="24"/>
                <w14:textFill>
                  <w14:solidFill>
                    <w14:schemeClr w14:val="tx1"/>
                  </w14:solidFill>
                </w14:textFill>
              </w:rPr>
              <w:t>）</w:t>
            </w:r>
          </w:p>
        </w:tc>
        <w:tc>
          <w:tcPr>
            <w:tcW w:w="297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GIS中心坐标</w:t>
            </w:r>
          </w:p>
        </w:tc>
        <w:tc>
          <w:tcPr>
            <w:tcW w:w="141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148" w:type="dxa"/>
            <w:vAlign w:val="center"/>
          </w:tcPr>
          <w:p>
            <w:pPr>
              <w:widowControl/>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w:t>
            </w:r>
          </w:p>
        </w:tc>
        <w:tc>
          <w:tcPr>
            <w:tcW w:w="3128" w:type="dxa"/>
            <w:vAlign w:val="top"/>
          </w:tcPr>
          <w:p>
            <w:pPr>
              <w:snapToGrid w:val="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沂源县红旗水库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1200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62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restart"/>
            <w:vAlign w:val="center"/>
          </w:tcPr>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渔业主管部门加强对渔业水域水质状况的监测。放养滤食性鱼类。禁止投喂饵料。污染物排放标准超标的，限期整改，整改后不达标的，由本级人民政府及相关部门负责限期搬迁或关停。</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渔业主管部门加强对渔业水域水质状况的监测。放养滤食性鱼类。禁止投喂饵料。污染物排放标准超标的，限期整改，整改后不达标的，由本级人民政府及相关部门负责限期搬迁或关停。</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w:t>
            </w:r>
          </w:p>
        </w:tc>
        <w:tc>
          <w:tcPr>
            <w:tcW w:w="3128" w:type="dxa"/>
            <w:vAlign w:val="top"/>
          </w:tcPr>
          <w:p>
            <w:pPr>
              <w:snapToGrid w:val="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中庄镇</w:t>
            </w:r>
            <w:r>
              <w:rPr>
                <w:rFonts w:ascii="Times New Roman" w:hAnsi="Times New Roman" w:cs="Times New Roman"/>
                <w:b/>
                <w:bCs/>
                <w:color w:val="000000" w:themeColor="text1"/>
                <w:sz w:val="24"/>
                <w14:textFill>
                  <w14:solidFill>
                    <w14:schemeClr w14:val="tx1"/>
                  </w14:solidFill>
                </w14:textFill>
              </w:rPr>
              <w:t>社庄</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330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40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rFonts w:eastAsia="宋体"/>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w:t>
            </w:r>
          </w:p>
        </w:tc>
        <w:tc>
          <w:tcPr>
            <w:tcW w:w="3128" w:type="dxa"/>
            <w:vAlign w:val="top"/>
          </w:tcPr>
          <w:p>
            <w:pPr>
              <w:snapToGrid w:val="0"/>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焦家上庄水库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72″</w:t>
            </w:r>
            <w:r>
              <w:rPr>
                <w:rFonts w:hint="eastAsia" w:ascii="Times New Roman" w:hAnsi="Times New Roman" w:cs="Times New Roman"/>
                <w:color w:val="000000" w:themeColor="text1"/>
                <w:sz w:val="24"/>
                <w14:textFill>
                  <w14:solidFill>
                    <w14:schemeClr w14:val="tx1"/>
                  </w14:solidFill>
                </w14:textFill>
              </w:rPr>
              <w:t xml:space="preserve"> 36.03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rFonts w:eastAsia="宋体"/>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w:t>
            </w:r>
          </w:p>
        </w:tc>
        <w:tc>
          <w:tcPr>
            <w:tcW w:w="3128" w:type="dxa"/>
            <w:vAlign w:val="top"/>
          </w:tcPr>
          <w:p>
            <w:pPr>
              <w:snapToGrid w:val="0"/>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耿庄水库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45</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w:t>
            </w:r>
          </w:p>
        </w:tc>
        <w:tc>
          <w:tcPr>
            <w:tcW w:w="3128" w:type="dxa"/>
            <w:vAlign w:val="top"/>
          </w:tcPr>
          <w:p>
            <w:pPr>
              <w:snapToGrid w:val="0"/>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列里水库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snapToGrid w:val="0"/>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57.11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47.40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w:t>
            </w:r>
          </w:p>
        </w:tc>
        <w:tc>
          <w:tcPr>
            <w:tcW w:w="3128" w:type="dxa"/>
            <w:vAlign w:val="top"/>
          </w:tcPr>
          <w:p>
            <w:pPr>
              <w:snapToGrid w:val="0"/>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西里镇</w:t>
            </w:r>
            <w:r>
              <w:rPr>
                <w:rFonts w:ascii="Times New Roman" w:hAnsi="Times New Roman" w:cs="Times New Roman"/>
                <w:b/>
                <w:bCs/>
                <w:color w:val="000000" w:themeColor="text1"/>
                <w:sz w:val="24"/>
                <w14:textFill>
                  <w14:solidFill>
                    <w14:schemeClr w14:val="tx1"/>
                  </w14:solidFill>
                </w14:textFill>
              </w:rPr>
              <w:t>曹宅</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380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00.18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w:t>
            </w:r>
          </w:p>
        </w:tc>
        <w:tc>
          <w:tcPr>
            <w:tcW w:w="3128" w:type="dxa"/>
            <w:vAlign w:val="top"/>
          </w:tcPr>
          <w:p>
            <w:pPr>
              <w:snapToGrid w:val="0"/>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崮东万水库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w:t>
            </w:r>
          </w:p>
        </w:tc>
        <w:tc>
          <w:tcPr>
            <w:tcW w:w="3128" w:type="dxa"/>
            <w:vAlign w:val="top"/>
          </w:tcPr>
          <w:p>
            <w:pPr>
              <w:snapToGrid w:val="0"/>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石拉水库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35.94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w:t>
            </w:r>
          </w:p>
        </w:tc>
        <w:tc>
          <w:tcPr>
            <w:tcW w:w="3128" w:type="dxa"/>
            <w:vAlign w:val="top"/>
          </w:tcPr>
          <w:p>
            <w:pPr>
              <w:snapToGrid w:val="0"/>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东里镇</w:t>
            </w:r>
            <w:r>
              <w:rPr>
                <w:rFonts w:ascii="Times New Roman" w:hAnsi="Times New Roman" w:cs="Times New Roman"/>
                <w:color w:val="000000" w:themeColor="text1"/>
                <w:sz w:val="24"/>
                <w14:textFill>
                  <w14:solidFill>
                    <w14:schemeClr w14:val="tx1"/>
                  </w14:solidFill>
                </w14:textFill>
              </w:rPr>
              <w:t>李家沟水库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20.85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35.59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15.67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w:t>
            </w:r>
          </w:p>
        </w:tc>
        <w:tc>
          <w:tcPr>
            <w:tcW w:w="3128" w:type="dxa"/>
            <w:vAlign w:val="top"/>
          </w:tcPr>
          <w:p>
            <w:pPr>
              <w:snapToGrid w:val="0"/>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龙王峪水库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2-3-2-11</w:t>
            </w:r>
          </w:p>
        </w:tc>
        <w:tc>
          <w:tcPr>
            <w:tcW w:w="3128" w:type="dxa"/>
            <w:vAlign w:val="top"/>
          </w:tcPr>
          <w:p>
            <w:pPr>
              <w:snapToGrid w:val="0"/>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张家坡镇</w:t>
            </w:r>
            <w:r>
              <w:rPr>
                <w:rFonts w:ascii="Times New Roman" w:hAnsi="Times New Roman" w:cs="Times New Roman"/>
                <w:b/>
                <w:bCs/>
                <w:color w:val="000000" w:themeColor="text1"/>
                <w:sz w:val="24"/>
                <w14:textFill>
                  <w14:solidFill>
                    <w14:schemeClr w14:val="tx1"/>
                  </w14:solidFill>
                </w14:textFill>
              </w:rPr>
              <w:t>北店子</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310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48.32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2-3-2-12</w:t>
            </w:r>
          </w:p>
        </w:tc>
        <w:tc>
          <w:tcPr>
            <w:tcW w:w="3128" w:type="dxa"/>
            <w:vAlign w:val="top"/>
          </w:tcPr>
          <w:p>
            <w:pPr>
              <w:snapToGrid w:val="0"/>
              <w:ind w:firstLine="964" w:firstLineChars="4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后峪</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80</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50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2-3-2-13</w:t>
            </w:r>
          </w:p>
        </w:tc>
        <w:tc>
          <w:tcPr>
            <w:tcW w:w="3128" w:type="dxa"/>
            <w:vAlign w:val="top"/>
          </w:tcPr>
          <w:p>
            <w:pPr>
              <w:snapToGrid w:val="0"/>
              <w:ind w:firstLine="960" w:firstLineChars="400"/>
              <w:rPr>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邵家峪水库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2-3-2-14</w:t>
            </w:r>
          </w:p>
        </w:tc>
        <w:tc>
          <w:tcPr>
            <w:tcW w:w="3128" w:type="dxa"/>
            <w:vAlign w:val="top"/>
          </w:tcPr>
          <w:p>
            <w:pPr>
              <w:snapToGrid w:val="0"/>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刘家峪水库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2-3-2-15</w:t>
            </w:r>
          </w:p>
        </w:tc>
        <w:tc>
          <w:tcPr>
            <w:tcW w:w="3128" w:type="dxa"/>
            <w:vAlign w:val="top"/>
          </w:tcPr>
          <w:p>
            <w:pPr>
              <w:snapToGrid w:val="0"/>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大石沟水库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44</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2-3-2-16</w:t>
            </w:r>
          </w:p>
        </w:tc>
        <w:tc>
          <w:tcPr>
            <w:tcW w:w="3128" w:type="dxa"/>
            <w:vAlign w:val="top"/>
          </w:tcPr>
          <w:p>
            <w:pPr>
              <w:snapToGrid w:val="0"/>
              <w:ind w:firstLine="960" w:firstLineChars="400"/>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北店子水库（2）</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snapToGrid w:val="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42</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2-3-2-17</w:t>
            </w:r>
          </w:p>
        </w:tc>
        <w:tc>
          <w:tcPr>
            <w:tcW w:w="3128" w:type="dxa"/>
            <w:vAlign w:val="top"/>
          </w:tcPr>
          <w:p>
            <w:pPr>
              <w:snapToGrid w:val="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石桥镇</w:t>
            </w:r>
            <w:r>
              <w:rPr>
                <w:rFonts w:ascii="Times New Roman" w:hAnsi="Times New Roman" w:cs="Times New Roman"/>
                <w:b/>
                <w:bCs/>
                <w:color w:val="000000" w:themeColor="text1"/>
                <w:sz w:val="24"/>
                <w14:textFill>
                  <w14:solidFill>
                    <w14:schemeClr w14:val="tx1"/>
                  </w14:solidFill>
                </w14:textFill>
              </w:rPr>
              <w:t>错石</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126</w:t>
            </w:r>
          </w:p>
        </w:tc>
        <w:tc>
          <w:tcPr>
            <w:tcW w:w="2977" w:type="dxa"/>
            <w:vAlign w:val="top"/>
          </w:tcPr>
          <w:p>
            <w:pPr>
              <w:snapToGrid w:val="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snapToGrid w:val="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2-3-2-18</w:t>
            </w:r>
          </w:p>
        </w:tc>
        <w:tc>
          <w:tcPr>
            <w:tcW w:w="3128" w:type="dxa"/>
            <w:vAlign w:val="top"/>
          </w:tcPr>
          <w:p>
            <w:pPr>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郭家上峪</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94</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snapToGrid w:val="0"/>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2-3-2-19</w:t>
            </w:r>
          </w:p>
        </w:tc>
        <w:tc>
          <w:tcPr>
            <w:tcW w:w="3128" w:type="dxa"/>
            <w:vAlign w:val="top"/>
          </w:tcPr>
          <w:p>
            <w:pPr>
              <w:ind w:firstLine="720" w:firstLineChars="300"/>
              <w:rPr>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毫山水库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2-3-2-20</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东北庄水库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2-3-2-21</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马庄水库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2-3-2-22</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黄敦河水库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2-3-2-23</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关河峪水库（大路）</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2-3-2-24</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关河峪（栗子）水库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2-3-2-25</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圣佛山水库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2-3-2-26</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葛庄水库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2-3-2-27</w:t>
            </w:r>
          </w:p>
        </w:tc>
        <w:tc>
          <w:tcPr>
            <w:tcW w:w="3128" w:type="dxa"/>
            <w:vAlign w:val="top"/>
          </w:tcPr>
          <w:p>
            <w:pPr>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悦庄镇</w:t>
            </w:r>
            <w:r>
              <w:rPr>
                <w:rFonts w:ascii="Times New Roman" w:hAnsi="Times New Roman" w:cs="Times New Roman"/>
                <w:b/>
                <w:bCs/>
                <w:color w:val="000000" w:themeColor="text1"/>
                <w:sz w:val="24"/>
                <w14:textFill>
                  <w14:solidFill>
                    <w14:schemeClr w14:val="tx1"/>
                  </w14:solidFill>
                </w14:textFill>
              </w:rPr>
              <w:t>北营</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435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2-3-2-28</w:t>
            </w:r>
          </w:p>
        </w:tc>
        <w:tc>
          <w:tcPr>
            <w:tcW w:w="3128" w:type="dxa"/>
            <w:vAlign w:val="top"/>
          </w:tcPr>
          <w:p>
            <w:pPr>
              <w:ind w:firstLine="723" w:firstLineChars="3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篓峪</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2-3-2-29</w:t>
            </w:r>
          </w:p>
        </w:tc>
        <w:tc>
          <w:tcPr>
            <w:tcW w:w="3128" w:type="dxa"/>
            <w:vAlign w:val="top"/>
          </w:tcPr>
          <w:p>
            <w:pPr>
              <w:ind w:firstLine="723" w:firstLineChars="3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双跃</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2-3-2-30</w:t>
            </w:r>
          </w:p>
        </w:tc>
        <w:tc>
          <w:tcPr>
            <w:tcW w:w="3128" w:type="dxa"/>
            <w:vAlign w:val="top"/>
          </w:tcPr>
          <w:p>
            <w:pPr>
              <w:ind w:firstLine="241" w:firstLineChars="1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龙王官庄</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2-3-2-31</w:t>
            </w:r>
          </w:p>
        </w:tc>
        <w:tc>
          <w:tcPr>
            <w:tcW w:w="3128" w:type="dxa"/>
            <w:vAlign w:val="top"/>
          </w:tcPr>
          <w:p>
            <w:pPr>
              <w:ind w:firstLine="723" w:firstLineChars="3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赵庄</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2-3-2-32</w:t>
            </w:r>
          </w:p>
        </w:tc>
        <w:tc>
          <w:tcPr>
            <w:tcW w:w="3128" w:type="dxa"/>
            <w:vAlign w:val="top"/>
          </w:tcPr>
          <w:p>
            <w:pPr>
              <w:ind w:firstLine="723" w:firstLineChars="3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大寺</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2-3-2-33</w:t>
            </w:r>
          </w:p>
        </w:tc>
        <w:tc>
          <w:tcPr>
            <w:tcW w:w="3128" w:type="dxa"/>
            <w:vAlign w:val="top"/>
          </w:tcPr>
          <w:p>
            <w:pPr>
              <w:ind w:firstLine="720" w:firstLineChars="300"/>
              <w:rPr>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黄山子水库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7.92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0.78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2-3-2-34</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大涝洼水库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52</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2-3-2-35</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赵家峪水库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2-3-2-36</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西辽军埠水库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2-3-2-37</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抗子沟水库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2-3-2-38</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桃花峪水库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2-3-2-39</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豹家峪水库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2-3-2-40</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张家庄水库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2-3-2-41</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狼窝子沟水库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2-3-2-42</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龙王官庄</w:t>
            </w:r>
            <w:r>
              <w:rPr>
                <w:rFonts w:hint="eastAsia" w:ascii="Times New Roman" w:hAnsi="Times New Roman" w:cs="Times New Roman"/>
                <w:color w:val="000000" w:themeColor="text1"/>
                <w:sz w:val="24"/>
                <w14:textFill>
                  <w14:solidFill>
                    <w14:schemeClr w14:val="tx1"/>
                  </w14:solidFill>
                </w14:textFill>
              </w:rPr>
              <w:t>（二 ）</w:t>
            </w:r>
            <w:r>
              <w:rPr>
                <w:rFonts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2-3-2-43</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李家庄水库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2-3-2-44</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青龙山水库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2-3-2-45</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崔家庄水库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2-3-2-46</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埠村西山</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2-3-2-47</w:t>
            </w:r>
          </w:p>
        </w:tc>
        <w:tc>
          <w:tcPr>
            <w:tcW w:w="3128" w:type="dxa"/>
            <w:vAlign w:val="top"/>
          </w:tcPr>
          <w:p>
            <w:pPr>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历山街道办</w:t>
            </w:r>
            <w:r>
              <w:rPr>
                <w:rFonts w:ascii="Times New Roman" w:hAnsi="Times New Roman" w:cs="Times New Roman"/>
                <w:color w:val="000000" w:themeColor="text1"/>
                <w:sz w:val="24"/>
                <w14:textFill>
                  <w14:solidFill>
                    <w14:schemeClr w14:val="tx1"/>
                  </w14:solidFill>
                </w14:textFill>
              </w:rPr>
              <w:t>北大岩</w:t>
            </w:r>
            <w:r>
              <w:rPr>
                <w:rFonts w:hint="eastAsia" w:ascii="Times New Roman" w:hAnsi="Times New Roman" w:cs="Times New Roman"/>
                <w:color w:val="000000" w:themeColor="text1"/>
                <w:sz w:val="24"/>
                <w14:textFill>
                  <w14:solidFill>
                    <w14:schemeClr w14:val="tx1"/>
                  </w14:solidFill>
                </w14:textFill>
              </w:rPr>
              <w:t>（1）水库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2-3-2-48</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北大岩</w:t>
            </w:r>
            <w:r>
              <w:rPr>
                <w:rFonts w:hint="eastAsia" w:ascii="Times New Roman" w:hAnsi="Times New Roman" w:cs="Times New Roman"/>
                <w:color w:val="000000" w:themeColor="text1"/>
                <w:sz w:val="24"/>
                <w14:textFill>
                  <w14:solidFill>
                    <w14:schemeClr w14:val="tx1"/>
                  </w14:solidFill>
                </w14:textFill>
              </w:rPr>
              <w:t>（2）水库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34</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2-3-2-49</w:t>
            </w:r>
          </w:p>
        </w:tc>
        <w:tc>
          <w:tcPr>
            <w:tcW w:w="3128" w:type="dxa"/>
            <w:vAlign w:val="top"/>
          </w:tcPr>
          <w:p>
            <w:pPr>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东沙沟</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w:t>
            </w:r>
          </w:p>
        </w:tc>
        <w:tc>
          <w:tcPr>
            <w:tcW w:w="2977" w:type="dxa"/>
            <w:vAlign w:val="top"/>
          </w:tcPr>
          <w:p>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2-3-2-50</w:t>
            </w:r>
          </w:p>
        </w:tc>
        <w:tc>
          <w:tcPr>
            <w:tcW w:w="3128" w:type="dxa"/>
            <w:vAlign w:val="top"/>
          </w:tcPr>
          <w:p>
            <w:pPr>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历山街道办</w:t>
            </w:r>
            <w:r>
              <w:rPr>
                <w:rFonts w:ascii="Times New Roman" w:hAnsi="Times New Roman" w:cs="Times New Roman"/>
                <w:color w:val="000000" w:themeColor="text1"/>
                <w:sz w:val="24"/>
                <w14:textFill>
                  <w14:solidFill>
                    <w14:schemeClr w14:val="tx1"/>
                  </w14:solidFill>
                </w14:textFill>
              </w:rPr>
              <w:t>西沙沟</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2-3-2-51</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吴家官庄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92</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2-3-2-52</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窗户沟</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2-3-2-53</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彩板峪</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2-3-2-54</w:t>
            </w:r>
          </w:p>
        </w:tc>
        <w:tc>
          <w:tcPr>
            <w:tcW w:w="3128" w:type="dxa"/>
            <w:vAlign w:val="top"/>
          </w:tcPr>
          <w:p>
            <w:pPr>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南麻街道办</w:t>
            </w:r>
            <w:r>
              <w:rPr>
                <w:rFonts w:ascii="Times New Roman" w:hAnsi="Times New Roman" w:cs="Times New Roman"/>
                <w:color w:val="000000" w:themeColor="text1"/>
                <w:sz w:val="24"/>
                <w14:textFill>
                  <w14:solidFill>
                    <w14:schemeClr w14:val="tx1"/>
                  </w14:solidFill>
                </w14:textFill>
              </w:rPr>
              <w:t>陡起峪</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2-3-2-55</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盗玉秋</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2-3-2-56</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侯家官庄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2-3-2-57</w:t>
            </w:r>
          </w:p>
        </w:tc>
        <w:tc>
          <w:tcPr>
            <w:tcW w:w="3128" w:type="dxa"/>
            <w:vAlign w:val="top"/>
          </w:tcPr>
          <w:p>
            <w:pPr>
              <w:ind w:firstLine="1200" w:firstLineChars="5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朱家庄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2-3-2-58</w:t>
            </w:r>
          </w:p>
        </w:tc>
        <w:tc>
          <w:tcPr>
            <w:tcW w:w="3128" w:type="dxa"/>
            <w:vAlign w:val="top"/>
          </w:tcPr>
          <w:p>
            <w:pPr>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南鲁山镇</w:t>
            </w:r>
            <w:r>
              <w:rPr>
                <w:rFonts w:ascii="Times New Roman" w:hAnsi="Times New Roman" w:cs="Times New Roman"/>
                <w:b/>
                <w:bCs/>
                <w:color w:val="000000" w:themeColor="text1"/>
                <w:sz w:val="24"/>
                <w14:textFill>
                  <w14:solidFill>
                    <w14:schemeClr w14:val="tx1"/>
                  </w14:solidFill>
                </w14:textFill>
              </w:rPr>
              <w:t>芦芽</w:t>
            </w:r>
            <w:r>
              <w:rPr>
                <w:rFonts w:hint="eastAsia" w:ascii="Times New Roman" w:hAnsi="Times New Roman" w:cs="Times New Roman"/>
                <w:b/>
                <w:bCs/>
                <w:color w:val="000000" w:themeColor="text1"/>
                <w:sz w:val="24"/>
                <w14:textFill>
                  <w14:solidFill>
                    <w14:schemeClr w14:val="tx1"/>
                  </w14:solidFill>
                </w14:textFill>
              </w:rPr>
              <w:t>（一）型水库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2-3-2-59</w:t>
            </w:r>
          </w:p>
        </w:tc>
        <w:tc>
          <w:tcPr>
            <w:tcW w:w="3128" w:type="dxa"/>
            <w:vAlign w:val="top"/>
          </w:tcPr>
          <w:p>
            <w:pPr>
              <w:ind w:firstLine="964" w:firstLineChars="400"/>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璞邱（一）</w:t>
            </w:r>
            <w:r>
              <w:rPr>
                <w:rFonts w:hint="eastAsia" w:ascii="Times New Roman" w:hAnsi="Times New Roman" w:cs="Times New Roman"/>
                <w:b/>
                <w:bCs/>
                <w:color w:val="000000" w:themeColor="text1"/>
                <w:sz w:val="24"/>
                <w14:textFill>
                  <w14:solidFill>
                    <w14:schemeClr w14:val="tx1"/>
                  </w14:solidFill>
                </w14:textFill>
              </w:rPr>
              <w:t>型</w:t>
            </w:r>
            <w:r>
              <w:rPr>
                <w:rFonts w:ascii="Times New Roman" w:hAnsi="Times New Roman" w:cs="Times New Roman"/>
                <w:b/>
                <w:bCs/>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2-3-2-60</w:t>
            </w:r>
          </w:p>
        </w:tc>
        <w:tc>
          <w:tcPr>
            <w:tcW w:w="3128" w:type="dxa"/>
            <w:vAlign w:val="top"/>
          </w:tcPr>
          <w:p>
            <w:pPr>
              <w:ind w:firstLine="960" w:firstLineChars="400"/>
              <w:rPr>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璞邱（二）水库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2-3-2-61</w:t>
            </w:r>
          </w:p>
        </w:tc>
        <w:tc>
          <w:tcPr>
            <w:tcW w:w="3128" w:type="dxa"/>
            <w:vAlign w:val="top"/>
          </w:tcPr>
          <w:p>
            <w:pPr>
              <w:ind w:firstLine="720" w:firstLineChars="300"/>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孟坡水库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2-3-2-62</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董家庄水库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2-3-2-63</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车场水库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81</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2-3-2-64</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郑家庄水库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94</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2-3-2-65</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菜东水库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2-3-2-66</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大坡水库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2-3-2-67</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南流水水库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2-3-2-68</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菜南水库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2-3-2-69</w:t>
            </w:r>
          </w:p>
        </w:tc>
        <w:tc>
          <w:tcPr>
            <w:tcW w:w="3128" w:type="dxa"/>
            <w:vAlign w:val="top"/>
          </w:tcPr>
          <w:p>
            <w:pPr>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鲁村镇</w:t>
            </w:r>
            <w:r>
              <w:rPr>
                <w:rFonts w:ascii="Times New Roman" w:hAnsi="Times New Roman" w:cs="Times New Roman"/>
                <w:color w:val="000000" w:themeColor="text1"/>
                <w:sz w:val="24"/>
                <w14:textFill>
                  <w14:solidFill>
                    <w14:schemeClr w14:val="tx1"/>
                  </w14:solidFill>
                </w14:textFill>
              </w:rPr>
              <w:t>崮山（北）水库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74</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2-3-2-70</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崮山（东）水库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2-3-2-71</w:t>
            </w:r>
          </w:p>
        </w:tc>
        <w:tc>
          <w:tcPr>
            <w:tcW w:w="3128" w:type="dxa"/>
            <w:vAlign w:val="top"/>
          </w:tcPr>
          <w:p>
            <w:pPr>
              <w:rPr>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青杨圈</w:t>
            </w:r>
            <w:r>
              <w:rPr>
                <w:rFonts w:hint="eastAsia" w:ascii="Times New Roman" w:hAnsi="Times New Roman" w:cs="Times New Roman"/>
                <w:b/>
                <w:bCs/>
                <w:color w:val="000000" w:themeColor="text1"/>
                <w:sz w:val="24"/>
                <w14:textFill>
                  <w14:solidFill>
                    <w14:schemeClr w14:val="tx1"/>
                  </w14:solidFill>
                </w14:textFill>
              </w:rPr>
              <w:t>小</w:t>
            </w:r>
            <w:r>
              <w:rPr>
                <w:rFonts w:ascii="Times New Roman" w:hAnsi="Times New Roman" w:cs="Times New Roman"/>
                <w:b/>
                <w:bCs/>
                <w:color w:val="000000" w:themeColor="text1"/>
                <w:sz w:val="24"/>
                <w14:textFill>
                  <w14:solidFill>
                    <w14:schemeClr w14:val="tx1"/>
                  </w14:solidFill>
                </w14:textFill>
              </w:rPr>
              <w:t>（一）</w:t>
            </w:r>
            <w:r>
              <w:rPr>
                <w:rFonts w:hint="eastAsia" w:ascii="Times New Roman" w:hAnsi="Times New Roman" w:cs="Times New Roman"/>
                <w:b/>
                <w:bCs/>
                <w:color w:val="000000" w:themeColor="text1"/>
                <w:sz w:val="24"/>
                <w14:textFill>
                  <w14:solidFill>
                    <w14:schemeClr w14:val="tx1"/>
                  </w14:solidFill>
                </w14:textFill>
              </w:rPr>
              <w:t>型</w:t>
            </w:r>
            <w:r>
              <w:rPr>
                <w:rFonts w:ascii="Times New Roman" w:hAnsi="Times New Roman" w:cs="Times New Roman"/>
                <w:b/>
                <w:bCs/>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385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36.17 20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2-3-2-72</w:t>
            </w:r>
          </w:p>
        </w:tc>
        <w:tc>
          <w:tcPr>
            <w:tcW w:w="3128" w:type="dxa"/>
            <w:vAlign w:val="top"/>
          </w:tcPr>
          <w:p>
            <w:pPr>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石门</w:t>
            </w:r>
            <w:r>
              <w:rPr>
                <w:rFonts w:hint="eastAsia" w:ascii="Times New Roman" w:hAnsi="Times New Roman" w:cs="Times New Roman"/>
                <w:b/>
                <w:bCs/>
                <w:color w:val="000000" w:themeColor="text1"/>
                <w:sz w:val="24"/>
                <w14:textFill>
                  <w14:solidFill>
                    <w14:schemeClr w14:val="tx1"/>
                  </w14:solidFill>
                </w14:textFill>
              </w:rPr>
              <w:t>小</w:t>
            </w:r>
            <w:r>
              <w:rPr>
                <w:rFonts w:ascii="Times New Roman" w:hAnsi="Times New Roman" w:cs="Times New Roman"/>
                <w:b/>
                <w:bCs/>
                <w:color w:val="000000" w:themeColor="text1"/>
                <w:sz w:val="24"/>
                <w14:textFill>
                  <w14:solidFill>
                    <w14:schemeClr w14:val="tx1"/>
                  </w14:solidFill>
                </w14:textFill>
              </w:rPr>
              <w:t>（一）</w:t>
            </w:r>
            <w:r>
              <w:rPr>
                <w:rFonts w:hint="eastAsia" w:ascii="Times New Roman" w:hAnsi="Times New Roman" w:cs="Times New Roman"/>
                <w:b/>
                <w:bCs/>
                <w:color w:val="000000" w:themeColor="text1"/>
                <w:sz w:val="24"/>
                <w14:textFill>
                  <w14:solidFill>
                    <w14:schemeClr w14:val="tx1"/>
                  </w14:solidFill>
                </w14:textFill>
              </w:rPr>
              <w:t>型</w:t>
            </w:r>
            <w:r>
              <w:rPr>
                <w:rFonts w:ascii="Times New Roman" w:hAnsi="Times New Roman" w:cs="Times New Roman"/>
                <w:b/>
                <w:bCs/>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390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32.78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2-3-2-73</w:t>
            </w:r>
          </w:p>
        </w:tc>
        <w:tc>
          <w:tcPr>
            <w:tcW w:w="3128" w:type="dxa"/>
            <w:vAlign w:val="top"/>
          </w:tcPr>
          <w:p>
            <w:pPr>
              <w:ind w:firstLine="720" w:firstLineChars="300"/>
              <w:rPr>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石门（二）水库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48.77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44.30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2-3-2-74</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西五陡（下）水库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14</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2-3-2-75</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西官庄水库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41.90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40.56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2-3-2-76</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北官庄水库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17.32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20.74</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2-3-2-77</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丁家庄（三岔）水库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2-3-2-78</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丁家庄（草埠）水库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41.90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40.56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2-3-2-79</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峨峪水库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11.91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20.73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2-3-2-80</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王家庄水库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48.77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54.66</w:t>
            </w:r>
            <w:r>
              <w:rPr>
                <w:rFonts w:ascii="Times New Roman" w:hAnsi="Times New Roman" w:cs="Times New Roman"/>
                <w:color w:val="000000" w:themeColor="text1"/>
                <w:sz w:val="24"/>
                <w14:textFill>
                  <w14:solidFill>
                    <w14:schemeClr w14:val="tx1"/>
                  </w14:solidFill>
                </w14:textFill>
              </w:rPr>
              <w:t>′</w:t>
            </w:r>
          </w:p>
        </w:tc>
        <w:tc>
          <w:tcPr>
            <w:tcW w:w="1417" w:type="dxa"/>
            <w:vMerge w:val="restart"/>
          </w:tcPr>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渔业主管部门加强对渔业水域水质状况的监测。放养滤食性鱼类。禁止投喂饵料。污染物排放标准超标的，限期整改，整改后不达标的，由本级人民政府及相关部门负责限期搬迁或关停。</w:t>
            </w:r>
          </w:p>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2-3-2-81</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上头庄水库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36.96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46.73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2-3-2-82</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吴家庄水库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2-3-2-83</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曹家庄（下）水库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35.68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32.68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2-3-2-84</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曹家庄（上）水库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46.5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2-3-2-85</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东岭水库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118</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50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2-3-2-86</w:t>
            </w:r>
          </w:p>
        </w:tc>
        <w:tc>
          <w:tcPr>
            <w:tcW w:w="3128" w:type="dxa"/>
            <w:vAlign w:val="top"/>
          </w:tcPr>
          <w:p>
            <w:pPr>
              <w:rPr>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刘家庄</w:t>
            </w:r>
            <w:r>
              <w:rPr>
                <w:rFonts w:hint="eastAsia" w:ascii="Times New Roman" w:hAnsi="Times New Roman" w:cs="Times New Roman"/>
                <w:b/>
                <w:bCs/>
                <w:color w:val="000000" w:themeColor="text1"/>
                <w:sz w:val="24"/>
                <w14:textFill>
                  <w14:solidFill>
                    <w14:schemeClr w14:val="tx1"/>
                  </w14:solidFill>
                </w14:textFill>
              </w:rPr>
              <w:t>小（一）型水库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375</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2-3-2-87</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乐村水库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40.86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24.35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2-3-2-88</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姬家峪水库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5.93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25.36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2-3-2-89</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李家泉（东）水库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25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2-3-2-90</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草埠一村</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2-3-2-91</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北官庄（一）</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17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2-3-2-92</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高峪（泉庄）水库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30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2-3-2-93</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高峪（西前峪）水库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2-3-2-94</w:t>
            </w:r>
          </w:p>
        </w:tc>
        <w:tc>
          <w:tcPr>
            <w:tcW w:w="3128" w:type="dxa"/>
            <w:vAlign w:val="top"/>
          </w:tcPr>
          <w:p>
            <w:pPr>
              <w:ind w:firstLine="720" w:firstLineChars="3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李家泉（西）</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71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2-3-2-95</w:t>
            </w:r>
          </w:p>
        </w:tc>
        <w:tc>
          <w:tcPr>
            <w:tcW w:w="3128"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沂源县西五陡（上）</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36.15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66</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2-3-2-96</w:t>
            </w:r>
          </w:p>
        </w:tc>
        <w:tc>
          <w:tcPr>
            <w:tcW w:w="3128" w:type="dxa"/>
            <w:vAlign w:val="top"/>
          </w:tcPr>
          <w:p>
            <w:pPr>
              <w:ind w:left="964" w:leftChars="0" w:hanging="964" w:hangingChars="400"/>
              <w:rPr>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大张庄镇</w:t>
            </w:r>
            <w:r>
              <w:rPr>
                <w:rFonts w:ascii="Times New Roman" w:hAnsi="Times New Roman" w:cs="Times New Roman"/>
                <w:b/>
                <w:bCs/>
                <w:color w:val="000000" w:themeColor="text1"/>
                <w:sz w:val="24"/>
                <w14:textFill>
                  <w14:solidFill>
                    <w14:schemeClr w14:val="tx1"/>
                  </w14:solidFill>
                </w14:textFill>
              </w:rPr>
              <w:t>张家旁峪</w:t>
            </w:r>
            <w:r>
              <w:rPr>
                <w:rFonts w:hint="eastAsia" w:ascii="Times New Roman" w:hAnsi="Times New Roman" w:cs="Times New Roman"/>
                <w:b/>
                <w:bCs/>
                <w:color w:val="000000" w:themeColor="text1"/>
                <w:sz w:val="24"/>
                <w14:textFill>
                  <w14:solidFill>
                    <w14:schemeClr w14:val="tx1"/>
                  </w14:solidFill>
                </w14:textFill>
              </w:rPr>
              <w:t>小（一）型水库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390</w:t>
            </w:r>
          </w:p>
        </w:tc>
        <w:tc>
          <w:tcPr>
            <w:tcW w:w="2977" w:type="dxa"/>
            <w:vAlign w:val="top"/>
          </w:tcPr>
          <w:p>
            <w:pPr>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7 95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37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04.25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2-3-2-97</w:t>
            </w:r>
          </w:p>
        </w:tc>
        <w:tc>
          <w:tcPr>
            <w:tcW w:w="3128" w:type="dxa"/>
            <w:vAlign w:val="top"/>
          </w:tcPr>
          <w:p>
            <w:pPr>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石柱</w:t>
            </w:r>
            <w:r>
              <w:rPr>
                <w:rFonts w:hint="eastAsia" w:ascii="Times New Roman" w:hAnsi="Times New Roman" w:cs="Times New Roman"/>
                <w:b/>
                <w:bCs/>
                <w:color w:val="000000" w:themeColor="text1"/>
                <w:sz w:val="24"/>
                <w14:textFill>
                  <w14:solidFill>
                    <w14:schemeClr w14:val="tx1"/>
                  </w14:solidFill>
                </w14:textFill>
              </w:rPr>
              <w:t>小（一）型水库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17 95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59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00.75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2-3-2-98</w:t>
            </w:r>
          </w:p>
        </w:tc>
        <w:tc>
          <w:tcPr>
            <w:tcW w:w="3128" w:type="dxa"/>
            <w:vAlign w:val="top"/>
          </w:tcPr>
          <w:p>
            <w:pPr>
              <w:rPr>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水营</w:t>
            </w:r>
            <w:r>
              <w:rPr>
                <w:rFonts w:hint="eastAsia" w:ascii="Times New Roman" w:hAnsi="Times New Roman" w:cs="Times New Roman"/>
                <w:b/>
                <w:bCs/>
                <w:color w:val="000000" w:themeColor="text1"/>
                <w:sz w:val="24"/>
                <w14:textFill>
                  <w14:solidFill>
                    <w14:schemeClr w14:val="tx1"/>
                  </w14:solidFill>
                </w14:textFill>
              </w:rPr>
              <w:t>小（一）型水库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190</w:t>
            </w:r>
          </w:p>
        </w:tc>
        <w:tc>
          <w:tcPr>
            <w:tcW w:w="2977" w:type="dxa"/>
            <w:vAlign w:val="top"/>
          </w:tcPr>
          <w:p>
            <w:pPr>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18 01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91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97.72</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2-3-2-99</w:t>
            </w:r>
          </w:p>
        </w:tc>
        <w:tc>
          <w:tcPr>
            <w:tcW w:w="3128" w:type="dxa"/>
            <w:vAlign w:val="top"/>
          </w:tcPr>
          <w:p>
            <w:pPr>
              <w:ind w:firstLine="960" w:firstLineChars="400"/>
              <w:rPr>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大娄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110</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7 59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21.48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35.68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2-3-2-100</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东上峪</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52</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2-3-2-101</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左家旁峪</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55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32</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2-3-2-102</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刘家旁峪</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81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2-3-2-103</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下升科</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81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00</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2-3-2-104</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上升科</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2-3-2-105</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牛栏峪</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35.96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2-3-2-106</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保安村</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48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35.97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79</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2-3-2-107</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董家河沟</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8 01</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40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95</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2-3-2-108</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太平庄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04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77</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2-3-2-109</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曹家庄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2-3-2-110</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赤坂</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8 04</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66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69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2-3-2-111</w:t>
            </w:r>
          </w:p>
        </w:tc>
        <w:tc>
          <w:tcPr>
            <w:tcW w:w="3128" w:type="dxa"/>
            <w:vAlign w:val="top"/>
          </w:tcPr>
          <w:p>
            <w:pPr>
              <w:ind w:firstLine="960" w:firstLineChars="4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东唐庄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8 06</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05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36.07</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40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color w:val="000000" w:themeColor="text1"/>
                <w:sz w:val="24"/>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2-3-2-112</w:t>
            </w:r>
          </w:p>
        </w:tc>
        <w:tc>
          <w:tcPr>
            <w:tcW w:w="3128" w:type="dxa"/>
            <w:vAlign w:val="top"/>
          </w:tcPr>
          <w:p>
            <w:pPr>
              <w:ind w:firstLine="960" w:firstLineChars="400"/>
              <w:rPr>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上于土地水库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7 99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99</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53</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48" w:type="dxa"/>
            <w:vAlign w:val="center"/>
          </w:tcPr>
          <w:p>
            <w:pPr>
              <w:widowControl/>
              <w:ind w:left="-105" w:leftChars="-50" w:right="-105" w:rightChars="-50"/>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2-3-2-113</w:t>
            </w:r>
          </w:p>
        </w:tc>
        <w:tc>
          <w:tcPr>
            <w:tcW w:w="3128" w:type="dxa"/>
            <w:vAlign w:val="top"/>
          </w:tcPr>
          <w:p>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燕崖镇</w:t>
            </w:r>
            <w:r>
              <w:rPr>
                <w:rFonts w:ascii="Times New Roman" w:hAnsi="Times New Roman" w:cs="Times New Roman"/>
                <w:color w:val="000000" w:themeColor="text1"/>
                <w:sz w:val="24"/>
                <w14:textFill>
                  <w14:solidFill>
                    <w14:schemeClr w14:val="tx1"/>
                  </w14:solidFill>
                </w14:textFill>
              </w:rPr>
              <w:t>刘庄</w:t>
            </w:r>
            <w:r>
              <w:rPr>
                <w:rFonts w:hint="eastAsia" w:ascii="Times New Roman" w:hAnsi="Times New Roman" w:cs="Times New Roman"/>
                <w:color w:val="000000" w:themeColor="text1"/>
                <w:sz w:val="24"/>
                <w14:textFill>
                  <w14:solidFill>
                    <w14:schemeClr w14:val="tx1"/>
                  </w14:solidFill>
                </w14:textFill>
              </w:rPr>
              <w:t>水库</w:t>
            </w:r>
          </w:p>
        </w:tc>
        <w:tc>
          <w:tcPr>
            <w:tcW w:w="1183" w:type="dxa"/>
            <w:vAlign w:val="top"/>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2977" w:type="dxa"/>
            <w:vAlign w:val="top"/>
          </w:tcPr>
          <w:p>
            <w:pPr>
              <w:ind w:left="-105" w:leftChars="-50" w:right="-105" w:rightChars="-5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14:textFill>
                  <w14:solidFill>
                    <w14:schemeClr w14:val="tx1"/>
                  </w14:solidFill>
                </w14:textFill>
              </w:rPr>
              <w:t>8 8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25.62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36.02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16.78</w:t>
            </w:r>
            <w:r>
              <w:rPr>
                <w:rFonts w:ascii="Times New Roman" w:hAnsi="Times New Roman" w:cs="Times New Roman"/>
                <w:color w:val="000000" w:themeColor="text1"/>
                <w:sz w:val="24"/>
                <w14:textFill>
                  <w14:solidFill>
                    <w14:schemeClr w14:val="tx1"/>
                  </w14:solidFill>
                </w14:textFill>
              </w:rPr>
              <w:t>′</w:t>
            </w:r>
          </w:p>
        </w:tc>
        <w:tc>
          <w:tcPr>
            <w:tcW w:w="1417" w:type="dxa"/>
            <w:vMerge w:val="continue"/>
          </w:tcPr>
          <w:p>
            <w:pPr>
              <w:rPr>
                <w:color w:val="000000" w:themeColor="text1"/>
                <w:sz w:val="24"/>
                <w14:textFill>
                  <w14:solidFill>
                    <w14:schemeClr w14:val="tx1"/>
                  </w14:solidFill>
                </w14:textFill>
              </w:rPr>
            </w:pPr>
          </w:p>
        </w:tc>
      </w:tr>
    </w:tbl>
    <w:p>
      <w:pPr>
        <w:adjustRightInd w:val="0"/>
        <w:snapToGrid w:val="0"/>
        <w:spacing w:after="317" w:afterLines="100" w:line="560" w:lineRule="exact"/>
        <w:ind w:right="-153" w:rightChars="-73"/>
        <w:jc w:val="center"/>
        <w:rPr>
          <w:rFonts w:ascii="黑体" w:hAnsi="黑体" w:eastAsia="黑体" w:cs="黑体"/>
          <w:b/>
          <w:bCs/>
          <w:sz w:val="32"/>
          <w:szCs w:val="32"/>
        </w:rPr>
      </w:pPr>
    </w:p>
    <w:p>
      <w:pPr>
        <w:adjustRightInd w:val="0"/>
        <w:snapToGrid w:val="0"/>
        <w:spacing w:after="317" w:afterLines="100" w:line="560" w:lineRule="exact"/>
        <w:ind w:right="-153" w:rightChars="-73"/>
        <w:jc w:val="center"/>
        <w:rPr>
          <w:rFonts w:ascii="黑体" w:hAnsi="黑体" w:eastAsia="黑体" w:cs="黑体"/>
          <w:b/>
          <w:bCs/>
          <w:sz w:val="32"/>
          <w:szCs w:val="32"/>
        </w:rPr>
      </w:pPr>
      <w:r>
        <w:rPr>
          <w:rFonts w:hint="eastAsia" w:ascii="黑体" w:hAnsi="黑体" w:eastAsia="黑体" w:cs="黑体"/>
          <w:b/>
          <w:bCs/>
          <w:sz w:val="32"/>
          <w:szCs w:val="32"/>
        </w:rPr>
        <w:t>第十二节 养殖区</w:t>
      </w:r>
    </w:p>
    <w:p>
      <w:pPr>
        <w:spacing w:line="57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除禁、限养区外，没有法律法规明确禁止的全部已养水域滩涂、宜渔“三荒”资源划为养殖区。我县养殖区主要包括工厂化养殖区、藕渔综合种养区等水域类型。规划养殖区总面积 </w:t>
      </w:r>
      <w:r>
        <w:rPr>
          <w:rFonts w:hint="eastAsia" w:ascii="仿宋_GB2312" w:hAnsi="仿宋_GB2312" w:eastAsia="仿宋_GB2312" w:cs="仿宋_GB2312"/>
          <w:sz w:val="32"/>
          <w:szCs w:val="32"/>
          <w:lang w:val="en-US" w:eastAsia="zh-CN"/>
        </w:rPr>
        <w:t>594</w:t>
      </w:r>
      <w:r>
        <w:rPr>
          <w:rFonts w:hint="eastAsia" w:ascii="仿宋_GB2312" w:hAnsi="仿宋_GB2312" w:eastAsia="仿宋_GB2312" w:cs="仿宋_GB2312"/>
          <w:sz w:val="32"/>
          <w:szCs w:val="32"/>
        </w:rPr>
        <w:t xml:space="preserve"> 亩</w:t>
      </w:r>
      <w:r>
        <w:rPr>
          <w:rFonts w:hint="eastAsia" w:ascii="仿宋_GB2312" w:hAnsi="仿宋_GB2312" w:eastAsia="仿宋_GB2312" w:cs="仿宋_GB2312"/>
          <w:sz w:val="32"/>
          <w:szCs w:val="32"/>
          <w:lang w:eastAsia="zh-CN"/>
        </w:rPr>
        <w:t>。</w:t>
      </w:r>
    </w:p>
    <w:p>
      <w:pPr>
        <w:adjustRightInd w:val="0"/>
        <w:snapToGrid w:val="0"/>
        <w:spacing w:line="570" w:lineRule="exact"/>
        <w:ind w:right="-153" w:rightChars="-73"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一、养殖区类型</w:t>
      </w:r>
    </w:p>
    <w:p>
      <w:pPr>
        <w:adjustRightInd w:val="0"/>
        <w:snapToGrid w:val="0"/>
        <w:spacing w:line="570" w:lineRule="exact"/>
        <w:ind w:right="-153" w:rightChars="-73" w:firstLine="640" w:firstLineChars="200"/>
        <w:rPr>
          <w:rFonts w:ascii="黑体" w:hAnsi="黑体" w:eastAsia="黑体" w:cs="黑体"/>
          <w:sz w:val="32"/>
          <w:szCs w:val="32"/>
        </w:rPr>
      </w:pPr>
      <w:r>
        <w:rPr>
          <w:rFonts w:hint="eastAsia" w:ascii="黑体" w:hAnsi="黑体" w:eastAsia="黑体" w:cs="黑体"/>
          <w:sz w:val="32"/>
          <w:szCs w:val="32"/>
        </w:rPr>
        <w:t>（一）工厂化养殖区</w:t>
      </w:r>
    </w:p>
    <w:p>
      <w:pPr>
        <w:adjustRightInd w:val="0"/>
        <w:snapToGrid w:val="0"/>
        <w:spacing w:line="570" w:lineRule="exact"/>
        <w:ind w:right="-153" w:rightChars="-73"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在现有冷水鱼工厂化养殖基础上，进一步提高我县工厂化养殖规模，加快推行</w:t>
      </w:r>
      <w:r>
        <w:rPr>
          <w:rFonts w:hint="eastAsia" w:ascii="仿宋_GB2312" w:hAnsi="仿宋_GB2312" w:eastAsia="仿宋_GB2312" w:cs="仿宋_GB2312"/>
          <w:kern w:val="0"/>
          <w:sz w:val="32"/>
          <w:szCs w:val="32"/>
          <w:lang w:bidi="ar"/>
        </w:rPr>
        <w:t>节能减排新技术，提高水产品总量、产值、效</w:t>
      </w:r>
      <w:r>
        <w:rPr>
          <w:rFonts w:hint="eastAsia" w:ascii="仿宋_GB2312" w:hAnsi="仿宋_GB2312" w:eastAsia="仿宋_GB2312" w:cs="仿宋_GB2312"/>
          <w:sz w:val="32"/>
          <w:szCs w:val="32"/>
        </w:rPr>
        <w:t>益。分别在大型水库田庄水库、中型水库红旗水库及悦庄镇双跃小（一）型水库、张家庄小（二）型水库；鲁村镇青杨圈小（一）型水库；大张庄镇张家旁峪小（一）型水库；南鲁山镇郑家庄小（二）型水库；中庄镇焦家上庄小（二）型水库；西里镇石拉小（二）型水库坝后推行流水槽工厂化养殖，发展处节水、减</w:t>
      </w:r>
      <w:r>
        <w:rPr>
          <w:rFonts w:hint="eastAsia" w:ascii="仿宋_GB2312" w:hAnsi="仿宋_GB2312" w:eastAsia="仿宋_GB2312" w:cs="仿宋_GB2312"/>
          <w:kern w:val="0"/>
          <w:sz w:val="32"/>
          <w:szCs w:val="32"/>
          <w:lang w:bidi="ar"/>
        </w:rPr>
        <w:t>排、环保流水槽1</w:t>
      </w:r>
      <w:r>
        <w:rPr>
          <w:rFonts w:hint="eastAsia" w:ascii="仿宋_GB2312" w:hAnsi="仿宋_GB2312" w:eastAsia="仿宋_GB2312" w:cs="仿宋_GB2312"/>
          <w:kern w:val="0"/>
          <w:sz w:val="32"/>
          <w:szCs w:val="32"/>
          <w:lang w:val="en-US" w:eastAsia="zh-CN" w:bidi="ar"/>
        </w:rPr>
        <w:t>2</w:t>
      </w:r>
      <w:r>
        <w:rPr>
          <w:rFonts w:hint="eastAsia" w:ascii="仿宋_GB2312" w:hAnsi="仿宋_GB2312" w:eastAsia="仿宋_GB2312" w:cs="仿宋_GB2312"/>
          <w:kern w:val="0"/>
          <w:sz w:val="32"/>
          <w:szCs w:val="32"/>
          <w:lang w:bidi="ar"/>
        </w:rPr>
        <w:t>0个。改善、扩大新的渔业生产方式，推动全县渔业规模化发展。</w:t>
      </w:r>
      <w:r>
        <w:rPr>
          <w:rFonts w:hint="eastAsia" w:ascii="仿宋_GB2312" w:hAnsi="仿宋_GB2312" w:eastAsia="仿宋_GB2312" w:cs="仿宋_GB2312"/>
          <w:sz w:val="32"/>
          <w:szCs w:val="32"/>
        </w:rPr>
        <w:t>提升工厂化养殖整体机械化、智能化、自动化装备水平，重点推行养殖水体有机物高效分离技术、水质高效处理及循环利用技术，生物治理方法，尾水达标排放。进一步优化养殖品种，提高单位面积产值和效益。</w:t>
      </w:r>
    </w:p>
    <w:p>
      <w:pPr>
        <w:adjustRightInd w:val="0"/>
        <w:snapToGrid w:val="0"/>
        <w:spacing w:line="570" w:lineRule="exact"/>
        <w:ind w:right="-153" w:rightChars="-73"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至2030年，工厂化设施</w:t>
      </w:r>
      <w:r>
        <w:rPr>
          <w:rFonts w:hint="eastAsia" w:ascii="仿宋_GB2312" w:hAnsi="仿宋_GB2312" w:eastAsia="仿宋_GB2312" w:cs="仿宋_GB2312"/>
          <w:sz w:val="32"/>
          <w:szCs w:val="32"/>
          <w:lang w:eastAsia="zh-CN"/>
        </w:rPr>
        <w:t>规划</w:t>
      </w:r>
      <w:r>
        <w:rPr>
          <w:rFonts w:hint="eastAsia" w:ascii="仿宋_GB2312" w:hAnsi="仿宋_GB2312" w:eastAsia="仿宋_GB2312" w:cs="仿宋_GB2312"/>
          <w:sz w:val="32"/>
          <w:szCs w:val="32"/>
        </w:rPr>
        <w:t>养殖</w:t>
      </w:r>
      <w:r>
        <w:rPr>
          <w:rFonts w:hint="eastAsia" w:ascii="仿宋_GB2312" w:hAnsi="仿宋_GB2312" w:eastAsia="仿宋_GB2312" w:cs="仿宋_GB2312"/>
          <w:sz w:val="32"/>
          <w:szCs w:val="32"/>
          <w:lang w:eastAsia="zh-CN"/>
        </w:rPr>
        <w:t>面积</w:t>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rPr>
        <w:t>亩</w:t>
      </w:r>
      <w:r>
        <w:rPr>
          <w:rFonts w:hint="eastAsia" w:ascii="仿宋_GB2312" w:hAnsi="仿宋_GB2312" w:eastAsia="仿宋_GB2312" w:cs="仿宋_GB2312"/>
          <w:sz w:val="32"/>
          <w:szCs w:val="32"/>
          <w:lang w:eastAsia="zh-CN"/>
        </w:rPr>
        <w:t>。</w:t>
      </w:r>
    </w:p>
    <w:p>
      <w:pPr>
        <w:adjustRightInd w:val="0"/>
        <w:snapToGrid w:val="0"/>
        <w:spacing w:line="570" w:lineRule="exact"/>
        <w:ind w:right="-153" w:rightChars="-73" w:firstLine="640" w:firstLineChars="200"/>
        <w:rPr>
          <w:rFonts w:ascii="黑体" w:hAnsi="黑体" w:eastAsia="黑体" w:cs="黑体"/>
          <w:sz w:val="32"/>
          <w:szCs w:val="32"/>
        </w:rPr>
      </w:pPr>
      <w:r>
        <w:rPr>
          <w:rFonts w:hint="eastAsia" w:ascii="黑体" w:hAnsi="黑体" w:eastAsia="黑体" w:cs="黑体"/>
          <w:sz w:val="32"/>
          <w:szCs w:val="32"/>
        </w:rPr>
        <w:t>（二）藕渔综合种养区</w:t>
      </w:r>
    </w:p>
    <w:p>
      <w:pPr>
        <w:adjustRightInd w:val="0"/>
        <w:snapToGrid w:val="0"/>
        <w:spacing w:line="570" w:lineRule="exact"/>
        <w:ind w:right="-153" w:rightChars="-73"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藕渔综合种养具有“一水两用、一田多收、种养结合、生态循环、绿色发展”，以及“稳定粮食生产、增加农民收入、推进产业扶贫、实现产业富民、加快农（渔）业转型升级”等显着特征。充分发挥本地“长旺”藕资源优势，在东里镇前、后西长旺村发展“藕渔综合种养”规划面积100亩。在田庄水库上游许村、鲁村</w:t>
      </w:r>
      <w:r>
        <w:rPr>
          <w:rFonts w:hint="eastAsia" w:ascii="仿宋_GB2312" w:hAnsi="仿宋_GB2312" w:eastAsia="仿宋_GB2312" w:cs="仿宋_GB2312"/>
          <w:sz w:val="32"/>
          <w:szCs w:val="32"/>
          <w:lang w:eastAsia="zh-CN"/>
        </w:rPr>
        <w:t>一、二、</w:t>
      </w:r>
      <w:r>
        <w:rPr>
          <w:rFonts w:hint="eastAsia" w:ascii="仿宋_GB2312" w:hAnsi="仿宋_GB2312" w:eastAsia="仿宋_GB2312" w:cs="仿宋_GB2312"/>
          <w:sz w:val="32"/>
          <w:szCs w:val="32"/>
        </w:rPr>
        <w:t>三村的滩涂区发展“藕渔综合种养”规划面积4</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0亩。大张庄镇南岩村规划面积50亩。通过实施渔业“精准服务”行动，以渔业关键技术培训、基层渔技推广体系改革与建设项目为载体，开展示范带动、加快发展速度，宣传“藕渔综合种养”推广模式，大力推广藕渔综合</w:t>
      </w:r>
      <w:r>
        <w:rPr>
          <w:rFonts w:hint="eastAsia" w:ascii="仿宋_GB2312" w:hAnsi="仿宋_GB2312" w:eastAsia="仿宋_GB2312" w:cs="仿宋_GB2312"/>
          <w:sz w:val="32"/>
          <w:szCs w:val="32"/>
          <w:lang w:eastAsia="zh-CN"/>
        </w:rPr>
        <w:t>生态</w:t>
      </w:r>
      <w:r>
        <w:rPr>
          <w:rFonts w:hint="eastAsia" w:ascii="仿宋_GB2312" w:hAnsi="仿宋_GB2312" w:eastAsia="仿宋_GB2312" w:cs="仿宋_GB2312"/>
          <w:sz w:val="32"/>
          <w:szCs w:val="32"/>
        </w:rPr>
        <w:t>种养。</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至</w:t>
      </w:r>
      <w:r>
        <w:rPr>
          <w:rFonts w:ascii="仿宋_GB2312" w:hAnsi="仿宋_GB2312" w:eastAsia="仿宋_GB2312" w:cs="仿宋_GB2312"/>
          <w:sz w:val="32"/>
          <w:szCs w:val="32"/>
        </w:rPr>
        <w:t>2030</w:t>
      </w:r>
      <w:r>
        <w:rPr>
          <w:rFonts w:hint="eastAsia" w:ascii="仿宋_GB2312" w:hAnsi="仿宋_GB2312" w:eastAsia="仿宋_GB2312" w:cs="仿宋_GB2312"/>
          <w:sz w:val="32"/>
          <w:szCs w:val="32"/>
        </w:rPr>
        <w:t>年，藕渔综合种养</w:t>
      </w:r>
      <w:r>
        <w:rPr>
          <w:rFonts w:hint="eastAsia" w:ascii="仿宋_GB2312" w:hAnsi="仿宋_GB2312" w:eastAsia="仿宋_GB2312" w:cs="仿宋_GB2312"/>
          <w:sz w:val="32"/>
          <w:szCs w:val="32"/>
          <w:lang w:eastAsia="zh-CN"/>
        </w:rPr>
        <w:t>规划</w:t>
      </w:r>
      <w:r>
        <w:rPr>
          <w:rFonts w:hint="eastAsia" w:ascii="仿宋_GB2312" w:hAnsi="仿宋_GB2312" w:eastAsia="仿宋_GB2312" w:cs="仿宋_GB2312"/>
          <w:sz w:val="32"/>
          <w:szCs w:val="32"/>
        </w:rPr>
        <w:t>面积5</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0亩。</w:t>
      </w:r>
    </w:p>
    <w:p>
      <w:pPr>
        <w:widowControl/>
        <w:jc w:val="left"/>
        <w:rPr>
          <w:rFonts w:ascii="宋体" w:hAnsi="宋体" w:cs="黑体"/>
          <w:b/>
          <w:color w:val="000000"/>
          <w:kern w:val="0"/>
          <w:sz w:val="32"/>
          <w:szCs w:val="32"/>
        </w:rPr>
      </w:pPr>
      <w:r>
        <w:rPr>
          <w:rFonts w:ascii="宋体" w:hAnsi="宋体" w:cs="黑体"/>
          <w:b/>
          <w:color w:val="000000"/>
          <w:kern w:val="0"/>
          <w:sz w:val="32"/>
          <w:szCs w:val="32"/>
        </w:rPr>
        <w:br w:type="page"/>
      </w:r>
    </w:p>
    <w:p>
      <w:pPr>
        <w:jc w:val="center"/>
        <w:rPr>
          <w:rFonts w:ascii="仿宋_GB2312" w:hAnsi="仿宋_GB2312" w:eastAsia="仿宋_GB2312" w:cs="仿宋_GB2312"/>
          <w:sz w:val="32"/>
          <w:szCs w:val="32"/>
        </w:rPr>
      </w:pPr>
      <w:r>
        <w:rPr>
          <w:rFonts w:hint="eastAsia" w:ascii="宋体" w:hAnsi="宋体" w:cs="黑体"/>
          <w:b/>
          <w:color w:val="000000"/>
          <w:kern w:val="0"/>
          <w:sz w:val="32"/>
          <w:szCs w:val="32"/>
        </w:rPr>
        <w:t>沂源县水域滩涂</w:t>
      </w:r>
      <w:r>
        <w:rPr>
          <w:rFonts w:hint="eastAsia" w:ascii="宋体" w:hAnsi="宋体" w:cs="黑体"/>
          <w:b/>
          <w:sz w:val="32"/>
          <w:szCs w:val="32"/>
        </w:rPr>
        <w:t>养殖区</w:t>
      </w:r>
      <w:r>
        <w:rPr>
          <w:rFonts w:hint="eastAsia" w:ascii="宋体" w:hAnsi="宋体" w:cs="黑体"/>
          <w:b/>
          <w:sz w:val="32"/>
          <w:szCs w:val="32"/>
          <w:lang w:eastAsia="zh-CN"/>
        </w:rPr>
        <w:t>规划</w:t>
      </w:r>
      <w:r>
        <w:rPr>
          <w:rFonts w:hint="eastAsia" w:ascii="宋体" w:hAnsi="宋体" w:cs="黑体"/>
          <w:b/>
          <w:sz w:val="32"/>
          <w:szCs w:val="32"/>
        </w:rPr>
        <w:t>汇总表</w:t>
      </w:r>
    </w:p>
    <w:tbl>
      <w:tblPr>
        <w:tblStyle w:val="12"/>
        <w:tblW w:w="9013" w:type="dxa"/>
        <w:jc w:val="center"/>
        <w:tblInd w:w="0" w:type="dxa"/>
        <w:tblLayout w:type="fixed"/>
        <w:tblCellMar>
          <w:top w:w="0" w:type="dxa"/>
          <w:left w:w="108" w:type="dxa"/>
          <w:bottom w:w="0" w:type="dxa"/>
          <w:right w:w="108" w:type="dxa"/>
        </w:tblCellMar>
      </w:tblPr>
      <w:tblGrid>
        <w:gridCol w:w="515"/>
        <w:gridCol w:w="1214"/>
        <w:gridCol w:w="1843"/>
        <w:gridCol w:w="1717"/>
        <w:gridCol w:w="1701"/>
        <w:gridCol w:w="2023"/>
      </w:tblGrid>
      <w:tr>
        <w:tblPrEx>
          <w:tblLayout w:type="fixed"/>
          <w:tblCellMar>
            <w:top w:w="0" w:type="dxa"/>
            <w:left w:w="108" w:type="dxa"/>
            <w:bottom w:w="0" w:type="dxa"/>
            <w:right w:w="108" w:type="dxa"/>
          </w:tblCellMar>
        </w:tblPrEx>
        <w:trPr>
          <w:trHeight w:val="1174" w:hRule="atLeast"/>
          <w:jc w:val="center"/>
        </w:trPr>
        <w:tc>
          <w:tcPr>
            <w:tcW w:w="515" w:type="dxa"/>
            <w:tcBorders>
              <w:top w:val="single" w:color="auto" w:sz="8" w:space="0"/>
              <w:left w:val="single" w:color="auto" w:sz="8" w:space="0"/>
              <w:bottom w:val="single" w:color="auto" w:sz="4" w:space="0"/>
              <w:right w:val="single" w:color="auto" w:sz="4" w:space="0"/>
            </w:tcBorders>
            <w:vAlign w:val="center"/>
          </w:tcPr>
          <w:p>
            <w:pPr>
              <w:widowControl/>
              <w:jc w:val="left"/>
              <w:rPr>
                <w:rFonts w:ascii="宋体" w:cs="宋体"/>
                <w:b/>
                <w:color w:val="000000"/>
                <w:kern w:val="0"/>
                <w:sz w:val="24"/>
              </w:rPr>
            </w:pPr>
            <w:r>
              <w:rPr>
                <w:rFonts w:hint="eastAsia" w:ascii="宋体" w:hAnsi="宋体" w:cs="宋体"/>
                <w:b/>
                <w:color w:val="000000"/>
                <w:kern w:val="0"/>
                <w:sz w:val="24"/>
              </w:rPr>
              <w:t>序号</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color w:val="000000"/>
                <w:kern w:val="0"/>
                <w:sz w:val="24"/>
              </w:rPr>
            </w:pPr>
            <w:r>
              <w:rPr>
                <w:rFonts w:hint="eastAsia" w:ascii="宋体" w:cs="宋体"/>
                <w:b/>
                <w:color w:val="000000"/>
                <w:kern w:val="0"/>
                <w:sz w:val="24"/>
              </w:rPr>
              <w:t>镇（街道办）</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color w:val="000000"/>
                <w:kern w:val="0"/>
                <w:sz w:val="24"/>
              </w:rPr>
            </w:pPr>
            <w:r>
              <w:rPr>
                <w:rFonts w:hint="eastAsia" w:ascii="宋体" w:hAnsi="宋体" w:cs="宋体"/>
                <w:b/>
                <w:color w:val="000000"/>
                <w:kern w:val="0"/>
                <w:sz w:val="24"/>
              </w:rPr>
              <w:t>水库或村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color w:val="000000"/>
                <w:kern w:val="0"/>
                <w:sz w:val="24"/>
              </w:rPr>
            </w:pPr>
            <w:r>
              <w:rPr>
                <w:rFonts w:hint="eastAsia" w:ascii="宋体" w:hAnsi="宋体" w:cs="宋体"/>
                <w:b/>
                <w:color w:val="000000"/>
                <w:kern w:val="0"/>
                <w:sz w:val="24"/>
              </w:rPr>
              <w:t>工厂化设施养殖（亩）</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color w:val="000000"/>
                <w:kern w:val="0"/>
                <w:sz w:val="24"/>
              </w:rPr>
            </w:pPr>
            <w:r>
              <w:rPr>
                <w:rFonts w:hint="eastAsia" w:ascii="宋体" w:hAnsi="宋体" w:cs="宋体"/>
                <w:b/>
                <w:color w:val="000000"/>
                <w:kern w:val="0"/>
                <w:sz w:val="24"/>
              </w:rPr>
              <w:t>藕渔综合种养面积</w:t>
            </w:r>
            <w:r>
              <w:rPr>
                <w:rFonts w:ascii="宋体" w:hAnsi="宋体" w:cs="宋体"/>
                <w:b/>
                <w:color w:val="000000"/>
                <w:kern w:val="0"/>
                <w:sz w:val="24"/>
              </w:rPr>
              <w:t>(</w:t>
            </w:r>
            <w:r>
              <w:rPr>
                <w:rFonts w:hint="eastAsia" w:ascii="宋体" w:hAnsi="宋体" w:cs="宋体"/>
                <w:b/>
                <w:color w:val="000000"/>
                <w:kern w:val="0"/>
                <w:sz w:val="24"/>
              </w:rPr>
              <w:t>亩</w:t>
            </w:r>
            <w:r>
              <w:rPr>
                <w:rFonts w:ascii="宋体" w:hAnsi="宋体" w:cs="宋体"/>
                <w:b/>
                <w:color w:val="000000"/>
                <w:kern w:val="0"/>
                <w:sz w:val="24"/>
              </w:rPr>
              <w:t>)</w:t>
            </w:r>
          </w:p>
        </w:tc>
        <w:tc>
          <w:tcPr>
            <w:tcW w:w="20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b/>
                <w:color w:val="000000"/>
                <w:kern w:val="0"/>
                <w:sz w:val="24"/>
                <w:lang w:eastAsia="zh-CN"/>
              </w:rPr>
            </w:pPr>
            <w:r>
              <w:rPr>
                <w:rFonts w:hint="eastAsia" w:ascii="宋体" w:hAnsi="宋体" w:cs="宋体"/>
                <w:b/>
                <w:color w:val="000000"/>
                <w:kern w:val="0"/>
                <w:sz w:val="24"/>
              </w:rPr>
              <w:t>小计</w:t>
            </w:r>
            <w:r>
              <w:rPr>
                <w:rFonts w:hint="eastAsia" w:ascii="宋体" w:hAnsi="宋体" w:cs="宋体"/>
                <w:b/>
                <w:color w:val="000000"/>
                <w:kern w:val="0"/>
                <w:sz w:val="24"/>
                <w:lang w:eastAsia="zh-CN"/>
              </w:rPr>
              <w:t>（亩）</w:t>
            </w:r>
          </w:p>
        </w:tc>
      </w:tr>
      <w:tr>
        <w:tblPrEx>
          <w:tblLayout w:type="fixed"/>
          <w:tblCellMar>
            <w:top w:w="0" w:type="dxa"/>
            <w:left w:w="108" w:type="dxa"/>
            <w:bottom w:w="0" w:type="dxa"/>
            <w:right w:w="108" w:type="dxa"/>
          </w:tblCellMar>
        </w:tblPrEx>
        <w:trPr>
          <w:trHeight w:val="625" w:hRule="exact"/>
          <w:jc w:val="center"/>
        </w:trPr>
        <w:tc>
          <w:tcPr>
            <w:tcW w:w="515" w:type="dxa"/>
            <w:tcBorders>
              <w:top w:val="nil"/>
              <w:left w:val="single" w:color="auto" w:sz="8"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1</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南麻镇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田庄水库上游许村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rPr>
              <w:t>300</w:t>
            </w: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rPr>
              <w:t>300</w:t>
            </w:r>
          </w:p>
        </w:tc>
      </w:tr>
      <w:tr>
        <w:tblPrEx>
          <w:tblLayout w:type="fixed"/>
          <w:tblCellMar>
            <w:top w:w="0" w:type="dxa"/>
            <w:left w:w="108" w:type="dxa"/>
            <w:bottom w:w="0" w:type="dxa"/>
            <w:right w:w="108" w:type="dxa"/>
          </w:tblCellMar>
        </w:tblPrEx>
        <w:trPr>
          <w:trHeight w:val="506" w:hRule="exact"/>
          <w:jc w:val="center"/>
        </w:trPr>
        <w:tc>
          <w:tcPr>
            <w:tcW w:w="515" w:type="dxa"/>
            <w:tcBorders>
              <w:top w:val="nil"/>
              <w:left w:val="single" w:color="auto" w:sz="8"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2</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南麻镇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田庄水库坝后</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cs="宋体" w:eastAsiaTheme="minorEastAsia"/>
                <w:color w:val="000000"/>
                <w:kern w:val="0"/>
                <w:sz w:val="24"/>
                <w:lang w:val="en-US" w:eastAsia="zh-CN"/>
              </w:rPr>
            </w:pPr>
            <w:r>
              <w:rPr>
                <w:rFonts w:hint="eastAsia" w:ascii="宋体" w:cs="宋体"/>
                <w:color w:val="000000"/>
                <w:kern w:val="0"/>
                <w:sz w:val="24"/>
                <w:lang w:val="en-US" w:eastAsia="zh-CN"/>
              </w:rPr>
              <w:t>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cs="宋体" w:eastAsiaTheme="minorEastAsia"/>
                <w:color w:val="000000"/>
                <w:kern w:val="0"/>
                <w:sz w:val="24"/>
                <w:lang w:val="en-US" w:eastAsia="zh-CN"/>
              </w:rPr>
            </w:pPr>
            <w:r>
              <w:rPr>
                <w:rFonts w:hint="eastAsia" w:ascii="宋体" w:cs="宋体"/>
                <w:color w:val="000000"/>
                <w:kern w:val="0"/>
                <w:sz w:val="24"/>
                <w:lang w:val="en-US" w:eastAsia="zh-CN"/>
              </w:rPr>
              <w:t>5</w:t>
            </w:r>
          </w:p>
        </w:tc>
      </w:tr>
      <w:tr>
        <w:tblPrEx>
          <w:tblLayout w:type="fixed"/>
          <w:tblCellMar>
            <w:top w:w="0" w:type="dxa"/>
            <w:left w:w="108" w:type="dxa"/>
            <w:bottom w:w="0" w:type="dxa"/>
            <w:right w:w="108" w:type="dxa"/>
          </w:tblCellMar>
        </w:tblPrEx>
        <w:trPr>
          <w:trHeight w:val="627" w:hRule="exact"/>
          <w:jc w:val="center"/>
        </w:trPr>
        <w:tc>
          <w:tcPr>
            <w:tcW w:w="515" w:type="dxa"/>
            <w:tcBorders>
              <w:top w:val="nil"/>
              <w:left w:val="single" w:color="auto" w:sz="8"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3</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鲁村镇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田庄水库上游鲁村一、二、三村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rPr>
              <w:t>100</w:t>
            </w: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rPr>
              <w:t>100</w:t>
            </w:r>
          </w:p>
        </w:tc>
      </w:tr>
      <w:tr>
        <w:tblPrEx>
          <w:tblLayout w:type="fixed"/>
          <w:tblCellMar>
            <w:top w:w="0" w:type="dxa"/>
            <w:left w:w="108" w:type="dxa"/>
            <w:bottom w:w="0" w:type="dxa"/>
            <w:right w:w="108" w:type="dxa"/>
          </w:tblCellMar>
        </w:tblPrEx>
        <w:trPr>
          <w:trHeight w:val="625"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4</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鲁村镇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石门小（一）型水库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341"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5</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鲁村镇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青杨圈小（一）型水库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549"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6</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南鲁山镇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郑家庄小（二）型水库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488"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7</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南鲁山镇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芝芳村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lang w:val="en-US" w:eastAsia="zh-CN"/>
              </w:rPr>
              <w:t>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lang w:val="en-US" w:eastAsia="zh-CN"/>
              </w:rPr>
              <w:t>5</w:t>
            </w:r>
          </w:p>
        </w:tc>
      </w:tr>
      <w:tr>
        <w:tblPrEx>
          <w:tblLayout w:type="fixed"/>
          <w:tblCellMar>
            <w:top w:w="0" w:type="dxa"/>
            <w:left w:w="108" w:type="dxa"/>
            <w:bottom w:w="0" w:type="dxa"/>
            <w:right w:w="108" w:type="dxa"/>
          </w:tblCellMar>
        </w:tblPrEx>
        <w:trPr>
          <w:trHeight w:val="706"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8</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大张庄镇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张家旁峪小（一）型水库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406"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9</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大张庄镇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南岩村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eastAsiaTheme="minorEastAsia"/>
                <w:color w:val="000000"/>
                <w:kern w:val="0"/>
                <w:sz w:val="24"/>
                <w:lang w:val="en-US" w:eastAsia="zh-CN"/>
              </w:rPr>
            </w:pPr>
            <w:r>
              <w:rPr>
                <w:rFonts w:hint="eastAsia" w:ascii="宋体" w:hAnsi="宋体" w:cs="宋体"/>
                <w:color w:val="000000"/>
                <w:kern w:val="0"/>
                <w:sz w:val="24"/>
                <w:lang w:val="en-US" w:eastAsia="zh-CN"/>
              </w:rPr>
              <w:t>50</w:t>
            </w: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rPr>
              <w:t>50</w:t>
            </w:r>
          </w:p>
        </w:tc>
      </w:tr>
      <w:tr>
        <w:tblPrEx>
          <w:tblLayout w:type="fixed"/>
          <w:tblCellMar>
            <w:top w:w="0" w:type="dxa"/>
            <w:left w:w="108" w:type="dxa"/>
            <w:bottom w:w="0" w:type="dxa"/>
            <w:right w:w="108" w:type="dxa"/>
          </w:tblCellMar>
        </w:tblPrEx>
        <w:trPr>
          <w:trHeight w:val="553"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10</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中庄镇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东韩庄村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10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lang w:val="en-US" w:eastAsia="zh-CN"/>
              </w:rPr>
              <w:t>10</w:t>
            </w:r>
          </w:p>
        </w:tc>
      </w:tr>
      <w:tr>
        <w:tblPrEx>
          <w:tblLayout w:type="fixed"/>
          <w:tblCellMar>
            <w:top w:w="0" w:type="dxa"/>
            <w:left w:w="108" w:type="dxa"/>
            <w:bottom w:w="0" w:type="dxa"/>
            <w:right w:w="108" w:type="dxa"/>
          </w:tblCellMar>
        </w:tblPrEx>
        <w:trPr>
          <w:trHeight w:val="419"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11</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中庄镇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河东泉村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cs="宋体" w:eastAsiaTheme="minorEastAsia"/>
                <w:color w:val="000000"/>
                <w:kern w:val="0"/>
                <w:sz w:val="24"/>
                <w:lang w:val="en-US" w:eastAsia="zh-CN"/>
              </w:rPr>
            </w:pPr>
            <w:r>
              <w:rPr>
                <w:rFonts w:hint="eastAsia" w:ascii="宋体" w:cs="宋体"/>
                <w:color w:val="000000"/>
                <w:kern w:val="0"/>
                <w:sz w:val="24"/>
                <w:lang w:val="en-US" w:eastAsia="zh-CN"/>
              </w:rPr>
              <w:t>3</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3</w:t>
            </w:r>
          </w:p>
        </w:tc>
      </w:tr>
      <w:tr>
        <w:tblPrEx>
          <w:tblLayout w:type="fixed"/>
          <w:tblCellMar>
            <w:top w:w="0" w:type="dxa"/>
            <w:left w:w="108" w:type="dxa"/>
            <w:bottom w:w="0" w:type="dxa"/>
            <w:right w:w="108" w:type="dxa"/>
          </w:tblCellMar>
        </w:tblPrEx>
        <w:trPr>
          <w:trHeight w:val="567"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12</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中庄镇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焦家上庄小（二）型水库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491"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13</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燕崖镇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红旗水库坝下</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lang w:val="en-US" w:eastAsia="zh-CN"/>
              </w:rPr>
              <w:t>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color w:val="000000"/>
                <w:kern w:val="0"/>
                <w:sz w:val="24"/>
              </w:rPr>
            </w:pPr>
            <w:r>
              <w:rPr>
                <w:rFonts w:hint="eastAsia" w:ascii="宋体" w:hAnsi="宋体" w:cs="宋体"/>
                <w:color w:val="000000"/>
                <w:kern w:val="0"/>
                <w:sz w:val="24"/>
              </w:rPr>
              <w:t>5</w:t>
            </w:r>
          </w:p>
        </w:tc>
      </w:tr>
      <w:tr>
        <w:tblPrEx>
          <w:tblLayout w:type="fixed"/>
          <w:tblCellMar>
            <w:top w:w="0" w:type="dxa"/>
            <w:left w:w="108" w:type="dxa"/>
            <w:bottom w:w="0" w:type="dxa"/>
            <w:right w:w="108" w:type="dxa"/>
          </w:tblCellMar>
        </w:tblPrEx>
        <w:trPr>
          <w:trHeight w:val="488"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14</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悦庄镇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张家庄小（二）型水库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659"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5</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悦庄镇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双跃小（一）型水库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463"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16</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西里镇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石拉小（二）型水库</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p>
            <w:pPr>
              <w:widowControl/>
              <w:snapToGrid w:val="0"/>
              <w:jc w:val="center"/>
              <w:rPr>
                <w:rFonts w:ascii="宋体" w:cs="宋体"/>
                <w:color w:val="000000"/>
                <w:kern w:val="0"/>
                <w:sz w:val="24"/>
              </w:rPr>
            </w:pP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lang w:val="en-US" w:eastAsia="zh-CN"/>
              </w:rPr>
              <w:t>2</w:t>
            </w:r>
          </w:p>
        </w:tc>
      </w:tr>
      <w:tr>
        <w:tblPrEx>
          <w:tblLayout w:type="fixed"/>
          <w:tblCellMar>
            <w:top w:w="0" w:type="dxa"/>
            <w:left w:w="108" w:type="dxa"/>
            <w:bottom w:w="0" w:type="dxa"/>
            <w:right w:w="108" w:type="dxa"/>
          </w:tblCellMar>
        </w:tblPrEx>
        <w:trPr>
          <w:trHeight w:val="529"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7</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hAnsi="宋体" w:cs="宋体"/>
                <w:color w:val="000000"/>
                <w:kern w:val="0"/>
                <w:sz w:val="24"/>
              </w:rPr>
              <w:t>东里镇</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r>
              <w:rPr>
                <w:rFonts w:hint="eastAsia" w:ascii="宋体" w:cs="宋体"/>
                <w:color w:val="000000"/>
                <w:kern w:val="0"/>
                <w:sz w:val="24"/>
              </w:rPr>
              <w:t>前、后西长旺村</w:t>
            </w: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cs="宋体" w:eastAsiaTheme="minorEastAsia"/>
                <w:color w:val="000000"/>
                <w:kern w:val="0"/>
                <w:sz w:val="24"/>
                <w:lang w:val="en-US" w:eastAsia="zh-CN"/>
              </w:rPr>
            </w:pPr>
            <w:r>
              <w:rPr>
                <w:rFonts w:hint="eastAsia" w:ascii="宋体" w:cs="宋体"/>
                <w:color w:val="000000"/>
                <w:kern w:val="0"/>
                <w:sz w:val="24"/>
                <w:lang w:val="en-US" w:eastAsia="zh-CN"/>
              </w:rPr>
              <w:t>100</w:t>
            </w: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hAnsi="宋体" w:cs="宋体"/>
                <w:color w:val="000000"/>
                <w:kern w:val="0"/>
                <w:sz w:val="24"/>
              </w:rPr>
              <w:t>100</w:t>
            </w:r>
          </w:p>
        </w:tc>
      </w:tr>
      <w:tr>
        <w:tblPrEx>
          <w:tblLayout w:type="fixed"/>
          <w:tblCellMar>
            <w:top w:w="0" w:type="dxa"/>
            <w:left w:w="108" w:type="dxa"/>
            <w:bottom w:w="0" w:type="dxa"/>
            <w:right w:w="108" w:type="dxa"/>
          </w:tblCellMar>
        </w:tblPrEx>
        <w:trPr>
          <w:trHeight w:val="904" w:hRule="atLeast"/>
          <w:jc w:val="center"/>
        </w:trPr>
        <w:tc>
          <w:tcPr>
            <w:tcW w:w="515"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r>
              <w:rPr>
                <w:rFonts w:hint="eastAsia" w:ascii="宋体" w:hAnsi="宋体" w:cs="宋体"/>
                <w:color w:val="000000"/>
                <w:kern w:val="0"/>
                <w:sz w:val="24"/>
              </w:rPr>
              <w:t>合计</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hAnsi="宋体" w:cs="宋体"/>
                <w:color w:val="000000"/>
                <w:kern w:val="0"/>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宋体" w:cs="宋体"/>
                <w:color w:val="000000"/>
                <w:kern w:val="0"/>
                <w:sz w:val="24"/>
              </w:rPr>
            </w:pPr>
          </w:p>
        </w:tc>
        <w:tc>
          <w:tcPr>
            <w:tcW w:w="171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cs="宋体" w:eastAsiaTheme="minorEastAsia"/>
                <w:color w:val="FF0000"/>
                <w:kern w:val="0"/>
                <w:sz w:val="24"/>
                <w:lang w:val="en-US" w:eastAsia="zh-CN"/>
              </w:rPr>
            </w:pPr>
            <w:r>
              <w:rPr>
                <w:rFonts w:hint="eastAsia" w:ascii="宋体" w:cs="宋体"/>
                <w:color w:val="000000"/>
                <w:kern w:val="0"/>
                <w:sz w:val="24"/>
                <w:lang w:val="en-US" w:eastAsia="zh-CN"/>
              </w:rPr>
              <w:t>44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cs="宋体"/>
                <w:color w:val="000000"/>
                <w:kern w:val="0"/>
                <w:sz w:val="24"/>
              </w:rPr>
            </w:pPr>
            <w:r>
              <w:rPr>
                <w:rFonts w:hint="eastAsia" w:ascii="宋体" w:cs="宋体"/>
                <w:color w:val="000000"/>
                <w:kern w:val="0"/>
                <w:sz w:val="24"/>
              </w:rPr>
              <w:t>5</w:t>
            </w:r>
            <w:r>
              <w:rPr>
                <w:rFonts w:hint="eastAsia" w:ascii="宋体" w:cs="宋体"/>
                <w:color w:val="000000"/>
                <w:kern w:val="0"/>
                <w:sz w:val="24"/>
                <w:lang w:val="en-US" w:eastAsia="zh-CN"/>
              </w:rPr>
              <w:t>5</w:t>
            </w:r>
            <w:r>
              <w:rPr>
                <w:rFonts w:hint="eastAsia" w:ascii="宋体" w:cs="宋体"/>
                <w:color w:val="000000"/>
                <w:kern w:val="0"/>
                <w:sz w:val="24"/>
              </w:rPr>
              <w:t>0</w:t>
            </w:r>
          </w:p>
        </w:tc>
        <w:tc>
          <w:tcPr>
            <w:tcW w:w="202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eastAsiaTheme="minorEastAsia"/>
                <w:color w:val="000000"/>
                <w:kern w:val="0"/>
                <w:sz w:val="24"/>
                <w:lang w:val="en-US" w:eastAsia="zh-CN"/>
              </w:rPr>
            </w:pPr>
            <w:r>
              <w:rPr>
                <w:rFonts w:hint="eastAsia" w:ascii="宋体" w:hAnsi="宋体" w:cs="宋体"/>
                <w:color w:val="000000"/>
                <w:kern w:val="0"/>
                <w:sz w:val="24"/>
                <w:lang w:val="en-US" w:eastAsia="zh-CN"/>
              </w:rPr>
              <w:t>594</w:t>
            </w:r>
          </w:p>
        </w:tc>
      </w:tr>
    </w:tbl>
    <w:p>
      <w:pPr>
        <w:adjustRightInd w:val="0"/>
        <w:snapToGrid w:val="0"/>
        <w:spacing w:line="560" w:lineRule="exact"/>
        <w:ind w:right="-153" w:rightChars="-73" w:firstLine="640" w:firstLineChars="200"/>
        <w:rPr>
          <w:rFonts w:ascii="仿宋_GB2312" w:hAnsi="仿宋_GB2312" w:eastAsia="仿宋_GB2312" w:cs="仿宋_GB2312"/>
          <w:sz w:val="32"/>
          <w:szCs w:val="32"/>
        </w:rPr>
      </w:pPr>
    </w:p>
    <w:p>
      <w:pPr>
        <w:adjustRightInd w:val="0"/>
        <w:snapToGrid w:val="0"/>
        <w:spacing w:line="57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二、养殖区管理措施</w:t>
      </w:r>
    </w:p>
    <w:p>
      <w:pPr>
        <w:adjustRightInd w:val="0"/>
        <w:snapToGri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（一）养殖区内的养殖项目应该持有养殖证或者符合当地有关规划，要科学确定养殖品种、密度，实行健康养殖、无公害养殖符合有关环境保护政策法规，防止造成水域的环境污染；</w:t>
      </w:r>
    </w:p>
    <w:p>
      <w:pPr>
        <w:adjustRightInd w:val="0"/>
        <w:snapToGri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（二）进一步完善规范水域养殖发证登记工作；</w:t>
      </w:r>
    </w:p>
    <w:p>
      <w:pPr>
        <w:adjustRightInd w:val="0"/>
        <w:snapToGri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（三）加强渔政执法，查处非法养殖，对非法侵占养殖水域行为进行查处，保护渔民合法利益；</w:t>
      </w:r>
    </w:p>
    <w:p>
      <w:pPr>
        <w:adjustRightInd w:val="0"/>
        <w:snapToGri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（四）规范养殖水域开发利用秩序，强化社会监督；</w:t>
      </w:r>
    </w:p>
    <w:p>
      <w:pPr>
        <w:adjustRightInd w:val="0"/>
        <w:snapToGri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（五）对今后潜在发展藕渔综合种养区及水槽流水养殖区要做好前期调查、调研、论证工作，力求规划与以后潜在发展情况相符。</w:t>
      </w:r>
    </w:p>
    <w:p>
      <w:pPr>
        <w:pStyle w:val="6"/>
        <w:widowControl/>
        <w:shd w:val="clear" w:color="auto" w:fill="FFFFFF"/>
        <w:adjustRightInd w:val="0"/>
        <w:snapToGrid w:val="0"/>
        <w:spacing w:beforeAutospacing="0" w:afterAutospacing="0" w:line="520" w:lineRule="exact"/>
        <w:jc w:val="center"/>
        <w:rPr>
          <w:rFonts w:hint="eastAsia" w:ascii="方正小标宋简体" w:hAnsi="方正小标宋简体" w:eastAsia="方正小标宋简体" w:cs="方正小标宋简体"/>
          <w:sz w:val="36"/>
          <w:szCs w:val="36"/>
          <w:shd w:val="clear" w:color="auto" w:fill="FFFFFF"/>
        </w:rPr>
      </w:pPr>
    </w:p>
    <w:p>
      <w:pPr>
        <w:pStyle w:val="6"/>
        <w:widowControl/>
        <w:shd w:val="clear" w:color="auto" w:fill="FFFFFF"/>
        <w:adjustRightInd w:val="0"/>
        <w:snapToGrid w:val="0"/>
        <w:spacing w:beforeAutospacing="0" w:afterAutospacing="0" w:line="52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shd w:val="clear" w:color="auto" w:fill="FFFFFF"/>
        </w:rPr>
        <w:t>第四章 保障措施</w:t>
      </w:r>
    </w:p>
    <w:p>
      <w:pPr>
        <w:pStyle w:val="6"/>
        <w:widowControl/>
        <w:shd w:val="clear" w:color="auto" w:fill="FFFFFF"/>
        <w:adjustRightInd w:val="0"/>
        <w:snapToGrid w:val="0"/>
        <w:spacing w:beforeAutospacing="0" w:afterAutospacing="0" w:line="520" w:lineRule="exact"/>
        <w:ind w:firstLine="643" w:firstLineChars="200"/>
        <w:rPr>
          <w:rFonts w:ascii="仿宋_GB2312" w:hAnsi="仿宋_GB2312" w:eastAsia="仿宋_GB2312" w:cs="仿宋_GB2312"/>
          <w:b/>
          <w:bCs/>
          <w:sz w:val="32"/>
          <w:szCs w:val="32"/>
          <w:shd w:val="clear" w:color="auto" w:fill="FFFFFF"/>
        </w:rPr>
      </w:pPr>
    </w:p>
    <w:p>
      <w:pPr>
        <w:pStyle w:val="6"/>
        <w:widowControl/>
        <w:shd w:val="clear" w:color="auto" w:fill="FFFFFF"/>
        <w:adjustRightInd w:val="0"/>
        <w:snapToGrid w:val="0"/>
        <w:spacing w:beforeAutospacing="0" w:after="317" w:afterLines="100" w:afterAutospacing="0" w:line="520" w:lineRule="exact"/>
        <w:jc w:val="center"/>
        <w:rPr>
          <w:rFonts w:ascii="黑体" w:hAnsi="黑体" w:eastAsia="黑体" w:cs="黑体"/>
          <w:b/>
          <w:bCs/>
          <w:sz w:val="32"/>
          <w:szCs w:val="32"/>
        </w:rPr>
      </w:pPr>
      <w:r>
        <w:rPr>
          <w:rFonts w:hint="eastAsia" w:ascii="黑体" w:hAnsi="黑体" w:eastAsia="黑体" w:cs="黑体"/>
          <w:b/>
          <w:bCs/>
          <w:sz w:val="32"/>
          <w:szCs w:val="32"/>
          <w:shd w:val="clear" w:color="auto" w:fill="FFFFFF"/>
        </w:rPr>
        <w:t>第十三节  加强组织领导</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养殖水域滩涂规划是综合性系统工程，在县委县政府的统一领导下，牢固树立科学发展观和全局观，充分发挥水务（渔业）、农业、交通、国土、财政、环保、科技等政府部门的行政职能。要加强对规划的行政管理、监督管理和协调管理。县水务局是我县制订本规划的牵头单位，各单位应对规划的制订和实施进行组织、沟通、协调和服务，对制订和实施过程中出现的问题，要组织力量进行调查研究。</w:t>
      </w:r>
    </w:p>
    <w:p>
      <w:pPr>
        <w:pStyle w:val="6"/>
        <w:widowControl/>
        <w:shd w:val="clear" w:color="auto" w:fill="FFFFFF"/>
        <w:adjustRightInd w:val="0"/>
        <w:snapToGrid w:val="0"/>
        <w:spacing w:before="317" w:beforeLines="100" w:beforeAutospacing="0" w:after="317" w:afterLines="100" w:afterAutospacing="0" w:line="570" w:lineRule="exact"/>
        <w:jc w:val="center"/>
        <w:rPr>
          <w:rFonts w:hint="eastAsia" w:ascii="黑体" w:hAnsi="黑体" w:eastAsia="黑体" w:cs="黑体"/>
          <w:b/>
          <w:bCs/>
          <w:sz w:val="32"/>
          <w:szCs w:val="32"/>
          <w:shd w:val="clear" w:color="auto" w:fill="FFFFFF"/>
        </w:rPr>
      </w:pPr>
    </w:p>
    <w:p>
      <w:pPr>
        <w:pStyle w:val="6"/>
        <w:widowControl/>
        <w:shd w:val="clear" w:color="auto" w:fill="FFFFFF"/>
        <w:adjustRightInd w:val="0"/>
        <w:snapToGrid w:val="0"/>
        <w:spacing w:before="317" w:beforeLines="100" w:beforeAutospacing="0" w:after="317" w:afterLines="100" w:afterAutospacing="0" w:line="570" w:lineRule="exact"/>
        <w:jc w:val="center"/>
        <w:rPr>
          <w:rFonts w:ascii="黑体" w:hAnsi="黑体" w:eastAsia="黑体" w:cs="黑体"/>
          <w:b/>
          <w:bCs/>
          <w:sz w:val="32"/>
          <w:szCs w:val="32"/>
        </w:rPr>
      </w:pPr>
      <w:r>
        <w:rPr>
          <w:rFonts w:hint="eastAsia" w:ascii="黑体" w:hAnsi="黑体" w:eastAsia="黑体" w:cs="黑体"/>
          <w:b/>
          <w:bCs/>
          <w:sz w:val="32"/>
          <w:szCs w:val="32"/>
          <w:shd w:val="clear" w:color="auto" w:fill="FFFFFF"/>
        </w:rPr>
        <w:t>第十四节</w:t>
      </w:r>
      <w:r>
        <w:rPr>
          <w:rFonts w:hint="eastAsia" w:ascii="黑体" w:hAnsi="黑体" w:eastAsia="黑体" w:cs="黑体"/>
          <w:b/>
          <w:bCs/>
          <w:sz w:val="32"/>
          <w:szCs w:val="32"/>
          <w:shd w:val="clear" w:color="auto" w:fill="FFFFFF"/>
          <w:lang w:eastAsia="zh-CN"/>
        </w:rPr>
        <w:t>　</w:t>
      </w:r>
      <w:r>
        <w:rPr>
          <w:rFonts w:hint="eastAsia" w:ascii="黑体" w:hAnsi="黑体" w:eastAsia="黑体" w:cs="黑体"/>
          <w:b/>
          <w:bCs/>
          <w:sz w:val="32"/>
          <w:szCs w:val="32"/>
          <w:shd w:val="clear" w:color="auto" w:fill="FFFFFF"/>
        </w:rPr>
        <w:t>强化监督检查</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认真贯彻执行《沂源县养殖水域滩涂规划》，完善养殖水域滩涂使用审批，落实养殖证制度，进一步完善我县渔业管理制度，科学利用水域从事水产养殖生产，切实维护养殖生产者的合法权益，保障水产品质量安全，促进渔业可持续健康发展。要加强养殖证制度实施的组织和领导，要加强养殖水域滩涂用途管制、要加强水产养殖生产执法，对于擅自改变养殖水域滩涂用途的单位和个人要依法收回《养殖水域滩涂使用证》。</w:t>
      </w:r>
    </w:p>
    <w:p>
      <w:pPr>
        <w:pStyle w:val="6"/>
        <w:widowControl/>
        <w:shd w:val="clear" w:color="auto" w:fill="FFFFFF"/>
        <w:adjustRightInd w:val="0"/>
        <w:snapToGrid w:val="0"/>
        <w:spacing w:before="317" w:beforeLines="100" w:beforeAutospacing="0" w:after="317" w:afterLines="100" w:afterAutospacing="0" w:line="570" w:lineRule="exact"/>
        <w:jc w:val="center"/>
        <w:rPr>
          <w:rFonts w:ascii="黑体" w:hAnsi="黑体" w:eastAsia="黑体" w:cs="黑体"/>
          <w:b/>
          <w:bCs/>
          <w:sz w:val="32"/>
          <w:szCs w:val="32"/>
        </w:rPr>
      </w:pPr>
      <w:r>
        <w:rPr>
          <w:rFonts w:hint="eastAsia" w:ascii="黑体" w:hAnsi="黑体" w:eastAsia="黑体" w:cs="黑体"/>
          <w:b/>
          <w:bCs/>
          <w:sz w:val="32"/>
          <w:szCs w:val="32"/>
          <w:shd w:val="clear" w:color="auto" w:fill="FFFFFF"/>
        </w:rPr>
        <w:t>第十五节</w:t>
      </w:r>
      <w:r>
        <w:rPr>
          <w:rFonts w:hint="eastAsia" w:ascii="黑体" w:hAnsi="黑体" w:eastAsia="黑体" w:cs="黑体"/>
          <w:b/>
          <w:bCs/>
          <w:sz w:val="32"/>
          <w:szCs w:val="32"/>
          <w:shd w:val="clear" w:color="auto" w:fill="FFFFFF"/>
          <w:lang w:eastAsia="zh-CN"/>
        </w:rPr>
        <w:t>　</w:t>
      </w:r>
      <w:r>
        <w:rPr>
          <w:rFonts w:hint="eastAsia" w:ascii="黑体" w:hAnsi="黑体" w:eastAsia="黑体" w:cs="黑体"/>
          <w:b/>
          <w:bCs/>
          <w:sz w:val="32"/>
          <w:szCs w:val="32"/>
          <w:shd w:val="clear" w:color="auto" w:fill="FFFFFF"/>
        </w:rPr>
        <w:t>完善生态保护，实施养殖水域容量控制</w:t>
      </w:r>
    </w:p>
    <w:p>
      <w:pPr>
        <w:ind w:right="-153" w:rightChars="-73" w:firstLine="640" w:firstLineChars="200"/>
        <w:rPr>
          <w:rFonts w:hint="eastAsia" w:ascii="仿宋_GB2312" w:hAnsi="仿宋_GB2312" w:eastAsia="仿宋_GB2312" w:cs="仿宋_GB2312"/>
          <w:kern w:val="0"/>
          <w:sz w:val="32"/>
          <w:szCs w:val="32"/>
          <w:shd w:val="clear" w:color="auto" w:fill="FFFFFF"/>
          <w:lang w:val="en-US" w:eastAsia="zh-CN" w:bidi="ar-SA"/>
        </w:rPr>
      </w:pPr>
      <w:r>
        <w:rPr>
          <w:rFonts w:hint="eastAsia" w:ascii="仿宋_GB2312" w:hAnsi="仿宋_GB2312" w:eastAsia="仿宋_GB2312" w:cs="仿宋_GB2312"/>
          <w:kern w:val="0"/>
          <w:sz w:val="32"/>
          <w:szCs w:val="32"/>
          <w:shd w:val="clear" w:color="auto" w:fill="FFFFFF"/>
          <w:lang w:val="en-US" w:eastAsia="zh-CN" w:bidi="ar-SA"/>
        </w:rPr>
        <w:t>一、加强养殖尾水污染防控。加大渔业环保执法检查力度，严禁不达标养殖尾水排入养殖区外自然水体。支持养殖单位采取标准化池塘改造，升级养殖模式，控制养殖密度，使用优质高效配合饲料、高效低毒无残留鱼药，减少养殖投入品使用量等措施，最大程度降低对环境压力。建立湿地、机械、生物等集约化养殖尾水处理系统，努力实现养殖尾水零排放。</w:t>
      </w:r>
    </w:p>
    <w:p>
      <w:pPr>
        <w:ind w:right="-153" w:rightChars="-73" w:firstLine="640" w:firstLineChars="200"/>
        <w:rPr>
          <w:rFonts w:hint="eastAsia" w:ascii="仿宋_GB2312" w:hAnsi="仿宋_GB2312" w:eastAsia="仿宋_GB2312" w:cs="仿宋_GB2312"/>
          <w:kern w:val="0"/>
          <w:sz w:val="32"/>
          <w:szCs w:val="32"/>
          <w:shd w:val="clear" w:color="auto" w:fill="FFFFFF"/>
          <w:lang w:val="en-US" w:eastAsia="zh-CN" w:bidi="ar-SA"/>
        </w:rPr>
      </w:pPr>
      <w:r>
        <w:rPr>
          <w:rFonts w:hint="eastAsia" w:ascii="仿宋_GB2312" w:hAnsi="仿宋_GB2312" w:eastAsia="仿宋_GB2312" w:cs="仿宋_GB2312"/>
          <w:kern w:val="0"/>
          <w:sz w:val="32"/>
          <w:szCs w:val="32"/>
          <w:shd w:val="clear" w:color="auto" w:fill="FFFFFF"/>
          <w:lang w:val="en-US" w:eastAsia="zh-CN" w:bidi="ar-SA"/>
        </w:rPr>
        <w:t>二、加强渔业水域生态保护。落实河长制渔业工作职责，建立鱼类种质资源的保护，加快恢复水生生物多样性。建立完善的渔业环境监测体系，加强重点渔业水域的监控，及时发现污染问题，作出预警，防止不合格水源进入养殖环境，同时坚决查处渔业环境污染问题，保护养殖水域滩涂资源安全。</w:t>
      </w:r>
    </w:p>
    <w:p>
      <w:pPr>
        <w:pStyle w:val="6"/>
        <w:widowControl/>
        <w:shd w:val="clear" w:color="auto" w:fill="FFFFFF"/>
        <w:adjustRightInd w:val="0"/>
        <w:snapToGrid w:val="0"/>
        <w:spacing w:before="317" w:beforeLines="100" w:beforeAutospacing="0" w:after="317" w:afterLines="100" w:afterAutospacing="0" w:line="570" w:lineRule="exact"/>
        <w:jc w:val="left"/>
        <w:rPr>
          <w:rFonts w:hint="eastAsia" w:ascii="仿宋_GB2312" w:hAnsi="仿宋_GB2312" w:eastAsia="仿宋_GB2312" w:cs="仿宋_GB2312"/>
          <w:kern w:val="0"/>
          <w:sz w:val="32"/>
          <w:szCs w:val="32"/>
          <w:shd w:val="clear" w:color="auto" w:fill="FFFFFF"/>
          <w:lang w:val="en-US" w:eastAsia="zh-CN" w:bidi="ar-SA"/>
        </w:rPr>
      </w:pPr>
      <w:r>
        <w:rPr>
          <w:rFonts w:hint="eastAsia" w:ascii="仿宋_GB2312" w:hAnsi="仿宋_GB2312" w:eastAsia="仿宋_GB2312" w:cs="仿宋_GB2312"/>
          <w:kern w:val="0"/>
          <w:sz w:val="32"/>
          <w:szCs w:val="32"/>
          <w:shd w:val="clear" w:color="auto" w:fill="FFFFFF"/>
          <w:lang w:val="en-US" w:eastAsia="zh-CN" w:bidi="ar-SA"/>
        </w:rPr>
        <w:t>三、实施“放鱼养水”公益性行动。各级政府既要重视陆地植树造林，更要重视自然水域“放鱼养水”，以财政资金为主导，创新活动方式，把这项公益性活动做实做大，努力扩大社会影响力，组织社会环保爱心企业、人士共同参与，形成全社会保护水域生态环境的共识和合力。</w:t>
      </w:r>
    </w:p>
    <w:p>
      <w:pPr>
        <w:pStyle w:val="6"/>
        <w:widowControl/>
        <w:shd w:val="clear" w:color="auto" w:fill="FFFFFF"/>
        <w:adjustRightInd w:val="0"/>
        <w:snapToGrid w:val="0"/>
        <w:spacing w:before="317" w:beforeLines="100" w:beforeAutospacing="0" w:after="317" w:afterLines="100" w:afterAutospacing="0" w:line="570" w:lineRule="exact"/>
        <w:jc w:val="center"/>
        <w:rPr>
          <w:rFonts w:ascii="黑体" w:hAnsi="黑体" w:eastAsia="黑体" w:cs="黑体"/>
          <w:sz w:val="32"/>
          <w:szCs w:val="32"/>
        </w:rPr>
      </w:pPr>
      <w:r>
        <w:rPr>
          <w:rFonts w:hint="eastAsia" w:ascii="黑体" w:hAnsi="黑体" w:eastAsia="黑体" w:cs="黑体"/>
          <w:b/>
          <w:bCs/>
          <w:sz w:val="32"/>
          <w:szCs w:val="32"/>
          <w:shd w:val="clear" w:color="auto" w:fill="FFFFFF"/>
        </w:rPr>
        <w:t>第十六节</w:t>
      </w:r>
      <w:r>
        <w:rPr>
          <w:rFonts w:hint="eastAsia" w:ascii="黑体" w:hAnsi="黑体" w:eastAsia="黑体" w:cs="黑体"/>
          <w:b/>
          <w:bCs/>
          <w:sz w:val="32"/>
          <w:szCs w:val="32"/>
          <w:shd w:val="clear" w:color="auto" w:fill="FFFFFF"/>
          <w:lang w:eastAsia="zh-CN"/>
        </w:rPr>
        <w:t>　</w:t>
      </w:r>
      <w:r>
        <w:rPr>
          <w:rFonts w:hint="eastAsia" w:ascii="黑体" w:hAnsi="黑体" w:eastAsia="黑体" w:cs="黑体"/>
          <w:b/>
          <w:bCs/>
          <w:sz w:val="32"/>
          <w:szCs w:val="32"/>
          <w:shd w:val="clear" w:color="auto" w:fill="FFFFFF"/>
        </w:rPr>
        <w:t>加快养殖品种结构调整，发展特色产业</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要按照规划和市场要求，实行合理布局，各有侧重的原则，加快养殖品种结构调整，逐步实现区域化、产业化格局。大力推广优良品种，实现养殖品种良种化、产品优质化。同时，实施放养密度、投饵、施药控制，合理密养、科学投饵，正确施药。</w:t>
      </w:r>
    </w:p>
    <w:p>
      <w:pPr>
        <w:pStyle w:val="6"/>
        <w:widowControl/>
        <w:shd w:val="clear" w:color="auto" w:fill="FFFFFF"/>
        <w:adjustRightInd w:val="0"/>
        <w:snapToGrid w:val="0"/>
        <w:spacing w:beforeAutospacing="0" w:afterAutospacing="0" w:line="570" w:lineRule="exact"/>
        <w:ind w:firstLine="640" w:firstLineChars="200"/>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推进区域主养产业建设，加快发展特色产业。坚持分类指导、各有侧重，推动优势水产品和特色水产品向优势产区集中，向专、精、特、新、强方向发展，构建优势产业区和特色产业区，将发展特种水产业与无公害基地、标准化生产结合起来，与产业化经营、休闲观光结合起来，与现代化渔业示范区建设结合起来，加快小龙虾、</w:t>
      </w:r>
      <w:r>
        <w:rPr>
          <w:rFonts w:hint="eastAsia" w:ascii="仿宋_GB2312" w:hAnsi="仿宋_GB2312" w:eastAsia="仿宋_GB2312" w:cs="仿宋_GB2312"/>
          <w:sz w:val="32"/>
          <w:szCs w:val="32"/>
          <w:shd w:val="clear" w:color="auto" w:fill="FFFFFF"/>
          <w:lang w:eastAsia="zh-CN"/>
        </w:rPr>
        <w:t>鲩鱼</w:t>
      </w:r>
      <w:r>
        <w:rPr>
          <w:rFonts w:hint="eastAsia" w:ascii="仿宋_GB2312" w:hAnsi="仿宋_GB2312" w:eastAsia="仿宋_GB2312" w:cs="仿宋_GB2312"/>
          <w:sz w:val="32"/>
          <w:szCs w:val="32"/>
          <w:shd w:val="clear" w:color="auto" w:fill="FFFFFF"/>
        </w:rPr>
        <w:t>、鲟鱼、</w:t>
      </w:r>
      <w:r>
        <w:rPr>
          <w:rFonts w:hint="eastAsia" w:ascii="仿宋_GB2312" w:hAnsi="仿宋_GB2312" w:eastAsia="仿宋_GB2312" w:cs="仿宋_GB2312"/>
          <w:sz w:val="32"/>
          <w:szCs w:val="32"/>
          <w:shd w:val="clear" w:color="auto" w:fill="FFFFFF"/>
          <w:lang w:eastAsia="zh-CN"/>
        </w:rPr>
        <w:t>虹鳟</w:t>
      </w:r>
      <w:r>
        <w:rPr>
          <w:rFonts w:hint="eastAsia" w:ascii="仿宋_GB2312" w:hAnsi="仿宋_GB2312" w:eastAsia="仿宋_GB2312" w:cs="仿宋_GB2312"/>
          <w:sz w:val="32"/>
          <w:szCs w:val="32"/>
          <w:shd w:val="clear" w:color="auto" w:fill="FFFFFF"/>
        </w:rPr>
        <w:t>等优势品种开发力度，建立原良种水产苗种生产基地。以提高质量、效益为重点，推进健康养殖，加快新型渔业经济发展，依托山区水库及旅游景区的环境优势，加快建立一批集观赏、垂钓、餐饮为一体的休闲渔业基地，大力拓展渔业产业功能，提高渔业组织化程度，延伸产业链，推动我</w:t>
      </w:r>
    </w:p>
    <w:p>
      <w:pPr>
        <w:pStyle w:val="6"/>
        <w:widowControl/>
        <w:shd w:val="clear" w:color="auto" w:fill="FFFFFF"/>
        <w:adjustRightInd w:val="0"/>
        <w:snapToGrid w:val="0"/>
        <w:spacing w:beforeAutospacing="0" w:afterAutospacing="0" w:line="570" w:lineRule="exact"/>
        <w:jc w:val="both"/>
        <w:rPr>
          <w:rFonts w:ascii="黑体" w:hAnsi="黑体" w:eastAsia="黑体" w:cs="黑体"/>
          <w:sz w:val="32"/>
          <w:szCs w:val="32"/>
        </w:rPr>
      </w:pPr>
      <w:r>
        <w:rPr>
          <w:rFonts w:hint="eastAsia" w:ascii="仿宋_GB2312" w:hAnsi="仿宋_GB2312" w:eastAsia="仿宋_GB2312" w:cs="仿宋_GB2312"/>
          <w:sz w:val="32"/>
          <w:szCs w:val="32"/>
          <w:shd w:val="clear" w:color="auto" w:fill="FFFFFF"/>
        </w:rPr>
        <w:t>县现代渔业经济发展。</w:t>
      </w:r>
    </w:p>
    <w:p>
      <w:pPr>
        <w:pStyle w:val="6"/>
        <w:widowControl/>
        <w:shd w:val="clear" w:color="auto" w:fill="FFFFFF"/>
        <w:adjustRightInd w:val="0"/>
        <w:snapToGrid w:val="0"/>
        <w:spacing w:before="317" w:beforeLines="100" w:beforeAutospacing="0" w:after="317" w:afterLines="100" w:afterAutospacing="0" w:line="570" w:lineRule="exact"/>
        <w:jc w:val="center"/>
        <w:rPr>
          <w:rFonts w:ascii="黑体" w:hAnsi="黑体" w:eastAsia="黑体" w:cs="黑体"/>
          <w:b/>
          <w:bCs/>
          <w:sz w:val="32"/>
          <w:szCs w:val="32"/>
        </w:rPr>
      </w:pPr>
      <w:r>
        <w:rPr>
          <w:rFonts w:hint="eastAsia" w:ascii="黑体" w:hAnsi="黑体" w:eastAsia="黑体" w:cs="黑体"/>
          <w:b/>
          <w:bCs/>
          <w:sz w:val="32"/>
          <w:szCs w:val="32"/>
          <w:shd w:val="clear" w:color="auto" w:fill="FFFFFF"/>
        </w:rPr>
        <w:t>第十七节</w:t>
      </w:r>
      <w:r>
        <w:rPr>
          <w:rFonts w:hint="eastAsia" w:ascii="黑体" w:hAnsi="黑体" w:eastAsia="黑体" w:cs="黑体"/>
          <w:b/>
          <w:bCs/>
          <w:sz w:val="32"/>
          <w:szCs w:val="32"/>
          <w:shd w:val="clear" w:color="auto" w:fill="FFFFFF"/>
          <w:lang w:eastAsia="zh-CN"/>
        </w:rPr>
        <w:t>　</w:t>
      </w:r>
      <w:r>
        <w:rPr>
          <w:rFonts w:hint="eastAsia" w:ascii="黑体" w:hAnsi="黑体" w:eastAsia="黑体" w:cs="黑体"/>
          <w:b/>
          <w:bCs/>
          <w:sz w:val="32"/>
          <w:szCs w:val="32"/>
          <w:shd w:val="clear" w:color="auto" w:fill="FFFFFF"/>
        </w:rPr>
        <w:t>要强化渔业技术服务体系建设</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大力鼓励、培育、扶持技术咨询、信息服务、鱼苗种供应、水产品销售等服务实体和中介组织，健全和完善渔业技术服务体系，增强服务能力，完善产前、产中、产后服务。要加强渔业从业人员的技术培训，提高渔业从业人员的素质。加快渔业科技成果转化，实现渔业新跨越。应用新知识、新技术、新工艺，采取新的生产方式和经营管理模式，提高产品质量，开发生产新产品，提供新服务，推进我县水产养殖业向更高层次迈进。要抓好水产病害测报体系、渔业环境监测体系、水生动物防疫检疫体系和水产品质量检验检测体系建设，确保水产品质量安全。</w:t>
      </w:r>
    </w:p>
    <w:p>
      <w:pPr>
        <w:pStyle w:val="6"/>
        <w:widowControl/>
        <w:shd w:val="clear" w:color="auto" w:fill="FFFFFF"/>
        <w:adjustRightInd w:val="0"/>
        <w:snapToGrid w:val="0"/>
        <w:spacing w:beforeAutospacing="0" w:afterAutospacing="0" w:line="570" w:lineRule="exact"/>
        <w:ind w:firstLine="640" w:firstLineChars="200"/>
        <w:rPr>
          <w:rFonts w:ascii="仿宋_GB2312" w:hAnsi="仿宋_GB2312" w:eastAsia="仿宋_GB2312" w:cs="仿宋_GB2312"/>
          <w:sz w:val="32"/>
          <w:szCs w:val="32"/>
          <w:shd w:val="clear" w:color="auto" w:fill="FFFFFF"/>
        </w:rPr>
      </w:pPr>
    </w:p>
    <w:p>
      <w:pPr>
        <w:numPr>
          <w:ilvl w:val="0"/>
          <w:numId w:val="3"/>
        </w:numPr>
        <w:spacing w:line="570" w:lineRule="exact"/>
        <w:ind w:right="-153" w:rightChars="-73"/>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附  则</w:t>
      </w:r>
    </w:p>
    <w:p>
      <w:pPr>
        <w:numPr>
          <w:ilvl w:val="0"/>
          <w:numId w:val="3"/>
        </w:numPr>
        <w:spacing w:line="570" w:lineRule="exact"/>
        <w:ind w:right="-153" w:rightChars="-73"/>
        <w:jc w:val="center"/>
        <w:rPr>
          <w:rFonts w:hint="eastAsia" w:ascii="方正小标宋简体" w:hAnsi="方正小标宋简体" w:eastAsia="方正小标宋简体" w:cs="方正小标宋简体"/>
          <w:bCs/>
          <w:sz w:val="36"/>
          <w:szCs w:val="36"/>
        </w:rPr>
      </w:pPr>
    </w:p>
    <w:p>
      <w:pPr>
        <w:spacing w:line="570" w:lineRule="exact"/>
        <w:ind w:right="-153" w:rightChars="-73" w:firstLine="643" w:firstLineChars="200"/>
        <w:rPr>
          <w:rFonts w:ascii="仿宋_GB2312" w:hAnsi="仿宋" w:eastAsia="仿宋_GB2312"/>
          <w:sz w:val="32"/>
          <w:szCs w:val="32"/>
        </w:rPr>
      </w:pPr>
      <w:r>
        <w:rPr>
          <w:rFonts w:hint="eastAsia" w:ascii="仿宋_GB2312" w:hAnsi="仿宋" w:eastAsia="仿宋_GB2312"/>
          <w:b/>
          <w:sz w:val="32"/>
          <w:szCs w:val="32"/>
        </w:rPr>
        <w:t>第十八节</w:t>
      </w:r>
      <w:r>
        <w:rPr>
          <w:rFonts w:ascii="仿宋_GB2312" w:hAnsi="仿宋" w:eastAsia="仿宋_GB2312"/>
          <w:sz w:val="32"/>
          <w:szCs w:val="32"/>
        </w:rPr>
        <w:t xml:space="preserve"> </w:t>
      </w:r>
      <w:r>
        <w:rPr>
          <w:rFonts w:hint="eastAsia" w:ascii="仿宋_GB2312" w:hAnsi="仿宋" w:eastAsia="仿宋_GB2312"/>
          <w:sz w:val="32"/>
          <w:szCs w:val="32"/>
        </w:rPr>
        <w:t>关于规划效力：养殖水域滩涂规划一经批准，即具有法律效力，必须严格执行。</w:t>
      </w:r>
    </w:p>
    <w:p>
      <w:pPr>
        <w:spacing w:line="570" w:lineRule="exact"/>
        <w:ind w:right="-153" w:rightChars="-73" w:firstLine="643" w:firstLineChars="200"/>
        <w:rPr>
          <w:rFonts w:ascii="仿宋_GB2312" w:hAnsi="仿宋" w:eastAsia="仿宋_GB2312"/>
          <w:sz w:val="32"/>
          <w:szCs w:val="32"/>
        </w:rPr>
      </w:pPr>
      <w:r>
        <w:rPr>
          <w:rFonts w:hint="eastAsia" w:ascii="仿宋_GB2312" w:hAnsi="仿宋" w:eastAsia="仿宋_GB2312"/>
          <w:b/>
          <w:sz w:val="32"/>
          <w:szCs w:val="32"/>
        </w:rPr>
        <w:t>第十八九节</w:t>
      </w:r>
      <w:r>
        <w:rPr>
          <w:rFonts w:ascii="仿宋_GB2312" w:hAnsi="仿宋" w:eastAsia="仿宋_GB2312"/>
          <w:sz w:val="32"/>
          <w:szCs w:val="32"/>
        </w:rPr>
        <w:t xml:space="preserve"> </w:t>
      </w:r>
      <w:r>
        <w:rPr>
          <w:rFonts w:hint="eastAsia" w:ascii="仿宋_GB2312" w:hAnsi="仿宋" w:eastAsia="仿宋_GB2312"/>
          <w:sz w:val="32"/>
          <w:szCs w:val="32"/>
        </w:rPr>
        <w:t>关于规划图件：规划图为规划文本附件，具有与文本同等的法律效力。</w:t>
      </w:r>
    </w:p>
    <w:p>
      <w:pPr>
        <w:spacing w:line="570" w:lineRule="exact"/>
        <w:ind w:right="-153" w:rightChars="-73"/>
        <w:rPr>
          <w:rFonts w:ascii="仿宋_GB2312" w:hAnsi="仿宋" w:eastAsia="仿宋_GB2312"/>
          <w:sz w:val="32"/>
          <w:szCs w:val="32"/>
        </w:rPr>
      </w:pPr>
    </w:p>
    <w:p>
      <w:pPr>
        <w:spacing w:line="570" w:lineRule="exact"/>
        <w:ind w:right="-153" w:rightChars="-73" w:firstLine="640" w:firstLineChars="200"/>
        <w:rPr>
          <w:rFonts w:ascii="仿宋_GB2312" w:hAnsi="仿宋" w:eastAsia="仿宋_GB2312"/>
          <w:sz w:val="32"/>
          <w:szCs w:val="32"/>
        </w:rPr>
      </w:pPr>
      <w:r>
        <w:rPr>
          <w:rFonts w:hint="eastAsia" w:ascii="仿宋_GB2312" w:hAnsi="仿宋" w:eastAsia="仿宋_GB2312"/>
          <w:sz w:val="32"/>
          <w:szCs w:val="32"/>
        </w:rPr>
        <w:t>附件：</w:t>
      </w:r>
    </w:p>
    <w:p>
      <w:pPr>
        <w:spacing w:line="570" w:lineRule="exact"/>
        <w:ind w:right="-153" w:rightChars="-73" w:firstLine="640" w:firstLineChars="200"/>
        <w:rPr>
          <w:rFonts w:ascii="仿宋_GB2312" w:hAnsi="仿宋" w:eastAsia="仿宋_GB2312"/>
          <w:sz w:val="32"/>
          <w:szCs w:val="32"/>
        </w:rPr>
      </w:pPr>
      <w:r>
        <w:rPr>
          <w:rFonts w:hint="eastAsia" w:ascii="仿宋_GB2312" w:hAnsi="仿宋" w:eastAsia="仿宋_GB2312"/>
          <w:sz w:val="32"/>
          <w:szCs w:val="32"/>
        </w:rPr>
        <w:t>一、图件</w:t>
      </w:r>
    </w:p>
    <w:p>
      <w:pPr>
        <w:ind w:right="-153" w:rightChars="-73" w:firstLine="640" w:firstLineChars="200"/>
        <w:rPr>
          <w:rFonts w:ascii="仿宋_GB2312" w:hAnsi="仿宋" w:eastAsia="仿宋_GB2312"/>
          <w:sz w:val="32"/>
          <w:szCs w:val="32"/>
        </w:rPr>
      </w:pPr>
      <w:r>
        <w:rPr>
          <w:rFonts w:hint="eastAsia" w:ascii="仿宋_GB2312" w:hAnsi="仿宋" w:eastAsia="仿宋_GB2312"/>
          <w:sz w:val="32"/>
          <w:szCs w:val="32"/>
        </w:rPr>
        <w:t>1、2016年养殖滩涂水域现状图</w:t>
      </w:r>
    </w:p>
    <w:p>
      <w:pPr>
        <w:ind w:right="-153" w:rightChars="-73" w:firstLine="640" w:firstLineChars="200"/>
        <w:rPr>
          <w:rFonts w:ascii="仿宋_GB2312" w:hAnsi="仿宋" w:eastAsia="仿宋_GB2312"/>
          <w:sz w:val="32"/>
          <w:szCs w:val="32"/>
        </w:rPr>
      </w:pPr>
      <w:r>
        <w:rPr>
          <w:rFonts w:hint="eastAsia" w:ascii="仿宋_GB2312" w:hAnsi="仿宋" w:eastAsia="仿宋_GB2312"/>
          <w:sz w:val="32"/>
          <w:szCs w:val="32"/>
        </w:rPr>
        <w:t>2、禁养区规划图</w:t>
      </w:r>
    </w:p>
    <w:p>
      <w:pPr>
        <w:ind w:right="-153" w:rightChars="-73" w:firstLine="640" w:firstLineChars="200"/>
        <w:rPr>
          <w:rFonts w:ascii="仿宋_GB2312" w:hAnsi="仿宋" w:eastAsia="仿宋_GB2312"/>
          <w:sz w:val="32"/>
          <w:szCs w:val="32"/>
        </w:rPr>
      </w:pPr>
      <w:r>
        <w:rPr>
          <w:rFonts w:hint="eastAsia" w:ascii="仿宋_GB2312" w:hAnsi="仿宋" w:eastAsia="仿宋_GB2312"/>
          <w:sz w:val="32"/>
          <w:szCs w:val="32"/>
        </w:rPr>
        <w:t>3、限养区规划图</w:t>
      </w:r>
    </w:p>
    <w:p>
      <w:pPr>
        <w:ind w:right="-153" w:rightChars="-73" w:firstLine="640" w:firstLineChars="200"/>
        <w:rPr>
          <w:rFonts w:ascii="仿宋_GB2312" w:hAnsi="仿宋" w:eastAsia="仿宋_GB2312"/>
          <w:sz w:val="32"/>
          <w:szCs w:val="32"/>
        </w:rPr>
      </w:pPr>
      <w:r>
        <w:rPr>
          <w:rFonts w:hint="eastAsia" w:ascii="仿宋_GB2312" w:hAnsi="仿宋" w:eastAsia="仿宋_GB2312"/>
          <w:sz w:val="32"/>
          <w:szCs w:val="32"/>
        </w:rPr>
        <w:t>4、养殖区规划图</w:t>
      </w: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pacing w:val="2"/>
          <w:sz w:val="36"/>
          <w:szCs w:val="36"/>
        </w:rPr>
        <w:t>《沂源县养殖</w:t>
      </w:r>
      <w:r>
        <w:rPr>
          <w:rFonts w:hint="eastAsia" w:ascii="方正小标宋简体" w:hAnsi="方正小标宋简体" w:eastAsia="方正小标宋简体" w:cs="方正小标宋简体"/>
          <w:sz w:val="36"/>
          <w:szCs w:val="36"/>
        </w:rPr>
        <w:t>水</w:t>
      </w:r>
      <w:r>
        <w:rPr>
          <w:rFonts w:hint="eastAsia" w:ascii="方正小标宋简体" w:hAnsi="方正小标宋简体" w:eastAsia="方正小标宋简体" w:cs="方正小标宋简体"/>
          <w:spacing w:val="2"/>
          <w:sz w:val="36"/>
          <w:szCs w:val="36"/>
        </w:rPr>
        <w:t>域滩涂规划</w:t>
      </w:r>
      <w:r>
        <w:rPr>
          <w:rFonts w:hint="eastAsia" w:ascii="方正小标宋简体" w:hAnsi="方正小标宋简体" w:eastAsia="方正小标宋简体" w:cs="方正小标宋简体"/>
          <w:spacing w:val="5"/>
          <w:sz w:val="36"/>
          <w:szCs w:val="36"/>
        </w:rPr>
        <w:t>（</w:t>
      </w:r>
      <w:r>
        <w:rPr>
          <w:rFonts w:hint="eastAsia" w:ascii="方正小标宋简体" w:hAnsi="方正小标宋简体" w:eastAsia="方正小标宋简体" w:cs="方正小标宋简体"/>
          <w:b/>
          <w:bCs/>
          <w:sz w:val="36"/>
          <w:szCs w:val="36"/>
        </w:rPr>
        <w:t>2</w:t>
      </w:r>
      <w:r>
        <w:rPr>
          <w:rFonts w:hint="eastAsia" w:ascii="方正小标宋简体" w:hAnsi="方正小标宋简体" w:eastAsia="方正小标宋简体" w:cs="方正小标宋简体"/>
          <w:b/>
          <w:bCs/>
          <w:spacing w:val="-2"/>
          <w:sz w:val="36"/>
          <w:szCs w:val="36"/>
        </w:rPr>
        <w:t>01</w:t>
      </w:r>
      <w:r>
        <w:rPr>
          <w:rFonts w:hint="eastAsia" w:ascii="方正小标宋简体" w:hAnsi="方正小标宋简体" w:eastAsia="方正小标宋简体" w:cs="方正小标宋简体"/>
          <w:b/>
          <w:bCs/>
          <w:spacing w:val="1"/>
          <w:sz w:val="36"/>
          <w:szCs w:val="36"/>
        </w:rPr>
        <w:t>7</w:t>
      </w:r>
      <w:r>
        <w:rPr>
          <w:rFonts w:hint="eastAsia" w:ascii="方正小标宋简体" w:hAnsi="方正小标宋简体" w:eastAsia="方正小标宋简体" w:cs="方正小标宋简体"/>
          <w:b/>
          <w:bCs/>
          <w:spacing w:val="-1"/>
          <w:sz w:val="36"/>
          <w:szCs w:val="36"/>
        </w:rPr>
        <w:t>-</w:t>
      </w:r>
      <w:r>
        <w:rPr>
          <w:rFonts w:hint="eastAsia" w:ascii="方正小标宋简体" w:hAnsi="方正小标宋简体" w:eastAsia="方正小标宋简体" w:cs="方正小标宋简体"/>
          <w:b/>
          <w:bCs/>
          <w:spacing w:val="1"/>
          <w:sz w:val="36"/>
          <w:szCs w:val="36"/>
        </w:rPr>
        <w:t>2030</w:t>
      </w:r>
      <w:r>
        <w:rPr>
          <w:rFonts w:hint="eastAsia" w:ascii="方正小标宋简体" w:hAnsi="方正小标宋简体" w:eastAsia="方正小标宋简体" w:cs="方正小标宋简体"/>
          <w:spacing w:val="-161"/>
          <w:sz w:val="36"/>
          <w:szCs w:val="36"/>
        </w:rPr>
        <w:t>）</w:t>
      </w:r>
      <w:r>
        <w:rPr>
          <w:rFonts w:hint="eastAsia" w:ascii="方正小标宋简体" w:hAnsi="方正小标宋简体" w:eastAsia="方正小标宋简体" w:cs="方正小标宋简体"/>
          <w:sz w:val="36"/>
          <w:szCs w:val="36"/>
        </w:rPr>
        <w:t>》</w:t>
      </w:r>
      <w:r>
        <w:rPr>
          <w:rFonts w:hint="eastAsia" w:ascii="方正小标宋简体" w:hAnsi="方正小标宋简体" w:eastAsia="方正小标宋简体" w:cs="方正小标宋简体"/>
          <w:spacing w:val="2"/>
          <w:sz w:val="36"/>
          <w:szCs w:val="36"/>
        </w:rPr>
        <w:t>编制</w:t>
      </w:r>
      <w:r>
        <w:rPr>
          <w:rFonts w:hint="eastAsia" w:ascii="方正小标宋简体" w:hAnsi="方正小标宋简体" w:eastAsia="方正小标宋简体" w:cs="方正小标宋简体"/>
          <w:sz w:val="36"/>
          <w:szCs w:val="36"/>
        </w:rPr>
        <w:t>说明</w:t>
      </w:r>
    </w:p>
    <w:p>
      <w:pPr>
        <w:spacing w:before="4" w:line="140" w:lineRule="exact"/>
        <w:rPr>
          <w:rFonts w:asciiTheme="minorEastAsia" w:hAnsiTheme="minorEastAsia" w:cstheme="minorEastAsia"/>
          <w:sz w:val="28"/>
          <w:szCs w:val="28"/>
        </w:rPr>
      </w:pPr>
    </w:p>
    <w:p>
      <w:pPr>
        <w:spacing w:line="570" w:lineRule="exact"/>
        <w:rPr>
          <w:rFonts w:asciiTheme="minorEastAsia" w:hAnsiTheme="minorEastAsia" w:cstheme="minorEastAsia"/>
          <w:sz w:val="28"/>
          <w:szCs w:val="28"/>
        </w:rPr>
      </w:pPr>
    </w:p>
    <w:p>
      <w:pPr>
        <w:pStyle w:val="3"/>
        <w:spacing w:line="570" w:lineRule="exact"/>
        <w:ind w:left="0" w:firstLine="559"/>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按照《农业部关于印发〈养殖水域滩涂规划编制工作规范〉和〈养 殖水域滩涂规划编制大纲〉的通知》（农渔发[2016]39 号）有关要求 编制《沂源县养殖水域滩涂规划（2017-2030）》。现对《规划》作如下说明：</w:t>
      </w:r>
    </w:p>
    <w:p>
      <w:pPr>
        <w:pStyle w:val="3"/>
        <w:spacing w:before="32" w:line="570" w:lineRule="exact"/>
        <w:ind w:left="0" w:firstLine="640" w:firstLineChars="200"/>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一、编制过程</w:t>
      </w:r>
    </w:p>
    <w:p>
      <w:pPr>
        <w:pStyle w:val="3"/>
        <w:spacing w:line="570" w:lineRule="exact"/>
        <w:ind w:left="0" w:firstLine="559"/>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1、成立规划编制组。2017 年 7 月，沂源县水务局抽调科室业务骨干、整合力量成立了规划编制组，并制定了规划编制工作方案和推进计划，正式启动规划编制工作。在规划编制过程中，规划编制组对规划编制的每一个环节、每一项工作都严格要求，多次召开会议研究讨论相关工作，确保规划编制顺利有序推进。</w:t>
      </w:r>
    </w:p>
    <w:p>
      <w:pPr>
        <w:pStyle w:val="3"/>
        <w:spacing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2、深入开展调查研究。为提高《规划》的科学性、合理性和可操作性，2017年6月开始，规划编制组对全县 12个乡镇和街道进行实地调研，调查养殖水域滩涂现状，并自行拟定了规划编制的一些具体文本和图件制作的细则，在广泛听取对规划编制的意见和建议的基础上进行了完善，为规划编制工作奠 定了扎实的基础。</w:t>
      </w:r>
    </w:p>
    <w:p>
      <w:pPr>
        <w:pStyle w:val="3"/>
        <w:spacing w:line="570" w:lineRule="exact"/>
        <w:ind w:left="0" w:firstLine="640" w:firstLineChars="200"/>
        <w:rPr>
          <w:rFonts w:ascii="仿宋_GB2312" w:hAnsi="仿宋_GB2312" w:eastAsia="仿宋_GB2312" w:cs="仿宋_GB2312"/>
          <w:color w:val="FF0000"/>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3、初步完成规划编制。规划编制组开展《规划》文本编制和图件制作，于 2017 年 10 月完成初稿，后在上级业务部门指导下数易其稿，于 2018年 </w:t>
      </w:r>
      <w:r>
        <w:rPr>
          <w:rFonts w:hint="eastAsia" w:ascii="仿宋_GB2312" w:hAnsi="仿宋_GB2312" w:eastAsia="仿宋_GB2312" w:cs="仿宋_GB2312"/>
          <w:kern w:val="0"/>
          <w:sz w:val="32"/>
          <w:szCs w:val="32"/>
          <w:shd w:val="clear" w:color="auto" w:fill="FFFFFF"/>
          <w:lang w:val="en-US" w:eastAsia="zh-CN" w:bidi="ar"/>
        </w:rPr>
        <w:t>7</w:t>
      </w:r>
      <w:r>
        <w:rPr>
          <w:rFonts w:hint="eastAsia" w:ascii="仿宋_GB2312" w:hAnsi="仿宋_GB2312" w:eastAsia="仿宋_GB2312" w:cs="仿宋_GB2312"/>
          <w:kern w:val="0"/>
          <w:sz w:val="32"/>
          <w:szCs w:val="32"/>
          <w:shd w:val="clear" w:color="auto" w:fill="FFFFFF"/>
          <w:lang w:bidi="ar"/>
        </w:rPr>
        <w:t>月完成征求意见稿。</w:t>
      </w:r>
    </w:p>
    <w:p>
      <w:pPr>
        <w:pStyle w:val="3"/>
        <w:spacing w:line="570" w:lineRule="exact"/>
        <w:ind w:right="116" w:firstLine="559"/>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4、开展征求意见工作。11 月上旬，规划编制组在县水务局召开征求意见座谈会，听取各个乡镇、街道和其他规划内容涉 及的相关部门的意见和建议。其中，环保部门、水利部门就环保生态红线和河道等问题提出了意见，部分乡镇对规划也提出一些修改意见。规划编制组根据各部门和乡镇街道的意见反馈情况，进行规划的修改和完善。</w:t>
      </w:r>
    </w:p>
    <w:p>
      <w:pPr>
        <w:pStyle w:val="3"/>
        <w:spacing w:before="32" w:line="570" w:lineRule="exact"/>
        <w:ind w:left="679"/>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5、评审、送审。</w:t>
      </w:r>
    </w:p>
    <w:p>
      <w:pPr>
        <w:pStyle w:val="3"/>
        <w:spacing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6、审核发布。 </w:t>
      </w:r>
    </w:p>
    <w:p>
      <w:pPr>
        <w:pStyle w:val="3"/>
        <w:spacing w:line="570" w:lineRule="exact"/>
        <w:ind w:left="0" w:firstLine="640" w:firstLineChars="200"/>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二、主要框架和内容</w:t>
      </w:r>
    </w:p>
    <w:p>
      <w:pPr>
        <w:pStyle w:val="3"/>
        <w:spacing w:before="32"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《规划》共分五部分，包括：总则、养殖水域滩涂利用评价、养 殖水域滩涂功能区划、保障措施、附则。</w:t>
      </w:r>
    </w:p>
    <w:p>
      <w:pPr>
        <w:pStyle w:val="3"/>
        <w:spacing w:before="32"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第一部分，总则，包括：前言、编制依据、目标任务、基本原则 和规划范围。主要阐述当前水产养殖业面临形势，规划编制的相关背 景和目的意义，规划编制依据的法律法规等，规划期限、目标和任务， 规划遵循的主要原则，本地区养殖水域滩涂规划范围。</w:t>
      </w:r>
    </w:p>
    <w:p>
      <w:pPr>
        <w:pStyle w:val="3"/>
        <w:spacing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第二部分，养殖水域滩涂利用评价，包括：水域滩涂承载力分析、 水产养殖产业发展分析、养殖水域滩涂开发总体思路。主要阐述水域 滩涂资源状况、自然气候条件、水生生物资源状况和水环境状况，并根据现状进行水域滩涂承载力分析，形成评价结论，并分析水产养殖产业发展现状，提出养殖水域滩涂开发总体思路。 第三部分，养殖水域滩涂功能区划，包括：功能区划概述、禁止养殖区、限制养殖区、养殖区。主要阐述禁养区、限养区和养殖区的 三区划分方法和开发保护重点，三区的类型、面积、位置、管控措施 等，并分类列举二、三级功能区。</w:t>
      </w:r>
    </w:p>
    <w:p>
      <w:pPr>
        <w:pStyle w:val="3"/>
        <w:spacing w:before="32"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第四部分，保障措施。提出充分认识发展《规划》的重要意义， 加强组织领导、强化监督检查、完善生态保护和其他保障措施，确保 规划的顺利实施。</w:t>
      </w:r>
    </w:p>
    <w:p>
      <w:pPr>
        <w:pStyle w:val="3"/>
        <w:spacing w:before="32"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第五部分，附则。明确提出规划文本和图件的法律效力。 三、本次规划与原养殖规划的区别 1、编制目的不同。原养殖规划以产业发展为目的，以产业规划为主，主要关注养殖范围、品种和产业发展等，而本次规划编制以生 态文明建设为目的，以空间规划为主，主要明确三区划分及养殖区域 的具体面积和坐标，并明确管控措施，</w:t>
      </w:r>
    </w:p>
    <w:p>
      <w:pPr>
        <w:pStyle w:val="3"/>
        <w:spacing w:before="32"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2、功能区划不同。原养殖规划仅进行养殖区域和水域类型的划 分，粗略设置养殖范围，本次规划将沂源县所有可进行养殖的区域按 照《养殖水域滩涂功能区划表》进行三区划分，通过 GIS 地图精确划 定了三区范围并明确了管控措施。</w:t>
      </w:r>
    </w:p>
    <w:p>
      <w:pPr>
        <w:pStyle w:val="3"/>
        <w:spacing w:before="32" w:line="570" w:lineRule="exact"/>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3、编制成果不同。原养殖规划成果为规划表及文本，本次规划 成果不仅包含规划表及相关文本，同时包含基于 GIS 地图的详细三区规划图和现状图，能够更加准确和直观地查看本地的养殖现状和规划面积。</w:t>
      </w:r>
    </w:p>
    <w:p>
      <w:pPr>
        <w:pStyle w:val="3"/>
        <w:spacing w:line="570" w:lineRule="exact"/>
        <w:ind w:left="0" w:firstLine="640" w:firstLineChars="200"/>
        <w:jc w:val="left"/>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四、规划编制有关问题说明</w:t>
      </w:r>
    </w:p>
    <w:p>
      <w:pPr>
        <w:pStyle w:val="3"/>
        <w:spacing w:line="570" w:lineRule="exact"/>
        <w:ind w:left="0"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1、与其他相关规划的衔接</w:t>
      </w:r>
    </w:p>
    <w:p>
      <w:pPr>
        <w:pStyle w:val="3"/>
        <w:spacing w:line="570" w:lineRule="exact"/>
        <w:ind w:left="0"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《规划》编制工作过程中始终注重与部门的沟通，注意收集各部 门的相关规划资料和征求意见，充分考虑各部门养殖水域滩涂的使用 需求，注重与相关规划衔接。在规划编制过程中，严格按照土地规划、水利规划和环保等相关要求进行三区的划定， 使得规划中所有区域都有相关法律法规作为依托，不与上位法规和前 置规划产生矛盾。</w:t>
      </w:r>
    </w:p>
    <w:p>
      <w:pPr>
        <w:pStyle w:val="3"/>
        <w:spacing w:before="32" w:line="570" w:lineRule="exact"/>
        <w:ind w:left="0"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2、图件和水域类型 根据农业部《工作规范》和山东水域分布和利用状况实际，现状图中的各水域类型和各类水域养殖面积参考年报数据。淡水地区分类 为池塘养殖区、湖泊养殖区、水库养殖区、河沟养殖区，稻田综合种 养区，不设其它养殖区；海水地区为海上养殖区、滩涂养殖区和陆地 养殖区。将年报内陆养殖面积和海水养殖面积中的“其它”项下的面 积，归类到相应的养殖类型中。沿海的大陆岸线、零米线、海域行政 界线和省政府批准的市县海洋功能区划等相关数据由省海洋技术中 心统一提供。</w:t>
      </w:r>
    </w:p>
    <w:p>
      <w:pPr>
        <w:pStyle w:val="3"/>
        <w:spacing w:before="32" w:line="570" w:lineRule="exact"/>
        <w:ind w:left="0"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3、表格及分类代码 规划中各类水域用表格列举，表格组成为代码、面积（公顷）、GIS  中心坐标以及管控措施。旅游休闲娱乐区限制养殖区相关表格中的区块面积为可养面积 数值。</w:t>
      </w:r>
    </w:p>
    <w:p>
      <w:pPr>
        <w:pStyle w:val="3"/>
        <w:spacing w:line="570" w:lineRule="exact"/>
        <w:ind w:left="0"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4、禁养区中已养区域的退养措施</w:t>
      </w:r>
    </w:p>
    <w:p>
      <w:pPr>
        <w:pStyle w:val="3"/>
        <w:spacing w:line="570" w:lineRule="exact"/>
        <w:ind w:left="0"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禁止养殖区内已有的水产养殖区域，由沂源地方人民政府及相关部门负责将其取缔。</w:t>
      </w:r>
    </w:p>
    <w:p>
      <w:pPr>
        <w:rPr>
          <w:rFonts w:ascii="仿宋_GB2312" w:hAnsi="仿宋_GB2312" w:eastAsia="仿宋_GB2312" w:cs="仿宋_GB2312"/>
          <w:sz w:val="32"/>
          <w:szCs w:val="32"/>
        </w:rPr>
      </w:pPr>
    </w:p>
    <w:sectPr>
      <w:footerReference r:id="rId3" w:type="default"/>
      <w:pgSz w:w="11906" w:h="16838"/>
      <w:pgMar w:top="1587" w:right="1474" w:bottom="1587" w:left="1474" w:header="851" w:footer="992" w:gutter="0"/>
      <w:pgNumType w:start="1"/>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方正小标宋简体">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cs="Times New Roman"/>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76E22"/>
    <w:multiLevelType w:val="singleLevel"/>
    <w:tmpl w:val="C8976E22"/>
    <w:lvl w:ilvl="0" w:tentative="0">
      <w:start w:val="4"/>
      <w:numFmt w:val="chineseCounting"/>
      <w:suff w:val="space"/>
      <w:lvlText w:val="第%1节"/>
      <w:lvlJc w:val="left"/>
      <w:rPr>
        <w:rFonts w:hint="eastAsia"/>
      </w:rPr>
    </w:lvl>
  </w:abstractNum>
  <w:abstractNum w:abstractNumId="1">
    <w:nsid w:val="04553A43"/>
    <w:multiLevelType w:val="singleLevel"/>
    <w:tmpl w:val="04553A43"/>
    <w:lvl w:ilvl="0" w:tentative="0">
      <w:start w:val="7"/>
      <w:numFmt w:val="chineseCounting"/>
      <w:suff w:val="space"/>
      <w:lvlText w:val="第%1节、"/>
      <w:lvlJc w:val="left"/>
      <w:rPr>
        <w:rFonts w:hint="eastAsia"/>
      </w:rPr>
    </w:lvl>
  </w:abstractNum>
  <w:abstractNum w:abstractNumId="2">
    <w:nsid w:val="5B84EF3D"/>
    <w:multiLevelType w:val="singleLevel"/>
    <w:tmpl w:val="5B84EF3D"/>
    <w:lvl w:ilvl="0" w:tentative="0">
      <w:start w:val="5"/>
      <w:numFmt w:val="chineseCounting"/>
      <w:suff w:val="space"/>
      <w:lvlText w:val="第%1章"/>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3D1044"/>
    <w:rsid w:val="00153C3E"/>
    <w:rsid w:val="002574C5"/>
    <w:rsid w:val="003A7B27"/>
    <w:rsid w:val="005441AF"/>
    <w:rsid w:val="008250B4"/>
    <w:rsid w:val="0093050C"/>
    <w:rsid w:val="00BB70EF"/>
    <w:rsid w:val="00CA6974"/>
    <w:rsid w:val="00D13921"/>
    <w:rsid w:val="00E637C8"/>
    <w:rsid w:val="01210FAD"/>
    <w:rsid w:val="0155719D"/>
    <w:rsid w:val="01813D71"/>
    <w:rsid w:val="01EC7805"/>
    <w:rsid w:val="01F458D0"/>
    <w:rsid w:val="025E4606"/>
    <w:rsid w:val="02825470"/>
    <w:rsid w:val="036A2F6B"/>
    <w:rsid w:val="036C58E3"/>
    <w:rsid w:val="043A552E"/>
    <w:rsid w:val="04B052BA"/>
    <w:rsid w:val="04B4604F"/>
    <w:rsid w:val="04B674C1"/>
    <w:rsid w:val="06143075"/>
    <w:rsid w:val="06144D94"/>
    <w:rsid w:val="064C4D2B"/>
    <w:rsid w:val="065339F6"/>
    <w:rsid w:val="074C1A93"/>
    <w:rsid w:val="082B35B2"/>
    <w:rsid w:val="08732579"/>
    <w:rsid w:val="094F2208"/>
    <w:rsid w:val="09A871C1"/>
    <w:rsid w:val="0A113741"/>
    <w:rsid w:val="0A5C2DDD"/>
    <w:rsid w:val="0A9D5E3E"/>
    <w:rsid w:val="0AD2394F"/>
    <w:rsid w:val="0BD82B5A"/>
    <w:rsid w:val="0BED22F8"/>
    <w:rsid w:val="0CC331A8"/>
    <w:rsid w:val="0D7B3421"/>
    <w:rsid w:val="0DC5540F"/>
    <w:rsid w:val="0DCC73D4"/>
    <w:rsid w:val="0E0F5A6D"/>
    <w:rsid w:val="0F456BC1"/>
    <w:rsid w:val="118F223F"/>
    <w:rsid w:val="124F2667"/>
    <w:rsid w:val="12C27F5B"/>
    <w:rsid w:val="143C38D7"/>
    <w:rsid w:val="15585533"/>
    <w:rsid w:val="18F43BD9"/>
    <w:rsid w:val="19407488"/>
    <w:rsid w:val="1A2F4E5D"/>
    <w:rsid w:val="1A8E142D"/>
    <w:rsid w:val="1AD928B9"/>
    <w:rsid w:val="1AFC4265"/>
    <w:rsid w:val="1B0E45B3"/>
    <w:rsid w:val="1B6E74DA"/>
    <w:rsid w:val="1DDF076A"/>
    <w:rsid w:val="1E773500"/>
    <w:rsid w:val="20681B05"/>
    <w:rsid w:val="20B03AC9"/>
    <w:rsid w:val="21185334"/>
    <w:rsid w:val="219613DC"/>
    <w:rsid w:val="21C04B20"/>
    <w:rsid w:val="2220165F"/>
    <w:rsid w:val="2262184E"/>
    <w:rsid w:val="240A1A40"/>
    <w:rsid w:val="248E6928"/>
    <w:rsid w:val="24D92E23"/>
    <w:rsid w:val="27412F7D"/>
    <w:rsid w:val="275B4052"/>
    <w:rsid w:val="276D3F4F"/>
    <w:rsid w:val="280413FE"/>
    <w:rsid w:val="285F269C"/>
    <w:rsid w:val="286045A8"/>
    <w:rsid w:val="28B774A7"/>
    <w:rsid w:val="2918607D"/>
    <w:rsid w:val="29CA5C2F"/>
    <w:rsid w:val="29D418DA"/>
    <w:rsid w:val="2A162037"/>
    <w:rsid w:val="2ABC2DA5"/>
    <w:rsid w:val="2AE20883"/>
    <w:rsid w:val="2B2A509E"/>
    <w:rsid w:val="2B3D1044"/>
    <w:rsid w:val="2B780C6D"/>
    <w:rsid w:val="2BE02996"/>
    <w:rsid w:val="2C250ABB"/>
    <w:rsid w:val="2C9E2BF9"/>
    <w:rsid w:val="2DD925B9"/>
    <w:rsid w:val="2DF1266C"/>
    <w:rsid w:val="2E0871D8"/>
    <w:rsid w:val="2F492F79"/>
    <w:rsid w:val="2F981C61"/>
    <w:rsid w:val="2FE7645F"/>
    <w:rsid w:val="30AC0D27"/>
    <w:rsid w:val="30F22AFD"/>
    <w:rsid w:val="317E7183"/>
    <w:rsid w:val="31AC45B1"/>
    <w:rsid w:val="31B27852"/>
    <w:rsid w:val="33E53292"/>
    <w:rsid w:val="34BB6AB7"/>
    <w:rsid w:val="350864BA"/>
    <w:rsid w:val="35636B61"/>
    <w:rsid w:val="35732F18"/>
    <w:rsid w:val="364447B7"/>
    <w:rsid w:val="37073402"/>
    <w:rsid w:val="39EE767A"/>
    <w:rsid w:val="3A572025"/>
    <w:rsid w:val="3B1B1647"/>
    <w:rsid w:val="3B4C0674"/>
    <w:rsid w:val="3D9B4278"/>
    <w:rsid w:val="3DC823FF"/>
    <w:rsid w:val="3E243695"/>
    <w:rsid w:val="3EC92229"/>
    <w:rsid w:val="3EE76A12"/>
    <w:rsid w:val="3F8967F4"/>
    <w:rsid w:val="3F9B6F09"/>
    <w:rsid w:val="3FAD601A"/>
    <w:rsid w:val="3FF1286B"/>
    <w:rsid w:val="4002327A"/>
    <w:rsid w:val="40C95C79"/>
    <w:rsid w:val="40DE554C"/>
    <w:rsid w:val="41600BD4"/>
    <w:rsid w:val="42344204"/>
    <w:rsid w:val="42A47794"/>
    <w:rsid w:val="42D86230"/>
    <w:rsid w:val="43745639"/>
    <w:rsid w:val="437669BC"/>
    <w:rsid w:val="43841431"/>
    <w:rsid w:val="43A94E5D"/>
    <w:rsid w:val="43B660EB"/>
    <w:rsid w:val="44AA672D"/>
    <w:rsid w:val="450874CB"/>
    <w:rsid w:val="46E66060"/>
    <w:rsid w:val="47301769"/>
    <w:rsid w:val="47586517"/>
    <w:rsid w:val="47D13476"/>
    <w:rsid w:val="48A57D4D"/>
    <w:rsid w:val="48DC3E16"/>
    <w:rsid w:val="48F06CEA"/>
    <w:rsid w:val="49190F5B"/>
    <w:rsid w:val="49E245C1"/>
    <w:rsid w:val="4AAA4389"/>
    <w:rsid w:val="4CBC18AF"/>
    <w:rsid w:val="4CC2188B"/>
    <w:rsid w:val="4E027174"/>
    <w:rsid w:val="4E5E66C1"/>
    <w:rsid w:val="4F2D61FA"/>
    <w:rsid w:val="4F2F4AE8"/>
    <w:rsid w:val="4F4455DF"/>
    <w:rsid w:val="4F7A431C"/>
    <w:rsid w:val="506531EF"/>
    <w:rsid w:val="51E44EB0"/>
    <w:rsid w:val="52AC4566"/>
    <w:rsid w:val="52C11291"/>
    <w:rsid w:val="52C83971"/>
    <w:rsid w:val="52FC4F54"/>
    <w:rsid w:val="52FF7609"/>
    <w:rsid w:val="54371C30"/>
    <w:rsid w:val="54C4634E"/>
    <w:rsid w:val="54E35FFA"/>
    <w:rsid w:val="55774CCD"/>
    <w:rsid w:val="55C12192"/>
    <w:rsid w:val="56101A80"/>
    <w:rsid w:val="56707A29"/>
    <w:rsid w:val="56951C48"/>
    <w:rsid w:val="56CA1BD3"/>
    <w:rsid w:val="58A51435"/>
    <w:rsid w:val="59526AEB"/>
    <w:rsid w:val="595D40F8"/>
    <w:rsid w:val="59691650"/>
    <w:rsid w:val="59C30BFD"/>
    <w:rsid w:val="5A280C60"/>
    <w:rsid w:val="5AA417A4"/>
    <w:rsid w:val="5AA466C2"/>
    <w:rsid w:val="5B2F4651"/>
    <w:rsid w:val="5BBA0B1D"/>
    <w:rsid w:val="5C826A20"/>
    <w:rsid w:val="5D3C3C2F"/>
    <w:rsid w:val="5D5E61FC"/>
    <w:rsid w:val="5D911DAB"/>
    <w:rsid w:val="5DA9248C"/>
    <w:rsid w:val="5E3C6BCA"/>
    <w:rsid w:val="5E6379D0"/>
    <w:rsid w:val="5EB10D74"/>
    <w:rsid w:val="5F091FF5"/>
    <w:rsid w:val="5F8C2C76"/>
    <w:rsid w:val="5FBC046B"/>
    <w:rsid w:val="600031C2"/>
    <w:rsid w:val="60B261FF"/>
    <w:rsid w:val="60F5037F"/>
    <w:rsid w:val="61127E7C"/>
    <w:rsid w:val="61A958BC"/>
    <w:rsid w:val="620E1566"/>
    <w:rsid w:val="62395396"/>
    <w:rsid w:val="625C2747"/>
    <w:rsid w:val="633512BE"/>
    <w:rsid w:val="63604E06"/>
    <w:rsid w:val="642C17DD"/>
    <w:rsid w:val="654E59C4"/>
    <w:rsid w:val="65AE641E"/>
    <w:rsid w:val="66697685"/>
    <w:rsid w:val="667A2DF8"/>
    <w:rsid w:val="680F7AFC"/>
    <w:rsid w:val="68B63E91"/>
    <w:rsid w:val="68B97778"/>
    <w:rsid w:val="68D01A6E"/>
    <w:rsid w:val="691269EB"/>
    <w:rsid w:val="69163820"/>
    <w:rsid w:val="69176EAB"/>
    <w:rsid w:val="696524DD"/>
    <w:rsid w:val="696752C2"/>
    <w:rsid w:val="6AC676BE"/>
    <w:rsid w:val="6AE7530F"/>
    <w:rsid w:val="6B2208AB"/>
    <w:rsid w:val="6C586160"/>
    <w:rsid w:val="6C882C05"/>
    <w:rsid w:val="6C9467D0"/>
    <w:rsid w:val="6CC74170"/>
    <w:rsid w:val="6D1A3510"/>
    <w:rsid w:val="6D216954"/>
    <w:rsid w:val="6DB55C43"/>
    <w:rsid w:val="6EAF48E1"/>
    <w:rsid w:val="70CF7E83"/>
    <w:rsid w:val="712217BE"/>
    <w:rsid w:val="72874EF3"/>
    <w:rsid w:val="72E028FB"/>
    <w:rsid w:val="72FD21B6"/>
    <w:rsid w:val="736E2957"/>
    <w:rsid w:val="737E41A4"/>
    <w:rsid w:val="73DB1902"/>
    <w:rsid w:val="73DF6A44"/>
    <w:rsid w:val="73F11923"/>
    <w:rsid w:val="74A83CD7"/>
    <w:rsid w:val="74B30EBB"/>
    <w:rsid w:val="74CA760F"/>
    <w:rsid w:val="75A72E9A"/>
    <w:rsid w:val="75CF1308"/>
    <w:rsid w:val="75DD78B4"/>
    <w:rsid w:val="762667B4"/>
    <w:rsid w:val="7636442E"/>
    <w:rsid w:val="772A238B"/>
    <w:rsid w:val="774138DF"/>
    <w:rsid w:val="77467C27"/>
    <w:rsid w:val="785E0874"/>
    <w:rsid w:val="79053D09"/>
    <w:rsid w:val="79183B47"/>
    <w:rsid w:val="793B7903"/>
    <w:rsid w:val="79C66BF6"/>
    <w:rsid w:val="7A54070E"/>
    <w:rsid w:val="7A9D53D2"/>
    <w:rsid w:val="7AF0045D"/>
    <w:rsid w:val="7BF03A97"/>
    <w:rsid w:val="7D071BB3"/>
    <w:rsid w:val="7D38207A"/>
    <w:rsid w:val="7D704D85"/>
    <w:rsid w:val="7D9C0616"/>
    <w:rsid w:val="7EAA0C52"/>
    <w:rsid w:val="7FDB7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120"/>
      <w:outlineLvl w:val="0"/>
    </w:pPr>
    <w:rPr>
      <w:rFonts w:ascii="Microsoft JhengHei" w:hAnsi="Microsoft JhengHei" w:eastAsia="Microsoft JhengHei"/>
      <w:sz w:val="32"/>
      <w:szCs w:val="32"/>
    </w:rPr>
  </w:style>
  <w:style w:type="character" w:default="1" w:styleId="7">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qFormat/>
    <w:uiPriority w:val="1"/>
    <w:pPr>
      <w:ind w:left="120"/>
    </w:pPr>
    <w:rPr>
      <w:rFonts w:ascii="Microsoft JhengHei" w:hAnsi="Microsoft JhengHei" w:eastAsia="Microsoft JhengHei"/>
      <w:sz w:val="28"/>
      <w:szCs w:val="2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page number"/>
    <w:basedOn w:val="7"/>
    <w:qFormat/>
    <w:uiPriority w:val="99"/>
    <w:rPr>
      <w:rFonts w:cs="Times New Roman"/>
    </w:rPr>
  </w:style>
  <w:style w:type="character" w:styleId="10">
    <w:name w:val="FollowedHyperlink"/>
    <w:basedOn w:val="7"/>
    <w:qFormat/>
    <w:uiPriority w:val="0"/>
    <w:rPr>
      <w:color w:val="3D6BA7"/>
      <w:u w:val="none"/>
    </w:rPr>
  </w:style>
  <w:style w:type="character" w:styleId="11">
    <w:name w:val="Hyperlink"/>
    <w:basedOn w:val="7"/>
    <w:qFormat/>
    <w:uiPriority w:val="0"/>
    <w:rPr>
      <w:color w:val="3D6BA7"/>
      <w:u w:val="none"/>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checked"/>
    <w:basedOn w:val="7"/>
    <w:qFormat/>
    <w:uiPriority w:val="0"/>
    <w:rPr>
      <w:b/>
      <w:shd w:val="clear" w:color="auto" w:fill="FFFFFF"/>
    </w:rPr>
  </w:style>
  <w:style w:type="paragraph" w:customStyle="1" w:styleId="15">
    <w:name w:val="Table Paragraph"/>
    <w:basedOn w:val="1"/>
    <w:qFormat/>
    <w:uiPriority w:val="1"/>
  </w:style>
  <w:style w:type="character" w:customStyle="1" w:styleId="16">
    <w:name w:val="hover27"/>
    <w:basedOn w:val="7"/>
    <w:qFormat/>
    <w:uiPriority w:val="0"/>
  </w:style>
  <w:style w:type="character" w:customStyle="1" w:styleId="17">
    <w:name w:val="font31"/>
    <w:basedOn w:val="7"/>
    <w:qFormat/>
    <w:uiPriority w:val="99"/>
    <w:rPr>
      <w:rFonts w:ascii="黑体" w:hAnsi="宋体" w:eastAsia="黑体" w:cs="黑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3021</Words>
  <Characters>17223</Characters>
  <Lines>143</Lines>
  <Paragraphs>40</Paragraphs>
  <TotalTime>12</TotalTime>
  <ScaleCrop>false</ScaleCrop>
  <LinksUpToDate>false</LinksUpToDate>
  <CharactersWithSpaces>20204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2017-03-15T08:40:00Z</dcterms:created>
  <dc:creator>Administrator</dc:creator>
  <cp:lastModifiedBy>Administrator</cp:lastModifiedBy>
  <cp:lastPrinted>2018-07-24T08:17:00Z</cp:lastPrinted>
  <dcterms:modified xsi:type="dcterms:W3CDTF">2019-01-04T06:30:57Z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